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1080"/>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430"/>
      </w:tblGrid>
      <w:tr w:rsidR="0021192A" w14:paraId="7B2E1429" w14:textId="77777777" w:rsidTr="0021192A">
        <w:trPr>
          <w:trHeight w:val="2121"/>
        </w:trPr>
        <w:tc>
          <w:tcPr>
            <w:tcW w:w="2628" w:type="dxa"/>
          </w:tcPr>
          <w:p w14:paraId="16B2EA32" w14:textId="77777777" w:rsidR="0021192A" w:rsidRDefault="0021192A" w:rsidP="0021192A">
            <w:pPr>
              <w:pStyle w:val="Header"/>
            </w:pPr>
            <w:bookmarkStart w:id="0" w:name="_GoBack"/>
            <w:bookmarkEnd w:id="0"/>
            <w:r>
              <w:rPr>
                <w:noProof/>
                <w:lang w:eastAsia="en-AU"/>
              </w:rPr>
              <w:drawing>
                <wp:inline distT="0" distB="0" distL="0" distR="0" wp14:anchorId="02E61300" wp14:editId="25EC4AE6">
                  <wp:extent cx="1531956" cy="1400175"/>
                  <wp:effectExtent l="0" t="0" r="0" b="0"/>
                  <wp:docPr id="2" name="Picture 2" descr="symbol represents the coming together of Aboriginal and local government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31956" cy="1400175"/>
                          </a:xfrm>
                          <a:prstGeom prst="rect">
                            <a:avLst/>
                          </a:prstGeom>
                        </pic:spPr>
                      </pic:pic>
                    </a:graphicData>
                  </a:graphic>
                </wp:inline>
              </w:drawing>
            </w:r>
          </w:p>
        </w:tc>
        <w:tc>
          <w:tcPr>
            <w:tcW w:w="8430" w:type="dxa"/>
            <w:shd w:val="clear" w:color="auto" w:fill="FDBB30"/>
          </w:tcPr>
          <w:p w14:paraId="68CF4DA3" w14:textId="77777777" w:rsidR="0021192A" w:rsidRDefault="0021192A" w:rsidP="0021192A">
            <w:pPr>
              <w:pStyle w:val="Header"/>
              <w:jc w:val="center"/>
              <w:rPr>
                <w:b/>
                <w:color w:val="FFFFFF" w:themeColor="background1"/>
                <w:sz w:val="48"/>
                <w:szCs w:val="48"/>
              </w:rPr>
            </w:pPr>
          </w:p>
          <w:p w14:paraId="73E25F5F" w14:textId="77777777" w:rsidR="0021192A" w:rsidRPr="00C11AF3" w:rsidRDefault="0021192A" w:rsidP="0021192A">
            <w:pPr>
              <w:pStyle w:val="Header"/>
              <w:jc w:val="center"/>
              <w:rPr>
                <w:b/>
                <w:color w:val="FFFFFF" w:themeColor="background1"/>
                <w:sz w:val="44"/>
                <w:szCs w:val="44"/>
              </w:rPr>
            </w:pPr>
            <w:r w:rsidRPr="00C11AF3">
              <w:rPr>
                <w:b/>
                <w:color w:val="FFFFFF" w:themeColor="background1"/>
                <w:sz w:val="44"/>
                <w:szCs w:val="44"/>
              </w:rPr>
              <w:t>ABORIGINAL EMPLOYMENT</w:t>
            </w:r>
          </w:p>
          <w:p w14:paraId="4E71B4B3" w14:textId="77777777" w:rsidR="0021192A" w:rsidRDefault="0021192A" w:rsidP="0021192A">
            <w:pPr>
              <w:pStyle w:val="Header"/>
              <w:jc w:val="center"/>
            </w:pPr>
            <w:r w:rsidRPr="00C11AF3">
              <w:rPr>
                <w:b/>
                <w:color w:val="FFFFFF" w:themeColor="background1"/>
                <w:sz w:val="44"/>
                <w:szCs w:val="44"/>
              </w:rPr>
              <w:t>IN VICTORIAN LOCAL GOVERNMENT</w:t>
            </w:r>
          </w:p>
        </w:tc>
      </w:tr>
      <w:tr w:rsidR="0021192A" w14:paraId="01DC1A6A" w14:textId="77777777" w:rsidTr="0021192A">
        <w:tc>
          <w:tcPr>
            <w:tcW w:w="2628" w:type="dxa"/>
          </w:tcPr>
          <w:p w14:paraId="31C860A2" w14:textId="77777777" w:rsidR="0021192A" w:rsidRDefault="0021192A" w:rsidP="0021192A">
            <w:pPr>
              <w:pStyle w:val="Header"/>
            </w:pPr>
          </w:p>
        </w:tc>
        <w:tc>
          <w:tcPr>
            <w:tcW w:w="8430" w:type="dxa"/>
            <w:shd w:val="clear" w:color="auto" w:fill="B7C5D1"/>
          </w:tcPr>
          <w:p w14:paraId="6F2FE45D" w14:textId="77777777" w:rsidR="0021192A" w:rsidRPr="005374DA" w:rsidRDefault="0021192A" w:rsidP="0021192A">
            <w:pPr>
              <w:pStyle w:val="Header"/>
              <w:jc w:val="center"/>
              <w:rPr>
                <w:b/>
                <w:color w:val="000000" w:themeColor="text1"/>
                <w:sz w:val="16"/>
                <w:szCs w:val="16"/>
              </w:rPr>
            </w:pPr>
          </w:p>
          <w:p w14:paraId="1B58C8DC" w14:textId="77777777" w:rsidR="0021192A" w:rsidRDefault="0021192A" w:rsidP="0021192A">
            <w:pPr>
              <w:pStyle w:val="Header"/>
              <w:jc w:val="center"/>
              <w:rPr>
                <w:b/>
                <w:color w:val="000000" w:themeColor="text1"/>
                <w:sz w:val="40"/>
                <w:szCs w:val="40"/>
              </w:rPr>
            </w:pPr>
            <w:r>
              <w:rPr>
                <w:b/>
                <w:color w:val="000000" w:themeColor="text1"/>
                <w:sz w:val="40"/>
                <w:szCs w:val="40"/>
              </w:rPr>
              <w:t xml:space="preserve">              </w:t>
            </w:r>
            <w:r w:rsidRPr="008F3374">
              <w:rPr>
                <w:rStyle w:val="TitleChar"/>
              </w:rPr>
              <w:t>Resources guide</w:t>
            </w:r>
            <w:r>
              <w:rPr>
                <w:b/>
                <w:color w:val="000000" w:themeColor="text1"/>
                <w:sz w:val="16"/>
                <w:szCs w:val="16"/>
              </w:rPr>
              <w:t xml:space="preserve">                                               Fact Sheet 2</w:t>
            </w:r>
          </w:p>
          <w:p w14:paraId="381E6A2D" w14:textId="77777777" w:rsidR="0021192A" w:rsidRDefault="0021192A" w:rsidP="0021192A">
            <w:pPr>
              <w:pStyle w:val="Header"/>
              <w:jc w:val="center"/>
            </w:pPr>
          </w:p>
        </w:tc>
      </w:tr>
      <w:tr w:rsidR="0021192A" w14:paraId="33644613" w14:textId="77777777" w:rsidTr="0021192A">
        <w:tc>
          <w:tcPr>
            <w:tcW w:w="2628" w:type="dxa"/>
          </w:tcPr>
          <w:p w14:paraId="73EE14B8" w14:textId="77777777" w:rsidR="0021192A" w:rsidRDefault="0021192A" w:rsidP="0021192A">
            <w:pPr>
              <w:pStyle w:val="Header"/>
            </w:pPr>
          </w:p>
        </w:tc>
        <w:tc>
          <w:tcPr>
            <w:tcW w:w="8430" w:type="dxa"/>
            <w:shd w:val="clear" w:color="auto" w:fill="B7C5D1"/>
          </w:tcPr>
          <w:p w14:paraId="0F9DCA3D" w14:textId="77777777" w:rsidR="0021192A" w:rsidRPr="005374DA" w:rsidRDefault="0021192A" w:rsidP="0021192A">
            <w:pPr>
              <w:pStyle w:val="Header"/>
              <w:jc w:val="center"/>
              <w:rPr>
                <w:b/>
                <w:color w:val="000000" w:themeColor="text1"/>
                <w:sz w:val="16"/>
                <w:szCs w:val="16"/>
              </w:rPr>
            </w:pPr>
          </w:p>
        </w:tc>
      </w:tr>
    </w:tbl>
    <w:p w14:paraId="28E11E6C" w14:textId="77777777" w:rsidR="0021192A" w:rsidRDefault="0021192A" w:rsidP="0021192A">
      <w:pPr>
        <w:pStyle w:val="Header"/>
      </w:pPr>
    </w:p>
    <w:p w14:paraId="5F58CEB4" w14:textId="77777777" w:rsidR="0088338B" w:rsidRDefault="0088338B" w:rsidP="0021192A">
      <w:pPr>
        <w:jc w:val="center"/>
        <w:rPr>
          <w:b/>
          <w:smallCaps/>
          <w:sz w:val="28"/>
          <w:szCs w:val="28"/>
        </w:rPr>
      </w:pPr>
    </w:p>
    <w:p w14:paraId="6CFEB571" w14:textId="77777777" w:rsidR="0021192A" w:rsidRPr="008F3374" w:rsidRDefault="0021192A" w:rsidP="008F3374">
      <w:pPr>
        <w:pStyle w:val="Heading1"/>
        <w:jc w:val="center"/>
        <w:rPr>
          <w:color w:val="000000" w:themeColor="text1"/>
          <w:sz w:val="28"/>
          <w:szCs w:val="28"/>
        </w:rPr>
      </w:pPr>
      <w:r w:rsidRPr="008F3374">
        <w:rPr>
          <w:color w:val="000000" w:themeColor="text1"/>
          <w:sz w:val="28"/>
          <w:szCs w:val="28"/>
        </w:rPr>
        <w:t>Framework – “</w:t>
      </w:r>
      <w:proofErr w:type="spellStart"/>
      <w:r w:rsidRPr="008F3374">
        <w:rPr>
          <w:color w:val="000000" w:themeColor="text1"/>
          <w:sz w:val="28"/>
          <w:szCs w:val="28"/>
        </w:rPr>
        <w:t>Koories</w:t>
      </w:r>
      <w:proofErr w:type="spellEnd"/>
      <w:r w:rsidRPr="008F3374">
        <w:rPr>
          <w:color w:val="000000" w:themeColor="text1"/>
          <w:sz w:val="28"/>
          <w:szCs w:val="28"/>
        </w:rPr>
        <w:t xml:space="preserve"> </w:t>
      </w:r>
      <w:proofErr w:type="gramStart"/>
      <w:r w:rsidRPr="008F3374">
        <w:rPr>
          <w:color w:val="000000" w:themeColor="text1"/>
          <w:sz w:val="28"/>
          <w:szCs w:val="28"/>
        </w:rPr>
        <w:t>In</w:t>
      </w:r>
      <w:proofErr w:type="gramEnd"/>
      <w:r w:rsidRPr="008F3374">
        <w:rPr>
          <w:color w:val="000000" w:themeColor="text1"/>
          <w:sz w:val="28"/>
          <w:szCs w:val="28"/>
        </w:rPr>
        <w:t xml:space="preserve"> Victorian Councils”</w:t>
      </w:r>
    </w:p>
    <w:p w14:paraId="02839908" w14:textId="77777777" w:rsidR="0021192A" w:rsidRDefault="0021192A" w:rsidP="0021192A">
      <w:pPr>
        <w:jc w:val="center"/>
        <w:rPr>
          <w:sz w:val="20"/>
          <w:szCs w:val="20"/>
        </w:rPr>
      </w:pPr>
      <w:r>
        <w:rPr>
          <w:noProof/>
          <w:lang w:eastAsia="en-AU"/>
        </w:rPr>
        <w:drawing>
          <wp:inline distT="0" distB="0" distL="0" distR="0" wp14:anchorId="2130A98A" wp14:editId="4E8906D0">
            <wp:extent cx="5391150" cy="998361"/>
            <wp:effectExtent l="0" t="0" r="0" b="0"/>
            <wp:docPr id="1" name="Picture 1" descr="Respect + Relationships + Opportunities = Koories benefiting council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91150" cy="998361"/>
                    </a:xfrm>
                    <a:prstGeom prst="rect">
                      <a:avLst/>
                    </a:prstGeom>
                  </pic:spPr>
                </pic:pic>
              </a:graphicData>
            </a:graphic>
          </wp:inline>
        </w:drawing>
      </w:r>
    </w:p>
    <w:p w14:paraId="0D926774" w14:textId="77777777" w:rsidR="0021192A" w:rsidRDefault="0021192A" w:rsidP="0021192A">
      <w:pPr>
        <w:rPr>
          <w:sz w:val="20"/>
          <w:szCs w:val="20"/>
        </w:rPr>
      </w:pPr>
    </w:p>
    <w:p w14:paraId="05E2D6E9" w14:textId="4BFA72AD" w:rsidR="0021192A" w:rsidRPr="002B31FC" w:rsidRDefault="0021192A" w:rsidP="0021192A">
      <w:pPr>
        <w:jc w:val="both"/>
        <w:rPr>
          <w:sz w:val="20"/>
          <w:szCs w:val="20"/>
        </w:rPr>
      </w:pPr>
      <w:r w:rsidRPr="002B31FC">
        <w:rPr>
          <w:sz w:val="20"/>
          <w:szCs w:val="20"/>
        </w:rPr>
        <w:t>There are many reasons why councils will benefit from actively attracting, recruiting an</w:t>
      </w:r>
      <w:r w:rsidR="00D81C05">
        <w:rPr>
          <w:sz w:val="20"/>
          <w:szCs w:val="20"/>
        </w:rPr>
        <w:t xml:space="preserve">d employing Aboriginal people. </w:t>
      </w:r>
      <w:r w:rsidRPr="002B31FC">
        <w:rPr>
          <w:sz w:val="20"/>
          <w:szCs w:val="20"/>
        </w:rPr>
        <w:t>The core business case ingredients include:</w:t>
      </w:r>
    </w:p>
    <w:p w14:paraId="6A5B56DF" w14:textId="77777777" w:rsidR="0021192A" w:rsidRPr="002B31FC" w:rsidRDefault="0021192A" w:rsidP="0021192A">
      <w:pPr>
        <w:jc w:val="both"/>
        <w:rPr>
          <w:sz w:val="20"/>
          <w:szCs w:val="20"/>
        </w:rPr>
      </w:pPr>
    </w:p>
    <w:p w14:paraId="4D20ABFC" w14:textId="77777777" w:rsidR="0021192A" w:rsidRPr="002B31FC" w:rsidRDefault="0021192A" w:rsidP="0021192A">
      <w:pPr>
        <w:pStyle w:val="ListParagraph"/>
        <w:numPr>
          <w:ilvl w:val="0"/>
          <w:numId w:val="1"/>
        </w:numPr>
        <w:jc w:val="both"/>
        <w:rPr>
          <w:sz w:val="20"/>
          <w:szCs w:val="20"/>
        </w:rPr>
      </w:pPr>
      <w:r w:rsidRPr="002B31FC">
        <w:rPr>
          <w:sz w:val="20"/>
          <w:szCs w:val="20"/>
        </w:rPr>
        <w:t xml:space="preserve">Local government is a significant local employer with a broad range of jobs at many different levels </w:t>
      </w:r>
    </w:p>
    <w:p w14:paraId="7972CFDD" w14:textId="77777777" w:rsidR="0021192A" w:rsidRPr="002B31FC" w:rsidRDefault="0021192A" w:rsidP="0021192A">
      <w:pPr>
        <w:pStyle w:val="ListParagraph"/>
        <w:jc w:val="both"/>
        <w:rPr>
          <w:sz w:val="20"/>
          <w:szCs w:val="20"/>
        </w:rPr>
      </w:pPr>
    </w:p>
    <w:p w14:paraId="449D5203" w14:textId="77777777" w:rsidR="0021192A" w:rsidRPr="002B31FC" w:rsidRDefault="0021192A" w:rsidP="0021192A">
      <w:pPr>
        <w:pStyle w:val="ListParagraph"/>
        <w:numPr>
          <w:ilvl w:val="0"/>
          <w:numId w:val="1"/>
        </w:numPr>
        <w:jc w:val="both"/>
        <w:rPr>
          <w:sz w:val="20"/>
          <w:szCs w:val="20"/>
        </w:rPr>
      </w:pPr>
      <w:r w:rsidRPr="002B31FC">
        <w:rPr>
          <w:sz w:val="20"/>
          <w:szCs w:val="20"/>
        </w:rPr>
        <w:t>As a tier of government with a vested interest in communities having po</w:t>
      </w:r>
      <w:r>
        <w:rPr>
          <w:sz w:val="20"/>
          <w:szCs w:val="20"/>
        </w:rPr>
        <w:t>sitive social and economic well</w:t>
      </w:r>
      <w:r w:rsidRPr="002B31FC">
        <w:rPr>
          <w:sz w:val="20"/>
          <w:szCs w:val="20"/>
        </w:rPr>
        <w:t>being, offering employment to people who have had historic low levels of employment and face different life outcomes to non-Aboriginal Australians, will deliver considerable benefits for the whole community</w:t>
      </w:r>
    </w:p>
    <w:p w14:paraId="6260192D" w14:textId="77777777" w:rsidR="0021192A" w:rsidRPr="002B31FC" w:rsidRDefault="0021192A" w:rsidP="0021192A">
      <w:pPr>
        <w:jc w:val="both"/>
        <w:rPr>
          <w:sz w:val="20"/>
          <w:szCs w:val="20"/>
        </w:rPr>
      </w:pPr>
    </w:p>
    <w:p w14:paraId="1BB2B641" w14:textId="77777777" w:rsidR="0021192A" w:rsidRPr="002B31FC" w:rsidRDefault="0021192A" w:rsidP="0021192A">
      <w:pPr>
        <w:pStyle w:val="ListParagraph"/>
        <w:numPr>
          <w:ilvl w:val="0"/>
          <w:numId w:val="1"/>
        </w:numPr>
        <w:jc w:val="both"/>
        <w:rPr>
          <w:sz w:val="20"/>
          <w:szCs w:val="20"/>
        </w:rPr>
      </w:pPr>
      <w:r w:rsidRPr="002B31FC">
        <w:rPr>
          <w:sz w:val="20"/>
          <w:szCs w:val="20"/>
        </w:rPr>
        <w:t>Having a reputation as a supportive and culturally inclusive workplace environment is a key attractor for the local government workforce of the future, particularly young people</w:t>
      </w:r>
    </w:p>
    <w:p w14:paraId="3206AC76" w14:textId="77777777" w:rsidR="0021192A" w:rsidRPr="002B31FC" w:rsidRDefault="0021192A" w:rsidP="0021192A">
      <w:pPr>
        <w:jc w:val="both"/>
        <w:rPr>
          <w:sz w:val="20"/>
          <w:szCs w:val="20"/>
        </w:rPr>
      </w:pPr>
    </w:p>
    <w:p w14:paraId="45130455" w14:textId="77777777" w:rsidR="0021192A" w:rsidRDefault="0021192A" w:rsidP="0021192A">
      <w:pPr>
        <w:pStyle w:val="ListParagraph"/>
        <w:numPr>
          <w:ilvl w:val="0"/>
          <w:numId w:val="1"/>
        </w:numPr>
        <w:jc w:val="both"/>
        <w:rPr>
          <w:sz w:val="20"/>
          <w:szCs w:val="20"/>
        </w:rPr>
      </w:pPr>
      <w:r w:rsidRPr="002B31FC">
        <w:rPr>
          <w:sz w:val="20"/>
          <w:szCs w:val="20"/>
        </w:rPr>
        <w:t xml:space="preserve">Having Aboriginal people employed at council will generate greater awareness and use of council services by the wider Aboriginal community, </w:t>
      </w:r>
      <w:r>
        <w:rPr>
          <w:sz w:val="20"/>
          <w:szCs w:val="20"/>
        </w:rPr>
        <w:t>and assist in breaking down any barriers which may be currently deterring visits by Aboriginal people.</w:t>
      </w:r>
    </w:p>
    <w:p w14:paraId="059A0614" w14:textId="77777777" w:rsidR="0021192A" w:rsidRDefault="0021192A" w:rsidP="0021192A">
      <w:pPr>
        <w:jc w:val="both"/>
      </w:pPr>
    </w:p>
    <w:p w14:paraId="00E7CE8A" w14:textId="77777777" w:rsidR="0021192A" w:rsidRPr="006A268F" w:rsidRDefault="0021192A" w:rsidP="0021192A">
      <w:pPr>
        <w:jc w:val="both"/>
        <w:rPr>
          <w:sz w:val="20"/>
          <w:szCs w:val="20"/>
        </w:rPr>
      </w:pPr>
      <w:r w:rsidRPr="006A268F">
        <w:rPr>
          <w:sz w:val="20"/>
          <w:szCs w:val="20"/>
        </w:rPr>
        <w:t>To address employment needs of the future, councils need to look at new ways of investing in sourcing their employees from new groups of people which haven’t traditionally sought to work in local government, and who may have different background and skills that will need to be incorporated to deliver necessary council services.</w:t>
      </w:r>
    </w:p>
    <w:p w14:paraId="57EB2A1F" w14:textId="77777777" w:rsidR="0021192A" w:rsidRPr="002B31FC" w:rsidRDefault="0021192A" w:rsidP="0021192A">
      <w:pPr>
        <w:jc w:val="both"/>
        <w:rPr>
          <w:sz w:val="20"/>
          <w:szCs w:val="20"/>
        </w:rPr>
      </w:pPr>
    </w:p>
    <w:p w14:paraId="73BBC49F" w14:textId="77777777" w:rsidR="0021192A" w:rsidRPr="00C27649" w:rsidRDefault="0021192A" w:rsidP="0021192A">
      <w:pPr>
        <w:jc w:val="both"/>
        <w:rPr>
          <w:sz w:val="20"/>
          <w:szCs w:val="20"/>
        </w:rPr>
      </w:pPr>
      <w:r w:rsidRPr="00C27649">
        <w:rPr>
          <w:sz w:val="20"/>
          <w:szCs w:val="20"/>
        </w:rPr>
        <w:t xml:space="preserve">The key is ensuring </w:t>
      </w:r>
      <w:r>
        <w:rPr>
          <w:sz w:val="20"/>
          <w:szCs w:val="20"/>
        </w:rPr>
        <w:t xml:space="preserve">council </w:t>
      </w:r>
      <w:r w:rsidRPr="00C27649">
        <w:rPr>
          <w:sz w:val="20"/>
          <w:szCs w:val="20"/>
        </w:rPr>
        <w:t>workplace</w:t>
      </w:r>
      <w:r>
        <w:rPr>
          <w:sz w:val="20"/>
          <w:szCs w:val="20"/>
        </w:rPr>
        <w:t>s have</w:t>
      </w:r>
      <w:r w:rsidRPr="00C27649">
        <w:rPr>
          <w:sz w:val="20"/>
          <w:szCs w:val="20"/>
        </w:rPr>
        <w:t xml:space="preserve"> a respectful work environment, </w:t>
      </w:r>
      <w:r>
        <w:rPr>
          <w:sz w:val="20"/>
          <w:szCs w:val="20"/>
        </w:rPr>
        <w:t xml:space="preserve">there are </w:t>
      </w:r>
      <w:r w:rsidRPr="00C27649">
        <w:rPr>
          <w:sz w:val="20"/>
          <w:szCs w:val="20"/>
        </w:rPr>
        <w:t>opportunities for professional growth and development</w:t>
      </w:r>
      <w:r>
        <w:rPr>
          <w:sz w:val="20"/>
          <w:szCs w:val="20"/>
        </w:rPr>
        <w:t>,</w:t>
      </w:r>
      <w:r w:rsidRPr="00C27649">
        <w:rPr>
          <w:sz w:val="20"/>
          <w:szCs w:val="20"/>
        </w:rPr>
        <w:t xml:space="preserve"> and </w:t>
      </w:r>
      <w:r>
        <w:rPr>
          <w:sz w:val="20"/>
          <w:szCs w:val="20"/>
        </w:rPr>
        <w:t xml:space="preserve">that all employees have an </w:t>
      </w:r>
      <w:r w:rsidRPr="00C27649">
        <w:rPr>
          <w:sz w:val="20"/>
          <w:szCs w:val="20"/>
        </w:rPr>
        <w:t>understanding of Aboriginal cultur</w:t>
      </w:r>
      <w:r>
        <w:rPr>
          <w:sz w:val="20"/>
          <w:szCs w:val="20"/>
        </w:rPr>
        <w:t>e and history</w:t>
      </w:r>
      <w:r w:rsidRPr="00C27649">
        <w:rPr>
          <w:sz w:val="20"/>
          <w:szCs w:val="20"/>
        </w:rPr>
        <w:t>.</w:t>
      </w:r>
    </w:p>
    <w:p w14:paraId="0572F982" w14:textId="77777777" w:rsidR="0021192A" w:rsidRPr="002B31FC" w:rsidRDefault="0021192A" w:rsidP="0021192A">
      <w:pPr>
        <w:pStyle w:val="ListParagraph"/>
        <w:ind w:left="360"/>
        <w:jc w:val="both"/>
        <w:rPr>
          <w:sz w:val="20"/>
          <w:szCs w:val="20"/>
        </w:rPr>
      </w:pPr>
    </w:p>
    <w:p w14:paraId="26DA995D" w14:textId="77777777" w:rsidR="00394D98" w:rsidRDefault="0021192A" w:rsidP="00394D98">
      <w:pPr>
        <w:rPr>
          <w:sz w:val="20"/>
          <w:szCs w:val="20"/>
        </w:rPr>
      </w:pPr>
      <w:r>
        <w:rPr>
          <w:sz w:val="20"/>
          <w:szCs w:val="20"/>
        </w:rPr>
        <w:t xml:space="preserve">Key thoughts: </w:t>
      </w:r>
      <w:r w:rsidRPr="00C27649">
        <w:rPr>
          <w:sz w:val="20"/>
          <w:szCs w:val="20"/>
        </w:rPr>
        <w:t>very simple things can make a big difference; the first step is committing to do what it takes to make it happen.</w:t>
      </w:r>
    </w:p>
    <w:p w14:paraId="2B3A53E9" w14:textId="77777777" w:rsidR="00394D98" w:rsidRDefault="00394D98" w:rsidP="00394D98">
      <w:pPr>
        <w:rPr>
          <w:sz w:val="20"/>
          <w:szCs w:val="20"/>
        </w:rPr>
      </w:pPr>
    </w:p>
    <w:p w14:paraId="77B1E44A" w14:textId="412567F3" w:rsidR="00394D98" w:rsidRDefault="00394D98" w:rsidP="00394D98">
      <w:pPr>
        <w:jc w:val="center"/>
        <w:rPr>
          <w:b/>
          <w:sz w:val="20"/>
          <w:szCs w:val="20"/>
        </w:rPr>
      </w:pPr>
      <w:r>
        <w:rPr>
          <w:b/>
          <w:sz w:val="20"/>
          <w:szCs w:val="20"/>
        </w:rPr>
        <w:t xml:space="preserve">For further details </w:t>
      </w:r>
      <w:r w:rsidRPr="00DD2C5A">
        <w:rPr>
          <w:b/>
          <w:sz w:val="20"/>
          <w:szCs w:val="20"/>
        </w:rPr>
        <w:t xml:space="preserve">visit </w:t>
      </w:r>
      <w:r>
        <w:rPr>
          <w:b/>
          <w:sz w:val="20"/>
          <w:szCs w:val="20"/>
        </w:rPr>
        <w:t xml:space="preserve">our website </w:t>
      </w:r>
      <w:proofErr w:type="gramStart"/>
      <w:r>
        <w:rPr>
          <w:b/>
          <w:sz w:val="20"/>
          <w:szCs w:val="20"/>
        </w:rPr>
        <w:t xml:space="preserve">-  </w:t>
      </w:r>
      <w:proofErr w:type="gramEnd"/>
      <w:r w:rsidR="00EF699F">
        <w:fldChar w:fldCharType="begin"/>
      </w:r>
      <w:r w:rsidR="00EF699F">
        <w:instrText>HYPERLINK "http://www.mav.asn.au/policy-services/social-community/indigenous/aboriginal-employment/Documents/www.bit.ly/aboriginalemployment"</w:instrText>
      </w:r>
      <w:r w:rsidR="00EF699F">
        <w:fldChar w:fldCharType="separate"/>
      </w:r>
      <w:r w:rsidRPr="009D2767">
        <w:rPr>
          <w:rStyle w:val="Hyperlink"/>
          <w:b/>
          <w:sz w:val="20"/>
          <w:szCs w:val="20"/>
        </w:rPr>
        <w:t>www.bit.ly/aboriginalemployment</w:t>
      </w:r>
      <w:r w:rsidR="00EF699F">
        <w:rPr>
          <w:rStyle w:val="Hyperlink"/>
          <w:b/>
          <w:sz w:val="20"/>
          <w:szCs w:val="20"/>
        </w:rPr>
        <w:fldChar w:fldCharType="end"/>
      </w:r>
    </w:p>
    <w:p w14:paraId="7E8FD221" w14:textId="77777777" w:rsidR="00394D98" w:rsidRDefault="00394D98" w:rsidP="00394D98"/>
    <w:p w14:paraId="6E7D47BA" w14:textId="77777777" w:rsidR="00394D98" w:rsidRDefault="00394D98" w:rsidP="00394D98">
      <w:pPr>
        <w:rPr>
          <w:sz w:val="20"/>
          <w:szCs w:val="20"/>
        </w:rPr>
        <w:sectPr w:rsidR="00394D98" w:rsidSect="00394D98">
          <w:headerReference w:type="even" r:id="rId12"/>
          <w:headerReference w:type="default" r:id="rId13"/>
          <w:footerReference w:type="even" r:id="rId14"/>
          <w:footerReference w:type="default" r:id="rId15"/>
          <w:headerReference w:type="first" r:id="rId16"/>
          <w:footerReference w:type="first" r:id="rId17"/>
          <w:pgSz w:w="11906" w:h="16838"/>
          <w:pgMar w:top="1474" w:right="1440" w:bottom="567" w:left="1440" w:header="709" w:footer="340" w:gutter="0"/>
          <w:cols w:space="708"/>
          <w:docGrid w:linePitch="360"/>
        </w:sectPr>
      </w:pPr>
    </w:p>
    <w:p w14:paraId="5735A1A1" w14:textId="77777777" w:rsidR="0088338B" w:rsidRPr="008F3374" w:rsidRDefault="0088338B" w:rsidP="008F3374">
      <w:pPr>
        <w:pStyle w:val="Heading1"/>
      </w:pPr>
      <w:r w:rsidRPr="008F3374">
        <w:lastRenderedPageBreak/>
        <w:t>Frequently Asked Questions</w:t>
      </w:r>
    </w:p>
    <w:p w14:paraId="3F868F74" w14:textId="77777777" w:rsidR="0088338B" w:rsidRDefault="0088338B" w:rsidP="009D5957">
      <w:pPr>
        <w:pStyle w:val="NormalWeb"/>
        <w:spacing w:before="0" w:beforeAutospacing="0" w:after="0" w:afterAutospacing="0"/>
        <w:rPr>
          <w:rFonts w:ascii="Arial" w:hAnsi="Arial" w:cs="Arial"/>
          <w:b/>
          <w:color w:val="000000"/>
          <w:sz w:val="22"/>
          <w:szCs w:val="22"/>
        </w:rPr>
      </w:pPr>
    </w:p>
    <w:p w14:paraId="283A398C" w14:textId="77777777" w:rsidR="0088338B" w:rsidRPr="005B7E9F" w:rsidRDefault="0088338B" w:rsidP="009D5957">
      <w:pPr>
        <w:pStyle w:val="NormalWeb"/>
        <w:spacing w:before="0" w:beforeAutospacing="0" w:after="0" w:afterAutospacing="0"/>
        <w:rPr>
          <w:rFonts w:ascii="Arial" w:hAnsi="Arial" w:cs="Arial"/>
          <w:b/>
          <w:color w:val="000000"/>
          <w:sz w:val="22"/>
          <w:szCs w:val="22"/>
        </w:rPr>
      </w:pPr>
      <w:r w:rsidRPr="005B7E9F">
        <w:rPr>
          <w:rFonts w:ascii="Arial" w:hAnsi="Arial" w:cs="Arial"/>
          <w:b/>
          <w:color w:val="000000"/>
          <w:sz w:val="22"/>
          <w:szCs w:val="22"/>
        </w:rPr>
        <w:t>What should I include in the business case to council?</w:t>
      </w:r>
    </w:p>
    <w:p w14:paraId="5CBE729E" w14:textId="77777777" w:rsidR="0088338B" w:rsidRPr="000D5DC8" w:rsidRDefault="0088338B" w:rsidP="009D5957">
      <w:pPr>
        <w:jc w:val="both"/>
      </w:pPr>
      <w:r w:rsidRPr="000D5DC8">
        <w:t xml:space="preserve">Setting out the business case </w:t>
      </w:r>
      <w:r>
        <w:t>for councils to increase employment of</w:t>
      </w:r>
      <w:r w:rsidRPr="000D5DC8">
        <w:t xml:space="preserve"> Aboriginal people will help everyone understand the benef</w:t>
      </w:r>
      <w:r>
        <w:t xml:space="preserve">its that will be gained. </w:t>
      </w:r>
      <w:r w:rsidRPr="000D5DC8">
        <w:t>As a tier of government with a vested interest in communities having po</w:t>
      </w:r>
      <w:r>
        <w:t>sitive social and economic well</w:t>
      </w:r>
      <w:r w:rsidRPr="000D5DC8">
        <w:t>being, offering employment to people who have had historic low levels of employment and face different life outcomes to non-Aboriginal Australians, will deliver considerable ben</w:t>
      </w:r>
      <w:r>
        <w:t xml:space="preserve">efits for the whole community. </w:t>
      </w:r>
      <w:r w:rsidRPr="000D5DC8">
        <w:t>Having a reputation as a supportive and culturally inclusive workplace environment will also be a key attractor for the local government workforce of the future, particularly young people.  Further examples of what could be included in the business case are included in the Library section of this fact sheet.</w:t>
      </w:r>
    </w:p>
    <w:p w14:paraId="11401189" w14:textId="77777777" w:rsidR="0088338B" w:rsidRPr="002B31FC" w:rsidRDefault="0088338B" w:rsidP="009D5957">
      <w:pPr>
        <w:jc w:val="both"/>
        <w:rPr>
          <w:sz w:val="20"/>
          <w:szCs w:val="20"/>
        </w:rPr>
      </w:pPr>
    </w:p>
    <w:p w14:paraId="61ED6B17" w14:textId="77777777" w:rsidR="0088338B" w:rsidRDefault="0088338B" w:rsidP="009D595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What resources and funding are available to councils?</w:t>
      </w:r>
    </w:p>
    <w:p w14:paraId="6C3245A4" w14:textId="77777777" w:rsidR="0088338B" w:rsidRDefault="0088338B" w:rsidP="009D595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There are a number of Federal Government programs which provide funding to private providers and organisations such as councils for traineeships and other support services to assist Aboriginal employees settle into work. The specific programs and links are contained in the Library section of this fact sheet.</w:t>
      </w:r>
    </w:p>
    <w:p w14:paraId="5FA6A12F" w14:textId="77777777" w:rsidR="0088338B" w:rsidRDefault="0088338B" w:rsidP="009D5957">
      <w:pPr>
        <w:pStyle w:val="NormalWeb"/>
        <w:spacing w:before="0" w:beforeAutospacing="0" w:after="0" w:afterAutospacing="0"/>
        <w:jc w:val="both"/>
        <w:rPr>
          <w:rFonts w:ascii="Arial" w:hAnsi="Arial" w:cs="Arial"/>
          <w:color w:val="000000"/>
          <w:sz w:val="22"/>
          <w:szCs w:val="22"/>
        </w:rPr>
      </w:pPr>
    </w:p>
    <w:p w14:paraId="1682649D" w14:textId="77777777" w:rsidR="0088338B" w:rsidRDefault="0088338B" w:rsidP="009D595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What do ‘special measures’ mean?</w:t>
      </w:r>
    </w:p>
    <w:p w14:paraId="235A9B07" w14:textId="642198AE" w:rsidR="0088338B" w:rsidRPr="00595B2A" w:rsidRDefault="0088338B" w:rsidP="009D5957">
      <w:pPr>
        <w:jc w:val="both"/>
        <w:rPr>
          <w:rFonts w:cs="Arial"/>
          <w:lang w:val="en-GB"/>
        </w:rPr>
      </w:pPr>
      <w:r w:rsidRPr="00595B2A">
        <w:rPr>
          <w:rFonts w:cs="Arial"/>
          <w:lang w:val="en-GB"/>
        </w:rPr>
        <w:t>Under the</w:t>
      </w:r>
      <w:r w:rsidRPr="00595B2A">
        <w:rPr>
          <w:rStyle w:val="s1"/>
          <w:rFonts w:cs="Arial"/>
          <w:lang w:val="en-GB"/>
        </w:rPr>
        <w:t xml:space="preserve"> </w:t>
      </w:r>
      <w:r w:rsidRPr="00595B2A">
        <w:rPr>
          <w:rStyle w:val="Emphasis"/>
          <w:rFonts w:cs="Arial"/>
          <w:lang w:val="en-GB"/>
        </w:rPr>
        <w:t>Equal Opportunity Act 2010</w:t>
      </w:r>
      <w:r w:rsidRPr="00595B2A">
        <w:rPr>
          <w:rFonts w:cs="Arial"/>
          <w:lang w:val="en-GB"/>
        </w:rPr>
        <w:t xml:space="preserve"> organisations taking positive steps to help disadvantaged groups do </w:t>
      </w:r>
      <w:r w:rsidRPr="00595B2A">
        <w:rPr>
          <w:rFonts w:cs="Arial"/>
          <w:u w:val="single"/>
          <w:lang w:val="en-GB"/>
        </w:rPr>
        <w:t xml:space="preserve">not </w:t>
      </w:r>
      <w:r w:rsidRPr="00595B2A">
        <w:rPr>
          <w:rFonts w:cs="Arial"/>
          <w:lang w:val="en-GB"/>
        </w:rPr>
        <w:t>need to apply or get approval from VCAT for an exemption to the Act if they meet the criteria outlined in the ‘</w:t>
      </w:r>
      <w:hyperlink r:id="rId18" w:history="1">
        <w:r w:rsidRPr="00595B2A">
          <w:rPr>
            <w:rStyle w:val="Hyperlink"/>
            <w:rFonts w:cs="Arial"/>
            <w:lang w:val="en-GB"/>
          </w:rPr>
          <w:t>special measures’</w:t>
        </w:r>
      </w:hyperlink>
      <w:r>
        <w:rPr>
          <w:rFonts w:cs="Arial"/>
          <w:lang w:val="en-GB"/>
        </w:rPr>
        <w:t xml:space="preserve"> provisions. </w:t>
      </w:r>
      <w:r w:rsidRPr="00595B2A">
        <w:rPr>
          <w:rFonts w:cs="Arial"/>
          <w:lang w:val="en-GB"/>
        </w:rPr>
        <w:t>As long as actively seeking the employment of Aboriginal people is being done in good fait</w:t>
      </w:r>
      <w:r>
        <w:rPr>
          <w:rFonts w:cs="Arial"/>
          <w:lang w:val="en-GB"/>
        </w:rPr>
        <w:t>h to help promote or achieve su</w:t>
      </w:r>
      <w:r w:rsidRPr="00595B2A">
        <w:rPr>
          <w:rFonts w:cs="Arial"/>
          <w:lang w:val="en-GB"/>
        </w:rPr>
        <w:t>bstantiv</w:t>
      </w:r>
      <w:r>
        <w:rPr>
          <w:rFonts w:cs="Arial"/>
          <w:lang w:val="en-GB"/>
        </w:rPr>
        <w:t>e equality for A</w:t>
      </w:r>
      <w:r w:rsidRPr="00595B2A">
        <w:rPr>
          <w:rFonts w:cs="Arial"/>
          <w:lang w:val="en-GB"/>
        </w:rPr>
        <w:t>b</w:t>
      </w:r>
      <w:r>
        <w:rPr>
          <w:rFonts w:cs="Arial"/>
          <w:lang w:val="en-GB"/>
        </w:rPr>
        <w:t>o</w:t>
      </w:r>
      <w:r w:rsidRPr="00595B2A">
        <w:rPr>
          <w:rFonts w:cs="Arial"/>
          <w:lang w:val="en-GB"/>
        </w:rPr>
        <w:t>rig</w:t>
      </w:r>
      <w:r>
        <w:rPr>
          <w:rFonts w:cs="Arial"/>
          <w:lang w:val="en-GB"/>
        </w:rPr>
        <w:t>i</w:t>
      </w:r>
      <w:r w:rsidRPr="00595B2A">
        <w:rPr>
          <w:rFonts w:cs="Arial"/>
          <w:lang w:val="en-GB"/>
        </w:rPr>
        <w:t>nal people, then</w:t>
      </w:r>
      <w:r w:rsidRPr="00595B2A">
        <w:rPr>
          <w:rFonts w:eastAsia="Times New Roman" w:cs="Arial"/>
          <w:lang w:val="en-GB" w:eastAsia="en-AU"/>
        </w:rPr>
        <w:t xml:space="preserve"> actively writing that the council is seeking to employ Aborig</w:t>
      </w:r>
      <w:r w:rsidR="00AD6CF1">
        <w:rPr>
          <w:rFonts w:eastAsia="Times New Roman" w:cs="Arial"/>
          <w:lang w:val="en-GB" w:eastAsia="en-AU"/>
        </w:rPr>
        <w:t>i</w:t>
      </w:r>
      <w:r w:rsidRPr="00595B2A">
        <w:rPr>
          <w:rFonts w:eastAsia="Times New Roman" w:cs="Arial"/>
          <w:lang w:val="en-GB" w:eastAsia="en-AU"/>
        </w:rPr>
        <w:t xml:space="preserve">nal people in a job advertisement, for example, will  not constitute discrimination and require an exemption to the </w:t>
      </w:r>
      <w:r>
        <w:rPr>
          <w:rFonts w:eastAsia="Times New Roman" w:cs="Arial"/>
          <w:i/>
          <w:iCs/>
          <w:lang w:val="en-GB" w:eastAsia="en-AU"/>
        </w:rPr>
        <w:t>Equal Opportunity Act 2010.</w:t>
      </w:r>
      <w:r w:rsidRPr="00595B2A">
        <w:rPr>
          <w:rFonts w:eastAsia="Times New Roman" w:cs="Arial"/>
          <w:i/>
          <w:iCs/>
          <w:lang w:val="en-GB" w:eastAsia="en-AU"/>
        </w:rPr>
        <w:t xml:space="preserve"> </w:t>
      </w:r>
      <w:r w:rsidRPr="006A268F">
        <w:rPr>
          <w:rFonts w:eastAsia="Times New Roman" w:cs="Arial"/>
          <w:iCs/>
          <w:lang w:val="en-GB" w:eastAsia="en-AU"/>
        </w:rPr>
        <w:t>Councils will need to consider</w:t>
      </w:r>
      <w:r w:rsidRPr="00595B2A">
        <w:rPr>
          <w:rFonts w:eastAsia="Times New Roman" w:cs="Arial"/>
          <w:i/>
          <w:iCs/>
          <w:lang w:val="en-GB" w:eastAsia="en-AU"/>
        </w:rPr>
        <w:t xml:space="preserve"> </w:t>
      </w:r>
      <w:r w:rsidRPr="00595B2A">
        <w:rPr>
          <w:rFonts w:cs="Arial"/>
          <w:lang w:val="en-GB"/>
        </w:rPr>
        <w:t>whether their proposed actions meet the test for a special measure – further information and ad</w:t>
      </w:r>
      <w:r>
        <w:rPr>
          <w:rFonts w:cs="Arial"/>
          <w:lang w:val="en-GB"/>
        </w:rPr>
        <w:t xml:space="preserve">vice is readily available from </w:t>
      </w:r>
      <w:r w:rsidRPr="00595B2A">
        <w:rPr>
          <w:rFonts w:cs="Arial"/>
          <w:lang w:val="en-GB"/>
        </w:rPr>
        <w:t xml:space="preserve">the </w:t>
      </w:r>
      <w:hyperlink r:id="rId19" w:history="1">
        <w:proofErr w:type="gramStart"/>
        <w:r w:rsidRPr="00595B2A">
          <w:rPr>
            <w:rStyle w:val="Hyperlink"/>
            <w:rFonts w:cs="Arial"/>
            <w:lang w:val="en-GB"/>
          </w:rPr>
          <w:t>Victorian  Equal</w:t>
        </w:r>
        <w:proofErr w:type="gramEnd"/>
        <w:r w:rsidRPr="00595B2A">
          <w:rPr>
            <w:rStyle w:val="Hyperlink"/>
            <w:rFonts w:cs="Arial"/>
            <w:lang w:val="en-GB"/>
          </w:rPr>
          <w:t xml:space="preserve"> Opportunity and Human Rights Commission</w:t>
        </w:r>
      </w:hyperlink>
      <w:r>
        <w:rPr>
          <w:rFonts w:cs="Arial"/>
          <w:lang w:val="en-GB"/>
        </w:rPr>
        <w:t>.</w:t>
      </w:r>
    </w:p>
    <w:p w14:paraId="65FA13AA" w14:textId="77777777" w:rsidR="0088338B" w:rsidRDefault="0088338B" w:rsidP="009D5957">
      <w:pPr>
        <w:pStyle w:val="NormalWeb"/>
        <w:spacing w:before="0" w:beforeAutospacing="0" w:after="0" w:afterAutospacing="0"/>
        <w:jc w:val="both"/>
        <w:rPr>
          <w:rFonts w:ascii="Arial" w:hAnsi="Arial" w:cs="Arial"/>
          <w:b/>
          <w:color w:val="000000"/>
          <w:sz w:val="22"/>
          <w:szCs w:val="22"/>
        </w:rPr>
      </w:pPr>
    </w:p>
    <w:p w14:paraId="45D13C78" w14:textId="77777777" w:rsidR="0088338B" w:rsidRDefault="0088338B" w:rsidP="009D595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Should councils set employment targets?</w:t>
      </w:r>
    </w:p>
    <w:p w14:paraId="0709AE06" w14:textId="77777777" w:rsidR="0088338B" w:rsidRDefault="0088338B" w:rsidP="009D5957">
      <w:pPr>
        <w:jc w:val="both"/>
        <w:rPr>
          <w:rFonts w:ascii="Helvetica" w:hAnsi="Helvetica" w:cs="Helvetica"/>
          <w:color w:val="000000"/>
          <w:lang w:val="en"/>
        </w:rPr>
      </w:pPr>
      <w:r w:rsidRPr="00CF38F1">
        <w:rPr>
          <w:rFonts w:cs="Arial"/>
        </w:rPr>
        <w:t xml:space="preserve">There is no state-wide target for councils, so setting targets is a matter for councils to decide individually.  Some organisations find the setting of targets a useful way tool to focus their attention because it involves analysis of the current status, reporting and organisational commitment over time.  In its </w:t>
      </w:r>
      <w:proofErr w:type="spellStart"/>
      <w:r w:rsidRPr="00CF38F1">
        <w:rPr>
          <w:rFonts w:cs="Arial"/>
        </w:rPr>
        <w:t>Karreeta</w:t>
      </w:r>
      <w:proofErr w:type="spellEnd"/>
      <w:r w:rsidRPr="00CF38F1">
        <w:rPr>
          <w:rFonts w:cs="Arial"/>
        </w:rPr>
        <w:t xml:space="preserve"> </w:t>
      </w:r>
      <w:proofErr w:type="spellStart"/>
      <w:r w:rsidRPr="00CF38F1">
        <w:rPr>
          <w:rFonts w:cs="Arial"/>
        </w:rPr>
        <w:t>Yirramboi</w:t>
      </w:r>
      <w:proofErr w:type="spellEnd"/>
      <w:r w:rsidRPr="00CF38F1">
        <w:rPr>
          <w:rFonts w:cs="Arial"/>
        </w:rPr>
        <w:t xml:space="preserve"> Aboriginal Employment Strategy, the Victorian Government has set a target of achieving </w:t>
      </w:r>
      <w:r w:rsidRPr="00CF38F1">
        <w:rPr>
          <w:rFonts w:cs="Arial"/>
          <w:color w:val="000000"/>
          <w:lang w:val="en"/>
        </w:rPr>
        <w:t xml:space="preserve">a one per cent Aboriginal employment target for the Victorian public sector to be achieved by 2015. This would bring the total number of Aboriginal employees in the Victorian public sector to approximately 2,700.  The variability in population numbers at a local level, however, may mean that resident population-derived targets do not deliver the intended outcomes due to availability of potential Aboriginal employees not being confined to council boundaries.  If targets are considered helpful in driving organisational commitment, see the </w:t>
      </w:r>
      <w:hyperlink r:id="rId20" w:history="1">
        <w:r w:rsidRPr="00CF38F1">
          <w:rPr>
            <w:rStyle w:val="Hyperlink"/>
            <w:rFonts w:cs="Arial"/>
            <w:lang w:val="en"/>
          </w:rPr>
          <w:t>Aboriginal Employment page</w:t>
        </w:r>
      </w:hyperlink>
      <w:r w:rsidRPr="00CF38F1">
        <w:rPr>
          <w:rFonts w:cs="Arial"/>
          <w:color w:val="000000"/>
          <w:lang w:val="en"/>
        </w:rPr>
        <w:t xml:space="preserve"> on the MAV website for examples of targets set by various </w:t>
      </w:r>
      <w:proofErr w:type="spellStart"/>
      <w:r w:rsidRPr="00CF38F1">
        <w:rPr>
          <w:rFonts w:cs="Arial"/>
          <w:color w:val="000000"/>
          <w:lang w:val="en"/>
        </w:rPr>
        <w:t>organisations</w:t>
      </w:r>
      <w:proofErr w:type="spellEnd"/>
      <w:r>
        <w:rPr>
          <w:rFonts w:ascii="Helvetica" w:hAnsi="Helvetica" w:cs="Helvetica"/>
          <w:color w:val="000000"/>
          <w:lang w:val="en"/>
        </w:rPr>
        <w:t>.</w:t>
      </w:r>
    </w:p>
    <w:p w14:paraId="1965DB46" w14:textId="77777777" w:rsidR="0088338B" w:rsidRDefault="0088338B" w:rsidP="009D5957">
      <w:pPr>
        <w:pStyle w:val="NormalWeb"/>
        <w:spacing w:before="0" w:beforeAutospacing="0" w:after="0" w:afterAutospacing="0"/>
        <w:jc w:val="both"/>
        <w:rPr>
          <w:rFonts w:ascii="Arial" w:hAnsi="Arial" w:cs="Arial"/>
          <w:b/>
          <w:color w:val="000000"/>
          <w:sz w:val="22"/>
          <w:szCs w:val="22"/>
        </w:rPr>
      </w:pPr>
    </w:p>
    <w:p w14:paraId="7399BDA8" w14:textId="77777777" w:rsidR="0088338B" w:rsidRPr="005B7E9F" w:rsidRDefault="0088338B" w:rsidP="009D5957">
      <w:pPr>
        <w:pStyle w:val="NormalWeb"/>
        <w:spacing w:before="0" w:beforeAutospacing="0" w:after="0" w:afterAutospacing="0"/>
        <w:jc w:val="both"/>
        <w:rPr>
          <w:rFonts w:ascii="Arial" w:hAnsi="Arial" w:cs="Arial"/>
          <w:b/>
          <w:color w:val="000000"/>
          <w:sz w:val="22"/>
          <w:szCs w:val="22"/>
        </w:rPr>
      </w:pPr>
      <w:r w:rsidRPr="005B7E9F">
        <w:rPr>
          <w:rFonts w:ascii="Arial" w:hAnsi="Arial" w:cs="Arial"/>
          <w:b/>
          <w:color w:val="000000"/>
          <w:sz w:val="22"/>
          <w:szCs w:val="22"/>
        </w:rPr>
        <w:t>What if</w:t>
      </w:r>
      <w:r>
        <w:rPr>
          <w:rFonts w:ascii="Arial" w:hAnsi="Arial" w:cs="Arial"/>
          <w:b/>
          <w:color w:val="000000"/>
          <w:sz w:val="22"/>
          <w:szCs w:val="22"/>
        </w:rPr>
        <w:t xml:space="preserve"> there is no extra funding in</w:t>
      </w:r>
      <w:r w:rsidRPr="005B7E9F">
        <w:rPr>
          <w:rFonts w:ascii="Arial" w:hAnsi="Arial" w:cs="Arial"/>
          <w:b/>
          <w:color w:val="000000"/>
          <w:sz w:val="22"/>
          <w:szCs w:val="22"/>
        </w:rPr>
        <w:t xml:space="preserve"> staffing budgets?</w:t>
      </w:r>
    </w:p>
    <w:p w14:paraId="6C0DBCD5" w14:textId="77777777" w:rsidR="0088338B" w:rsidRDefault="0088338B" w:rsidP="009D5957">
      <w:pPr>
        <w:pStyle w:val="NormalWeb"/>
        <w:spacing w:before="0" w:beforeAutospacing="0" w:after="0" w:afterAutospacing="0"/>
        <w:jc w:val="both"/>
        <w:rPr>
          <w:rFonts w:ascii="Arial" w:hAnsi="Arial" w:cs="Arial"/>
          <w:b/>
          <w:color w:val="000000"/>
          <w:sz w:val="22"/>
          <w:szCs w:val="22"/>
        </w:rPr>
      </w:pPr>
      <w:r>
        <w:rPr>
          <w:rFonts w:ascii="Arial" w:hAnsi="Arial" w:cs="Arial"/>
          <w:color w:val="000000"/>
          <w:sz w:val="22"/>
          <w:szCs w:val="22"/>
        </w:rPr>
        <w:t xml:space="preserve">If councils do not have the resources to allocate extra funding for an Aboriginal employment program, there are internal measures which can be taken utilising existing resources.  For example, advertising of positions </w:t>
      </w:r>
      <w:proofErr w:type="gramStart"/>
      <w:r>
        <w:rPr>
          <w:rFonts w:ascii="Arial" w:hAnsi="Arial" w:cs="Arial"/>
          <w:color w:val="000000"/>
          <w:sz w:val="22"/>
          <w:szCs w:val="22"/>
        </w:rPr>
        <w:t>to</w:t>
      </w:r>
      <w:proofErr w:type="gramEnd"/>
      <w:r>
        <w:rPr>
          <w:rFonts w:ascii="Arial" w:hAnsi="Arial" w:cs="Arial"/>
          <w:color w:val="000000"/>
          <w:sz w:val="22"/>
          <w:szCs w:val="22"/>
        </w:rPr>
        <w:t xml:space="preserve"> the Aboriginal community is easily initiated without extra cost by including them in existing distribution lists.  Contacting local Aboriginal organisations about what support and mentoring possibilities might be available through other sources will also assist councils to provide the extra supports that may be required to enable retention of Aboriginal employees.</w:t>
      </w:r>
    </w:p>
    <w:p w14:paraId="6612194F" w14:textId="77777777" w:rsidR="0088338B" w:rsidRDefault="0088338B" w:rsidP="009D5957">
      <w:pPr>
        <w:pStyle w:val="NormalWeb"/>
        <w:spacing w:before="0" w:beforeAutospacing="0" w:after="0" w:afterAutospacing="0"/>
        <w:jc w:val="both"/>
        <w:rPr>
          <w:rFonts w:ascii="Arial" w:hAnsi="Arial" w:cs="Arial"/>
          <w:b/>
          <w:color w:val="000000"/>
          <w:sz w:val="22"/>
          <w:szCs w:val="22"/>
        </w:rPr>
      </w:pPr>
    </w:p>
    <w:p w14:paraId="5F61D51F" w14:textId="77777777" w:rsidR="0088338B" w:rsidRPr="005B7E9F" w:rsidRDefault="0088338B" w:rsidP="009D5957">
      <w:pPr>
        <w:pStyle w:val="NormalWeb"/>
        <w:spacing w:before="0" w:beforeAutospacing="0" w:after="0" w:afterAutospacing="0"/>
        <w:jc w:val="both"/>
        <w:rPr>
          <w:rFonts w:ascii="Arial" w:hAnsi="Arial" w:cs="Arial"/>
          <w:b/>
          <w:color w:val="000000"/>
          <w:sz w:val="22"/>
          <w:szCs w:val="22"/>
        </w:rPr>
      </w:pPr>
      <w:r w:rsidRPr="005B7E9F">
        <w:rPr>
          <w:rFonts w:ascii="Arial" w:hAnsi="Arial" w:cs="Arial"/>
          <w:b/>
          <w:color w:val="000000"/>
          <w:sz w:val="22"/>
          <w:szCs w:val="22"/>
        </w:rPr>
        <w:t xml:space="preserve">Do </w:t>
      </w:r>
      <w:r>
        <w:rPr>
          <w:rFonts w:ascii="Arial" w:hAnsi="Arial" w:cs="Arial"/>
          <w:b/>
          <w:color w:val="000000"/>
          <w:sz w:val="22"/>
          <w:szCs w:val="22"/>
        </w:rPr>
        <w:t>councils</w:t>
      </w:r>
      <w:r w:rsidRPr="005B7E9F">
        <w:rPr>
          <w:rFonts w:ascii="Arial" w:hAnsi="Arial" w:cs="Arial"/>
          <w:b/>
          <w:color w:val="000000"/>
          <w:sz w:val="22"/>
          <w:szCs w:val="22"/>
        </w:rPr>
        <w:t xml:space="preserve"> need </w:t>
      </w:r>
      <w:r>
        <w:rPr>
          <w:rFonts w:ascii="Arial" w:hAnsi="Arial" w:cs="Arial"/>
          <w:b/>
          <w:color w:val="000000"/>
          <w:sz w:val="22"/>
          <w:szCs w:val="22"/>
        </w:rPr>
        <w:t xml:space="preserve">to have </w:t>
      </w:r>
      <w:r w:rsidRPr="005B7E9F">
        <w:rPr>
          <w:rFonts w:ascii="Arial" w:hAnsi="Arial" w:cs="Arial"/>
          <w:b/>
          <w:color w:val="000000"/>
          <w:sz w:val="22"/>
          <w:szCs w:val="22"/>
        </w:rPr>
        <w:t>Aboriginal-specific cultural leave policies</w:t>
      </w:r>
      <w:r>
        <w:rPr>
          <w:rFonts w:ascii="Arial" w:hAnsi="Arial" w:cs="Arial"/>
          <w:b/>
          <w:color w:val="000000"/>
          <w:sz w:val="22"/>
          <w:szCs w:val="22"/>
        </w:rPr>
        <w:t>?</w:t>
      </w:r>
    </w:p>
    <w:p w14:paraId="4739F5E8" w14:textId="218F708A" w:rsidR="00394D98" w:rsidRDefault="0088338B" w:rsidP="009D5957">
      <w:pPr>
        <w:jc w:val="both"/>
        <w:rPr>
          <w:rFonts w:cs="Arial"/>
        </w:rPr>
      </w:pPr>
      <w:r w:rsidRPr="00CF38F1">
        <w:rPr>
          <w:rFonts w:cs="Arial"/>
          <w:color w:val="000000"/>
        </w:rPr>
        <w:t>This is a commonly asked question.  The short answer is that this is best determined on a case-by-case basis consistent with councils’ general approach to engagement and retention of staff.  Managers of Aboriginal employees may benefit from having cultural training</w:t>
      </w:r>
      <w:r w:rsidR="00515201">
        <w:rPr>
          <w:rFonts w:cs="Arial"/>
          <w:color w:val="000000"/>
        </w:rPr>
        <w:t xml:space="preserve"> to alert them to the family and community obligations</w:t>
      </w:r>
      <w:r w:rsidRPr="00CF38F1">
        <w:rPr>
          <w:rFonts w:cs="Arial"/>
          <w:color w:val="000000"/>
        </w:rPr>
        <w:t xml:space="preserve"> </w:t>
      </w:r>
      <w:r w:rsidR="00515201">
        <w:rPr>
          <w:rFonts w:cs="Arial"/>
          <w:color w:val="000000"/>
        </w:rPr>
        <w:t xml:space="preserve">and responsibilities </w:t>
      </w:r>
      <w:r w:rsidRPr="00CF38F1">
        <w:rPr>
          <w:rFonts w:cs="Arial"/>
          <w:color w:val="000000"/>
        </w:rPr>
        <w:t xml:space="preserve">that   Aboriginal employees may </w:t>
      </w:r>
      <w:r w:rsidR="00515201">
        <w:rPr>
          <w:rFonts w:cs="Arial"/>
          <w:color w:val="000000"/>
        </w:rPr>
        <w:t xml:space="preserve">be expected to meet.  </w:t>
      </w:r>
      <w:r w:rsidRPr="00CF38F1">
        <w:rPr>
          <w:rFonts w:cs="Arial"/>
        </w:rPr>
        <w:t xml:space="preserve">To assist council consideration of this matter, the MAV has compiled some examples of policies from a variety of organisations, plus some suggestions developed at a forum held in 2014 attended by human resource and community development managers.  See the MAV website </w:t>
      </w:r>
      <w:hyperlink r:id="rId21" w:history="1">
        <w:r w:rsidRPr="00CF38F1">
          <w:rPr>
            <w:rStyle w:val="Hyperlink"/>
            <w:rFonts w:cs="Arial"/>
          </w:rPr>
          <w:t>www.bit.ly/aboriginalemployment</w:t>
        </w:r>
      </w:hyperlink>
      <w:r w:rsidRPr="00CF38F1">
        <w:rPr>
          <w:rFonts w:cs="Arial"/>
        </w:rPr>
        <w:t xml:space="preserve"> for more information.  </w:t>
      </w:r>
    </w:p>
    <w:p w14:paraId="159B917C" w14:textId="77777777" w:rsidR="00394D98" w:rsidRDefault="00394D98">
      <w:pPr>
        <w:rPr>
          <w:rFonts w:cs="Arial"/>
        </w:rPr>
      </w:pPr>
      <w:r>
        <w:rPr>
          <w:rFonts w:cs="Arial"/>
        </w:rPr>
        <w:br w:type="page"/>
      </w:r>
    </w:p>
    <w:p w14:paraId="0C291179" w14:textId="77777777" w:rsidR="00394D98" w:rsidRDefault="00394D98" w:rsidP="008F3374">
      <w:pPr>
        <w:pStyle w:val="Heading1"/>
      </w:pPr>
      <w:r>
        <w:lastRenderedPageBreak/>
        <w:t>Activity ideas</w:t>
      </w:r>
    </w:p>
    <w:p w14:paraId="1E90171E" w14:textId="77777777" w:rsidR="00394D98" w:rsidRDefault="00394D98" w:rsidP="00394D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575"/>
        <w:tblLayout w:type="fixed"/>
        <w:tblCellMar>
          <w:top w:w="113" w:type="dxa"/>
          <w:bottom w:w="113" w:type="dxa"/>
        </w:tblCellMar>
        <w:tblLook w:val="04A0" w:firstRow="1" w:lastRow="0" w:firstColumn="1" w:lastColumn="0" w:noHBand="0" w:noVBand="1"/>
      </w:tblPr>
      <w:tblGrid>
        <w:gridCol w:w="66"/>
        <w:gridCol w:w="2780"/>
        <w:gridCol w:w="817"/>
        <w:gridCol w:w="414"/>
        <w:gridCol w:w="2127"/>
        <w:gridCol w:w="4054"/>
        <w:gridCol w:w="198"/>
      </w:tblGrid>
      <w:tr w:rsidR="00394D98" w:rsidRPr="002B31FC" w14:paraId="066D92DA" w14:textId="77777777" w:rsidTr="009D5957">
        <w:trPr>
          <w:gridBefore w:val="1"/>
          <w:wBefore w:w="66" w:type="dxa"/>
        </w:trPr>
        <w:tc>
          <w:tcPr>
            <w:tcW w:w="10390" w:type="dxa"/>
            <w:gridSpan w:val="6"/>
            <w:shd w:val="clear" w:color="auto" w:fill="FBD575"/>
          </w:tcPr>
          <w:p w14:paraId="18D38A4E" w14:textId="77777777" w:rsidR="00394D98" w:rsidRPr="002B31FC" w:rsidRDefault="00394D98" w:rsidP="006F23D4">
            <w:pPr>
              <w:rPr>
                <w:b/>
                <w:sz w:val="20"/>
                <w:szCs w:val="20"/>
              </w:rPr>
            </w:pPr>
            <w:r w:rsidRPr="002B31FC">
              <w:rPr>
                <w:b/>
                <w:sz w:val="20"/>
                <w:szCs w:val="20"/>
              </w:rPr>
              <w:t>Suggestions for Aboriginal-specific activities to attract and recruit Aboriginal job candidates</w:t>
            </w:r>
          </w:p>
        </w:tc>
      </w:tr>
      <w:tr w:rsidR="00394D98" w:rsidRPr="00B51F78" w14:paraId="13E79FB8" w14:textId="77777777" w:rsidTr="009D5957">
        <w:tblPrEx>
          <w:shd w:val="clear" w:color="auto" w:fill="auto"/>
          <w:tblCellMar>
            <w:top w:w="170" w:type="dxa"/>
            <w:left w:w="170" w:type="dxa"/>
            <w:bottom w:w="170" w:type="dxa"/>
            <w:right w:w="170" w:type="dxa"/>
          </w:tblCellMar>
        </w:tblPrEx>
        <w:trPr>
          <w:gridBefore w:val="1"/>
          <w:wBefore w:w="66" w:type="dxa"/>
        </w:trPr>
        <w:tc>
          <w:tcPr>
            <w:tcW w:w="2780" w:type="dxa"/>
            <w:shd w:val="clear" w:color="auto" w:fill="C6D9F1" w:themeFill="text2" w:themeFillTint="33"/>
          </w:tcPr>
          <w:p w14:paraId="34A777BC" w14:textId="77777777" w:rsidR="00394D98" w:rsidRPr="00B51F78" w:rsidRDefault="00394D98" w:rsidP="006F23D4">
            <w:pPr>
              <w:pStyle w:val="ListParagraph"/>
              <w:ind w:left="0"/>
              <w:rPr>
                <w:sz w:val="20"/>
                <w:szCs w:val="20"/>
              </w:rPr>
            </w:pPr>
            <w:r w:rsidRPr="00B51F78">
              <w:rPr>
                <w:sz w:val="20"/>
                <w:szCs w:val="20"/>
              </w:rPr>
              <w:t>Council decides to actively seek to employ Aboriginal candidates</w:t>
            </w:r>
          </w:p>
        </w:tc>
        <w:tc>
          <w:tcPr>
            <w:tcW w:w="3358" w:type="dxa"/>
            <w:gridSpan w:val="3"/>
            <w:shd w:val="clear" w:color="auto" w:fill="DBE5F1" w:themeFill="accent1" w:themeFillTint="33"/>
          </w:tcPr>
          <w:p w14:paraId="17A9262A" w14:textId="77777777" w:rsidR="00394D98" w:rsidRPr="00B51F78" w:rsidRDefault="00394D98" w:rsidP="006F23D4">
            <w:pPr>
              <w:pStyle w:val="ListParagraph"/>
              <w:ind w:left="0"/>
              <w:rPr>
                <w:sz w:val="20"/>
                <w:szCs w:val="20"/>
              </w:rPr>
            </w:pPr>
            <w:r>
              <w:rPr>
                <w:sz w:val="20"/>
                <w:szCs w:val="20"/>
              </w:rPr>
              <w:t xml:space="preserve">Include </w:t>
            </w:r>
            <w:r w:rsidRPr="00B51F78">
              <w:rPr>
                <w:sz w:val="20"/>
                <w:szCs w:val="20"/>
              </w:rPr>
              <w:t>development of an Abo</w:t>
            </w:r>
            <w:r>
              <w:rPr>
                <w:sz w:val="20"/>
                <w:szCs w:val="20"/>
              </w:rPr>
              <w:t>riginal employment strategy in</w:t>
            </w:r>
            <w:r w:rsidRPr="00B51F78">
              <w:rPr>
                <w:sz w:val="20"/>
                <w:szCs w:val="20"/>
              </w:rPr>
              <w:t xml:space="preserve"> the council budget</w:t>
            </w:r>
          </w:p>
        </w:tc>
        <w:tc>
          <w:tcPr>
            <w:tcW w:w="4252" w:type="dxa"/>
            <w:gridSpan w:val="2"/>
            <w:shd w:val="clear" w:color="auto" w:fill="C6D9F1" w:themeFill="text2" w:themeFillTint="33"/>
          </w:tcPr>
          <w:p w14:paraId="4F29DBF2" w14:textId="77777777" w:rsidR="00394D98" w:rsidRPr="00B51F78" w:rsidRDefault="00394D98" w:rsidP="006F23D4">
            <w:pPr>
              <w:pStyle w:val="ListParagraph"/>
              <w:ind w:left="0"/>
              <w:rPr>
                <w:sz w:val="20"/>
                <w:szCs w:val="20"/>
              </w:rPr>
            </w:pPr>
            <w:r w:rsidRPr="00B51F78">
              <w:rPr>
                <w:sz w:val="20"/>
                <w:szCs w:val="20"/>
              </w:rPr>
              <w:t xml:space="preserve">Include wording on all job vacancies </w:t>
            </w:r>
            <w:r>
              <w:rPr>
                <w:sz w:val="20"/>
                <w:szCs w:val="20"/>
              </w:rPr>
              <w:t xml:space="preserve">so </w:t>
            </w:r>
            <w:r w:rsidRPr="00B51F78">
              <w:rPr>
                <w:sz w:val="20"/>
                <w:szCs w:val="20"/>
              </w:rPr>
              <w:t>that candidates from culturally diverse backgrounds, including Aboriginal &amp; Torres Strait Islanders, are encouraged to apply</w:t>
            </w:r>
          </w:p>
        </w:tc>
      </w:tr>
      <w:tr w:rsidR="00394D98" w:rsidRPr="00B51F78" w14:paraId="26479D10" w14:textId="77777777" w:rsidTr="009D5957">
        <w:tblPrEx>
          <w:shd w:val="clear" w:color="auto" w:fill="auto"/>
          <w:tblCellMar>
            <w:top w:w="170" w:type="dxa"/>
            <w:left w:w="170" w:type="dxa"/>
            <w:bottom w:w="170" w:type="dxa"/>
            <w:right w:w="170" w:type="dxa"/>
          </w:tblCellMar>
        </w:tblPrEx>
        <w:trPr>
          <w:gridBefore w:val="1"/>
          <w:wBefore w:w="66" w:type="dxa"/>
        </w:trPr>
        <w:tc>
          <w:tcPr>
            <w:tcW w:w="2780" w:type="dxa"/>
            <w:shd w:val="clear" w:color="auto" w:fill="DBE5F1" w:themeFill="accent1" w:themeFillTint="33"/>
          </w:tcPr>
          <w:p w14:paraId="37E7104A" w14:textId="77777777" w:rsidR="00394D98" w:rsidRPr="00B51F78" w:rsidRDefault="00394D98" w:rsidP="006F23D4">
            <w:pPr>
              <w:pStyle w:val="ListParagraph"/>
              <w:ind w:left="0"/>
              <w:rPr>
                <w:sz w:val="20"/>
                <w:szCs w:val="20"/>
              </w:rPr>
            </w:pPr>
            <w:r w:rsidRPr="00B51F78">
              <w:rPr>
                <w:sz w:val="20"/>
                <w:szCs w:val="20"/>
              </w:rPr>
              <w:t>Recruit through workshops with Aboriginal community members</w:t>
            </w:r>
          </w:p>
        </w:tc>
        <w:tc>
          <w:tcPr>
            <w:tcW w:w="3358" w:type="dxa"/>
            <w:gridSpan w:val="3"/>
            <w:shd w:val="clear" w:color="auto" w:fill="C6D9F1" w:themeFill="text2" w:themeFillTint="33"/>
          </w:tcPr>
          <w:p w14:paraId="3668B46F" w14:textId="77777777" w:rsidR="00394D98" w:rsidRPr="00B51F78" w:rsidRDefault="00394D98" w:rsidP="006F23D4">
            <w:pPr>
              <w:pStyle w:val="ListParagraph"/>
              <w:ind w:left="0"/>
              <w:rPr>
                <w:sz w:val="20"/>
                <w:szCs w:val="20"/>
              </w:rPr>
            </w:pPr>
            <w:r w:rsidRPr="00B51F78">
              <w:rPr>
                <w:sz w:val="20"/>
                <w:szCs w:val="20"/>
              </w:rPr>
              <w:t>Invite elders and other respected Aboriginal community members to be on the job interview panel</w:t>
            </w:r>
          </w:p>
        </w:tc>
        <w:tc>
          <w:tcPr>
            <w:tcW w:w="4252" w:type="dxa"/>
            <w:gridSpan w:val="2"/>
            <w:shd w:val="clear" w:color="auto" w:fill="DBE5F1" w:themeFill="accent1" w:themeFillTint="33"/>
          </w:tcPr>
          <w:p w14:paraId="69DEE016" w14:textId="77777777" w:rsidR="00394D98" w:rsidRPr="00B51F78" w:rsidRDefault="00394D98" w:rsidP="006F23D4">
            <w:pPr>
              <w:pStyle w:val="ListParagraph"/>
              <w:ind w:left="0"/>
              <w:rPr>
                <w:sz w:val="20"/>
                <w:szCs w:val="20"/>
              </w:rPr>
            </w:pPr>
            <w:r>
              <w:rPr>
                <w:sz w:val="20"/>
                <w:szCs w:val="20"/>
              </w:rPr>
              <w:t xml:space="preserve">Reserve positions in </w:t>
            </w:r>
            <w:r w:rsidRPr="00B51F78">
              <w:rPr>
                <w:sz w:val="20"/>
                <w:szCs w:val="20"/>
              </w:rPr>
              <w:t>departmental budgets that can be filled in the event of a suitable Aboriginal candidate being available</w:t>
            </w:r>
          </w:p>
        </w:tc>
      </w:tr>
      <w:tr w:rsidR="00394D98" w:rsidRPr="00B51F78" w14:paraId="4B7610FB" w14:textId="77777777" w:rsidTr="009D5957">
        <w:tblPrEx>
          <w:shd w:val="clear" w:color="auto" w:fill="auto"/>
          <w:tblCellMar>
            <w:top w:w="170" w:type="dxa"/>
            <w:left w:w="170" w:type="dxa"/>
            <w:bottom w:w="170" w:type="dxa"/>
            <w:right w:w="170" w:type="dxa"/>
          </w:tblCellMar>
        </w:tblPrEx>
        <w:trPr>
          <w:gridBefore w:val="1"/>
          <w:wBefore w:w="66" w:type="dxa"/>
        </w:trPr>
        <w:tc>
          <w:tcPr>
            <w:tcW w:w="2780" w:type="dxa"/>
            <w:shd w:val="clear" w:color="auto" w:fill="C6D9F1" w:themeFill="text2" w:themeFillTint="33"/>
          </w:tcPr>
          <w:p w14:paraId="246125F6" w14:textId="77777777" w:rsidR="00394D98" w:rsidRPr="00B51F78" w:rsidRDefault="00394D98" w:rsidP="006F23D4">
            <w:pPr>
              <w:pStyle w:val="ListParagraph"/>
              <w:ind w:left="0"/>
              <w:rPr>
                <w:sz w:val="20"/>
                <w:szCs w:val="20"/>
              </w:rPr>
            </w:pPr>
            <w:r w:rsidRPr="00B51F78">
              <w:rPr>
                <w:sz w:val="20"/>
                <w:szCs w:val="20"/>
              </w:rPr>
              <w:t>Budget for, and conduct, cultural awareness training for teams with Aboriginal staff members, or the organisation as a whole</w:t>
            </w:r>
          </w:p>
        </w:tc>
        <w:tc>
          <w:tcPr>
            <w:tcW w:w="3358" w:type="dxa"/>
            <w:gridSpan w:val="3"/>
            <w:shd w:val="clear" w:color="auto" w:fill="DBE5F1" w:themeFill="accent1" w:themeFillTint="33"/>
          </w:tcPr>
          <w:p w14:paraId="3DFA1C38" w14:textId="77777777" w:rsidR="00394D98" w:rsidRPr="00B51F78" w:rsidRDefault="00394D98" w:rsidP="006F23D4">
            <w:pPr>
              <w:pStyle w:val="ListParagraph"/>
              <w:ind w:left="0"/>
              <w:rPr>
                <w:sz w:val="20"/>
                <w:szCs w:val="20"/>
              </w:rPr>
            </w:pPr>
            <w:r w:rsidRPr="00B51F78">
              <w:rPr>
                <w:sz w:val="20"/>
                <w:szCs w:val="20"/>
              </w:rPr>
              <w:t>Let Aboriginal communities know about the sorts of activities and services councils undertake</w:t>
            </w:r>
          </w:p>
        </w:tc>
        <w:tc>
          <w:tcPr>
            <w:tcW w:w="4252" w:type="dxa"/>
            <w:gridSpan w:val="2"/>
            <w:shd w:val="clear" w:color="auto" w:fill="C6D9F1" w:themeFill="text2" w:themeFillTint="33"/>
          </w:tcPr>
          <w:p w14:paraId="3F195F9E" w14:textId="77777777" w:rsidR="00394D98" w:rsidRPr="00B51F78" w:rsidRDefault="00394D98" w:rsidP="006F23D4">
            <w:pPr>
              <w:pStyle w:val="ListParagraph"/>
              <w:ind w:left="0"/>
              <w:rPr>
                <w:sz w:val="20"/>
                <w:szCs w:val="20"/>
              </w:rPr>
            </w:pPr>
            <w:r w:rsidRPr="00B51F78">
              <w:rPr>
                <w:sz w:val="20"/>
                <w:szCs w:val="20"/>
              </w:rPr>
              <w:t>Participate in anti-racism campaigns, such as the Australian Human Rights Commission “Racism.  It Stops with Me” campaign</w:t>
            </w:r>
          </w:p>
        </w:tc>
      </w:tr>
      <w:tr w:rsidR="00394D98" w:rsidRPr="00B51F78" w14:paraId="2C7CECB6" w14:textId="77777777" w:rsidTr="009D5957">
        <w:tblPrEx>
          <w:shd w:val="clear" w:color="auto" w:fill="auto"/>
          <w:tblCellMar>
            <w:top w:w="170" w:type="dxa"/>
            <w:left w:w="170" w:type="dxa"/>
            <w:bottom w:w="170" w:type="dxa"/>
            <w:right w:w="170" w:type="dxa"/>
          </w:tblCellMar>
        </w:tblPrEx>
        <w:trPr>
          <w:gridBefore w:val="1"/>
          <w:wBefore w:w="66" w:type="dxa"/>
        </w:trPr>
        <w:tc>
          <w:tcPr>
            <w:tcW w:w="2780" w:type="dxa"/>
            <w:shd w:val="clear" w:color="auto" w:fill="DBE5F1" w:themeFill="accent1" w:themeFillTint="33"/>
          </w:tcPr>
          <w:p w14:paraId="0B764C32" w14:textId="77777777" w:rsidR="00394D98" w:rsidRPr="00B51F78" w:rsidRDefault="00394D98" w:rsidP="006F23D4">
            <w:pPr>
              <w:pStyle w:val="ListParagraph"/>
              <w:ind w:left="0"/>
              <w:rPr>
                <w:sz w:val="20"/>
                <w:szCs w:val="20"/>
              </w:rPr>
            </w:pPr>
            <w:r w:rsidRPr="00B51F78">
              <w:rPr>
                <w:sz w:val="20"/>
                <w:szCs w:val="20"/>
              </w:rPr>
              <w:t>Develop social media links with Aboriginal people and communities</w:t>
            </w:r>
          </w:p>
        </w:tc>
        <w:tc>
          <w:tcPr>
            <w:tcW w:w="3358" w:type="dxa"/>
            <w:gridSpan w:val="3"/>
            <w:shd w:val="clear" w:color="auto" w:fill="C6D9F1" w:themeFill="text2" w:themeFillTint="33"/>
          </w:tcPr>
          <w:p w14:paraId="5455D9ED" w14:textId="77777777" w:rsidR="00394D98" w:rsidRPr="00B51F78" w:rsidRDefault="00394D98" w:rsidP="006F23D4">
            <w:pPr>
              <w:pStyle w:val="ListParagraph"/>
              <w:ind w:left="0"/>
              <w:rPr>
                <w:sz w:val="20"/>
                <w:szCs w:val="20"/>
              </w:rPr>
            </w:pPr>
            <w:r w:rsidRPr="00B51F78">
              <w:rPr>
                <w:sz w:val="20"/>
                <w:szCs w:val="20"/>
              </w:rPr>
              <w:t>Promote the existence and use of council employment websites among Aboriginal communities</w:t>
            </w:r>
          </w:p>
        </w:tc>
        <w:tc>
          <w:tcPr>
            <w:tcW w:w="4252" w:type="dxa"/>
            <w:gridSpan w:val="2"/>
            <w:shd w:val="clear" w:color="auto" w:fill="DBE5F1" w:themeFill="accent1" w:themeFillTint="33"/>
          </w:tcPr>
          <w:p w14:paraId="7C96490A" w14:textId="77777777" w:rsidR="00394D98" w:rsidRPr="00B51F78" w:rsidRDefault="00394D98" w:rsidP="006F23D4">
            <w:pPr>
              <w:pStyle w:val="ListParagraph"/>
              <w:ind w:left="0"/>
              <w:rPr>
                <w:sz w:val="20"/>
                <w:szCs w:val="20"/>
              </w:rPr>
            </w:pPr>
            <w:r w:rsidRPr="00B51F78">
              <w:rPr>
                <w:sz w:val="20"/>
                <w:szCs w:val="20"/>
              </w:rPr>
              <w:t>Utilise word-of-mouth among Aboriginal communities through current Aboriginal employees and community contacts</w:t>
            </w:r>
          </w:p>
        </w:tc>
      </w:tr>
      <w:tr w:rsidR="00394D98" w:rsidRPr="00B51F78" w14:paraId="0214C6CD" w14:textId="77777777" w:rsidTr="009D5957">
        <w:tblPrEx>
          <w:shd w:val="clear" w:color="auto" w:fill="auto"/>
          <w:tblCellMar>
            <w:top w:w="170" w:type="dxa"/>
            <w:left w:w="170" w:type="dxa"/>
            <w:bottom w:w="170" w:type="dxa"/>
            <w:right w:w="170" w:type="dxa"/>
          </w:tblCellMar>
        </w:tblPrEx>
        <w:trPr>
          <w:gridBefore w:val="1"/>
          <w:wBefore w:w="66" w:type="dxa"/>
          <w:trHeight w:val="940"/>
        </w:trPr>
        <w:tc>
          <w:tcPr>
            <w:tcW w:w="2780" w:type="dxa"/>
            <w:shd w:val="clear" w:color="auto" w:fill="C6D9F1" w:themeFill="text2" w:themeFillTint="33"/>
          </w:tcPr>
          <w:p w14:paraId="4F91C122" w14:textId="77777777" w:rsidR="00394D98" w:rsidRPr="00B51F78" w:rsidRDefault="00394D98" w:rsidP="006F23D4">
            <w:pPr>
              <w:pStyle w:val="ListParagraph"/>
              <w:ind w:left="0"/>
              <w:rPr>
                <w:sz w:val="20"/>
                <w:szCs w:val="20"/>
              </w:rPr>
            </w:pPr>
            <w:r w:rsidRPr="00B51F78">
              <w:rPr>
                <w:sz w:val="20"/>
                <w:szCs w:val="20"/>
              </w:rPr>
              <w:t>Aboriginal employees are strong advocates – encourage them to provide testimonials and profiles</w:t>
            </w:r>
          </w:p>
        </w:tc>
        <w:tc>
          <w:tcPr>
            <w:tcW w:w="3358" w:type="dxa"/>
            <w:gridSpan w:val="3"/>
            <w:shd w:val="clear" w:color="auto" w:fill="DBE5F1" w:themeFill="accent1" w:themeFillTint="33"/>
          </w:tcPr>
          <w:p w14:paraId="25AB05FA" w14:textId="77777777" w:rsidR="00394D98" w:rsidRPr="00B51F78" w:rsidRDefault="00394D98" w:rsidP="006F23D4">
            <w:pPr>
              <w:pStyle w:val="ListParagraph"/>
              <w:ind w:left="0"/>
              <w:rPr>
                <w:sz w:val="20"/>
                <w:szCs w:val="20"/>
              </w:rPr>
            </w:pPr>
            <w:r w:rsidRPr="00B51F78">
              <w:rPr>
                <w:sz w:val="20"/>
                <w:szCs w:val="20"/>
              </w:rPr>
              <w:t>Advertise mainstream council jobs in the Koori Mail and the National Indigenous Times</w:t>
            </w:r>
          </w:p>
        </w:tc>
        <w:tc>
          <w:tcPr>
            <w:tcW w:w="4252" w:type="dxa"/>
            <w:gridSpan w:val="2"/>
            <w:shd w:val="clear" w:color="auto" w:fill="C6D9F1" w:themeFill="text2" w:themeFillTint="33"/>
          </w:tcPr>
          <w:p w14:paraId="2D110C62" w14:textId="77777777" w:rsidR="00394D98" w:rsidRPr="00B51F78" w:rsidRDefault="00394D98" w:rsidP="006F23D4">
            <w:pPr>
              <w:pStyle w:val="ListParagraph"/>
              <w:ind w:left="0"/>
              <w:rPr>
                <w:sz w:val="20"/>
                <w:szCs w:val="20"/>
              </w:rPr>
            </w:pPr>
            <w:r>
              <w:rPr>
                <w:sz w:val="20"/>
                <w:szCs w:val="20"/>
              </w:rPr>
              <w:t>Employ an Aboriginal employment officer</w:t>
            </w:r>
          </w:p>
        </w:tc>
      </w:tr>
      <w:tr w:rsidR="00394D98" w14:paraId="1C265707" w14:textId="77777777" w:rsidTr="00394D98">
        <w:tblPrEx>
          <w:shd w:val="clear" w:color="auto" w:fill="auto"/>
          <w:tblCellMar>
            <w:top w:w="0" w:type="dxa"/>
            <w:bottom w:w="0" w:type="dxa"/>
          </w:tblCellMar>
        </w:tblPrEx>
        <w:trPr>
          <w:gridAfter w:val="1"/>
          <w:wAfter w:w="198" w:type="dxa"/>
        </w:trPr>
        <w:tc>
          <w:tcPr>
            <w:tcW w:w="4077" w:type="dxa"/>
            <w:gridSpan w:val="4"/>
          </w:tcPr>
          <w:p w14:paraId="721B469D" w14:textId="77777777" w:rsidR="00394D98" w:rsidRDefault="00394D98" w:rsidP="006F23D4">
            <w:pPr>
              <w:jc w:val="center"/>
              <w:rPr>
                <w:b/>
                <w:color w:val="C00000"/>
              </w:rPr>
            </w:pPr>
          </w:p>
          <w:p w14:paraId="1B70F252" w14:textId="77777777" w:rsidR="009D5957" w:rsidRDefault="009D5957" w:rsidP="006F23D4">
            <w:pPr>
              <w:jc w:val="center"/>
              <w:rPr>
                <w:b/>
                <w:color w:val="C00000"/>
              </w:rPr>
            </w:pPr>
          </w:p>
          <w:p w14:paraId="570CF2CD" w14:textId="77777777" w:rsidR="00394D98" w:rsidRDefault="00394D98" w:rsidP="006F23D4">
            <w:pPr>
              <w:rPr>
                <w:b/>
                <w:color w:val="943634" w:themeColor="accent2" w:themeShade="BF"/>
              </w:rPr>
            </w:pPr>
          </w:p>
          <w:p w14:paraId="26CB9976" w14:textId="77777777" w:rsidR="00394D98" w:rsidRPr="00B51F78" w:rsidRDefault="00394D98" w:rsidP="006F23D4">
            <w:pPr>
              <w:rPr>
                <w:b/>
                <w:color w:val="943634" w:themeColor="accent2" w:themeShade="BF"/>
              </w:rPr>
            </w:pPr>
            <w:r w:rsidRPr="00B51F78">
              <w:rPr>
                <w:b/>
                <w:color w:val="943634" w:themeColor="accent2" w:themeShade="BF"/>
              </w:rPr>
              <w:t>Victorian Local Government Aboriginal Engagement &amp; Reconciliation Survey 2012</w:t>
            </w:r>
          </w:p>
          <w:p w14:paraId="6BCB086D" w14:textId="77777777" w:rsidR="00394D98" w:rsidRDefault="00394D98" w:rsidP="006F23D4">
            <w:pPr>
              <w:jc w:val="both"/>
            </w:pPr>
          </w:p>
          <w:p w14:paraId="670F1F27" w14:textId="77777777" w:rsidR="00394D98" w:rsidRDefault="00394D98" w:rsidP="006F23D4">
            <w:pPr>
              <w:jc w:val="both"/>
            </w:pPr>
            <w:r w:rsidRPr="00B51F78">
              <w:t xml:space="preserve">Employment of Aboriginal people in Victorian councils is extremely low, with a </w:t>
            </w:r>
            <w:hyperlink r:id="rId22" w:history="1">
              <w:r w:rsidRPr="005A16F4">
                <w:rPr>
                  <w:rStyle w:val="Hyperlink"/>
                </w:rPr>
                <w:t>2012 survey</w:t>
              </w:r>
            </w:hyperlink>
            <w:r w:rsidRPr="00B51F78">
              <w:t xml:space="preserve"> undertaken by Reconciliation Victoria showing that 25 councils employed a total of 76 known Indigenous employees.  This is an extremely low proportion given the total local government workforce in Victoria is approximately 40,000 employees.</w:t>
            </w:r>
          </w:p>
          <w:p w14:paraId="4A2B080A" w14:textId="77777777" w:rsidR="00394D98" w:rsidRDefault="00394D98" w:rsidP="006F23D4">
            <w:pPr>
              <w:jc w:val="both"/>
            </w:pPr>
          </w:p>
          <w:p w14:paraId="6FE03E8C" w14:textId="77777777" w:rsidR="00394D98" w:rsidRDefault="00394D98" w:rsidP="006F23D4">
            <w:pPr>
              <w:jc w:val="both"/>
            </w:pPr>
            <w:r>
              <w:t>The sorts of j</w:t>
            </w:r>
            <w:r w:rsidRPr="00B51F78">
              <w:t>obs held by the 76 Aboriginal people identified a</w:t>
            </w:r>
            <w:r>
              <w:t>s working in Victorian Councils are included in the following diagram.</w:t>
            </w:r>
          </w:p>
          <w:p w14:paraId="08CC75AD" w14:textId="77777777" w:rsidR="00394D98" w:rsidRDefault="00394D98" w:rsidP="006F23D4">
            <w:pPr>
              <w:jc w:val="both"/>
            </w:pPr>
          </w:p>
          <w:p w14:paraId="26CB2838" w14:textId="77777777" w:rsidR="00394D98" w:rsidRPr="00394D98" w:rsidRDefault="00394D98" w:rsidP="006F23D4">
            <w:pPr>
              <w:jc w:val="both"/>
            </w:pPr>
          </w:p>
        </w:tc>
        <w:tc>
          <w:tcPr>
            <w:tcW w:w="6181" w:type="dxa"/>
            <w:gridSpan w:val="2"/>
          </w:tcPr>
          <w:p w14:paraId="5AD2B2ED" w14:textId="77777777" w:rsidR="00394D98" w:rsidRDefault="00394D98" w:rsidP="006F23D4">
            <w:pPr>
              <w:jc w:val="center"/>
              <w:rPr>
                <w:color w:val="C00000"/>
                <w:sz w:val="20"/>
                <w:szCs w:val="20"/>
                <w:u w:val="single"/>
              </w:rPr>
            </w:pPr>
          </w:p>
          <w:p w14:paraId="60270BFB" w14:textId="77777777" w:rsidR="00394D98" w:rsidRDefault="00394D98" w:rsidP="006F23D4">
            <w:pPr>
              <w:jc w:val="center"/>
              <w:rPr>
                <w:color w:val="C00000"/>
                <w:sz w:val="20"/>
                <w:szCs w:val="20"/>
                <w:u w:val="single"/>
              </w:rPr>
            </w:pPr>
          </w:p>
          <w:p w14:paraId="55038CE0" w14:textId="77777777" w:rsidR="00394D98" w:rsidRDefault="00394D98" w:rsidP="006F23D4">
            <w:pPr>
              <w:jc w:val="center"/>
              <w:rPr>
                <w:noProof/>
                <w:color w:val="C00000"/>
                <w:sz w:val="20"/>
                <w:szCs w:val="20"/>
                <w:u w:val="single"/>
                <w:lang w:eastAsia="en-AU"/>
              </w:rPr>
            </w:pPr>
          </w:p>
          <w:p w14:paraId="04404E69" w14:textId="77777777" w:rsidR="00394D98" w:rsidRDefault="00394D98" w:rsidP="006F23D4">
            <w:pPr>
              <w:jc w:val="center"/>
              <w:rPr>
                <w:noProof/>
                <w:color w:val="C00000"/>
                <w:sz w:val="20"/>
                <w:szCs w:val="20"/>
                <w:u w:val="single"/>
                <w:lang w:eastAsia="en-AU"/>
              </w:rPr>
            </w:pPr>
            <w:r>
              <w:rPr>
                <w:noProof/>
                <w:color w:val="C00000"/>
                <w:sz w:val="20"/>
                <w:szCs w:val="20"/>
                <w:u w:val="single"/>
                <w:lang w:eastAsia="en-AU"/>
              </w:rPr>
              <w:drawing>
                <wp:inline distT="0" distB="0" distL="0" distR="0" wp14:anchorId="00C8FC23" wp14:editId="397D7ABF">
                  <wp:extent cx="4029075" cy="2419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3962" cy="2422285"/>
                          </a:xfrm>
                          <a:prstGeom prst="rect">
                            <a:avLst/>
                          </a:prstGeom>
                          <a:noFill/>
                        </pic:spPr>
                      </pic:pic>
                    </a:graphicData>
                  </a:graphic>
                </wp:inline>
              </w:drawing>
            </w:r>
          </w:p>
          <w:p w14:paraId="320CCE3D" w14:textId="77777777" w:rsidR="00394D98" w:rsidRDefault="00394D98" w:rsidP="006F23D4">
            <w:pPr>
              <w:jc w:val="center"/>
              <w:rPr>
                <w:noProof/>
                <w:color w:val="C00000"/>
                <w:sz w:val="20"/>
                <w:szCs w:val="20"/>
                <w:u w:val="single"/>
                <w:lang w:eastAsia="en-AU"/>
              </w:rPr>
            </w:pPr>
          </w:p>
          <w:p w14:paraId="3050C790" w14:textId="77777777" w:rsidR="00394D98" w:rsidRDefault="00394D98" w:rsidP="006F23D4">
            <w:pPr>
              <w:jc w:val="center"/>
              <w:rPr>
                <w:noProof/>
                <w:color w:val="C00000"/>
                <w:sz w:val="20"/>
                <w:szCs w:val="20"/>
                <w:u w:val="single"/>
                <w:lang w:eastAsia="en-AU"/>
              </w:rPr>
            </w:pPr>
          </w:p>
          <w:p w14:paraId="2604AB24" w14:textId="77777777" w:rsidR="00394D98" w:rsidRDefault="00394D98" w:rsidP="006F23D4">
            <w:pPr>
              <w:jc w:val="center"/>
              <w:rPr>
                <w:color w:val="C00000"/>
                <w:sz w:val="20"/>
                <w:szCs w:val="20"/>
                <w:u w:val="single"/>
              </w:rPr>
            </w:pPr>
          </w:p>
        </w:tc>
      </w:tr>
      <w:tr w:rsidR="00394D98" w:rsidRPr="006B6C2E" w14:paraId="1990D68A" w14:textId="77777777" w:rsidTr="0039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gridAfter w:val="1"/>
          <w:wAfter w:w="198" w:type="dxa"/>
        </w:trPr>
        <w:tc>
          <w:tcPr>
            <w:tcW w:w="3663" w:type="dxa"/>
            <w:gridSpan w:val="3"/>
          </w:tcPr>
          <w:p w14:paraId="05E55DF2" w14:textId="77777777" w:rsidR="00394D98" w:rsidRDefault="00394D98" w:rsidP="006F23D4">
            <w:pPr>
              <w:pStyle w:val="Footer"/>
              <w:jc w:val="center"/>
            </w:pPr>
            <w:r>
              <w:rPr>
                <w:noProof/>
                <w:lang w:eastAsia="en-AU"/>
              </w:rPr>
              <w:drawing>
                <wp:inline distT="0" distB="0" distL="0" distR="0" wp14:anchorId="1DDAB56D" wp14:editId="6A6ED2D6">
                  <wp:extent cx="1047750" cy="60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pic:spPr>
                      </pic:pic>
                    </a:graphicData>
                  </a:graphic>
                </wp:inline>
              </w:drawing>
            </w:r>
          </w:p>
        </w:tc>
        <w:tc>
          <w:tcPr>
            <w:tcW w:w="6595" w:type="dxa"/>
            <w:gridSpan w:val="3"/>
          </w:tcPr>
          <w:p w14:paraId="4B51BB72" w14:textId="77777777" w:rsidR="00394D98" w:rsidRPr="006B6C2E" w:rsidRDefault="00394D98" w:rsidP="006F23D4">
            <w:pPr>
              <w:pStyle w:val="Footer"/>
              <w:rPr>
                <w:color w:val="618099"/>
              </w:rPr>
            </w:pPr>
            <w:r w:rsidRPr="006B6C2E">
              <w:rPr>
                <w:color w:val="618099"/>
              </w:rPr>
              <w:t xml:space="preserve">The MAV acknowledges with thanks the partnership funding provided by the Victorian Government through the Department of </w:t>
            </w:r>
            <w:r>
              <w:rPr>
                <w:color w:val="618099"/>
              </w:rPr>
              <w:t>Economic</w:t>
            </w:r>
            <w:r w:rsidRPr="006B6C2E">
              <w:rPr>
                <w:color w:val="618099"/>
              </w:rPr>
              <w:t xml:space="preserve"> Development,</w:t>
            </w:r>
            <w:r>
              <w:rPr>
                <w:color w:val="618099"/>
              </w:rPr>
              <w:t xml:space="preserve"> Jobs, Transport and Resources Employment Start-Up for Aboriginal Jobseekers Program</w:t>
            </w:r>
          </w:p>
        </w:tc>
      </w:tr>
    </w:tbl>
    <w:p w14:paraId="6483229B" w14:textId="77777777" w:rsidR="009D5957" w:rsidRDefault="009D5957" w:rsidP="00394D98">
      <w:pPr>
        <w:ind w:left="851"/>
        <w:rPr>
          <w:rFonts w:cs="Arial"/>
          <w:b/>
          <w:color w:val="879FB3"/>
          <w:sz w:val="48"/>
          <w:szCs w:val="48"/>
        </w:rPr>
      </w:pPr>
    </w:p>
    <w:p w14:paraId="15D3702C" w14:textId="6470A819" w:rsidR="00394D98" w:rsidRDefault="008F3374" w:rsidP="008F3374">
      <w:pPr>
        <w:pStyle w:val="Heading1"/>
      </w:pPr>
      <w:r>
        <w:lastRenderedPageBreak/>
        <w:t xml:space="preserve">Library / </w:t>
      </w:r>
      <w:r w:rsidR="00394D98">
        <w:t>resources</w:t>
      </w:r>
    </w:p>
    <w:p w14:paraId="6B8315FB" w14:textId="77777777" w:rsidR="00394D98" w:rsidRDefault="00394D98" w:rsidP="009D5957">
      <w:pPr>
        <w:ind w:left="142"/>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4A0" w:firstRow="1" w:lastRow="0" w:firstColumn="1" w:lastColumn="0" w:noHBand="0" w:noVBand="1"/>
      </w:tblPr>
      <w:tblGrid>
        <w:gridCol w:w="10455"/>
      </w:tblGrid>
      <w:tr w:rsidR="00394D98" w:rsidRPr="002B31FC" w14:paraId="5BBA87D1" w14:textId="77777777" w:rsidTr="009D5957">
        <w:tc>
          <w:tcPr>
            <w:tcW w:w="10455" w:type="dxa"/>
            <w:shd w:val="clear" w:color="auto" w:fill="C6D9F1" w:themeFill="text2" w:themeFillTint="33"/>
          </w:tcPr>
          <w:p w14:paraId="1EEF41C3" w14:textId="77777777" w:rsidR="00394D98" w:rsidRPr="008F3374" w:rsidRDefault="00394D98" w:rsidP="008F3374">
            <w:pPr>
              <w:pStyle w:val="Heading2"/>
              <w:outlineLvl w:val="1"/>
            </w:pPr>
            <w:r w:rsidRPr="008F3374">
              <w:t xml:space="preserve">attraction &amp; recruitment </w:t>
            </w:r>
          </w:p>
        </w:tc>
      </w:tr>
    </w:tbl>
    <w:p w14:paraId="1DF93CB0" w14:textId="77777777" w:rsidR="00394D98" w:rsidRPr="002B31FC" w:rsidRDefault="00394D98" w:rsidP="009D5957">
      <w:pPr>
        <w:ind w:left="142"/>
        <w:rPr>
          <w:sz w:val="20"/>
          <w:szCs w:val="20"/>
        </w:rPr>
      </w:pPr>
    </w:p>
    <w:p w14:paraId="7D99E4A8" w14:textId="77777777" w:rsidR="00394D98" w:rsidRPr="006651AE" w:rsidRDefault="00394D98" w:rsidP="009D5957">
      <w:pPr>
        <w:ind w:left="142"/>
        <w:rPr>
          <w:b/>
        </w:rPr>
      </w:pPr>
      <w:r w:rsidRPr="006651AE">
        <w:rPr>
          <w:b/>
        </w:rPr>
        <w:t>General context/justification:</w:t>
      </w:r>
    </w:p>
    <w:p w14:paraId="13E5EE21" w14:textId="77777777" w:rsidR="00394D98" w:rsidRPr="006651AE" w:rsidRDefault="00394D98" w:rsidP="009D5957">
      <w:pPr>
        <w:ind w:left="142"/>
        <w:rPr>
          <w:b/>
        </w:rPr>
      </w:pPr>
    </w:p>
    <w:p w14:paraId="76ED2D72" w14:textId="77777777" w:rsidR="00394D98" w:rsidRPr="006651AE" w:rsidRDefault="00394D98" w:rsidP="009D5957">
      <w:pPr>
        <w:pStyle w:val="ListParagraph"/>
        <w:numPr>
          <w:ilvl w:val="0"/>
          <w:numId w:val="3"/>
        </w:numPr>
        <w:ind w:left="709" w:hanging="567"/>
      </w:pPr>
      <w:r w:rsidRPr="006651AE">
        <w:t xml:space="preserve">The Victorian Government’s </w:t>
      </w:r>
      <w:hyperlink r:id="rId25" w:history="1">
        <w:proofErr w:type="spellStart"/>
        <w:r w:rsidRPr="006651AE">
          <w:rPr>
            <w:rStyle w:val="Hyperlink"/>
          </w:rPr>
          <w:t>Karreeta</w:t>
        </w:r>
        <w:proofErr w:type="spellEnd"/>
        <w:r w:rsidRPr="006651AE">
          <w:rPr>
            <w:rStyle w:val="Hyperlink"/>
          </w:rPr>
          <w:t xml:space="preserve"> </w:t>
        </w:r>
        <w:proofErr w:type="spellStart"/>
        <w:r w:rsidRPr="006651AE">
          <w:rPr>
            <w:rStyle w:val="Hyperlink"/>
          </w:rPr>
          <w:t>Yirramboi</w:t>
        </w:r>
        <w:proofErr w:type="spellEnd"/>
        <w:r w:rsidRPr="006651AE">
          <w:rPr>
            <w:rStyle w:val="Hyperlink"/>
          </w:rPr>
          <w:t xml:space="preserve"> – An Employer Toolkit to Grow Aboriginal Employment in Your Organisation</w:t>
        </w:r>
      </w:hyperlink>
      <w:r w:rsidRPr="006651AE">
        <w:t xml:space="preserve"> has advice about cultural awareness competency and how to attract Aboriginal people</w:t>
      </w:r>
    </w:p>
    <w:p w14:paraId="03F556DE" w14:textId="77777777" w:rsidR="00394D98" w:rsidRPr="006651AE" w:rsidRDefault="00394D98" w:rsidP="009D5957">
      <w:pPr>
        <w:pStyle w:val="ListParagraph"/>
        <w:ind w:left="142"/>
      </w:pPr>
    </w:p>
    <w:p w14:paraId="76123E10" w14:textId="77777777" w:rsidR="00394D98" w:rsidRPr="006651AE" w:rsidRDefault="00394D98" w:rsidP="009D5957">
      <w:pPr>
        <w:pStyle w:val="ListParagraph"/>
        <w:numPr>
          <w:ilvl w:val="0"/>
          <w:numId w:val="3"/>
        </w:numPr>
        <w:tabs>
          <w:tab w:val="left" w:pos="284"/>
        </w:tabs>
        <w:ind w:left="709" w:hanging="567"/>
      </w:pPr>
      <w:r w:rsidRPr="006651AE">
        <w:t xml:space="preserve">The Australian Public Service </w:t>
      </w:r>
      <w:hyperlink r:id="rId26" w:history="1">
        <w:r w:rsidRPr="006651AE">
          <w:rPr>
            <w:rStyle w:val="Hyperlink"/>
          </w:rPr>
          <w:t>Building an Indigenous Employment Strategy kit</w:t>
        </w:r>
      </w:hyperlink>
      <w:r w:rsidRPr="006651AE">
        <w:t xml:space="preserve"> contains advice about what agencies can do to attract Aboriginal job-candidates</w:t>
      </w:r>
      <w:r>
        <w:t>.</w:t>
      </w:r>
    </w:p>
    <w:p w14:paraId="34E3ED97" w14:textId="77777777" w:rsidR="00394D98" w:rsidRDefault="00394D98" w:rsidP="009D5957">
      <w:pPr>
        <w:ind w:left="142"/>
        <w:rPr>
          <w:b/>
        </w:rPr>
      </w:pPr>
    </w:p>
    <w:p w14:paraId="271E8469" w14:textId="77777777" w:rsidR="00394D98" w:rsidRPr="006651AE" w:rsidRDefault="00394D98" w:rsidP="009D5957">
      <w:pPr>
        <w:ind w:left="142"/>
        <w:rPr>
          <w:b/>
        </w:rPr>
      </w:pPr>
      <w:r w:rsidRPr="006651AE">
        <w:rPr>
          <w:b/>
        </w:rPr>
        <w:t>Developing the Business Case:</w:t>
      </w:r>
    </w:p>
    <w:p w14:paraId="58CA7FB8" w14:textId="77777777" w:rsidR="00394D98" w:rsidRPr="006651AE" w:rsidRDefault="00394D98" w:rsidP="009D5957">
      <w:pPr>
        <w:ind w:left="142"/>
        <w:rPr>
          <w:b/>
        </w:rPr>
      </w:pPr>
    </w:p>
    <w:p w14:paraId="6B928BEF" w14:textId="77777777" w:rsidR="00394D98" w:rsidRPr="006651AE" w:rsidRDefault="00394D98" w:rsidP="009D5957">
      <w:pPr>
        <w:pStyle w:val="ListParagraph"/>
        <w:numPr>
          <w:ilvl w:val="0"/>
          <w:numId w:val="6"/>
        </w:numPr>
        <w:ind w:left="709" w:hanging="567"/>
        <w:rPr>
          <w:rStyle w:val="Hyperlink"/>
        </w:rPr>
      </w:pPr>
      <w:r w:rsidRPr="006651AE">
        <w:t xml:space="preserve">Chapter 3 of </w:t>
      </w:r>
      <w:hyperlink r:id="rId27" w:history="1">
        <w:r w:rsidRPr="006651AE">
          <w:rPr>
            <w:rStyle w:val="Hyperlink"/>
          </w:rPr>
          <w:t>Closing the Gap Through Place-Based Employment</w:t>
        </w:r>
      </w:hyperlink>
      <w:r w:rsidRPr="006651AE">
        <w:rPr>
          <w:rStyle w:val="Hyperlink"/>
        </w:rPr>
        <w:t xml:space="preserve"> paper prepared by the Centre for </w:t>
      </w:r>
      <w:r w:rsidRPr="006651AE">
        <w:t>Excellence in Local Government (ACELG)</w:t>
      </w:r>
    </w:p>
    <w:p w14:paraId="700F44B6" w14:textId="77777777" w:rsidR="00394D98" w:rsidRPr="006651AE" w:rsidRDefault="00394D98" w:rsidP="009D5957">
      <w:pPr>
        <w:ind w:left="709" w:hanging="567"/>
      </w:pPr>
    </w:p>
    <w:p w14:paraId="14CBE1BF" w14:textId="77777777" w:rsidR="00394D98" w:rsidRPr="006651AE" w:rsidRDefault="00EF699F" w:rsidP="009D5957">
      <w:pPr>
        <w:pStyle w:val="ListParagraph"/>
        <w:numPr>
          <w:ilvl w:val="0"/>
          <w:numId w:val="4"/>
        </w:numPr>
        <w:ind w:left="709" w:hanging="567"/>
        <w:rPr>
          <w:lang w:val="en"/>
        </w:rPr>
      </w:pPr>
      <w:hyperlink r:id="rId28" w:history="1">
        <w:r w:rsidR="00394D98" w:rsidRPr="006651AE">
          <w:rPr>
            <w:rStyle w:val="Hyperlink"/>
          </w:rPr>
          <w:t>Everybody's Business: A Handbook for Indigenous Employment</w:t>
        </w:r>
      </w:hyperlink>
      <w:r w:rsidR="00394D98" w:rsidRPr="006651AE">
        <w:t xml:space="preserve"> developed by </w:t>
      </w:r>
      <w:proofErr w:type="spellStart"/>
      <w:r w:rsidR="00394D98" w:rsidRPr="006651AE">
        <w:t>GenerationOne</w:t>
      </w:r>
      <w:proofErr w:type="spellEnd"/>
      <w:r w:rsidR="00394D98" w:rsidRPr="006651AE">
        <w:t xml:space="preserve">, Reconciliation Australia and Social Ventures </w:t>
      </w:r>
      <w:proofErr w:type="gramStart"/>
      <w:r w:rsidR="00394D98" w:rsidRPr="006651AE">
        <w:t>Australia</w:t>
      </w:r>
      <w:r w:rsidR="00394D98" w:rsidRPr="006651AE">
        <w:rPr>
          <w:lang w:val="en"/>
        </w:rPr>
        <w:t xml:space="preserve"> </w:t>
      </w:r>
      <w:r w:rsidR="00394D98">
        <w:rPr>
          <w:lang w:val="en"/>
        </w:rPr>
        <w:t>.</w:t>
      </w:r>
      <w:proofErr w:type="gramEnd"/>
    </w:p>
    <w:p w14:paraId="6CA017F4" w14:textId="77777777" w:rsidR="00394D98" w:rsidRDefault="00394D98" w:rsidP="009D5957">
      <w:pPr>
        <w:ind w:left="142"/>
        <w:rPr>
          <w:b/>
        </w:rPr>
      </w:pPr>
    </w:p>
    <w:p w14:paraId="54C3D4FD" w14:textId="77777777" w:rsidR="00394D98" w:rsidRPr="006651AE" w:rsidRDefault="00394D98" w:rsidP="009D5957">
      <w:pPr>
        <w:ind w:left="142"/>
        <w:rPr>
          <w:b/>
        </w:rPr>
      </w:pPr>
      <w:r w:rsidRPr="006651AE">
        <w:rPr>
          <w:b/>
        </w:rPr>
        <w:t>Accessing support from federal and state government programs:</w:t>
      </w:r>
    </w:p>
    <w:p w14:paraId="77CED695" w14:textId="77777777" w:rsidR="00394D98" w:rsidRPr="006651AE" w:rsidRDefault="00394D98" w:rsidP="009D5957">
      <w:pPr>
        <w:ind w:left="142"/>
        <w:rPr>
          <w:b/>
        </w:rPr>
      </w:pPr>
    </w:p>
    <w:p w14:paraId="550B08D0" w14:textId="77777777" w:rsidR="00394D98" w:rsidRPr="006651AE" w:rsidRDefault="00394D98" w:rsidP="009D5957">
      <w:pPr>
        <w:pStyle w:val="ListParagraph"/>
        <w:numPr>
          <w:ilvl w:val="0"/>
          <w:numId w:val="5"/>
        </w:numPr>
        <w:ind w:left="709" w:hanging="567"/>
      </w:pPr>
      <w:r w:rsidRPr="006651AE">
        <w:t>There are a number of wage subsidy programs that councils can apply for, including the</w:t>
      </w:r>
      <w:r w:rsidRPr="006651AE">
        <w:rPr>
          <w:u w:val="single"/>
        </w:rPr>
        <w:t xml:space="preserve"> </w:t>
      </w:r>
      <w:r w:rsidRPr="006651AE">
        <w:t xml:space="preserve">Australian Government’s </w:t>
      </w:r>
      <w:hyperlink r:id="rId29" w:history="1">
        <w:r w:rsidRPr="006651AE">
          <w:rPr>
            <w:rStyle w:val="Hyperlink"/>
          </w:rPr>
          <w:t>Indigenous Employment Programme (IEP</w:t>
        </w:r>
      </w:hyperlink>
      <w:r w:rsidRPr="006651AE">
        <w:t xml:space="preserve">) and the Victorian Government’s </w:t>
      </w:r>
      <w:hyperlink r:id="rId30" w:history="1">
        <w:r w:rsidRPr="006651AE">
          <w:rPr>
            <w:rStyle w:val="Hyperlink"/>
          </w:rPr>
          <w:t>Youth Employment Scheme (YES</w:t>
        </w:r>
      </w:hyperlink>
      <w:r w:rsidRPr="006651AE">
        <w:t xml:space="preserve">) scheme for 15-24 year-olds  </w:t>
      </w:r>
    </w:p>
    <w:p w14:paraId="235E08FA" w14:textId="77777777" w:rsidR="00394D98" w:rsidRPr="006651AE" w:rsidRDefault="00394D98" w:rsidP="009D5957">
      <w:pPr>
        <w:pStyle w:val="ListParagraph"/>
        <w:tabs>
          <w:tab w:val="left" w:pos="142"/>
        </w:tabs>
        <w:ind w:left="709" w:hanging="567"/>
        <w:rPr>
          <w:lang w:val="en"/>
        </w:rPr>
      </w:pPr>
    </w:p>
    <w:p w14:paraId="698B2A7F" w14:textId="77777777" w:rsidR="00394D98" w:rsidRPr="006651AE" w:rsidRDefault="00394D98" w:rsidP="009D5957">
      <w:pPr>
        <w:pStyle w:val="ListParagraph"/>
        <w:numPr>
          <w:ilvl w:val="0"/>
          <w:numId w:val="5"/>
        </w:numPr>
        <w:ind w:left="709" w:hanging="567"/>
        <w:rPr>
          <w:b/>
        </w:rPr>
      </w:pPr>
      <w:r w:rsidRPr="006651AE">
        <w:rPr>
          <w:lang w:val="en"/>
        </w:rPr>
        <w:t xml:space="preserve">The Australian Government’s </w:t>
      </w:r>
      <w:hyperlink r:id="rId31" w:history="1">
        <w:r w:rsidRPr="006651AE">
          <w:rPr>
            <w:rStyle w:val="Hyperlink"/>
            <w:lang w:val="en"/>
          </w:rPr>
          <w:t>Indigenous Cadetship Support (ICS)</w:t>
        </w:r>
      </w:hyperlink>
      <w:r w:rsidRPr="006651AE">
        <w:rPr>
          <w:lang w:val="en"/>
        </w:rPr>
        <w:t xml:space="preserve"> program seeks to improve the professional employment prospects of Aboriginal people by linking Aboriginal and Torres Strait Islander tertiary students with employers in a cadetship arrangement involving full-time study</w:t>
      </w:r>
      <w:r>
        <w:rPr>
          <w:lang w:val="en"/>
        </w:rPr>
        <w:t xml:space="preserve"> and negotiated work placements</w:t>
      </w:r>
    </w:p>
    <w:p w14:paraId="1AEA3583" w14:textId="77777777" w:rsidR="00394D98" w:rsidRPr="006651AE" w:rsidRDefault="00394D98" w:rsidP="009D5957">
      <w:pPr>
        <w:pStyle w:val="ListParagraph"/>
        <w:ind w:left="709" w:hanging="567"/>
        <w:rPr>
          <w:u w:val="single"/>
        </w:rPr>
      </w:pPr>
    </w:p>
    <w:p w14:paraId="2613A13B" w14:textId="77777777" w:rsidR="00394D98" w:rsidRPr="006651AE" w:rsidRDefault="00394D98" w:rsidP="009D5957">
      <w:pPr>
        <w:pStyle w:val="ListParagraph"/>
        <w:numPr>
          <w:ilvl w:val="0"/>
          <w:numId w:val="5"/>
        </w:numPr>
        <w:ind w:left="709" w:hanging="567"/>
        <w:rPr>
          <w:u w:val="single"/>
        </w:rPr>
      </w:pPr>
      <w:r w:rsidRPr="006651AE">
        <w:rPr>
          <w:lang w:val="en"/>
        </w:rPr>
        <w:t xml:space="preserve">Explore potential partnerships with the Australian Government’s </w:t>
      </w:r>
      <w:hyperlink r:id="rId32" w:history="1">
        <w:r w:rsidRPr="006651AE">
          <w:rPr>
            <w:rStyle w:val="Hyperlink"/>
            <w:lang w:val="en"/>
          </w:rPr>
          <w:t>Indigenous Youth Careers Pathways Program (IYCP)</w:t>
        </w:r>
      </w:hyperlink>
      <w:r w:rsidRPr="006651AE">
        <w:rPr>
          <w:lang w:val="en"/>
        </w:rPr>
        <w:t xml:space="preserve"> which provides school-based traineeships to Aboriginal and Torres Strait Islander students in years 11 and 12 cases y</w:t>
      </w:r>
      <w:r>
        <w:rPr>
          <w:lang w:val="en"/>
        </w:rPr>
        <w:t>ear 10).</w:t>
      </w:r>
    </w:p>
    <w:p w14:paraId="5A1D2894" w14:textId="4177D9E9" w:rsidR="00394D98" w:rsidRDefault="00394D98" w:rsidP="009D5957">
      <w:pPr>
        <w:ind w:left="142"/>
        <w:rPr>
          <w:lang w:val="en"/>
        </w:rPr>
      </w:pPr>
    </w:p>
    <w:tbl>
      <w:tblPr>
        <w:tblStyle w:val="TableGrid"/>
        <w:tblW w:w="104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4A0" w:firstRow="1" w:lastRow="0" w:firstColumn="1" w:lastColumn="0" w:noHBand="0" w:noVBand="1"/>
      </w:tblPr>
      <w:tblGrid>
        <w:gridCol w:w="10490"/>
      </w:tblGrid>
      <w:tr w:rsidR="00394D98" w:rsidRPr="002B31FC" w14:paraId="493A2025" w14:textId="77777777" w:rsidTr="009D5957">
        <w:tc>
          <w:tcPr>
            <w:tcW w:w="10490" w:type="dxa"/>
            <w:shd w:val="clear" w:color="auto" w:fill="C6D9F1" w:themeFill="text2" w:themeFillTint="33"/>
          </w:tcPr>
          <w:p w14:paraId="2BAA8EEF" w14:textId="77777777" w:rsidR="00394D98" w:rsidRPr="00C27649" w:rsidRDefault="00394D98" w:rsidP="009D5957">
            <w:pPr>
              <w:ind w:left="142"/>
              <w:rPr>
                <w:b/>
                <w:smallCaps/>
                <w:sz w:val="28"/>
                <w:szCs w:val="28"/>
              </w:rPr>
            </w:pPr>
            <w:r>
              <w:rPr>
                <w:b/>
                <w:smallCaps/>
                <w:sz w:val="28"/>
                <w:szCs w:val="28"/>
              </w:rPr>
              <w:t>procurement</w:t>
            </w:r>
            <w:r w:rsidRPr="00C27649">
              <w:rPr>
                <w:b/>
                <w:smallCaps/>
                <w:sz w:val="28"/>
                <w:szCs w:val="28"/>
              </w:rPr>
              <w:t xml:space="preserve"> </w:t>
            </w:r>
          </w:p>
        </w:tc>
      </w:tr>
    </w:tbl>
    <w:p w14:paraId="55F0038E" w14:textId="77777777" w:rsidR="00394D98" w:rsidRPr="006651AE" w:rsidRDefault="00394D98" w:rsidP="009D5957">
      <w:pPr>
        <w:ind w:left="142"/>
        <w:rPr>
          <w:rFonts w:ascii="RotisSansSerif-Light" w:hAnsi="RotisSansSerif-Light" w:cs="RotisSansSerif-Light"/>
        </w:rPr>
      </w:pPr>
    </w:p>
    <w:p w14:paraId="73C54FCD" w14:textId="77777777" w:rsidR="00394D98" w:rsidRPr="006651AE" w:rsidRDefault="00394D98" w:rsidP="009D5957">
      <w:pPr>
        <w:ind w:left="142"/>
        <w:rPr>
          <w:rFonts w:ascii="RotisSansSerif-Light" w:hAnsi="RotisSansSerif-Light" w:cs="RotisSansSerif-Light"/>
        </w:rPr>
      </w:pPr>
      <w:r w:rsidRPr="006651AE">
        <w:rPr>
          <w:rFonts w:ascii="RotisSansSerif-Light" w:hAnsi="RotisSansSerif-Light" w:cs="RotisSansSerif-Light"/>
        </w:rPr>
        <w:t>As a major purchaser of local goods and services, councils can provide a significant stimulus to Aboriginal employment if they procure services from Aboriginal businesses.</w:t>
      </w:r>
    </w:p>
    <w:p w14:paraId="739356EB" w14:textId="77777777" w:rsidR="00394D98" w:rsidRPr="006651AE" w:rsidRDefault="00394D98" w:rsidP="009D5957">
      <w:pPr>
        <w:ind w:left="142"/>
        <w:rPr>
          <w:rFonts w:ascii="RotisSansSerif-Light" w:hAnsi="RotisSansSerif-Light" w:cs="RotisSansSerif-Light"/>
        </w:rPr>
      </w:pPr>
    </w:p>
    <w:p w14:paraId="767A6157" w14:textId="77777777" w:rsidR="00394D98" w:rsidRPr="006651AE" w:rsidRDefault="00394D98" w:rsidP="009D5957">
      <w:pPr>
        <w:pStyle w:val="ListParagraph"/>
        <w:numPr>
          <w:ilvl w:val="0"/>
          <w:numId w:val="2"/>
        </w:numPr>
        <w:ind w:left="709" w:hanging="567"/>
        <w:rPr>
          <w:rFonts w:ascii="RotisSansSerif-Light" w:hAnsi="RotisSansSerif-Light" w:cs="RotisSansSerif-Light"/>
        </w:rPr>
      </w:pPr>
      <w:r w:rsidRPr="006651AE">
        <w:rPr>
          <w:rFonts w:ascii="RotisSansSerif-Light" w:hAnsi="RotisSansSerif-Light" w:cs="RotisSansSerif-Light"/>
        </w:rPr>
        <w:t xml:space="preserve">Learn about local Aboriginal businesses and the services they offer through the Victorian Government’s </w:t>
      </w:r>
      <w:hyperlink r:id="rId33" w:history="1">
        <w:r w:rsidRPr="006651AE">
          <w:rPr>
            <w:rStyle w:val="Hyperlink"/>
            <w:rFonts w:ascii="RotisSansSerif-Light" w:hAnsi="RotisSansSerif-Light" w:cs="RotisSansSerif-Light"/>
          </w:rPr>
          <w:t>Aboriginal Business Directory</w:t>
        </w:r>
      </w:hyperlink>
    </w:p>
    <w:p w14:paraId="4FF53D11" w14:textId="77777777" w:rsidR="00394D98" w:rsidRPr="006651AE" w:rsidRDefault="00394D98" w:rsidP="009D5957">
      <w:pPr>
        <w:pStyle w:val="ListParagraph"/>
        <w:ind w:left="709" w:hanging="567"/>
        <w:rPr>
          <w:rFonts w:ascii="RotisSansSerif-Light" w:hAnsi="RotisSansSerif-Light" w:cs="RotisSansSerif-Light"/>
        </w:rPr>
      </w:pPr>
    </w:p>
    <w:p w14:paraId="0E3495C3" w14:textId="77777777" w:rsidR="00394D98" w:rsidRPr="006651AE" w:rsidRDefault="00394D98" w:rsidP="009D5957">
      <w:pPr>
        <w:pStyle w:val="ListParagraph"/>
        <w:numPr>
          <w:ilvl w:val="0"/>
          <w:numId w:val="2"/>
        </w:numPr>
        <w:ind w:left="709" w:hanging="567"/>
        <w:rPr>
          <w:rFonts w:ascii="RotisSansSerif-Light" w:hAnsi="RotisSansSerif-Light" w:cs="RotisSansSerif-Light"/>
        </w:rPr>
      </w:pPr>
      <w:r w:rsidRPr="006651AE">
        <w:rPr>
          <w:rFonts w:cs="Arial"/>
        </w:rPr>
        <w:t xml:space="preserve">Become a member of </w:t>
      </w:r>
      <w:hyperlink r:id="rId34" w:history="1">
        <w:r w:rsidRPr="006651AE">
          <w:rPr>
            <w:rStyle w:val="Hyperlink"/>
            <w:rFonts w:cs="Arial"/>
          </w:rPr>
          <w:t>Supply Nation</w:t>
        </w:r>
      </w:hyperlink>
      <w:r w:rsidRPr="006651AE">
        <w:rPr>
          <w:rFonts w:cs="Arial"/>
        </w:rPr>
        <w:t xml:space="preserve">, a national organisation </w:t>
      </w:r>
      <w:r w:rsidRPr="006651AE">
        <w:rPr>
          <w:rFonts w:cs="Arial"/>
          <w:lang w:val="en"/>
        </w:rPr>
        <w:t xml:space="preserve">funded by the Australian Government Department of Education, Employment and Workplace Relations (DEEWR).  Formerly known as AIMSC (the Australian Indigenous Minority Supplier Council), Supply Nation connects </w:t>
      </w:r>
      <w:r w:rsidRPr="006651AE">
        <w:rPr>
          <w:rFonts w:eastAsia="Times New Roman" w:cs="Arial"/>
          <w:lang w:val="en" w:eastAsia="en-AU"/>
        </w:rPr>
        <w:t xml:space="preserve">corporate and government </w:t>
      </w:r>
      <w:proofErr w:type="spellStart"/>
      <w:r w:rsidRPr="006651AE">
        <w:rPr>
          <w:rFonts w:eastAsia="Times New Roman" w:cs="Arial"/>
          <w:lang w:val="en" w:eastAsia="en-AU"/>
        </w:rPr>
        <w:t>organisations</w:t>
      </w:r>
      <w:proofErr w:type="spellEnd"/>
      <w:r w:rsidRPr="006651AE">
        <w:rPr>
          <w:rFonts w:eastAsia="Times New Roman" w:cs="Arial"/>
          <w:lang w:val="en" w:eastAsia="en-AU"/>
        </w:rPr>
        <w:t xml:space="preserve"> with Indigenous business suppliers who are already achieving success or have the potential to develop into vibrant, vital businesses</w:t>
      </w:r>
    </w:p>
    <w:p w14:paraId="1262127D" w14:textId="77777777" w:rsidR="00394D98" w:rsidRPr="006651AE" w:rsidRDefault="00394D98" w:rsidP="009D5957">
      <w:pPr>
        <w:pStyle w:val="ListParagraph"/>
        <w:ind w:left="709" w:hanging="567"/>
        <w:rPr>
          <w:rFonts w:ascii="RotisSansSerif-Light" w:hAnsi="RotisSansSerif-Light" w:cs="RotisSansSerif-Light"/>
        </w:rPr>
      </w:pPr>
    </w:p>
    <w:p w14:paraId="576C052C" w14:textId="77777777" w:rsidR="00394D98" w:rsidRDefault="00394D98" w:rsidP="009D5957">
      <w:pPr>
        <w:pStyle w:val="ListParagraph"/>
        <w:numPr>
          <w:ilvl w:val="0"/>
          <w:numId w:val="2"/>
        </w:numPr>
        <w:ind w:left="709" w:hanging="567"/>
      </w:pPr>
      <w:r w:rsidRPr="006B5D14">
        <w:rPr>
          <w:rFonts w:ascii="RotisSansSerif-Light" w:hAnsi="RotisSansSerif-Light" w:cs="RotisSansSerif-Light"/>
        </w:rPr>
        <w:t>Ask your local Aboriginal community if there are any Aboriginal-owned businesses operating in your municipality.</w:t>
      </w:r>
      <w:r>
        <w:br w:type="page"/>
      </w:r>
    </w:p>
    <w:p w14:paraId="660F58ED" w14:textId="77777777" w:rsidR="00394D98" w:rsidRDefault="00394D98" w:rsidP="00394D98">
      <w:pPr>
        <w:rPr>
          <w:rStyle w:val="Hyperlink"/>
          <w:rFonts w:cs="Arial"/>
          <w:sz w:val="20"/>
          <w:szCs w:val="20"/>
        </w:rPr>
      </w:pPr>
    </w:p>
    <w:p w14:paraId="75D3642C" w14:textId="77777777" w:rsidR="00394D98" w:rsidRPr="002B31FC" w:rsidRDefault="00394D98" w:rsidP="00394D98">
      <w:pPr>
        <w:rPr>
          <w:rStyle w:val="Hyperlink"/>
          <w:rFonts w:cs="Arial"/>
          <w:sz w:val="20"/>
          <w:szCs w:val="2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4A0" w:firstRow="1" w:lastRow="0" w:firstColumn="1" w:lastColumn="0" w:noHBand="0" w:noVBand="1"/>
      </w:tblPr>
      <w:tblGrid>
        <w:gridCol w:w="10206"/>
      </w:tblGrid>
      <w:tr w:rsidR="00394D98" w:rsidRPr="002B31FC" w14:paraId="0587CD8B" w14:textId="77777777" w:rsidTr="009D5957">
        <w:tc>
          <w:tcPr>
            <w:tcW w:w="10206" w:type="dxa"/>
            <w:shd w:val="clear" w:color="auto" w:fill="C6D9F1" w:themeFill="text2" w:themeFillTint="33"/>
          </w:tcPr>
          <w:p w14:paraId="49B6D14A" w14:textId="77777777" w:rsidR="00394D98" w:rsidRPr="00C27649" w:rsidRDefault="00394D98" w:rsidP="006F23D4">
            <w:pPr>
              <w:rPr>
                <w:b/>
                <w:smallCaps/>
                <w:sz w:val="28"/>
                <w:szCs w:val="28"/>
              </w:rPr>
            </w:pPr>
            <w:r w:rsidRPr="00C27649">
              <w:rPr>
                <w:b/>
                <w:smallCaps/>
                <w:sz w:val="28"/>
                <w:szCs w:val="28"/>
              </w:rPr>
              <w:t xml:space="preserve">induction  &amp; retention </w:t>
            </w:r>
          </w:p>
        </w:tc>
      </w:tr>
    </w:tbl>
    <w:p w14:paraId="45E4EFD0" w14:textId="77777777" w:rsidR="00394D98" w:rsidRDefault="00394D98" w:rsidP="00394D98">
      <w:pPr>
        <w:rPr>
          <w:sz w:val="20"/>
          <w:szCs w:val="20"/>
        </w:rPr>
      </w:pPr>
    </w:p>
    <w:p w14:paraId="7AD0DFBE" w14:textId="77777777" w:rsidR="00394D98" w:rsidRPr="006651AE" w:rsidRDefault="00394D98" w:rsidP="009D5957">
      <w:pPr>
        <w:ind w:left="284" w:hanging="142"/>
        <w:rPr>
          <w:b/>
        </w:rPr>
      </w:pPr>
      <w:r w:rsidRPr="006651AE">
        <w:rPr>
          <w:b/>
        </w:rPr>
        <w:t>Local government examples:</w:t>
      </w:r>
    </w:p>
    <w:p w14:paraId="3A246C6B" w14:textId="77777777" w:rsidR="00394D98" w:rsidRPr="006651AE" w:rsidRDefault="00394D98" w:rsidP="009D5957">
      <w:pPr>
        <w:ind w:left="284" w:hanging="142"/>
      </w:pPr>
    </w:p>
    <w:p w14:paraId="22600A08" w14:textId="77777777" w:rsidR="00394D98" w:rsidRPr="006651AE" w:rsidRDefault="00394D98" w:rsidP="009D5957">
      <w:pPr>
        <w:pStyle w:val="ListParagraph"/>
        <w:numPr>
          <w:ilvl w:val="0"/>
          <w:numId w:val="7"/>
        </w:numPr>
        <w:tabs>
          <w:tab w:val="left" w:pos="709"/>
        </w:tabs>
        <w:ind w:left="709" w:hanging="567"/>
      </w:pPr>
      <w:r w:rsidRPr="006651AE">
        <w:t xml:space="preserve">The MAV report </w:t>
      </w:r>
      <w:hyperlink r:id="rId35" w:history="1">
        <w:r w:rsidRPr="006651AE">
          <w:rPr>
            <w:rStyle w:val="Hyperlink"/>
          </w:rPr>
          <w:t>Pathways</w:t>
        </w:r>
        <w:r w:rsidRPr="006651AE">
          <w:rPr>
            <w:rStyle w:val="Hyperlink"/>
            <w:spacing w:val="-21"/>
          </w:rPr>
          <w:t xml:space="preserve"> </w:t>
        </w:r>
        <w:r w:rsidRPr="006651AE">
          <w:rPr>
            <w:rStyle w:val="Hyperlink"/>
          </w:rPr>
          <w:t>to</w:t>
        </w:r>
        <w:r w:rsidRPr="006651AE">
          <w:rPr>
            <w:rStyle w:val="Hyperlink"/>
            <w:spacing w:val="-4"/>
          </w:rPr>
          <w:t xml:space="preserve"> </w:t>
        </w:r>
        <w:r w:rsidRPr="006651AE">
          <w:rPr>
            <w:rStyle w:val="Hyperlink"/>
          </w:rPr>
          <w:t>better</w:t>
        </w:r>
        <w:r w:rsidRPr="006651AE">
          <w:rPr>
            <w:rStyle w:val="Hyperlink"/>
            <w:spacing w:val="-12"/>
          </w:rPr>
          <w:t xml:space="preserve"> </w:t>
        </w:r>
        <w:r w:rsidRPr="006651AE">
          <w:rPr>
            <w:rStyle w:val="Hyperlink"/>
          </w:rPr>
          <w:t>employment outcomes</w:t>
        </w:r>
        <w:r w:rsidRPr="006651AE">
          <w:rPr>
            <w:rStyle w:val="Hyperlink"/>
            <w:spacing w:val="-21"/>
          </w:rPr>
          <w:t xml:space="preserve"> </w:t>
        </w:r>
        <w:r w:rsidRPr="006651AE">
          <w:rPr>
            <w:rStyle w:val="Hyperlink"/>
          </w:rPr>
          <w:t>for</w:t>
        </w:r>
        <w:r w:rsidRPr="006651AE">
          <w:rPr>
            <w:rStyle w:val="Hyperlink"/>
            <w:spacing w:val="-6"/>
          </w:rPr>
          <w:t xml:space="preserve"> </w:t>
        </w:r>
        <w:r w:rsidRPr="006651AE">
          <w:rPr>
            <w:rStyle w:val="Hyperlink"/>
          </w:rPr>
          <w:t>Aboriginal</w:t>
        </w:r>
        <w:r w:rsidRPr="006651AE">
          <w:rPr>
            <w:rStyle w:val="Hyperlink"/>
            <w:spacing w:val="-23"/>
          </w:rPr>
          <w:t xml:space="preserve"> </w:t>
        </w:r>
        <w:r w:rsidRPr="006651AE">
          <w:rPr>
            <w:rStyle w:val="Hyperlink"/>
          </w:rPr>
          <w:t>people in</w:t>
        </w:r>
        <w:r w:rsidRPr="006651AE">
          <w:rPr>
            <w:rStyle w:val="Hyperlink"/>
            <w:spacing w:val="-4"/>
          </w:rPr>
          <w:t xml:space="preserve"> </w:t>
        </w:r>
        <w:r w:rsidRPr="006651AE">
          <w:rPr>
            <w:rStyle w:val="Hyperlink"/>
            <w:spacing w:val="-10"/>
          </w:rPr>
          <w:t>V</w:t>
        </w:r>
        <w:r w:rsidRPr="006651AE">
          <w:rPr>
            <w:rStyle w:val="Hyperlink"/>
          </w:rPr>
          <w:t>ictorian</w:t>
        </w:r>
        <w:r w:rsidRPr="006651AE">
          <w:rPr>
            <w:rStyle w:val="Hyperlink"/>
            <w:spacing w:val="-20"/>
          </w:rPr>
          <w:t xml:space="preserve"> </w:t>
        </w:r>
        <w:r w:rsidRPr="006651AE">
          <w:rPr>
            <w:rStyle w:val="Hyperlink"/>
          </w:rPr>
          <w:t>local</w:t>
        </w:r>
        <w:r w:rsidRPr="006651AE">
          <w:rPr>
            <w:rStyle w:val="Hyperlink"/>
            <w:spacing w:val="-11"/>
          </w:rPr>
          <w:t xml:space="preserve"> </w:t>
        </w:r>
        <w:r w:rsidRPr="006651AE">
          <w:rPr>
            <w:rStyle w:val="Hyperlink"/>
          </w:rPr>
          <w:t>governmen</w:t>
        </w:r>
      </w:hyperlink>
      <w:r>
        <w:rPr>
          <w:rStyle w:val="Hyperlink"/>
        </w:rPr>
        <w:t>t</w:t>
      </w:r>
      <w:r w:rsidRPr="006651AE">
        <w:t xml:space="preserve"> provides examples o</w:t>
      </w:r>
      <w:r>
        <w:t>f what is working in Victorian c</w:t>
      </w:r>
      <w:r w:rsidRPr="006651AE">
        <w:t>ouncils</w:t>
      </w:r>
    </w:p>
    <w:p w14:paraId="596DA17B" w14:textId="77777777" w:rsidR="00394D98" w:rsidRPr="006651AE" w:rsidRDefault="00394D98" w:rsidP="009D5957">
      <w:pPr>
        <w:pStyle w:val="ListParagraph"/>
        <w:ind w:left="709" w:hanging="567"/>
      </w:pPr>
    </w:p>
    <w:p w14:paraId="5DD8DDF3" w14:textId="77777777" w:rsidR="00394D98" w:rsidRPr="006651AE" w:rsidRDefault="00394D98" w:rsidP="009D5957">
      <w:pPr>
        <w:pStyle w:val="ListParagraph"/>
        <w:numPr>
          <w:ilvl w:val="0"/>
          <w:numId w:val="9"/>
        </w:numPr>
        <w:ind w:left="709" w:hanging="567"/>
        <w:rPr>
          <w:rStyle w:val="Hyperlink"/>
          <w:rFonts w:cs="Arial"/>
          <w:lang w:val="en"/>
        </w:rPr>
      </w:pPr>
      <w:r w:rsidRPr="006651AE">
        <w:t xml:space="preserve">Whittlesea City Council’s </w:t>
      </w:r>
      <w:hyperlink r:id="rId36" w:history="1">
        <w:r w:rsidRPr="006651AE">
          <w:rPr>
            <w:rStyle w:val="Hyperlink"/>
            <w:rFonts w:cs="Arial"/>
            <w:lang w:val="en"/>
          </w:rPr>
          <w:t>Aboriginal Employment Pathways Strategy and Action Plan</w:t>
        </w:r>
      </w:hyperlink>
    </w:p>
    <w:p w14:paraId="63C78D30" w14:textId="77777777" w:rsidR="00394D98" w:rsidRPr="006651AE" w:rsidRDefault="00394D98" w:rsidP="009D5957">
      <w:pPr>
        <w:ind w:left="709" w:hanging="567"/>
        <w:rPr>
          <w:rFonts w:cs="Arial"/>
          <w:lang w:val="en"/>
        </w:rPr>
      </w:pPr>
    </w:p>
    <w:p w14:paraId="79806970" w14:textId="77777777" w:rsidR="00394D98" w:rsidRPr="006651AE" w:rsidRDefault="00394D98" w:rsidP="009D5957">
      <w:pPr>
        <w:pStyle w:val="ListParagraph"/>
        <w:numPr>
          <w:ilvl w:val="0"/>
          <w:numId w:val="7"/>
        </w:numPr>
        <w:ind w:left="709" w:hanging="567"/>
        <w:rPr>
          <w:rFonts w:cs="Arial"/>
          <w:lang w:val="en"/>
        </w:rPr>
      </w:pPr>
      <w:r w:rsidRPr="006651AE">
        <w:rPr>
          <w:rFonts w:cs="Arial"/>
          <w:lang w:val="en"/>
        </w:rPr>
        <w:t xml:space="preserve">Port Phillip City Council’s </w:t>
      </w:r>
      <w:hyperlink r:id="rId37" w:history="1">
        <w:r w:rsidRPr="006651AE">
          <w:rPr>
            <w:rStyle w:val="Hyperlink"/>
            <w:rFonts w:cs="Arial"/>
            <w:lang w:val="en"/>
          </w:rPr>
          <w:t>Positions vacant</w:t>
        </w:r>
      </w:hyperlink>
      <w:r w:rsidRPr="006651AE">
        <w:rPr>
          <w:rFonts w:cs="Arial"/>
          <w:lang w:val="en"/>
        </w:rPr>
        <w:t xml:space="preserve"> website introduction includes mention of Aboriginal people being welcome to apply for jobs</w:t>
      </w:r>
    </w:p>
    <w:p w14:paraId="4E59E952" w14:textId="77777777" w:rsidR="00394D98" w:rsidRPr="006651AE" w:rsidRDefault="00394D98" w:rsidP="009D5957">
      <w:pPr>
        <w:ind w:left="709" w:hanging="567"/>
        <w:rPr>
          <w:rStyle w:val="Hyperlink"/>
          <w:rFonts w:cs="Arial"/>
        </w:rPr>
      </w:pPr>
    </w:p>
    <w:p w14:paraId="6A58BD63" w14:textId="77777777" w:rsidR="00394D98" w:rsidRPr="006651AE" w:rsidRDefault="00394D98" w:rsidP="009D5957">
      <w:pPr>
        <w:pStyle w:val="ListParagraph"/>
        <w:numPr>
          <w:ilvl w:val="0"/>
          <w:numId w:val="7"/>
        </w:numPr>
        <w:ind w:left="709" w:hanging="567"/>
      </w:pPr>
      <w:r w:rsidRPr="006651AE">
        <w:rPr>
          <w:rStyle w:val="Hyperlink"/>
          <w:rFonts w:cs="Arial"/>
        </w:rPr>
        <w:t xml:space="preserve">Latrobe City Council’s </w:t>
      </w:r>
      <w:hyperlink r:id="rId38" w:history="1">
        <w:r w:rsidRPr="006651AE">
          <w:rPr>
            <w:rStyle w:val="Hyperlink"/>
            <w:rFonts w:cs="Arial"/>
          </w:rPr>
          <w:t>Indigenous ‘steps to the future’ program</w:t>
        </w:r>
      </w:hyperlink>
      <w:r>
        <w:rPr>
          <w:rStyle w:val="Hyperlink"/>
          <w:rFonts w:cs="Arial"/>
        </w:rPr>
        <w:t xml:space="preserve"> </w:t>
      </w:r>
      <w:r w:rsidRPr="007B3CAF">
        <w:rPr>
          <w:rStyle w:val="Hyperlink"/>
          <w:rFonts w:cs="Arial"/>
        </w:rPr>
        <w:t xml:space="preserve">has been </w:t>
      </w:r>
      <w:r>
        <w:rPr>
          <w:rStyle w:val="Hyperlink"/>
          <w:rFonts w:cs="Arial"/>
        </w:rPr>
        <w:t xml:space="preserve">developed in </w:t>
      </w:r>
      <w:r w:rsidRPr="006651AE">
        <w:rPr>
          <w:rFonts w:cs="Arial"/>
          <w:lang w:val="en"/>
        </w:rPr>
        <w:t xml:space="preserve">partnership with the Federal Department of Education Employment Workplace Relations to improve employment opportunities in </w:t>
      </w:r>
      <w:proofErr w:type="spellStart"/>
      <w:r w:rsidRPr="006651AE">
        <w:rPr>
          <w:rFonts w:cs="Arial"/>
          <w:lang w:val="en"/>
        </w:rPr>
        <w:t>Gippsland</w:t>
      </w:r>
      <w:proofErr w:type="spellEnd"/>
      <w:r>
        <w:rPr>
          <w:rFonts w:cs="Arial"/>
          <w:lang w:val="en"/>
        </w:rPr>
        <w:t>.</w:t>
      </w:r>
    </w:p>
    <w:p w14:paraId="69666D8F" w14:textId="77777777" w:rsidR="00394D98" w:rsidRPr="006651AE" w:rsidRDefault="00394D98" w:rsidP="009D5957">
      <w:pPr>
        <w:ind w:left="709" w:hanging="567"/>
        <w:rPr>
          <w:b/>
        </w:rPr>
      </w:pPr>
    </w:p>
    <w:p w14:paraId="1985E4B0" w14:textId="77777777" w:rsidR="00394D98" w:rsidRPr="006651AE" w:rsidRDefault="00394D98" w:rsidP="009D5957">
      <w:pPr>
        <w:ind w:left="709" w:hanging="567"/>
        <w:rPr>
          <w:b/>
        </w:rPr>
      </w:pPr>
      <w:r w:rsidRPr="006651AE">
        <w:rPr>
          <w:b/>
        </w:rPr>
        <w:t>Industry and public sector examples:</w:t>
      </w:r>
    </w:p>
    <w:p w14:paraId="40A2F054" w14:textId="77777777" w:rsidR="00394D98" w:rsidRPr="006651AE" w:rsidRDefault="00394D98" w:rsidP="009D5957">
      <w:pPr>
        <w:ind w:left="709" w:hanging="567"/>
        <w:rPr>
          <w:b/>
        </w:rPr>
      </w:pPr>
    </w:p>
    <w:p w14:paraId="45EAAFCA" w14:textId="0C7C22FC" w:rsidR="00394D98" w:rsidRPr="006651AE" w:rsidRDefault="00394D98" w:rsidP="009D5957">
      <w:pPr>
        <w:pStyle w:val="ListParagraph"/>
        <w:numPr>
          <w:ilvl w:val="0"/>
          <w:numId w:val="10"/>
        </w:numPr>
        <w:ind w:left="709" w:hanging="567"/>
        <w:rPr>
          <w:rStyle w:val="Hyperlink"/>
          <w:rFonts w:cs="Arial"/>
          <w:bCs/>
          <w:kern w:val="36"/>
        </w:rPr>
      </w:pPr>
      <w:r w:rsidRPr="006651AE">
        <w:t xml:space="preserve">There are many examples of Aboriginal employment programs from the corporate and other public sector organisations.  The Reconciliation Australia </w:t>
      </w:r>
      <w:hyperlink r:id="rId39" w:history="1">
        <w:r w:rsidRPr="006651AE">
          <w:rPr>
            <w:rStyle w:val="Hyperlink"/>
            <w:lang w:val="en"/>
          </w:rPr>
          <w:t>Workplace Ready Program</w:t>
        </w:r>
      </w:hyperlink>
      <w:r w:rsidRPr="006651AE">
        <w:rPr>
          <w:lang w:val="en"/>
        </w:rPr>
        <w:t xml:space="preserve"> has a toolkit for line managers, human resources managers and supervisors.  Some industry examples include </w:t>
      </w:r>
      <w:hyperlink r:id="rId40" w:history="1">
        <w:r w:rsidRPr="006651AE">
          <w:rPr>
            <w:rStyle w:val="Hyperlink"/>
          </w:rPr>
          <w:t>KPMG</w:t>
        </w:r>
      </w:hyperlink>
      <w:r w:rsidRPr="006651AE">
        <w:t xml:space="preserve">,  </w:t>
      </w:r>
      <w:hyperlink r:id="rId41" w:history="1">
        <w:r w:rsidRPr="006651AE">
          <w:rPr>
            <w:rStyle w:val="Hyperlink"/>
            <w:rFonts w:cs="Arial"/>
            <w:bCs/>
            <w:kern w:val="36"/>
          </w:rPr>
          <w:t>Qantas Indigenous Employment Program</w:t>
        </w:r>
      </w:hyperlink>
      <w:r w:rsidRPr="006651AE">
        <w:rPr>
          <w:rStyle w:val="Hyperlink"/>
          <w:rFonts w:cs="Arial"/>
          <w:bCs/>
          <w:kern w:val="36"/>
        </w:rPr>
        <w:t xml:space="preserve">,  </w:t>
      </w:r>
      <w:hyperlink r:id="rId42" w:history="1">
        <w:proofErr w:type="spellStart"/>
        <w:r w:rsidRPr="006651AE">
          <w:rPr>
            <w:rStyle w:val="Hyperlink"/>
            <w:rFonts w:cs="Arial"/>
            <w:bCs/>
            <w:kern w:val="36"/>
          </w:rPr>
          <w:t>Vicroads</w:t>
        </w:r>
        <w:proofErr w:type="spellEnd"/>
      </w:hyperlink>
      <w:r w:rsidRPr="006651AE">
        <w:rPr>
          <w:rStyle w:val="Hyperlink"/>
          <w:rFonts w:cs="Arial"/>
          <w:bCs/>
          <w:kern w:val="36"/>
        </w:rPr>
        <w:t xml:space="preserve">, and the </w:t>
      </w:r>
      <w:hyperlink r:id="rId43" w:history="1">
        <w:r w:rsidRPr="006651AE">
          <w:rPr>
            <w:rStyle w:val="Hyperlink"/>
            <w:rFonts w:cs="Arial"/>
            <w:bCs/>
            <w:kern w:val="36"/>
          </w:rPr>
          <w:t>Wesfarmers Reconciliation Action Plan</w:t>
        </w:r>
      </w:hyperlink>
      <w:r w:rsidRPr="006651AE">
        <w:rPr>
          <w:rStyle w:val="Hyperlink"/>
          <w:rFonts w:cs="Arial"/>
          <w:bCs/>
          <w:kern w:val="36"/>
        </w:rPr>
        <w:t xml:space="preserve">, </w:t>
      </w:r>
    </w:p>
    <w:p w14:paraId="5766BA17" w14:textId="77777777" w:rsidR="00394D98" w:rsidRPr="006651AE" w:rsidRDefault="00394D98" w:rsidP="009D5957">
      <w:pPr>
        <w:ind w:left="709" w:hanging="567"/>
        <w:rPr>
          <w:rFonts w:ascii="RotisSansSerif-Light" w:hAnsi="RotisSansSerif-Light" w:cs="RotisSansSerif-Light"/>
        </w:rPr>
      </w:pPr>
    </w:p>
    <w:p w14:paraId="1AFDD8CD" w14:textId="77777777" w:rsidR="00394D98" w:rsidRPr="006651AE" w:rsidRDefault="00394D98" w:rsidP="009D5957">
      <w:pPr>
        <w:ind w:left="709" w:hanging="567"/>
        <w:rPr>
          <w:rFonts w:cs="Arial"/>
          <w:b/>
        </w:rPr>
      </w:pPr>
      <w:r w:rsidRPr="006651AE">
        <w:rPr>
          <w:rFonts w:cs="Arial"/>
          <w:b/>
        </w:rPr>
        <w:t>Cultural awareness training providers:</w:t>
      </w:r>
    </w:p>
    <w:p w14:paraId="1772FF26" w14:textId="77777777" w:rsidR="00394D98" w:rsidRPr="006651AE" w:rsidRDefault="00394D98" w:rsidP="009D5957">
      <w:pPr>
        <w:ind w:left="709" w:hanging="567"/>
        <w:rPr>
          <w:rFonts w:cs="Arial"/>
        </w:rPr>
      </w:pPr>
    </w:p>
    <w:p w14:paraId="31B32401" w14:textId="77777777" w:rsidR="00394D98" w:rsidRPr="006651AE" w:rsidRDefault="00394D98" w:rsidP="009D5957">
      <w:pPr>
        <w:pStyle w:val="ListParagraph"/>
        <w:numPr>
          <w:ilvl w:val="0"/>
          <w:numId w:val="8"/>
        </w:numPr>
        <w:ind w:left="709" w:hanging="567"/>
      </w:pPr>
      <w:r w:rsidRPr="006651AE">
        <w:t xml:space="preserve">There are many cultural awareness programs offered by a range of providers.  The Reconciliation Australia website section </w:t>
      </w:r>
      <w:hyperlink r:id="rId44" w:history="1">
        <w:r w:rsidRPr="006651AE">
          <w:rPr>
            <w:rStyle w:val="Hyperlink"/>
          </w:rPr>
          <w:t>Share Our Pride</w:t>
        </w:r>
      </w:hyperlink>
      <w:r w:rsidRPr="006651AE">
        <w:t xml:space="preserve"> is a good place to start, with background information about Aboriginal Australians.  This website al</w:t>
      </w:r>
      <w:r>
        <w:t>so provides a list of providers</w:t>
      </w:r>
    </w:p>
    <w:p w14:paraId="407913FA" w14:textId="77777777" w:rsidR="00394D98" w:rsidRPr="006651AE" w:rsidRDefault="00394D98" w:rsidP="009D5957">
      <w:pPr>
        <w:ind w:left="709" w:hanging="567"/>
      </w:pPr>
    </w:p>
    <w:p w14:paraId="000040F4" w14:textId="77777777" w:rsidR="00394D98" w:rsidRPr="006651AE" w:rsidRDefault="00394D98" w:rsidP="009D5957">
      <w:pPr>
        <w:pStyle w:val="ListParagraph"/>
        <w:numPr>
          <w:ilvl w:val="0"/>
          <w:numId w:val="8"/>
        </w:numPr>
        <w:ind w:left="709" w:hanging="567"/>
      </w:pPr>
      <w:r w:rsidRPr="006651AE">
        <w:t xml:space="preserve">The </w:t>
      </w:r>
      <w:hyperlink r:id="rId45" w:history="1">
        <w:r w:rsidRPr="006651AE">
          <w:rPr>
            <w:rStyle w:val="Hyperlink"/>
          </w:rPr>
          <w:t>Koori Heritage Trust</w:t>
        </w:r>
      </w:hyperlink>
      <w:r w:rsidRPr="006651AE">
        <w:t xml:space="preserve"> provides a unique perspective as the custodian of Aboriginal cultural heritage of south-eastern</w:t>
      </w:r>
      <w:r>
        <w:t xml:space="preserve"> Australia</w:t>
      </w:r>
      <w:r w:rsidRPr="006651AE">
        <w:t xml:space="preserve">.  It also offers cultural awareness training services.  </w:t>
      </w:r>
    </w:p>
    <w:p w14:paraId="24C89008" w14:textId="77777777" w:rsidR="00394D98" w:rsidRPr="006651AE" w:rsidRDefault="00394D98" w:rsidP="009D5957">
      <w:pPr>
        <w:ind w:left="709" w:hanging="567"/>
        <w:rPr>
          <w:rFonts w:ascii="RotisSansSerif-Light" w:hAnsi="RotisSansSerif-Light" w:cs="RotisSansSerif-Light"/>
        </w:rPr>
      </w:pPr>
    </w:p>
    <w:p w14:paraId="3D4A5002" w14:textId="77777777" w:rsidR="00394D98" w:rsidRPr="006651AE" w:rsidRDefault="00394D98" w:rsidP="009D5957">
      <w:pPr>
        <w:ind w:left="709" w:hanging="567"/>
        <w:rPr>
          <w:rFonts w:cs="Arial"/>
          <w:b/>
        </w:rPr>
      </w:pPr>
      <w:r w:rsidRPr="006651AE">
        <w:rPr>
          <w:rFonts w:cs="Arial"/>
          <w:b/>
        </w:rPr>
        <w:t>Examples of strategies for long-term retention:</w:t>
      </w:r>
    </w:p>
    <w:p w14:paraId="66EC40D4" w14:textId="77777777" w:rsidR="00394D98" w:rsidRPr="006651AE" w:rsidRDefault="00394D98" w:rsidP="009D5957">
      <w:pPr>
        <w:ind w:left="709" w:hanging="567"/>
        <w:rPr>
          <w:rFonts w:ascii="RotisSansSerif-Light" w:hAnsi="RotisSansSerif-Light" w:cs="RotisSansSerif-Light"/>
        </w:rPr>
      </w:pPr>
    </w:p>
    <w:p w14:paraId="107FF8A2" w14:textId="77777777" w:rsidR="00394D98" w:rsidRPr="006651AE" w:rsidRDefault="00394D98" w:rsidP="009D5957">
      <w:pPr>
        <w:ind w:left="142"/>
        <w:rPr>
          <w:b/>
        </w:rPr>
      </w:pPr>
      <w:r w:rsidRPr="006651AE">
        <w:rPr>
          <w:lang w:val="en"/>
        </w:rPr>
        <w:t xml:space="preserve">The </w:t>
      </w:r>
      <w:r>
        <w:rPr>
          <w:rStyle w:val="Emphasis"/>
          <w:lang w:val="en"/>
        </w:rPr>
        <w:t xml:space="preserve">Australian Public Service </w:t>
      </w:r>
      <w:hyperlink r:id="rId46" w:history="1">
        <w:r w:rsidRPr="006651AE">
          <w:rPr>
            <w:rStyle w:val="Hyperlink"/>
            <w:lang w:val="en"/>
          </w:rPr>
          <w:t>Employment and Capability Strategy for Aboriginal and/or Torres Strait Islander Employees</w:t>
        </w:r>
      </w:hyperlink>
      <w:r w:rsidRPr="006651AE">
        <w:rPr>
          <w:i/>
          <w:lang w:val="en"/>
        </w:rPr>
        <w:t xml:space="preserve"> </w:t>
      </w:r>
      <w:r w:rsidRPr="006651AE">
        <w:rPr>
          <w:lang w:val="en"/>
        </w:rPr>
        <w:t xml:space="preserve">survey provides insight into the barriers and challenges that Indigenous APS employees </w:t>
      </w:r>
      <w:r>
        <w:rPr>
          <w:lang w:val="en"/>
        </w:rPr>
        <w:t xml:space="preserve">can </w:t>
      </w:r>
      <w:r w:rsidRPr="006651AE">
        <w:rPr>
          <w:lang w:val="en"/>
        </w:rPr>
        <w:t xml:space="preserve">face in their working environment.  In turn, this helps agencies determine the strategies they need to develop and implement in order to attract, recruit, develop and retain Indigenous staff.  The strategy also has a chapter about </w:t>
      </w:r>
      <w:hyperlink r:id="rId47" w:history="1">
        <w:r w:rsidRPr="006651AE">
          <w:rPr>
            <w:rStyle w:val="Hyperlink"/>
            <w:lang w:val="en"/>
          </w:rPr>
          <w:t>encouraging retention</w:t>
        </w:r>
      </w:hyperlink>
      <w:r w:rsidRPr="006651AE">
        <w:rPr>
          <w:lang w:val="en"/>
        </w:rPr>
        <w:t>.</w:t>
      </w:r>
    </w:p>
    <w:p w14:paraId="18721CBF" w14:textId="77777777" w:rsidR="00394D98" w:rsidRDefault="00394D98" w:rsidP="009D5957">
      <w:pPr>
        <w:ind w:left="709" w:hanging="567"/>
        <w:rPr>
          <w:rFonts w:cs="Arial"/>
          <w:b/>
        </w:rPr>
      </w:pPr>
    </w:p>
    <w:p w14:paraId="6CC58035" w14:textId="77777777" w:rsidR="00394D98" w:rsidRPr="006651AE" w:rsidRDefault="00394D98" w:rsidP="009D5957">
      <w:pPr>
        <w:ind w:left="709" w:hanging="567"/>
        <w:rPr>
          <w:rFonts w:cs="Arial"/>
          <w:b/>
        </w:rPr>
      </w:pPr>
      <w:r w:rsidRPr="006651AE">
        <w:rPr>
          <w:rFonts w:cs="Arial"/>
          <w:b/>
        </w:rPr>
        <w:t>Examples of cultural leave policies:</w:t>
      </w:r>
    </w:p>
    <w:p w14:paraId="6FD473A0" w14:textId="77777777" w:rsidR="00394D98" w:rsidRDefault="00394D98" w:rsidP="009D5957">
      <w:pPr>
        <w:ind w:left="709" w:hanging="567"/>
        <w:rPr>
          <w:rFonts w:ascii="RotisSansSerif-Light" w:hAnsi="RotisSansSerif-Light" w:cs="RotisSansSerif-Light"/>
        </w:rPr>
      </w:pPr>
    </w:p>
    <w:p w14:paraId="4464C36D" w14:textId="77777777" w:rsidR="00394D98" w:rsidRDefault="00394D98" w:rsidP="009D5957">
      <w:pPr>
        <w:ind w:left="142"/>
        <w:rPr>
          <w:rFonts w:ascii="RotisSansSerif-Light" w:hAnsi="RotisSansSerif-Light" w:cs="RotisSansSerif-Light"/>
        </w:rPr>
      </w:pPr>
      <w:r>
        <w:rPr>
          <w:rFonts w:ascii="RotisSansSerif-Light" w:hAnsi="RotisSansSerif-Light" w:cs="RotisSansSerif-Light"/>
        </w:rPr>
        <w:t>S</w:t>
      </w:r>
      <w:r w:rsidRPr="006651AE">
        <w:rPr>
          <w:rFonts w:ascii="RotisSansSerif-Light" w:hAnsi="RotisSansSerif-Light" w:cs="RotisSansSerif-Light"/>
        </w:rPr>
        <w:t>ome examples of policies from a variety of organisations, plus some suggestions developed at a forum held in 2014 attended by human resource and community development managers</w:t>
      </w:r>
      <w:r>
        <w:rPr>
          <w:rFonts w:ascii="RotisSansSerif-Light" w:hAnsi="RotisSansSerif-Light" w:cs="RotisSansSerif-Light"/>
        </w:rPr>
        <w:t xml:space="preserve">, are available on the </w:t>
      </w:r>
      <w:r w:rsidRPr="006651AE">
        <w:rPr>
          <w:rFonts w:ascii="RotisSansSerif-Light" w:hAnsi="RotisSansSerif-Light" w:cs="RotisSansSerif-Light"/>
        </w:rPr>
        <w:t xml:space="preserve">MAV website </w:t>
      </w:r>
      <w:hyperlink r:id="rId48" w:history="1">
        <w:r w:rsidRPr="006651AE">
          <w:rPr>
            <w:rStyle w:val="Hyperlink"/>
            <w:rFonts w:ascii="RotisSansSerif-Light" w:hAnsi="RotisSansSerif-Light" w:cs="RotisSansSerif-Light"/>
          </w:rPr>
          <w:t>www.bit.ly/aboriginalemployment</w:t>
        </w:r>
      </w:hyperlink>
      <w:r w:rsidRPr="006651AE">
        <w:rPr>
          <w:rFonts w:ascii="RotisSansSerif-Light" w:hAnsi="RotisSansSerif-Light" w:cs="RotisSansSerif-Light"/>
        </w:rPr>
        <w:t xml:space="preserve">.  </w:t>
      </w:r>
    </w:p>
    <w:p w14:paraId="44B0F96C" w14:textId="5453C2A2" w:rsidR="00B8190C" w:rsidRDefault="00B8190C" w:rsidP="009D5957">
      <w:pPr>
        <w:ind w:left="142"/>
        <w:rPr>
          <w:rFonts w:ascii="RotisSansSerif-Light" w:hAnsi="RotisSansSerif-Light" w:cs="RotisSansSerif-Light"/>
        </w:rPr>
      </w:pPr>
    </w:p>
    <w:p w14:paraId="0A6BF199" w14:textId="77777777" w:rsidR="00B8190C" w:rsidRDefault="00B8190C" w:rsidP="00B8190C">
      <w:pPr>
        <w:jc w:val="center"/>
        <w:rPr>
          <w:b/>
          <w:i/>
          <w:sz w:val="20"/>
          <w:szCs w:val="20"/>
        </w:rPr>
      </w:pPr>
    </w:p>
    <w:p w14:paraId="6A2037B9" w14:textId="77777777" w:rsidR="00B8190C" w:rsidRDefault="00B8190C" w:rsidP="00B8190C">
      <w:pPr>
        <w:jc w:val="center"/>
        <w:rPr>
          <w:b/>
          <w:i/>
          <w:sz w:val="20"/>
          <w:szCs w:val="20"/>
        </w:rPr>
      </w:pPr>
      <w:r w:rsidRPr="00556805">
        <w:rPr>
          <w:rFonts w:cs="Arial"/>
          <w:bCs/>
          <w:iCs/>
          <w:noProof/>
          <w:color w:val="395593"/>
          <w:sz w:val="20"/>
          <w:szCs w:val="20"/>
          <w:lang w:eastAsia="en-AU"/>
        </w:rPr>
        <w:drawing>
          <wp:anchor distT="0" distB="0" distL="114300" distR="114300" simplePos="0" relativeHeight="251659264" behindDoc="0" locked="0" layoutInCell="1" allowOverlap="1" wp14:anchorId="3F8E788B" wp14:editId="57B353D2">
            <wp:simplePos x="0" y="0"/>
            <wp:positionH relativeFrom="column">
              <wp:posOffset>4515485</wp:posOffset>
            </wp:positionH>
            <wp:positionV relativeFrom="paragraph">
              <wp:posOffset>20320</wp:posOffset>
            </wp:positionV>
            <wp:extent cx="528320" cy="342900"/>
            <wp:effectExtent l="0" t="0" r="5080" b="0"/>
            <wp:wrapNone/>
            <wp:docPr id="8" name="Picture 7" descr="The Australian National Flag"/>
            <wp:cNvGraphicFramePr/>
            <a:graphic xmlns:a="http://schemas.openxmlformats.org/drawingml/2006/main">
              <a:graphicData uri="http://schemas.openxmlformats.org/drawingml/2006/picture">
                <pic:pic xmlns:pic="http://schemas.openxmlformats.org/drawingml/2006/picture">
                  <pic:nvPicPr>
                    <pic:cNvPr id="8" name="Picture 7" descr="The Australian National Flag"/>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528320" cy="342900"/>
                    </a:xfrm>
                    <a:prstGeom prst="rect">
                      <a:avLst/>
                    </a:prstGeom>
                    <a:noFill/>
                    <a:ln>
                      <a:noFill/>
                    </a:ln>
                  </pic:spPr>
                </pic:pic>
              </a:graphicData>
            </a:graphic>
          </wp:anchor>
        </w:drawing>
      </w:r>
      <w:r w:rsidRPr="00556805">
        <w:rPr>
          <w:rFonts w:cs="Arial"/>
          <w:bCs/>
          <w:iCs/>
          <w:noProof/>
          <w:color w:val="395593"/>
          <w:sz w:val="20"/>
          <w:szCs w:val="20"/>
          <w:lang w:eastAsia="en-AU"/>
        </w:rPr>
        <w:drawing>
          <wp:anchor distT="0" distB="0" distL="114300" distR="114300" simplePos="0" relativeHeight="251660288" behindDoc="0" locked="0" layoutInCell="1" allowOverlap="1" wp14:anchorId="15A38BA3" wp14:editId="3E30B8B8">
            <wp:simplePos x="0" y="0"/>
            <wp:positionH relativeFrom="column">
              <wp:posOffset>5118735</wp:posOffset>
            </wp:positionH>
            <wp:positionV relativeFrom="paragraph">
              <wp:posOffset>13970</wp:posOffset>
            </wp:positionV>
            <wp:extent cx="514985" cy="349250"/>
            <wp:effectExtent l="0" t="0" r="0" b="0"/>
            <wp:wrapNone/>
            <wp:docPr id="9" name="Picture 8" descr="Australian Aboriginal Flag"/>
            <wp:cNvGraphicFramePr/>
            <a:graphic xmlns:a="http://schemas.openxmlformats.org/drawingml/2006/main">
              <a:graphicData uri="http://schemas.openxmlformats.org/drawingml/2006/picture">
                <pic:pic xmlns:pic="http://schemas.openxmlformats.org/drawingml/2006/picture">
                  <pic:nvPicPr>
                    <pic:cNvPr id="9" name="Picture 8" descr="Australian Aboriginal Flag"/>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514985" cy="349250"/>
                    </a:xfrm>
                    <a:prstGeom prst="rect">
                      <a:avLst/>
                    </a:prstGeom>
                    <a:noFill/>
                    <a:ln>
                      <a:noFill/>
                    </a:ln>
                  </pic:spPr>
                </pic:pic>
              </a:graphicData>
            </a:graphic>
          </wp:anchor>
        </w:drawing>
      </w:r>
      <w:r w:rsidRPr="00556805">
        <w:rPr>
          <w:rFonts w:cs="Arial"/>
          <w:bCs/>
          <w:iCs/>
          <w:noProof/>
          <w:color w:val="395593"/>
          <w:sz w:val="20"/>
          <w:szCs w:val="20"/>
          <w:lang w:eastAsia="en-AU"/>
        </w:rPr>
        <w:drawing>
          <wp:anchor distT="0" distB="0" distL="114300" distR="114300" simplePos="0" relativeHeight="251661312" behindDoc="0" locked="0" layoutInCell="1" allowOverlap="1" wp14:anchorId="6E2B2FC6" wp14:editId="09D4C355">
            <wp:simplePos x="0" y="0"/>
            <wp:positionH relativeFrom="column">
              <wp:posOffset>5699760</wp:posOffset>
            </wp:positionH>
            <wp:positionV relativeFrom="paragraph">
              <wp:posOffset>11328</wp:posOffset>
            </wp:positionV>
            <wp:extent cx="499730" cy="364009"/>
            <wp:effectExtent l="0" t="0" r="0" b="0"/>
            <wp:wrapNone/>
            <wp:docPr id="3" name="Picture 9" descr="Torres Strait Islander Flag"/>
            <wp:cNvGraphicFramePr/>
            <a:graphic xmlns:a="http://schemas.openxmlformats.org/drawingml/2006/main">
              <a:graphicData uri="http://schemas.openxmlformats.org/drawingml/2006/picture">
                <pic:pic xmlns:pic="http://schemas.openxmlformats.org/drawingml/2006/picture">
                  <pic:nvPicPr>
                    <pic:cNvPr id="10" name="Picture 9" descr="Torres Strait Islander Flag"/>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499730" cy="3640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6966F" w14:textId="77777777" w:rsidR="00B8190C" w:rsidRDefault="00B8190C" w:rsidP="00B8190C">
      <w:pPr>
        <w:jc w:val="center"/>
        <w:rPr>
          <w:b/>
          <w:i/>
          <w:sz w:val="20"/>
          <w:szCs w:val="20"/>
        </w:rPr>
      </w:pPr>
    </w:p>
    <w:p w14:paraId="24C6258C" w14:textId="77777777" w:rsidR="00B8190C" w:rsidRDefault="00B8190C" w:rsidP="00B8190C">
      <w:pPr>
        <w:tabs>
          <w:tab w:val="left" w:pos="10490"/>
        </w:tabs>
        <w:ind w:right="283"/>
        <w:jc w:val="both"/>
        <w:rPr>
          <w:rFonts w:cs="Arial"/>
          <w:bCs/>
          <w:iCs/>
          <w:color w:val="395593"/>
          <w:sz w:val="20"/>
          <w:szCs w:val="20"/>
          <w:lang w:val="en-US"/>
        </w:rPr>
      </w:pPr>
    </w:p>
    <w:p w14:paraId="609B440C" w14:textId="77777777" w:rsidR="00B8190C" w:rsidRPr="0047702E" w:rsidRDefault="00B8190C" w:rsidP="00B8190C">
      <w:pPr>
        <w:tabs>
          <w:tab w:val="left" w:pos="10490"/>
        </w:tabs>
        <w:ind w:left="-567" w:right="283"/>
        <w:jc w:val="both"/>
        <w:rPr>
          <w:rFonts w:cs="Arial"/>
          <w:bCs/>
          <w:iCs/>
          <w:color w:val="708DBD"/>
          <w:sz w:val="20"/>
          <w:szCs w:val="20"/>
          <w:lang w:val="en-US"/>
        </w:rPr>
      </w:pPr>
      <w:r w:rsidRPr="00556805">
        <w:rPr>
          <w:rFonts w:cs="Arial"/>
          <w:bCs/>
          <w:iCs/>
          <w:color w:val="708DBD"/>
          <w:sz w:val="20"/>
          <w:szCs w:val="20"/>
          <w:lang w:val="en-US"/>
        </w:rPr>
        <w:t>The terms Aboriginal and Indigenous are used to describe both Aboriginal and Torres Strait Islander people.  “</w:t>
      </w:r>
      <w:proofErr w:type="spellStart"/>
      <w:r w:rsidRPr="00556805">
        <w:rPr>
          <w:rFonts w:cs="Arial"/>
          <w:bCs/>
          <w:iCs/>
          <w:color w:val="708DBD"/>
          <w:sz w:val="20"/>
          <w:szCs w:val="20"/>
          <w:lang w:val="en-US"/>
        </w:rPr>
        <w:t>Koories</w:t>
      </w:r>
      <w:proofErr w:type="spellEnd"/>
      <w:r w:rsidRPr="00556805">
        <w:rPr>
          <w:rFonts w:cs="Arial"/>
          <w:bCs/>
          <w:iCs/>
          <w:color w:val="708DBD"/>
          <w:sz w:val="20"/>
          <w:szCs w:val="20"/>
          <w:lang w:val="en-US"/>
        </w:rPr>
        <w:t xml:space="preserve"> is a word commonly used to refer to Aboriginal people who come from south-eastern Australia.  The MAV gratefully acknowledges the artwork provided by </w:t>
      </w:r>
      <w:proofErr w:type="spellStart"/>
      <w:r w:rsidRPr="00556805">
        <w:rPr>
          <w:rFonts w:cs="Arial"/>
          <w:bCs/>
          <w:iCs/>
          <w:color w:val="708DBD"/>
          <w:sz w:val="20"/>
          <w:szCs w:val="20"/>
          <w:lang w:val="en-US"/>
        </w:rPr>
        <w:t>Ngarra</w:t>
      </w:r>
      <w:proofErr w:type="spellEnd"/>
      <w:r w:rsidRPr="00556805">
        <w:rPr>
          <w:rFonts w:cs="Arial"/>
          <w:bCs/>
          <w:iCs/>
          <w:color w:val="708DBD"/>
          <w:sz w:val="20"/>
          <w:szCs w:val="20"/>
          <w:lang w:val="en-US"/>
        </w:rPr>
        <w:t xml:space="preserve"> Murray, who is a proud </w:t>
      </w:r>
      <w:proofErr w:type="spellStart"/>
      <w:r w:rsidRPr="00556805">
        <w:rPr>
          <w:rFonts w:cs="Arial"/>
          <w:bCs/>
          <w:iCs/>
          <w:color w:val="708DBD"/>
          <w:sz w:val="20"/>
          <w:szCs w:val="20"/>
          <w:lang w:val="en-US"/>
        </w:rPr>
        <w:t>Wamba</w:t>
      </w:r>
      <w:proofErr w:type="spellEnd"/>
      <w:r w:rsidRPr="00556805">
        <w:rPr>
          <w:rFonts w:cs="Arial"/>
          <w:bCs/>
          <w:iCs/>
          <w:color w:val="708DBD"/>
          <w:sz w:val="20"/>
          <w:szCs w:val="20"/>
          <w:lang w:val="en-US"/>
        </w:rPr>
        <w:t xml:space="preserve"> </w:t>
      </w:r>
      <w:proofErr w:type="spellStart"/>
      <w:r w:rsidRPr="00556805">
        <w:rPr>
          <w:rFonts w:cs="Arial"/>
          <w:bCs/>
          <w:iCs/>
          <w:color w:val="708DBD"/>
          <w:sz w:val="20"/>
          <w:szCs w:val="20"/>
          <w:lang w:val="en-US"/>
        </w:rPr>
        <w:t>Wamba</w:t>
      </w:r>
      <w:proofErr w:type="spellEnd"/>
      <w:r w:rsidRPr="00556805">
        <w:rPr>
          <w:rFonts w:cs="Arial"/>
          <w:bCs/>
          <w:iCs/>
          <w:color w:val="708DBD"/>
          <w:sz w:val="20"/>
          <w:szCs w:val="20"/>
          <w:lang w:val="en-US"/>
        </w:rPr>
        <w:t xml:space="preserve"> and Yorta </w:t>
      </w:r>
      <w:proofErr w:type="spellStart"/>
      <w:r w:rsidRPr="00556805">
        <w:rPr>
          <w:rFonts w:cs="Arial"/>
          <w:bCs/>
          <w:iCs/>
          <w:color w:val="708DBD"/>
          <w:sz w:val="20"/>
          <w:szCs w:val="20"/>
          <w:lang w:val="en-US"/>
        </w:rPr>
        <w:t>Yorta</w:t>
      </w:r>
      <w:proofErr w:type="spellEnd"/>
      <w:r w:rsidRPr="00556805">
        <w:rPr>
          <w:rFonts w:cs="Arial"/>
          <w:bCs/>
          <w:iCs/>
          <w:color w:val="708DBD"/>
          <w:sz w:val="20"/>
          <w:szCs w:val="20"/>
          <w:lang w:val="en-US"/>
        </w:rPr>
        <w:t xml:space="preserve"> woman having strong family connections to Lake Boga and </w:t>
      </w:r>
      <w:proofErr w:type="spellStart"/>
      <w:r w:rsidRPr="00556805">
        <w:rPr>
          <w:rFonts w:cs="Arial"/>
          <w:bCs/>
          <w:iCs/>
          <w:color w:val="708DBD"/>
          <w:sz w:val="20"/>
          <w:szCs w:val="20"/>
          <w:lang w:val="en-US"/>
        </w:rPr>
        <w:t>Cummeragunja</w:t>
      </w:r>
      <w:proofErr w:type="spellEnd"/>
      <w:r w:rsidRPr="00556805">
        <w:rPr>
          <w:rFonts w:cs="Arial"/>
          <w:bCs/>
          <w:iCs/>
          <w:color w:val="708DBD"/>
          <w:sz w:val="20"/>
          <w:szCs w:val="20"/>
          <w:lang w:val="en-US"/>
        </w:rPr>
        <w:t>.</w:t>
      </w:r>
    </w:p>
    <w:p w14:paraId="68AA01A4" w14:textId="77777777" w:rsidR="00394D98" w:rsidRPr="006651AE" w:rsidRDefault="00394D98" w:rsidP="009D5957">
      <w:pPr>
        <w:ind w:left="709" w:hanging="567"/>
        <w:rPr>
          <w:rFonts w:cs="Arial"/>
          <w:b/>
          <w:color w:val="879FB3"/>
        </w:rPr>
      </w:pPr>
    </w:p>
    <w:p w14:paraId="5D0DD0A2" w14:textId="77777777" w:rsidR="009D5957" w:rsidRDefault="009D5957">
      <w:r>
        <w:br w:type="page"/>
      </w:r>
    </w:p>
    <w:p w14:paraId="7609D1CE" w14:textId="77777777" w:rsidR="00E06F87" w:rsidRDefault="00E06F87" w:rsidP="009D5957">
      <w:pPr>
        <w:rPr>
          <w:rFonts w:cs="Arial"/>
          <w:b/>
          <w:color w:val="879FB3"/>
          <w:sz w:val="40"/>
          <w:szCs w:val="40"/>
        </w:rPr>
      </w:pPr>
    </w:p>
    <w:p w14:paraId="71C2CECF" w14:textId="77777777" w:rsidR="009D5957" w:rsidRPr="008F3374" w:rsidRDefault="009D5957" w:rsidP="008F3374">
      <w:pPr>
        <w:pStyle w:val="Heading1"/>
        <w:rPr>
          <w:sz w:val="40"/>
          <w:szCs w:val="40"/>
        </w:rPr>
      </w:pPr>
      <w:r w:rsidRPr="008F3374">
        <w:rPr>
          <w:sz w:val="40"/>
          <w:szCs w:val="40"/>
        </w:rPr>
        <w:t>Roadmap to increase employment of Aboriginal people</w:t>
      </w:r>
    </w:p>
    <w:p w14:paraId="5984C885" w14:textId="77777777" w:rsidR="009D5957" w:rsidRDefault="009D5957" w:rsidP="009D5957">
      <w:pPr>
        <w:tabs>
          <w:tab w:val="left" w:pos="1300"/>
        </w:tabs>
        <w:rPr>
          <w:rFonts w:cs="Arial"/>
          <w:b/>
          <w:color w:val="879FB3"/>
          <w:sz w:val="40"/>
          <w:szCs w:val="40"/>
        </w:rPr>
      </w:pPr>
      <w:r>
        <w:rPr>
          <w:rFonts w:cs="Arial"/>
          <w:b/>
          <w:color w:val="879FB3"/>
          <w:sz w:val="40"/>
          <w:szCs w:val="40"/>
        </w:rPr>
        <w:tab/>
      </w:r>
    </w:p>
    <w:tbl>
      <w:tblPr>
        <w:tblStyle w:val="TableGrid"/>
        <w:tblW w:w="0" w:type="auto"/>
        <w:tblInd w:w="108" w:type="dxa"/>
        <w:tblCellMar>
          <w:top w:w="85" w:type="dxa"/>
          <w:bottom w:w="85" w:type="dxa"/>
        </w:tblCellMar>
        <w:tblLook w:val="04A0" w:firstRow="1" w:lastRow="0" w:firstColumn="1" w:lastColumn="0" w:noHBand="0" w:noVBand="1"/>
      </w:tblPr>
      <w:tblGrid>
        <w:gridCol w:w="3544"/>
        <w:gridCol w:w="7053"/>
      </w:tblGrid>
      <w:tr w:rsidR="009D5957" w:rsidRPr="002B31FC" w14:paraId="5773B24E" w14:textId="77777777" w:rsidTr="006F23D4">
        <w:tc>
          <w:tcPr>
            <w:tcW w:w="3544" w:type="dxa"/>
            <w:shd w:val="clear" w:color="auto" w:fill="FCE2A2"/>
          </w:tcPr>
          <w:p w14:paraId="560D70C1" w14:textId="77777777" w:rsidR="009D5957" w:rsidRDefault="009D5957" w:rsidP="006F23D4">
            <w:pPr>
              <w:pStyle w:val="ListParagraph"/>
              <w:ind w:left="283"/>
              <w:rPr>
                <w:b/>
              </w:rPr>
            </w:pPr>
          </w:p>
          <w:p w14:paraId="5CAB7F2B" w14:textId="77777777" w:rsidR="009D5957" w:rsidRPr="00C06538" w:rsidRDefault="009D5957" w:rsidP="006F23D4">
            <w:pPr>
              <w:pStyle w:val="ListParagraph"/>
              <w:numPr>
                <w:ilvl w:val="0"/>
                <w:numId w:val="11"/>
              </w:numPr>
              <w:ind w:left="283"/>
              <w:rPr>
                <w:b/>
              </w:rPr>
            </w:pPr>
            <w:r w:rsidRPr="00C06538">
              <w:rPr>
                <w:b/>
              </w:rPr>
              <w:t>Build from recognition</w:t>
            </w:r>
          </w:p>
          <w:p w14:paraId="3A3A7368" w14:textId="77777777" w:rsidR="009D5957" w:rsidRPr="00C06538" w:rsidRDefault="009D5957" w:rsidP="006F23D4">
            <w:pPr>
              <w:ind w:left="283"/>
              <w:rPr>
                <w:b/>
              </w:rPr>
            </w:pPr>
          </w:p>
        </w:tc>
        <w:tc>
          <w:tcPr>
            <w:tcW w:w="7053" w:type="dxa"/>
            <w:shd w:val="clear" w:color="auto" w:fill="DBE5F1" w:themeFill="accent1" w:themeFillTint="33"/>
          </w:tcPr>
          <w:p w14:paraId="6F6A2E00" w14:textId="77777777" w:rsidR="009D5957" w:rsidRPr="002B31FC" w:rsidRDefault="009D5957" w:rsidP="006F23D4">
            <w:pPr>
              <w:rPr>
                <w:sz w:val="20"/>
                <w:szCs w:val="20"/>
              </w:rPr>
            </w:pPr>
            <w:r w:rsidRPr="002B31FC">
              <w:rPr>
                <w:sz w:val="20"/>
                <w:szCs w:val="20"/>
              </w:rPr>
              <w:t>Recognition and respect are the cornerstones of relationships with the local Aboriginal community and its support is essential.  Successful programs come from a place that recognises the importance of Aboriginal people in the broader community, the local economy and the council workforce</w:t>
            </w:r>
            <w:r>
              <w:rPr>
                <w:sz w:val="20"/>
                <w:szCs w:val="20"/>
              </w:rPr>
              <w:t>.</w:t>
            </w:r>
          </w:p>
        </w:tc>
      </w:tr>
      <w:tr w:rsidR="009D5957" w:rsidRPr="002B31FC" w14:paraId="2A7FF340" w14:textId="77777777" w:rsidTr="006F23D4">
        <w:tc>
          <w:tcPr>
            <w:tcW w:w="3544" w:type="dxa"/>
            <w:shd w:val="clear" w:color="auto" w:fill="FCE2A2"/>
          </w:tcPr>
          <w:p w14:paraId="0C8C415E" w14:textId="77777777" w:rsidR="009D5957" w:rsidRDefault="009D5957" w:rsidP="006F23D4">
            <w:pPr>
              <w:pStyle w:val="ListParagraph"/>
              <w:ind w:left="283"/>
              <w:rPr>
                <w:b/>
              </w:rPr>
            </w:pPr>
          </w:p>
          <w:p w14:paraId="7BB45D41" w14:textId="77777777" w:rsidR="009D5957" w:rsidRPr="00C06538" w:rsidRDefault="009D5957" w:rsidP="006F23D4">
            <w:pPr>
              <w:pStyle w:val="ListParagraph"/>
              <w:numPr>
                <w:ilvl w:val="0"/>
                <w:numId w:val="11"/>
              </w:numPr>
              <w:ind w:left="283"/>
              <w:rPr>
                <w:b/>
              </w:rPr>
            </w:pPr>
            <w:r w:rsidRPr="00C06538">
              <w:rPr>
                <w:b/>
              </w:rPr>
              <w:t>Commit to the long journey</w:t>
            </w:r>
          </w:p>
          <w:p w14:paraId="516A89F6" w14:textId="77777777" w:rsidR="009D5957" w:rsidRPr="00C06538" w:rsidRDefault="009D5957" w:rsidP="006F23D4">
            <w:pPr>
              <w:ind w:left="283"/>
              <w:rPr>
                <w:b/>
              </w:rPr>
            </w:pPr>
          </w:p>
        </w:tc>
        <w:tc>
          <w:tcPr>
            <w:tcW w:w="7053" w:type="dxa"/>
            <w:shd w:val="clear" w:color="auto" w:fill="DBE5F1" w:themeFill="accent1" w:themeFillTint="33"/>
          </w:tcPr>
          <w:p w14:paraId="7F3B8C3D" w14:textId="77777777" w:rsidR="009D5957" w:rsidRPr="002B31FC" w:rsidRDefault="009D5957" w:rsidP="006F23D4">
            <w:pPr>
              <w:rPr>
                <w:sz w:val="20"/>
                <w:szCs w:val="20"/>
              </w:rPr>
            </w:pPr>
            <w:r w:rsidRPr="002B31FC">
              <w:rPr>
                <w:sz w:val="20"/>
                <w:szCs w:val="20"/>
              </w:rPr>
              <w:t>Improving Aboriginal employment outcomes requires a formal commi</w:t>
            </w:r>
            <w:r>
              <w:rPr>
                <w:sz w:val="20"/>
                <w:szCs w:val="20"/>
              </w:rPr>
              <w:t>tment from council to prioritise</w:t>
            </w:r>
            <w:r w:rsidRPr="002B31FC">
              <w:rPr>
                <w:sz w:val="20"/>
                <w:szCs w:val="20"/>
              </w:rPr>
              <w:t xml:space="preserve"> the issue in the long term.  Successful programs are supported by active councillors and senior managers who recognise that it may require many attempts to achieve positive outcomes.  Councils that do well take the time to reflect on their mistakes and try new approaches</w:t>
            </w:r>
            <w:r>
              <w:rPr>
                <w:sz w:val="20"/>
                <w:szCs w:val="20"/>
              </w:rPr>
              <w:t>.</w:t>
            </w:r>
          </w:p>
        </w:tc>
      </w:tr>
      <w:tr w:rsidR="009D5957" w:rsidRPr="002B31FC" w14:paraId="146EDA7A" w14:textId="77777777" w:rsidTr="006F23D4">
        <w:tc>
          <w:tcPr>
            <w:tcW w:w="3544" w:type="dxa"/>
            <w:shd w:val="clear" w:color="auto" w:fill="FCE2A2"/>
          </w:tcPr>
          <w:p w14:paraId="09A3B818" w14:textId="77777777" w:rsidR="009D5957" w:rsidRDefault="009D5957" w:rsidP="006F23D4">
            <w:pPr>
              <w:pStyle w:val="ListParagraph"/>
              <w:ind w:left="283"/>
              <w:rPr>
                <w:b/>
              </w:rPr>
            </w:pPr>
          </w:p>
          <w:p w14:paraId="68DA1C06" w14:textId="77777777" w:rsidR="009D5957" w:rsidRPr="00C06538" w:rsidRDefault="009D5957" w:rsidP="006F23D4">
            <w:pPr>
              <w:pStyle w:val="ListParagraph"/>
              <w:numPr>
                <w:ilvl w:val="0"/>
                <w:numId w:val="11"/>
              </w:numPr>
              <w:ind w:left="283"/>
              <w:rPr>
                <w:b/>
              </w:rPr>
            </w:pPr>
            <w:r w:rsidRPr="00C06538">
              <w:rPr>
                <w:b/>
              </w:rPr>
              <w:t>Move on all fronts</w:t>
            </w:r>
          </w:p>
          <w:p w14:paraId="127211EF" w14:textId="77777777" w:rsidR="009D5957" w:rsidRPr="00C06538" w:rsidRDefault="009D5957" w:rsidP="006F23D4">
            <w:pPr>
              <w:ind w:left="283"/>
              <w:rPr>
                <w:b/>
              </w:rPr>
            </w:pPr>
          </w:p>
        </w:tc>
        <w:tc>
          <w:tcPr>
            <w:tcW w:w="7053" w:type="dxa"/>
            <w:shd w:val="clear" w:color="auto" w:fill="DBE5F1" w:themeFill="accent1" w:themeFillTint="33"/>
          </w:tcPr>
          <w:p w14:paraId="3D26CC0D" w14:textId="77777777" w:rsidR="009D5957" w:rsidRPr="002B31FC" w:rsidRDefault="009D5957" w:rsidP="006F23D4">
            <w:pPr>
              <w:rPr>
                <w:sz w:val="20"/>
                <w:szCs w:val="20"/>
              </w:rPr>
            </w:pPr>
            <w:r w:rsidRPr="002B31FC">
              <w:rPr>
                <w:sz w:val="20"/>
                <w:szCs w:val="20"/>
              </w:rPr>
              <w:t>Successful councils manage a range of other activities that complement employment programs.  Councils who are active around Aboriginal employment often have in place a Reconciliation Action Plan, special childcare, aged care and youth programs and an Aboriginal consultative committee or similar structure.  These form part of a broader and very meaningful engagement with local Aboriginal people and reduce barriers to employment</w:t>
            </w:r>
            <w:r>
              <w:rPr>
                <w:sz w:val="20"/>
                <w:szCs w:val="20"/>
              </w:rPr>
              <w:t>.</w:t>
            </w:r>
          </w:p>
        </w:tc>
      </w:tr>
      <w:tr w:rsidR="009D5957" w:rsidRPr="002B31FC" w14:paraId="7A7BF178" w14:textId="77777777" w:rsidTr="006F23D4">
        <w:tc>
          <w:tcPr>
            <w:tcW w:w="3544" w:type="dxa"/>
            <w:shd w:val="clear" w:color="auto" w:fill="FCE2A2"/>
          </w:tcPr>
          <w:p w14:paraId="7BC0464B" w14:textId="77777777" w:rsidR="009D5957" w:rsidRDefault="009D5957" w:rsidP="006F23D4">
            <w:pPr>
              <w:pStyle w:val="ListParagraph"/>
              <w:ind w:left="283"/>
              <w:rPr>
                <w:b/>
              </w:rPr>
            </w:pPr>
          </w:p>
          <w:p w14:paraId="1A55B27F" w14:textId="77777777" w:rsidR="009D5957" w:rsidRPr="00C06538" w:rsidRDefault="009D5957" w:rsidP="006F23D4">
            <w:pPr>
              <w:pStyle w:val="ListParagraph"/>
              <w:numPr>
                <w:ilvl w:val="0"/>
                <w:numId w:val="11"/>
              </w:numPr>
              <w:ind w:left="283"/>
              <w:rPr>
                <w:b/>
              </w:rPr>
            </w:pPr>
            <w:r w:rsidRPr="00C06538">
              <w:rPr>
                <w:b/>
              </w:rPr>
              <w:t>Find like-minded organisations</w:t>
            </w:r>
          </w:p>
          <w:p w14:paraId="64AD605E" w14:textId="77777777" w:rsidR="009D5957" w:rsidRPr="00C06538" w:rsidRDefault="009D5957" w:rsidP="006F23D4">
            <w:pPr>
              <w:ind w:left="283"/>
              <w:rPr>
                <w:b/>
              </w:rPr>
            </w:pPr>
          </w:p>
        </w:tc>
        <w:tc>
          <w:tcPr>
            <w:tcW w:w="7053" w:type="dxa"/>
            <w:shd w:val="clear" w:color="auto" w:fill="DBE5F1" w:themeFill="accent1" w:themeFillTint="33"/>
          </w:tcPr>
          <w:p w14:paraId="6A56D2C2" w14:textId="77777777" w:rsidR="009D5957" w:rsidRDefault="009D5957" w:rsidP="006F23D4">
            <w:pPr>
              <w:rPr>
                <w:sz w:val="20"/>
                <w:szCs w:val="20"/>
              </w:rPr>
            </w:pPr>
          </w:p>
          <w:p w14:paraId="1FE049CD" w14:textId="77777777" w:rsidR="009D5957" w:rsidRPr="002B31FC" w:rsidRDefault="009D5957" w:rsidP="006F23D4">
            <w:pPr>
              <w:rPr>
                <w:sz w:val="20"/>
                <w:szCs w:val="20"/>
              </w:rPr>
            </w:pPr>
            <w:r w:rsidRPr="002B31FC">
              <w:rPr>
                <w:sz w:val="20"/>
                <w:szCs w:val="20"/>
              </w:rPr>
              <w:t xml:space="preserve">Regional and sub-regional committees and forums feature in the stories of successful councils.  </w:t>
            </w:r>
          </w:p>
        </w:tc>
      </w:tr>
      <w:tr w:rsidR="009D5957" w:rsidRPr="002B31FC" w14:paraId="2B950869" w14:textId="77777777" w:rsidTr="006F23D4">
        <w:tc>
          <w:tcPr>
            <w:tcW w:w="3544" w:type="dxa"/>
            <w:shd w:val="clear" w:color="auto" w:fill="FCE2A2"/>
          </w:tcPr>
          <w:p w14:paraId="7FEB8B0A" w14:textId="77777777" w:rsidR="009D5957" w:rsidRDefault="009D5957" w:rsidP="006F23D4">
            <w:pPr>
              <w:pStyle w:val="ListParagraph"/>
              <w:ind w:left="283"/>
              <w:rPr>
                <w:b/>
              </w:rPr>
            </w:pPr>
          </w:p>
          <w:p w14:paraId="0A4207FB" w14:textId="77777777" w:rsidR="009D5957" w:rsidRPr="00C06538" w:rsidRDefault="009D5957" w:rsidP="006F23D4">
            <w:pPr>
              <w:pStyle w:val="ListParagraph"/>
              <w:numPr>
                <w:ilvl w:val="0"/>
                <w:numId w:val="11"/>
              </w:numPr>
              <w:ind w:left="283"/>
              <w:rPr>
                <w:b/>
              </w:rPr>
            </w:pPr>
            <w:r w:rsidRPr="00C06538">
              <w:rPr>
                <w:b/>
              </w:rPr>
              <w:t>Build local capacity</w:t>
            </w:r>
          </w:p>
          <w:p w14:paraId="2238D9B7" w14:textId="77777777" w:rsidR="009D5957" w:rsidRPr="00C06538" w:rsidRDefault="009D5957" w:rsidP="006F23D4">
            <w:pPr>
              <w:ind w:left="283"/>
              <w:rPr>
                <w:b/>
              </w:rPr>
            </w:pPr>
          </w:p>
        </w:tc>
        <w:tc>
          <w:tcPr>
            <w:tcW w:w="7053" w:type="dxa"/>
            <w:shd w:val="clear" w:color="auto" w:fill="DBE5F1" w:themeFill="accent1" w:themeFillTint="33"/>
          </w:tcPr>
          <w:p w14:paraId="7A04F76D" w14:textId="77777777" w:rsidR="009D5957" w:rsidRPr="002B31FC" w:rsidRDefault="009D5957" w:rsidP="006F23D4">
            <w:pPr>
              <w:rPr>
                <w:sz w:val="20"/>
                <w:szCs w:val="20"/>
              </w:rPr>
            </w:pPr>
            <w:r w:rsidRPr="002B31FC">
              <w:rPr>
                <w:sz w:val="20"/>
                <w:szCs w:val="20"/>
              </w:rPr>
              <w:t>Pre-employment training and development programs that build specific skills for prospective Aboriginal employees</w:t>
            </w:r>
            <w:r>
              <w:rPr>
                <w:sz w:val="20"/>
                <w:szCs w:val="20"/>
              </w:rPr>
              <w:t>,</w:t>
            </w:r>
            <w:r w:rsidRPr="002B31FC">
              <w:rPr>
                <w:sz w:val="20"/>
                <w:szCs w:val="20"/>
              </w:rPr>
              <w:t xml:space="preserve"> while building a relationship between council and the person</w:t>
            </w:r>
            <w:r>
              <w:rPr>
                <w:sz w:val="20"/>
                <w:szCs w:val="20"/>
              </w:rPr>
              <w:t>,</w:t>
            </w:r>
            <w:r w:rsidRPr="002B31FC">
              <w:rPr>
                <w:sz w:val="20"/>
                <w:szCs w:val="20"/>
              </w:rPr>
              <w:t xml:space="preserve"> are highly effective.  Programs can range from formal pre-employment training programs through to informal.  For example, encouraging members of the local Aboriginal community to volunteer for life-guard duty at the swimming </w:t>
            </w:r>
            <w:r>
              <w:rPr>
                <w:sz w:val="20"/>
                <w:szCs w:val="20"/>
              </w:rPr>
              <w:t xml:space="preserve">pool while they complete </w:t>
            </w:r>
            <w:r w:rsidRPr="002B31FC">
              <w:rPr>
                <w:sz w:val="20"/>
                <w:szCs w:val="20"/>
              </w:rPr>
              <w:t>the necessary qualifications for permanent positions</w:t>
            </w:r>
            <w:r>
              <w:rPr>
                <w:sz w:val="20"/>
                <w:szCs w:val="20"/>
              </w:rPr>
              <w:t>.</w:t>
            </w:r>
          </w:p>
        </w:tc>
      </w:tr>
      <w:tr w:rsidR="009D5957" w:rsidRPr="002B31FC" w14:paraId="00ECA0A4" w14:textId="77777777" w:rsidTr="006F23D4">
        <w:tc>
          <w:tcPr>
            <w:tcW w:w="3544" w:type="dxa"/>
            <w:shd w:val="clear" w:color="auto" w:fill="FCE2A2"/>
          </w:tcPr>
          <w:p w14:paraId="0F7068B5" w14:textId="77777777" w:rsidR="009D5957" w:rsidRPr="00C06538" w:rsidRDefault="009D5957" w:rsidP="006F23D4">
            <w:pPr>
              <w:ind w:left="283"/>
              <w:rPr>
                <w:b/>
              </w:rPr>
            </w:pPr>
          </w:p>
          <w:p w14:paraId="666DA2F2" w14:textId="77777777" w:rsidR="009D5957" w:rsidRPr="00C06538" w:rsidRDefault="009D5957" w:rsidP="006F23D4">
            <w:pPr>
              <w:pStyle w:val="ListParagraph"/>
              <w:numPr>
                <w:ilvl w:val="0"/>
                <w:numId w:val="11"/>
              </w:numPr>
              <w:ind w:left="283"/>
              <w:rPr>
                <w:b/>
              </w:rPr>
            </w:pPr>
            <w:r w:rsidRPr="00C06538">
              <w:rPr>
                <w:b/>
              </w:rPr>
              <w:t>Connect within your own organisation</w:t>
            </w:r>
          </w:p>
          <w:p w14:paraId="17110ACA" w14:textId="77777777" w:rsidR="009D5957" w:rsidRPr="00C06538" w:rsidRDefault="009D5957" w:rsidP="006F23D4">
            <w:pPr>
              <w:ind w:left="283"/>
              <w:rPr>
                <w:b/>
              </w:rPr>
            </w:pPr>
          </w:p>
        </w:tc>
        <w:tc>
          <w:tcPr>
            <w:tcW w:w="7053" w:type="dxa"/>
            <w:shd w:val="clear" w:color="auto" w:fill="DBE5F1" w:themeFill="accent1" w:themeFillTint="33"/>
          </w:tcPr>
          <w:p w14:paraId="03D797F1" w14:textId="77777777" w:rsidR="009D5957" w:rsidRPr="002B31FC" w:rsidRDefault="009D5957" w:rsidP="006F23D4">
            <w:pPr>
              <w:rPr>
                <w:sz w:val="20"/>
                <w:szCs w:val="20"/>
              </w:rPr>
            </w:pPr>
            <w:r w:rsidRPr="002B31FC">
              <w:rPr>
                <w:sz w:val="20"/>
                <w:szCs w:val="20"/>
              </w:rPr>
              <w:t>Community development areas of council are often the drivers for improved Aboriginal employment, but they can find it difficult to connect with the broader human resources areas.  An internal reference group made up of community development, human resources and other senior managers is often present in successful programs.</w:t>
            </w:r>
          </w:p>
        </w:tc>
      </w:tr>
    </w:tbl>
    <w:p w14:paraId="10DB6DE0" w14:textId="77777777" w:rsidR="009D5957" w:rsidRDefault="009D5957" w:rsidP="009D5957"/>
    <w:p w14:paraId="4D12E9FD" w14:textId="77777777" w:rsidR="009D5957" w:rsidRDefault="009D5957" w:rsidP="009D5957">
      <w:pPr>
        <w:ind w:left="-142"/>
        <w:rPr>
          <w:sz w:val="20"/>
          <w:szCs w:val="20"/>
        </w:rPr>
      </w:pPr>
      <w:r w:rsidRPr="002B31FC">
        <w:rPr>
          <w:sz w:val="20"/>
          <w:szCs w:val="20"/>
        </w:rPr>
        <w:t xml:space="preserve">Extract from MAV </w:t>
      </w:r>
      <w:r>
        <w:rPr>
          <w:sz w:val="20"/>
          <w:szCs w:val="20"/>
        </w:rPr>
        <w:t>r</w:t>
      </w:r>
      <w:r w:rsidRPr="002B31FC">
        <w:rPr>
          <w:sz w:val="20"/>
          <w:szCs w:val="20"/>
        </w:rPr>
        <w:t>eport “Pathways to better employment outcomes for Aboriginal people in Victorian local government”</w:t>
      </w:r>
    </w:p>
    <w:p w14:paraId="69A77C6A" w14:textId="77777777" w:rsidR="009D5957" w:rsidRPr="002B31FC" w:rsidRDefault="009D5957" w:rsidP="009D5957">
      <w:pPr>
        <w:ind w:left="-142"/>
        <w:rPr>
          <w:sz w:val="20"/>
          <w:szCs w:val="20"/>
        </w:rPr>
      </w:pPr>
    </w:p>
    <w:p w14:paraId="595CED83" w14:textId="77777777" w:rsidR="009D5957" w:rsidRDefault="009D5957" w:rsidP="009D5957"/>
    <w:p w14:paraId="5D108FDB" w14:textId="77777777" w:rsidR="009D5957" w:rsidRDefault="009D5957" w:rsidP="008F3374">
      <w:pPr>
        <w:pStyle w:val="Heading1"/>
      </w:pPr>
      <w:r>
        <w:t>Further information</w:t>
      </w:r>
    </w:p>
    <w:p w14:paraId="5F6BB985" w14:textId="77777777" w:rsidR="009D5957" w:rsidRPr="009D5957" w:rsidRDefault="009D5957" w:rsidP="009D5957">
      <w:pPr>
        <w:rPr>
          <w:rFonts w:cs="Arial"/>
          <w:b/>
          <w:color w:val="879FB3"/>
        </w:rPr>
      </w:pPr>
    </w:p>
    <w:tbl>
      <w:tblPr>
        <w:tblStyle w:val="TableGrid"/>
        <w:tblW w:w="0" w:type="auto"/>
        <w:tblInd w:w="108" w:type="dxa"/>
        <w:tblLook w:val="04A0" w:firstRow="1" w:lastRow="0" w:firstColumn="1" w:lastColumn="0" w:noHBand="0" w:noVBand="1"/>
      </w:tblPr>
      <w:tblGrid>
        <w:gridCol w:w="5244"/>
        <w:gridCol w:w="5353"/>
      </w:tblGrid>
      <w:tr w:rsidR="009D5957" w14:paraId="10D02BF1" w14:textId="77777777" w:rsidTr="006F23D4">
        <w:tc>
          <w:tcPr>
            <w:tcW w:w="5244" w:type="dxa"/>
          </w:tcPr>
          <w:p w14:paraId="42B911E9" w14:textId="77777777" w:rsidR="009D5957" w:rsidRDefault="009D5957" w:rsidP="006F23D4">
            <w:pPr>
              <w:ind w:left="142"/>
              <w:rPr>
                <w:b/>
                <w:smallCaps/>
                <w:sz w:val="28"/>
                <w:szCs w:val="28"/>
              </w:rPr>
            </w:pPr>
            <w:r>
              <w:rPr>
                <w:b/>
                <w:smallCaps/>
                <w:sz w:val="28"/>
                <w:szCs w:val="28"/>
              </w:rPr>
              <w:t xml:space="preserve">Visit the </w:t>
            </w:r>
            <w:hyperlink r:id="rId55" w:history="1">
              <w:r w:rsidRPr="009D2767">
                <w:rPr>
                  <w:rStyle w:val="Hyperlink"/>
                  <w:b/>
                  <w:smallCaps/>
                  <w:sz w:val="28"/>
                  <w:szCs w:val="28"/>
                </w:rPr>
                <w:t>aboriginal employment page</w:t>
              </w:r>
            </w:hyperlink>
            <w:r>
              <w:rPr>
                <w:b/>
                <w:smallCaps/>
                <w:sz w:val="28"/>
                <w:szCs w:val="28"/>
              </w:rPr>
              <w:t xml:space="preserve"> of the </w:t>
            </w:r>
            <w:proofErr w:type="spellStart"/>
            <w:r>
              <w:rPr>
                <w:b/>
                <w:smallCaps/>
                <w:sz w:val="28"/>
                <w:szCs w:val="28"/>
              </w:rPr>
              <w:t>mav</w:t>
            </w:r>
            <w:proofErr w:type="spellEnd"/>
            <w:r>
              <w:rPr>
                <w:b/>
                <w:smallCaps/>
                <w:sz w:val="28"/>
                <w:szCs w:val="28"/>
              </w:rPr>
              <w:t xml:space="preserve"> website or access it via </w:t>
            </w:r>
          </w:p>
          <w:p w14:paraId="50F0F561" w14:textId="77777777" w:rsidR="009D5957" w:rsidRDefault="009D5957" w:rsidP="006F23D4">
            <w:pPr>
              <w:ind w:left="142"/>
              <w:rPr>
                <w:b/>
                <w:smallCaps/>
                <w:sz w:val="28"/>
                <w:szCs w:val="28"/>
              </w:rPr>
            </w:pPr>
            <w:r>
              <w:rPr>
                <w:b/>
                <w:smallCaps/>
                <w:sz w:val="28"/>
                <w:szCs w:val="28"/>
              </w:rPr>
              <w:t>www.bit.ly/aboriginalemployment</w:t>
            </w:r>
          </w:p>
          <w:p w14:paraId="47026CFE" w14:textId="77777777" w:rsidR="009D5957" w:rsidRDefault="009D5957" w:rsidP="006F23D4">
            <w:pPr>
              <w:ind w:left="720"/>
            </w:pPr>
          </w:p>
        </w:tc>
        <w:tc>
          <w:tcPr>
            <w:tcW w:w="5353" w:type="dxa"/>
          </w:tcPr>
          <w:p w14:paraId="431C358C" w14:textId="77777777" w:rsidR="009D5957" w:rsidRDefault="009D5957" w:rsidP="006F23D4">
            <w:pPr>
              <w:ind w:left="460"/>
              <w:rPr>
                <w:b/>
                <w:smallCaps/>
                <w:sz w:val="28"/>
                <w:szCs w:val="28"/>
              </w:rPr>
            </w:pPr>
          </w:p>
          <w:p w14:paraId="2C3F1D91" w14:textId="77777777" w:rsidR="009D5957" w:rsidRPr="004C1081" w:rsidRDefault="009D5957" w:rsidP="006F23D4">
            <w:pPr>
              <w:ind w:left="460"/>
              <w:rPr>
                <w:rStyle w:val="Hyperlink"/>
                <w:b/>
                <w:smallCaps/>
                <w:sz w:val="28"/>
                <w:szCs w:val="28"/>
              </w:rPr>
            </w:pPr>
            <w:r>
              <w:rPr>
                <w:b/>
                <w:smallCaps/>
                <w:sz w:val="28"/>
                <w:szCs w:val="28"/>
              </w:rPr>
              <w:t>Download Mav Fact Sheet1 - “Getting Started”</w:t>
            </w:r>
          </w:p>
          <w:p w14:paraId="0C5E1820" w14:textId="77777777" w:rsidR="009D5957" w:rsidRDefault="009D5957" w:rsidP="006F23D4">
            <w:pPr>
              <w:pStyle w:val="ListParagraph"/>
              <w:ind w:left="460"/>
            </w:pPr>
          </w:p>
        </w:tc>
      </w:tr>
    </w:tbl>
    <w:p w14:paraId="1D326564" w14:textId="77777777" w:rsidR="009D5957" w:rsidRDefault="009D5957" w:rsidP="009D595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29"/>
      </w:tblGrid>
      <w:tr w:rsidR="009D5957" w14:paraId="40BD1F04" w14:textId="77777777" w:rsidTr="006F23D4">
        <w:tc>
          <w:tcPr>
            <w:tcW w:w="5103" w:type="dxa"/>
          </w:tcPr>
          <w:p w14:paraId="31686095" w14:textId="77777777" w:rsidR="009D5957" w:rsidRDefault="009D5957" w:rsidP="006F23D4">
            <w:pPr>
              <w:pStyle w:val="Footer"/>
              <w:rPr>
                <w:color w:val="464749"/>
                <w:sz w:val="18"/>
                <w:szCs w:val="18"/>
              </w:rPr>
            </w:pPr>
          </w:p>
          <w:p w14:paraId="0C4DF0E6" w14:textId="77777777" w:rsidR="009D5957" w:rsidRDefault="009D5957" w:rsidP="006F23D4">
            <w:pPr>
              <w:pStyle w:val="Footer"/>
            </w:pPr>
            <w:r>
              <w:rPr>
                <w:color w:val="464749"/>
                <w:sz w:val="18"/>
                <w:szCs w:val="18"/>
              </w:rPr>
              <w:t xml:space="preserve">Issue 6 (2014) of </w:t>
            </w:r>
            <w:proofErr w:type="spellStart"/>
            <w:r>
              <w:rPr>
                <w:color w:val="464749"/>
                <w:sz w:val="18"/>
                <w:szCs w:val="18"/>
              </w:rPr>
              <w:t>CiVic</w:t>
            </w:r>
            <w:proofErr w:type="spellEnd"/>
            <w:r>
              <w:rPr>
                <w:color w:val="464749"/>
                <w:sz w:val="18"/>
                <w:szCs w:val="18"/>
              </w:rPr>
              <w:t xml:space="preserve"> magazine for the centrepiece article on Reconciliation </w:t>
            </w:r>
            <w:r>
              <w:rPr>
                <w:color w:val="464749"/>
                <w:sz w:val="18"/>
                <w:szCs w:val="18"/>
              </w:rPr>
              <w:br/>
            </w:r>
            <w:hyperlink r:id="rId56" w:tgtFrame="_blank" w:history="1">
              <w:r>
                <w:rPr>
                  <w:rStyle w:val="Hyperlink"/>
                  <w:color w:val="718DBD"/>
                  <w:sz w:val="18"/>
                  <w:szCs w:val="18"/>
                </w:rPr>
                <w:t xml:space="preserve">Read </w:t>
              </w:r>
              <w:proofErr w:type="spellStart"/>
              <w:r>
                <w:rPr>
                  <w:rStyle w:val="Hyperlink"/>
                  <w:color w:val="718DBD"/>
                  <w:sz w:val="18"/>
                  <w:szCs w:val="18"/>
                </w:rPr>
                <w:t>CiVic</w:t>
              </w:r>
              <w:proofErr w:type="spellEnd"/>
              <w:r>
                <w:rPr>
                  <w:rStyle w:val="Hyperlink"/>
                  <w:color w:val="718DBD"/>
                  <w:sz w:val="18"/>
                  <w:szCs w:val="18"/>
                </w:rPr>
                <w:t xml:space="preserve"> online</w:t>
              </w:r>
            </w:hyperlink>
            <w:r>
              <w:rPr>
                <w:rStyle w:val="apple-converted-space"/>
                <w:b/>
                <w:bCs/>
                <w:color w:val="FABC31"/>
                <w:sz w:val="18"/>
                <w:szCs w:val="18"/>
              </w:rPr>
              <w:t> </w:t>
            </w:r>
            <w:r>
              <w:rPr>
                <w:b/>
                <w:bCs/>
                <w:color w:val="FABC31"/>
                <w:sz w:val="18"/>
                <w:szCs w:val="18"/>
              </w:rPr>
              <w:t>|</w:t>
            </w:r>
            <w:r>
              <w:rPr>
                <w:rStyle w:val="apple-converted-space"/>
                <w:b/>
                <w:bCs/>
                <w:color w:val="FABC31"/>
                <w:sz w:val="18"/>
                <w:szCs w:val="18"/>
              </w:rPr>
              <w:t> </w:t>
            </w:r>
            <w:hyperlink r:id="rId57" w:tgtFrame="_blank" w:history="1">
              <w:r>
                <w:rPr>
                  <w:rStyle w:val="Hyperlink"/>
                  <w:color w:val="718DBD"/>
                  <w:sz w:val="18"/>
                  <w:szCs w:val="18"/>
                </w:rPr>
                <w:t>Download the iPad app</w:t>
              </w:r>
            </w:hyperlink>
          </w:p>
        </w:tc>
        <w:tc>
          <w:tcPr>
            <w:tcW w:w="5529" w:type="dxa"/>
          </w:tcPr>
          <w:p w14:paraId="251F66F2" w14:textId="77777777" w:rsidR="009D5957" w:rsidRDefault="009D5957" w:rsidP="006F23D4">
            <w:pPr>
              <w:pStyle w:val="Footer"/>
            </w:pPr>
            <w:r w:rsidRPr="00676C95">
              <w:rPr>
                <w:noProof/>
                <w:lang w:eastAsia="en-AU"/>
              </w:rPr>
              <w:drawing>
                <wp:inline distT="0" distB="0" distL="0" distR="0" wp14:anchorId="389B5D72" wp14:editId="6321748B">
                  <wp:extent cx="3343275" cy="600075"/>
                  <wp:effectExtent l="0" t="0" r="9525" b="9525"/>
                  <wp:docPr id="26" name="Picture 26" descr="CiVic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8"/>
                          <a:stretch>
                            <a:fillRect/>
                          </a:stretch>
                        </pic:blipFill>
                        <pic:spPr>
                          <a:xfrm>
                            <a:off x="0" y="0"/>
                            <a:ext cx="3343275" cy="600075"/>
                          </a:xfrm>
                          <a:prstGeom prst="rect">
                            <a:avLst/>
                          </a:prstGeom>
                        </pic:spPr>
                      </pic:pic>
                    </a:graphicData>
                  </a:graphic>
                </wp:inline>
              </w:drawing>
            </w:r>
          </w:p>
        </w:tc>
      </w:tr>
    </w:tbl>
    <w:p w14:paraId="325BB2C6" w14:textId="77777777" w:rsidR="00B66383" w:rsidRDefault="00EF699F" w:rsidP="0088338B"/>
    <w:sectPr w:rsidR="00B66383" w:rsidSect="00E06F87">
      <w:headerReference w:type="default" r:id="rId59"/>
      <w:footerReference w:type="default" r:id="rId60"/>
      <w:pgSz w:w="11906" w:h="16838"/>
      <w:pgMar w:top="1474" w:right="424" w:bottom="567" w:left="85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CA5F8" w14:textId="77777777" w:rsidR="0088338B" w:rsidRDefault="0088338B" w:rsidP="0088338B">
      <w:r>
        <w:separator/>
      </w:r>
    </w:p>
  </w:endnote>
  <w:endnote w:type="continuationSeparator" w:id="0">
    <w:p w14:paraId="49BA9B72" w14:textId="77777777" w:rsidR="0088338B" w:rsidRDefault="0088338B" w:rsidP="0088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tisSansSerif-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AAF5" w14:textId="77777777" w:rsidR="00496392" w:rsidRDefault="00496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99" w:type="dxa"/>
      <w:tblInd w:w="-885" w:type="dxa"/>
      <w:tblBorders>
        <w:insideH w:val="none" w:sz="0" w:space="0" w:color="auto"/>
      </w:tblBorders>
      <w:shd w:val="clear" w:color="auto" w:fill="B7C5D1"/>
      <w:tblLook w:val="04A0" w:firstRow="1" w:lastRow="0" w:firstColumn="1" w:lastColumn="0" w:noHBand="0" w:noVBand="1"/>
    </w:tblPr>
    <w:tblGrid>
      <w:gridCol w:w="11199"/>
    </w:tblGrid>
    <w:tr w:rsidR="00E2407E" w14:paraId="50FCF491" w14:textId="77777777" w:rsidTr="009D5957">
      <w:tc>
        <w:tcPr>
          <w:tcW w:w="11199" w:type="dxa"/>
          <w:shd w:val="clear" w:color="auto" w:fill="B7C5D1"/>
        </w:tcPr>
        <w:p w14:paraId="42E58A90" w14:textId="77777777" w:rsidR="00E2407E" w:rsidRDefault="00E2407E" w:rsidP="006F23D4">
          <w:pPr>
            <w:pStyle w:val="Footer"/>
            <w:jc w:val="center"/>
            <w:rPr>
              <w:b/>
            </w:rPr>
          </w:pPr>
        </w:p>
        <w:p w14:paraId="7B019877" w14:textId="77777777" w:rsidR="009D5957" w:rsidRPr="009D5957" w:rsidRDefault="00E2407E" w:rsidP="009D5957">
          <w:pPr>
            <w:pStyle w:val="Footer"/>
            <w:rPr>
              <w:b/>
              <w:sz w:val="20"/>
              <w:szCs w:val="20"/>
            </w:rPr>
          </w:pPr>
          <w:r w:rsidRPr="009D5957">
            <w:rPr>
              <w:b/>
              <w:sz w:val="20"/>
              <w:szCs w:val="20"/>
            </w:rPr>
            <w:t xml:space="preserve">THE MAV WELCOMES COMMENTS ABOUT THIS FACT SHEET “VICTORIAN </w:t>
          </w:r>
        </w:p>
        <w:p w14:paraId="07430B7D" w14:textId="77777777" w:rsidR="00E2407E" w:rsidRDefault="00E2407E" w:rsidP="009D5957">
          <w:pPr>
            <w:pStyle w:val="Footer"/>
            <w:rPr>
              <w:b/>
              <w:sz w:val="20"/>
              <w:szCs w:val="20"/>
            </w:rPr>
          </w:pPr>
          <w:r w:rsidRPr="009D5957">
            <w:rPr>
              <w:b/>
              <w:sz w:val="20"/>
              <w:szCs w:val="20"/>
            </w:rPr>
            <w:t>LOCAL GOVERNMENT ABORIGINAL EMPLOYMENT FRAMEWORK – RESOURCES GUIDE”</w:t>
          </w:r>
        </w:p>
        <w:p w14:paraId="321C706F" w14:textId="77777777" w:rsidR="009D5957" w:rsidRPr="009D5957" w:rsidRDefault="009D5957" w:rsidP="009D5957">
          <w:pPr>
            <w:pStyle w:val="Footer"/>
            <w:rPr>
              <w:b/>
              <w:sz w:val="20"/>
              <w:szCs w:val="20"/>
            </w:rPr>
          </w:pPr>
        </w:p>
        <w:p w14:paraId="08122ABE" w14:textId="0B431035" w:rsidR="009D5957" w:rsidRDefault="00E2407E" w:rsidP="009D5957">
          <w:pPr>
            <w:pStyle w:val="Footer"/>
            <w:rPr>
              <w:b/>
              <w:sz w:val="20"/>
              <w:szCs w:val="20"/>
            </w:rPr>
          </w:pPr>
          <w:r w:rsidRPr="009D5957">
            <w:rPr>
              <w:noProof/>
              <w:sz w:val="20"/>
              <w:szCs w:val="20"/>
              <w:lang w:eastAsia="en-AU"/>
            </w:rPr>
            <w:drawing>
              <wp:anchor distT="0" distB="0" distL="114300" distR="114300" simplePos="0" relativeHeight="251659264" behindDoc="0" locked="0" layoutInCell="1" allowOverlap="1" wp14:anchorId="407BAA8F" wp14:editId="79C2936E">
                <wp:simplePos x="0" y="0"/>
                <wp:positionH relativeFrom="column">
                  <wp:posOffset>5080</wp:posOffset>
                </wp:positionH>
                <wp:positionV relativeFrom="paragraph">
                  <wp:posOffset>-340995</wp:posOffset>
                </wp:positionV>
                <wp:extent cx="1137285" cy="422910"/>
                <wp:effectExtent l="0" t="0" r="5715" b="0"/>
                <wp:wrapSquare wrapText="bothSides"/>
                <wp:docPr id="5" name="Picture 5" descr="M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37285" cy="422910"/>
                        </a:xfrm>
                        <a:prstGeom prst="rect">
                          <a:avLst/>
                        </a:prstGeom>
                      </pic:spPr>
                    </pic:pic>
                  </a:graphicData>
                </a:graphic>
                <wp14:sizeRelH relativeFrom="page">
                  <wp14:pctWidth>0</wp14:pctWidth>
                </wp14:sizeRelH>
                <wp14:sizeRelV relativeFrom="page">
                  <wp14:pctHeight>0</wp14:pctHeight>
                </wp14:sizeRelV>
              </wp:anchor>
            </w:drawing>
          </w:r>
          <w:r w:rsidRPr="009D5957">
            <w:rPr>
              <w:b/>
              <w:sz w:val="20"/>
              <w:szCs w:val="20"/>
            </w:rPr>
            <w:t xml:space="preserve">Visit the </w:t>
          </w:r>
          <w:hyperlink r:id="rId2" w:history="1">
            <w:r w:rsidRPr="009D5957">
              <w:rPr>
                <w:rStyle w:val="Hyperlink"/>
                <w:b/>
                <w:sz w:val="20"/>
                <w:szCs w:val="20"/>
              </w:rPr>
              <w:t>MAV Aboriginal Employment pag</w:t>
            </w:r>
          </w:hyperlink>
          <w:r w:rsidR="00496392">
            <w:rPr>
              <w:rStyle w:val="Hyperlink"/>
              <w:b/>
              <w:sz w:val="20"/>
              <w:szCs w:val="20"/>
            </w:rPr>
            <w:t>e</w:t>
          </w:r>
          <w:r w:rsidR="009D5957" w:rsidRPr="009D5957">
            <w:rPr>
              <w:rStyle w:val="Hyperlink"/>
              <w:b/>
              <w:sz w:val="20"/>
              <w:szCs w:val="20"/>
            </w:rPr>
            <w:t xml:space="preserve"> </w:t>
          </w:r>
          <w:r w:rsidRPr="009D5957">
            <w:rPr>
              <w:b/>
              <w:sz w:val="20"/>
              <w:szCs w:val="20"/>
            </w:rPr>
            <w:t xml:space="preserve">for more information or access it via </w:t>
          </w:r>
        </w:p>
        <w:p w14:paraId="3BFE7B63" w14:textId="77777777" w:rsidR="00E2407E" w:rsidRPr="009D5957" w:rsidRDefault="00EF699F" w:rsidP="006F23D4">
          <w:pPr>
            <w:pStyle w:val="Footer"/>
            <w:jc w:val="center"/>
            <w:rPr>
              <w:b/>
              <w:sz w:val="20"/>
              <w:szCs w:val="20"/>
            </w:rPr>
          </w:pPr>
          <w:hyperlink r:id="rId3" w:history="1">
            <w:r w:rsidR="00E2407E" w:rsidRPr="009D5957">
              <w:rPr>
                <w:rStyle w:val="Hyperlink"/>
                <w:b/>
                <w:sz w:val="20"/>
                <w:szCs w:val="20"/>
              </w:rPr>
              <w:t>www.bit.ly/aboriginalemployment</w:t>
            </w:r>
          </w:hyperlink>
          <w:r w:rsidR="00E2407E" w:rsidRPr="009D5957">
            <w:rPr>
              <w:b/>
              <w:sz w:val="20"/>
              <w:szCs w:val="20"/>
            </w:rPr>
            <w:t xml:space="preserve"> </w:t>
          </w:r>
        </w:p>
        <w:p w14:paraId="2CD05FEE" w14:textId="77777777" w:rsidR="00E2407E" w:rsidRDefault="00E2407E" w:rsidP="006F23D4">
          <w:pPr>
            <w:pStyle w:val="Footer"/>
          </w:pPr>
        </w:p>
      </w:tc>
    </w:tr>
    <w:tr w:rsidR="009D5957" w14:paraId="7D92B8A9" w14:textId="77777777" w:rsidTr="009D5957">
      <w:tc>
        <w:tcPr>
          <w:tcW w:w="11199" w:type="dxa"/>
          <w:shd w:val="clear" w:color="auto" w:fill="B7C5D1"/>
        </w:tcPr>
        <w:p w14:paraId="133F46FB" w14:textId="77777777" w:rsidR="009D5957" w:rsidRDefault="009D5957" w:rsidP="006F23D4">
          <w:pPr>
            <w:pStyle w:val="Footer"/>
            <w:jc w:val="center"/>
            <w:rPr>
              <w:b/>
            </w:rPr>
          </w:pPr>
        </w:p>
      </w:tc>
    </w:tr>
  </w:tbl>
  <w:p w14:paraId="00C3356B" w14:textId="77777777" w:rsidR="00E2407E" w:rsidRDefault="00E2407E" w:rsidP="00394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E5F3" w14:textId="77777777" w:rsidR="00496392" w:rsidRDefault="004963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DBDA" w14:textId="77777777" w:rsidR="00394D98" w:rsidRDefault="00394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ADB1" w14:textId="77777777" w:rsidR="0088338B" w:rsidRDefault="0088338B" w:rsidP="0088338B">
      <w:r>
        <w:separator/>
      </w:r>
    </w:p>
  </w:footnote>
  <w:footnote w:type="continuationSeparator" w:id="0">
    <w:p w14:paraId="04F990A7" w14:textId="77777777" w:rsidR="0088338B" w:rsidRDefault="0088338B" w:rsidP="0088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1340" w14:textId="77777777" w:rsidR="00496392" w:rsidRDefault="00496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FB6C" w14:textId="77777777" w:rsidR="00E2407E" w:rsidRPr="00E2407E" w:rsidRDefault="00E2407E" w:rsidP="00E2407E">
    <w:pPr>
      <w:pStyle w:val="Header"/>
    </w:pPr>
  </w:p>
  <w:p w14:paraId="2237250B" w14:textId="77777777" w:rsidR="00E2407E" w:rsidRPr="00E2407E" w:rsidRDefault="00E2407E" w:rsidP="00E24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46D0" w14:textId="77777777" w:rsidR="00496392" w:rsidRDefault="004963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276"/>
      <w:gridCol w:w="9214"/>
    </w:tblGrid>
    <w:tr w:rsidR="00E2407E" w14:paraId="557733AA" w14:textId="77777777" w:rsidTr="009D5957">
      <w:tc>
        <w:tcPr>
          <w:tcW w:w="1276" w:type="dxa"/>
        </w:tcPr>
        <w:p w14:paraId="7870ECAD" w14:textId="77777777" w:rsidR="00E2407E" w:rsidRDefault="00E2407E" w:rsidP="00E2407E">
          <w:pPr>
            <w:pStyle w:val="Header"/>
          </w:pPr>
          <w:r>
            <w:rPr>
              <w:noProof/>
              <w:lang w:eastAsia="en-AU"/>
            </w:rPr>
            <w:drawing>
              <wp:inline distT="0" distB="0" distL="0" distR="0" wp14:anchorId="4FC9474E" wp14:editId="77C161FC">
                <wp:extent cx="531495" cy="485775"/>
                <wp:effectExtent l="0" t="0" r="190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1495" cy="485775"/>
                        </a:xfrm>
                        <a:prstGeom prst="rect">
                          <a:avLst/>
                        </a:prstGeom>
                      </pic:spPr>
                    </pic:pic>
                  </a:graphicData>
                </a:graphic>
              </wp:inline>
            </w:drawing>
          </w:r>
        </w:p>
      </w:tc>
      <w:tc>
        <w:tcPr>
          <w:tcW w:w="9214" w:type="dxa"/>
          <w:shd w:val="clear" w:color="auto" w:fill="FDBB30"/>
        </w:tcPr>
        <w:p w14:paraId="1F34B39E" w14:textId="77777777" w:rsidR="00E2407E" w:rsidRPr="00394D98" w:rsidRDefault="00E2407E" w:rsidP="00394D98">
          <w:pPr>
            <w:pStyle w:val="Header"/>
            <w:tabs>
              <w:tab w:val="left" w:pos="1350"/>
              <w:tab w:val="center" w:pos="5012"/>
            </w:tabs>
            <w:jc w:val="center"/>
            <w:rPr>
              <w:b/>
              <w:color w:val="FFFFFF" w:themeColor="background1"/>
            </w:rPr>
          </w:pPr>
          <w:r w:rsidRPr="00394D98">
            <w:rPr>
              <w:b/>
              <w:color w:val="FFFFFF" w:themeColor="background1"/>
            </w:rPr>
            <w:t>KOORIES IN VICTORIAN COUNCILS:</w:t>
          </w:r>
        </w:p>
        <w:p w14:paraId="43DB7729" w14:textId="77777777" w:rsidR="00E2407E" w:rsidRPr="00394D98" w:rsidRDefault="00E2407E" w:rsidP="00394D98">
          <w:pPr>
            <w:pStyle w:val="Header"/>
            <w:jc w:val="center"/>
            <w:rPr>
              <w:b/>
            </w:rPr>
          </w:pPr>
          <w:r w:rsidRPr="00394D98">
            <w:rPr>
              <w:b/>
              <w:color w:val="FFFFFF" w:themeColor="background1"/>
            </w:rPr>
            <w:t>ABORIGINAL EMPLOYMENT IN VICTORIAN LOCAL GOVERNMENT</w:t>
          </w:r>
        </w:p>
      </w:tc>
    </w:tr>
  </w:tbl>
  <w:p w14:paraId="5905DD71" w14:textId="77777777" w:rsidR="00E2407E" w:rsidRPr="00E2407E" w:rsidRDefault="00E2407E" w:rsidP="00E24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4358"/>
    <w:multiLevelType w:val="hybridMultilevel"/>
    <w:tmpl w:val="9F507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C1E96"/>
    <w:multiLevelType w:val="hybridMultilevel"/>
    <w:tmpl w:val="28384648"/>
    <w:lvl w:ilvl="0" w:tplc="0E1A6FDE">
      <w:start w:val="1"/>
      <w:numFmt w:val="bullet"/>
      <w:lvlText w:val=""/>
      <w:lvlJc w:val="left"/>
      <w:pPr>
        <w:ind w:left="1146"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E719E"/>
    <w:multiLevelType w:val="hybridMultilevel"/>
    <w:tmpl w:val="F1A4DAC6"/>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32481ED5"/>
    <w:multiLevelType w:val="hybridMultilevel"/>
    <w:tmpl w:val="1004C71E"/>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3887534A"/>
    <w:multiLevelType w:val="hybridMultilevel"/>
    <w:tmpl w:val="707831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8D72EC"/>
    <w:multiLevelType w:val="hybridMultilevel"/>
    <w:tmpl w:val="AC4EADC6"/>
    <w:lvl w:ilvl="0" w:tplc="0C09000B">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5C951A6F"/>
    <w:multiLevelType w:val="hybridMultilevel"/>
    <w:tmpl w:val="51CC6E88"/>
    <w:lvl w:ilvl="0" w:tplc="FBAC7D60">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64001E15"/>
    <w:multiLevelType w:val="hybridMultilevel"/>
    <w:tmpl w:val="79FC3B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C15E66"/>
    <w:multiLevelType w:val="hybridMultilevel"/>
    <w:tmpl w:val="598816FC"/>
    <w:lvl w:ilvl="0" w:tplc="3224034C">
      <w:start w:val="1"/>
      <w:numFmt w:val="bullet"/>
      <w:lvlText w:val=""/>
      <w:lvlJc w:val="left"/>
      <w:pPr>
        <w:ind w:left="1004" w:hanging="360"/>
      </w:pPr>
      <w:rPr>
        <w:rFonts w:ascii="Wingdings" w:hAnsi="Wingdings"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7DA461C4"/>
    <w:multiLevelType w:val="hybridMultilevel"/>
    <w:tmpl w:val="B386B338"/>
    <w:lvl w:ilvl="0" w:tplc="1FAC77A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B71750"/>
    <w:multiLevelType w:val="hybridMultilevel"/>
    <w:tmpl w:val="0F3CDD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8"/>
  </w:num>
  <w:num w:numId="7">
    <w:abstractNumId w:val="10"/>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2A"/>
    <w:rsid w:val="001B1F20"/>
    <w:rsid w:val="0021192A"/>
    <w:rsid w:val="00394D98"/>
    <w:rsid w:val="00463AAA"/>
    <w:rsid w:val="00496392"/>
    <w:rsid w:val="00515201"/>
    <w:rsid w:val="005C3C5C"/>
    <w:rsid w:val="0088338B"/>
    <w:rsid w:val="008F3374"/>
    <w:rsid w:val="009D5957"/>
    <w:rsid w:val="00AD6CF1"/>
    <w:rsid w:val="00B8190C"/>
    <w:rsid w:val="00C95EED"/>
    <w:rsid w:val="00D81C05"/>
    <w:rsid w:val="00E06F87"/>
    <w:rsid w:val="00E2407E"/>
    <w:rsid w:val="00E54990"/>
    <w:rsid w:val="00EE2D4D"/>
    <w:rsid w:val="00EF699F"/>
    <w:rsid w:val="00F5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1E6196"/>
  <w15:docId w15:val="{FC934120-7D2F-47D6-8393-D25F9765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2A"/>
  </w:style>
  <w:style w:type="paragraph" w:styleId="Heading1">
    <w:name w:val="heading 1"/>
    <w:basedOn w:val="NormalWeb"/>
    <w:next w:val="Normal"/>
    <w:link w:val="Heading1Char"/>
    <w:uiPriority w:val="9"/>
    <w:qFormat/>
    <w:rsid w:val="008F3374"/>
    <w:pPr>
      <w:spacing w:before="0" w:beforeAutospacing="0" w:after="0" w:afterAutospacing="0"/>
      <w:outlineLvl w:val="0"/>
    </w:pPr>
    <w:rPr>
      <w:rFonts w:ascii="Arial" w:hAnsi="Arial" w:cs="Arial"/>
      <w:b/>
      <w:color w:val="879FB3"/>
      <w:sz w:val="48"/>
      <w:szCs w:val="48"/>
    </w:rPr>
  </w:style>
  <w:style w:type="paragraph" w:styleId="Heading2">
    <w:name w:val="heading 2"/>
    <w:basedOn w:val="Normal"/>
    <w:next w:val="Normal"/>
    <w:link w:val="Heading2Char"/>
    <w:uiPriority w:val="9"/>
    <w:unhideWhenUsed/>
    <w:qFormat/>
    <w:rsid w:val="008F3374"/>
    <w:pPr>
      <w:ind w:left="142"/>
      <w:outlineLvl w:val="1"/>
    </w:pPr>
    <w:rPr>
      <w:rFonts w:cs="Arial"/>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92A"/>
    <w:pPr>
      <w:tabs>
        <w:tab w:val="center" w:pos="4513"/>
        <w:tab w:val="right" w:pos="9026"/>
      </w:tabs>
    </w:pPr>
  </w:style>
  <w:style w:type="character" w:customStyle="1" w:styleId="HeaderChar">
    <w:name w:val="Header Char"/>
    <w:basedOn w:val="DefaultParagraphFont"/>
    <w:link w:val="Header"/>
    <w:uiPriority w:val="99"/>
    <w:rsid w:val="0021192A"/>
  </w:style>
  <w:style w:type="table" w:styleId="TableGrid">
    <w:name w:val="Table Grid"/>
    <w:basedOn w:val="TableNormal"/>
    <w:uiPriority w:val="39"/>
    <w:rsid w:val="0021192A"/>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92A"/>
    <w:rPr>
      <w:color w:val="0000FF" w:themeColor="hyperlink"/>
      <w:u w:val="single"/>
    </w:rPr>
  </w:style>
  <w:style w:type="paragraph" w:styleId="ListParagraph">
    <w:name w:val="List Paragraph"/>
    <w:basedOn w:val="Normal"/>
    <w:uiPriority w:val="34"/>
    <w:qFormat/>
    <w:rsid w:val="0021192A"/>
    <w:pPr>
      <w:ind w:left="720"/>
      <w:contextualSpacing/>
    </w:pPr>
  </w:style>
  <w:style w:type="paragraph" w:styleId="Footer">
    <w:name w:val="footer"/>
    <w:basedOn w:val="Normal"/>
    <w:link w:val="FooterChar"/>
    <w:uiPriority w:val="99"/>
    <w:unhideWhenUsed/>
    <w:rsid w:val="0021192A"/>
    <w:pPr>
      <w:tabs>
        <w:tab w:val="center" w:pos="4513"/>
        <w:tab w:val="right" w:pos="9026"/>
      </w:tabs>
    </w:pPr>
  </w:style>
  <w:style w:type="character" w:customStyle="1" w:styleId="FooterChar">
    <w:name w:val="Footer Char"/>
    <w:basedOn w:val="DefaultParagraphFont"/>
    <w:link w:val="Footer"/>
    <w:uiPriority w:val="99"/>
    <w:rsid w:val="0021192A"/>
  </w:style>
  <w:style w:type="paragraph" w:styleId="BalloonText">
    <w:name w:val="Balloon Text"/>
    <w:basedOn w:val="Normal"/>
    <w:link w:val="BalloonTextChar"/>
    <w:uiPriority w:val="99"/>
    <w:semiHidden/>
    <w:unhideWhenUsed/>
    <w:rsid w:val="0021192A"/>
    <w:rPr>
      <w:rFonts w:ascii="Tahoma" w:hAnsi="Tahoma" w:cs="Tahoma"/>
      <w:sz w:val="16"/>
      <w:szCs w:val="16"/>
    </w:rPr>
  </w:style>
  <w:style w:type="character" w:customStyle="1" w:styleId="BalloonTextChar">
    <w:name w:val="Balloon Text Char"/>
    <w:basedOn w:val="DefaultParagraphFont"/>
    <w:link w:val="BalloonText"/>
    <w:uiPriority w:val="99"/>
    <w:semiHidden/>
    <w:rsid w:val="0021192A"/>
    <w:rPr>
      <w:rFonts w:ascii="Tahoma" w:hAnsi="Tahoma" w:cs="Tahoma"/>
      <w:sz w:val="16"/>
      <w:szCs w:val="16"/>
    </w:rPr>
  </w:style>
  <w:style w:type="character" w:styleId="Emphasis">
    <w:name w:val="Emphasis"/>
    <w:basedOn w:val="DefaultParagraphFont"/>
    <w:uiPriority w:val="20"/>
    <w:qFormat/>
    <w:rsid w:val="0088338B"/>
    <w:rPr>
      <w:i/>
      <w:iCs/>
    </w:rPr>
  </w:style>
  <w:style w:type="paragraph" w:styleId="NormalWeb">
    <w:name w:val="Normal (Web)"/>
    <w:basedOn w:val="Normal"/>
    <w:uiPriority w:val="99"/>
    <w:unhideWhenUsed/>
    <w:rsid w:val="0088338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1">
    <w:name w:val="s1"/>
    <w:basedOn w:val="DefaultParagraphFont"/>
    <w:rsid w:val="0088338B"/>
  </w:style>
  <w:style w:type="character" w:customStyle="1" w:styleId="apple-converted-space">
    <w:name w:val="apple-converted-space"/>
    <w:basedOn w:val="DefaultParagraphFont"/>
    <w:rsid w:val="009D5957"/>
  </w:style>
  <w:style w:type="paragraph" w:styleId="Title">
    <w:name w:val="Title"/>
    <w:basedOn w:val="Header"/>
    <w:next w:val="Normal"/>
    <w:link w:val="TitleChar"/>
    <w:uiPriority w:val="10"/>
    <w:qFormat/>
    <w:rsid w:val="008F3374"/>
    <w:pPr>
      <w:framePr w:hSpace="180" w:wrap="around" w:hAnchor="margin" w:xAlign="center" w:y="-1080"/>
      <w:jc w:val="center"/>
    </w:pPr>
    <w:rPr>
      <w:rFonts w:cs="Arial"/>
      <w:b/>
      <w:color w:val="000000" w:themeColor="text1"/>
      <w:sz w:val="40"/>
      <w:szCs w:val="40"/>
    </w:rPr>
  </w:style>
  <w:style w:type="character" w:customStyle="1" w:styleId="TitleChar">
    <w:name w:val="Title Char"/>
    <w:basedOn w:val="DefaultParagraphFont"/>
    <w:link w:val="Title"/>
    <w:uiPriority w:val="10"/>
    <w:rsid w:val="008F3374"/>
    <w:rPr>
      <w:rFonts w:cs="Arial"/>
      <w:b/>
      <w:color w:val="000000" w:themeColor="text1"/>
      <w:sz w:val="40"/>
      <w:szCs w:val="40"/>
    </w:rPr>
  </w:style>
  <w:style w:type="character" w:customStyle="1" w:styleId="Heading1Char">
    <w:name w:val="Heading 1 Char"/>
    <w:basedOn w:val="DefaultParagraphFont"/>
    <w:link w:val="Heading1"/>
    <w:uiPriority w:val="9"/>
    <w:rsid w:val="008F3374"/>
    <w:rPr>
      <w:rFonts w:eastAsia="Times New Roman" w:cs="Arial"/>
      <w:b/>
      <w:color w:val="879FB3"/>
      <w:sz w:val="48"/>
      <w:szCs w:val="48"/>
      <w:lang w:eastAsia="en-AU"/>
    </w:rPr>
  </w:style>
  <w:style w:type="character" w:customStyle="1" w:styleId="Heading2Char">
    <w:name w:val="Heading 2 Char"/>
    <w:basedOn w:val="DefaultParagraphFont"/>
    <w:link w:val="Heading2"/>
    <w:uiPriority w:val="9"/>
    <w:rsid w:val="008F3374"/>
    <w:rPr>
      <w:rFonts w:cs="Arial"/>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mav.asn.au/policy-services/social-community/indigenous/aboriginal-employment/Documents/&#8226;%09http:/www.humanrightscommission.vic.gov.au/index.php/exceptions-exemptions-and-special-measures/special-measures" TargetMode="External"/><Relationship Id="rId26" Type="http://schemas.openxmlformats.org/officeDocument/2006/relationships/hyperlink" Target="http://www.apsc.gov.au/publications-and-media/current-publications/building-an-indigenous-employment-strategy-kit/focus-area-2-attraction-and-recruitment" TargetMode="External"/><Relationship Id="rId39" Type="http://schemas.openxmlformats.org/officeDocument/2006/relationships/hyperlink" Target="http://www.reconciliation.org.au/workplace/" TargetMode="External"/><Relationship Id="rId21" Type="http://schemas.openxmlformats.org/officeDocument/2006/relationships/hyperlink" Target="http://www.bit.ly/aboriginalemployment" TargetMode="External"/><Relationship Id="rId34" Type="http://schemas.openxmlformats.org/officeDocument/2006/relationships/hyperlink" Target="https://supplynation.org.au/" TargetMode="External"/><Relationship Id="rId42" Type="http://schemas.openxmlformats.org/officeDocument/2006/relationships/hyperlink" Target="https://www.vicroads.vic.gov.au/careers/employment-programs-and-traineeships/indigenous-employment-program" TargetMode="External"/><Relationship Id="rId47" Type="http://schemas.openxmlformats.org/officeDocument/2006/relationships/hyperlink" Target="http://www.apsc.gov.au/publications-and-media/current-publications/aboriginal-and-torres-strait-islander-aps-employees-census-report/agency-support-to-encourage-retention" TargetMode="External"/><Relationship Id="rId50" Type="http://schemas.openxmlformats.org/officeDocument/2006/relationships/image" Target="cid:image003.jpg@01CEA313.7A2208C0" TargetMode="External"/><Relationship Id="rId55" Type="http://schemas.openxmlformats.org/officeDocument/2006/relationships/hyperlink" Target="http://www.mav.asn.au/policy-services/social-community/indigenous/aboriginal-employment/Pages/default.asp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av.asn.au/policy-services/social-community/indigenous/aboriginal-employment/Pages/default.aspx" TargetMode="External"/><Relationship Id="rId29" Type="http://schemas.openxmlformats.org/officeDocument/2006/relationships/hyperlink" Target="http://employment.gov.au/indigenous-employment-program-iep" TargetMode="External"/><Relationship Id="rId41" Type="http://schemas.openxmlformats.org/officeDocument/2006/relationships/hyperlink" Target="http://www.qantas.com.au/travel/airlines/indigenous-overview/global/en" TargetMode="External"/><Relationship Id="rId54" Type="http://schemas.openxmlformats.org/officeDocument/2006/relationships/image" Target="cid:image005.jpg@01CEA313.7A2208C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http://employment.gov.au/indigenous-youth-careers-pathways-program" TargetMode="External"/><Relationship Id="rId37" Type="http://schemas.openxmlformats.org/officeDocument/2006/relationships/hyperlink" Target="http://www.portphillip.vic.gov.au/positions_vacant.htm" TargetMode="External"/><Relationship Id="rId40" Type="http://schemas.openxmlformats.org/officeDocument/2006/relationships/hyperlink" Target="http://www.kpmg.com/au/en/about/corporate-citizenship/social-inclusion/pages/default.aspx" TargetMode="External"/><Relationship Id="rId45" Type="http://schemas.openxmlformats.org/officeDocument/2006/relationships/hyperlink" Target="http://www.koorieheritagetrust.com/cultural_education" TargetMode="External"/><Relationship Id="rId53" Type="http://schemas.openxmlformats.org/officeDocument/2006/relationships/image" Target="media/image8.jpeg"/><Relationship Id="rId58" Type="http://schemas.openxmlformats.org/officeDocument/2006/relationships/image" Target="media/image9.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yperlink" Target="http://generationone.org.au/employers/resources" TargetMode="External"/><Relationship Id="rId36" Type="http://schemas.openxmlformats.org/officeDocument/2006/relationships/hyperlink" Target="https://www.whittlesea.vic.gov.au/your-council/plans-strategies-and-policies/aboriginal-employment-pathways-strategy-and-action-plan" TargetMode="External"/><Relationship Id="rId49" Type="http://schemas.openxmlformats.org/officeDocument/2006/relationships/image" Target="media/image6.jpeg"/><Relationship Id="rId57" Type="http://schemas.openxmlformats.org/officeDocument/2006/relationships/hyperlink" Target="https://mobile.mav.asn.au/owa/redir.aspx?C=iv1XGl2CEUuoKWqq2GCJ0VE6rybrpNEIK4py9DP426Z1yyihQdTFq4d_NZZSVULkSYIJn6SfUeg.&amp;URL=https%3a%2f%2fitunes.apple.com%2fau%2fapp%2fcivic%2fid576216073%3fmt%3d8" TargetMode="Externa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humanrightscommission.vic.gov.au/" TargetMode="External"/><Relationship Id="rId31" Type="http://schemas.openxmlformats.org/officeDocument/2006/relationships/hyperlink" Target="https://www.ics.deewr.gov.au/Home.aspx" TargetMode="External"/><Relationship Id="rId44" Type="http://schemas.openxmlformats.org/officeDocument/2006/relationships/hyperlink" Target="http://shareourpride.reconciliation.org.au/" TargetMode="External"/><Relationship Id="rId52" Type="http://schemas.openxmlformats.org/officeDocument/2006/relationships/image" Target="cid:image004.jpg@01CEA313.7A2208C0" TargetMode="External"/><Relationship Id="rId60"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reconciliationvic.org.au/pages/local-government.php" TargetMode="External"/><Relationship Id="rId27" Type="http://schemas.openxmlformats.org/officeDocument/2006/relationships/hyperlink" Target="http://www.acelg.org.au/file/1602/download?token=tt9nsXHBeEcrEfRNb-PAxN_HHVnUta9c-qp9FJ9agUo" TargetMode="External"/><Relationship Id="rId30" Type="http://schemas.openxmlformats.org/officeDocument/2006/relationships/hyperlink" Target="http://www.youthcentral.vic.gov.au/Jobs+%26+Careers/Work+options/Employment+Start+Up" TargetMode="External"/><Relationship Id="rId35" Type="http://schemas.openxmlformats.org/officeDocument/2006/relationships/hyperlink" Target="http://www.mav.asn.au/policy-services/social-community/indigenous/aboriginal-employment/Documents/Pathways%20to%20better%20employment%20outcomes%20for%20Aboriginal%20people%20in%20local%20government.docx" TargetMode="External"/><Relationship Id="rId43" Type="http://schemas.openxmlformats.org/officeDocument/2006/relationships/hyperlink" Target="http://www.mav.asn.au/policy-services/social-community/indigenous/aboriginal-employment/Documents/&#61656;%09https:/www.wesfarmers.com.au/community-a-sustainability/working-towards-reconciliation.html" TargetMode="External"/><Relationship Id="rId48" Type="http://schemas.openxmlformats.org/officeDocument/2006/relationships/hyperlink" Target="http://www.bit.ly/aboriginalemployment" TargetMode="External"/><Relationship Id="rId56" Type="http://schemas.openxmlformats.org/officeDocument/2006/relationships/hyperlink" Target="https://mobile.mav.asn.au/owa/redir.aspx?C=iv1XGl2CEUuoKWqq2GCJ0VE6rybrpNEIK4py9DP426Z1yyihQdTFq4d_NZZSVULkSYIJn6SfUeg.&amp;URL=http%3a%2f%2fissuu.com%2fcivic-magazine" TargetMode="External"/><Relationship Id="rId8" Type="http://schemas.openxmlformats.org/officeDocument/2006/relationships/footnotes" Target="footnotes.xml"/><Relationship Id="rId51" Type="http://schemas.openxmlformats.org/officeDocument/2006/relationships/image" Target="media/image7.jpe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sa.vic.gov.au/products/view-products/karreeta-yirramboi.html" TargetMode="External"/><Relationship Id="rId33" Type="http://schemas.openxmlformats.org/officeDocument/2006/relationships/hyperlink" Target="http://directory.business.vic.gov.au/indigenous/" TargetMode="External"/><Relationship Id="rId38" Type="http://schemas.openxmlformats.org/officeDocument/2006/relationships/hyperlink" Target="http://www.latrobe.vic.gov.au/About_Council/Careers_at_Latrobe/Indigenous_Employment" TargetMode="External"/><Relationship Id="rId46" Type="http://schemas.openxmlformats.org/officeDocument/2006/relationships/hyperlink" Target="http://www.apsc.gov.au/publications-and-media/current-publications/aboriginal-and-torres-strait-islander-aps-employees-census-report" TargetMode="External"/><Relationship Id="rId59"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www.bit.ly/aboriginalemployment" TargetMode="External"/><Relationship Id="rId2" Type="http://schemas.openxmlformats.org/officeDocument/2006/relationships/hyperlink" Target="http://www.mav.asn.au/policy-services/social-community/indigenous/aboriginal-employment/Pages/default.aspx"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BAF861C57757489DCC7D9727D06580" ma:contentTypeVersion="3" ma:contentTypeDescription="Create a new document." ma:contentTypeScope="" ma:versionID="b757dbcb0db0596c92846d0ac0015db7">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5d8dc7b62b980573aadba3c0d4de8bf"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71</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Employment</TermName>
          <TermId xmlns="http://schemas.microsoft.com/office/infopath/2007/PartnerControls">9fcd59ef-7b73-4208-a48c-5379525db58f</TermId>
        </TermInfo>
      </Terms>
    </AGLSSubjectHTField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CB43D8-6448-46C7-B266-E4EF018DCFCF}">
  <ds:schemaRefs>
    <ds:schemaRef ds:uri="http://schemas.microsoft.com/sharepoint/v3/contenttype/forms"/>
  </ds:schemaRefs>
</ds:datastoreItem>
</file>

<file path=customXml/itemProps2.xml><?xml version="1.0" encoding="utf-8"?>
<ds:datastoreItem xmlns:ds="http://schemas.openxmlformats.org/officeDocument/2006/customXml" ds:itemID="{ECD1C72C-3573-4599-89D6-9663230C9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402A7-9134-46D3-AFB4-7A3226BA07F5}">
  <ds:schemaRef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b2999bd9-dba0-46e4-8521-1f182c80fb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3028</Words>
  <Characters>17262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Resources guide - Aboriginal employment in Victorian local government</vt:lpstr>
    </vt:vector>
  </TitlesOfParts>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guide - Aboriginal employment in Victorian local government</dc:title>
  <dc:creator>Rosemary Hancock</dc:creator>
  <cp:lastModifiedBy>Zachary Tangey</cp:lastModifiedBy>
  <cp:revision>2</cp:revision>
  <cp:lastPrinted>2015-04-30T02:08:00Z</cp:lastPrinted>
  <dcterms:created xsi:type="dcterms:W3CDTF">2018-03-16T05:27:00Z</dcterms:created>
  <dcterms:modified xsi:type="dcterms:W3CDTF">2018-03-16T05:27:00Z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Fact sheet|6360168b-5b5f-4f35-b1f5-cccc14c82f85</vt:lpwstr>
  </property>
  <property fmtid="{D5CDD505-2E9C-101B-9397-08002B2CF9AE}" pid="4" name="Doc Type">
    <vt:lpwstr>40;#Fact sheet|6360168b-5b5f-4f35-b1f5-cccc14c82f85</vt:lpwstr>
  </property>
  <property fmtid="{D5CDD505-2E9C-101B-9397-08002B2CF9AE}" pid="5" name="ee64d7fb010e4a05a924de355a8c7215">
    <vt:lpwstr>April|399599b6-d639-45e8-a553-f709ee373cc6</vt:lpwstr>
  </property>
  <property fmtid="{D5CDD505-2E9C-101B-9397-08002B2CF9AE}" pid="6" name="Month">
    <vt:lpwstr>5;#April|399599b6-d639-45e8-a553-f709ee373cc6</vt:lpwstr>
  </property>
  <property fmtid="{D5CDD505-2E9C-101B-9397-08002B2CF9AE}" pid="7" name="a5701f4c3d364836bbe78d9cf21e7ae1">
    <vt:lpwstr>2015|ad6819b0-ff8d-40b9-a541-b6bee189b9b4</vt:lpwstr>
  </property>
  <property fmtid="{D5CDD505-2E9C-101B-9397-08002B2CF9AE}" pid="8" name="Year">
    <vt:lpwstr>752;#2015|ad6819b0-ff8d-40b9-a541-b6bee189b9b4</vt:lpwstr>
  </property>
  <property fmtid="{D5CDD505-2E9C-101B-9397-08002B2CF9AE}" pid="9" name="b1635637b48e4b198aadc2296a591e9c">
    <vt:lpwstr/>
  </property>
  <property fmtid="{D5CDD505-2E9C-101B-9397-08002B2CF9AE}" pid="10" name="Stakeholders">
    <vt:lpwstr/>
  </property>
  <property fmtid="{D5CDD505-2E9C-101B-9397-08002B2CF9AE}" pid="11" name="k625a43461834d1cbc324c14bafb4891">
    <vt:lpwstr>Indigenous|5a78515e-bd93-4292-839c-8a40c7a9e326</vt:lpwstr>
  </property>
  <property fmtid="{D5CDD505-2E9C-101B-9397-08002B2CF9AE}" pid="12" name="Topic">
    <vt:lpwstr>319;#Indigenous|5a78515e-bd93-4292-839c-8a40c7a9e326</vt:lpwstr>
  </property>
  <property fmtid="{D5CDD505-2E9C-101B-9397-08002B2CF9AE}" pid="13" name="k727aceab77943df8808c76e2c853ca1">
    <vt:lpwstr>Aboriginal Employment Broker Project|c43d6cd3-4128-4437-ac09-c6cceae31fe7</vt:lpwstr>
  </property>
  <property fmtid="{D5CDD505-2E9C-101B-9397-08002B2CF9AE}" pid="14" name="Project">
    <vt:lpwstr>497;#Aboriginal Employment Broker Project|c43d6cd3-4128-4437-ac09-c6cceae31fe7</vt:lpwstr>
  </property>
  <property fmtid="{D5CDD505-2E9C-101B-9397-08002B2CF9AE}" pid="15" name="TaxCatchAll">
    <vt:lpwstr/>
  </property>
  <property fmtid="{D5CDD505-2E9C-101B-9397-08002B2CF9AE}" pid="16" name="ContentTypeId">
    <vt:lpwstr>0x01010000BAF861C57757489DCC7D9727D06580</vt:lpwstr>
  </property>
  <property fmtid="{D5CDD505-2E9C-101B-9397-08002B2CF9AE}" pid="17" name="AGLSSubject">
    <vt:lpwstr>71;#Employment|9fcd59ef-7b73-4208-a48c-5379525db58f</vt:lpwstr>
  </property>
</Properties>
</file>