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469"/>
        <w:tblW w:w="115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5591"/>
        <w:gridCol w:w="3481"/>
      </w:tblGrid>
      <w:tr w:rsidR="003E5A84" w14:paraId="1E0F4AAA" w14:textId="77777777" w:rsidTr="003E5A84">
        <w:trPr>
          <w:trHeight w:val="2121"/>
        </w:trPr>
        <w:tc>
          <w:tcPr>
            <w:tcW w:w="2519" w:type="dxa"/>
          </w:tcPr>
          <w:p w14:paraId="2DD72A55" w14:textId="77777777" w:rsidR="003E5A84" w:rsidRDefault="003E5A84" w:rsidP="003E5A84">
            <w:pPr>
              <w:pStyle w:val="Header"/>
            </w:pPr>
            <w:r>
              <w:rPr>
                <w:noProof/>
                <w:lang w:eastAsia="en-AU"/>
              </w:rPr>
              <w:drawing>
                <wp:inline distT="0" distB="0" distL="0" distR="0" wp14:anchorId="5559EFC0" wp14:editId="764F792E">
                  <wp:extent cx="1531956" cy="1400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31956" cy="1400175"/>
                          </a:xfrm>
                          <a:prstGeom prst="rect">
                            <a:avLst/>
                          </a:prstGeom>
                        </pic:spPr>
                      </pic:pic>
                    </a:graphicData>
                  </a:graphic>
                </wp:inline>
              </w:drawing>
            </w:r>
          </w:p>
        </w:tc>
        <w:tc>
          <w:tcPr>
            <w:tcW w:w="9072" w:type="dxa"/>
            <w:gridSpan w:val="2"/>
            <w:tcBorders>
              <w:bottom w:val="single" w:sz="4" w:space="0" w:color="auto"/>
            </w:tcBorders>
            <w:shd w:val="clear" w:color="auto" w:fill="FDBB30"/>
          </w:tcPr>
          <w:p w14:paraId="327FC83C" w14:textId="77777777" w:rsidR="003E5A84" w:rsidRDefault="003E5A84" w:rsidP="003E5A84">
            <w:pPr>
              <w:pStyle w:val="Header"/>
              <w:jc w:val="center"/>
              <w:rPr>
                <w:b/>
                <w:color w:val="FFFFFF" w:themeColor="background1"/>
                <w:sz w:val="48"/>
                <w:szCs w:val="48"/>
              </w:rPr>
            </w:pPr>
          </w:p>
          <w:p w14:paraId="6B3178F7" w14:textId="77777777" w:rsidR="003E5A84" w:rsidRPr="00F81B74" w:rsidRDefault="003E5A84" w:rsidP="003E5A84">
            <w:pPr>
              <w:pStyle w:val="Header"/>
              <w:jc w:val="center"/>
              <w:rPr>
                <w:b/>
                <w:color w:val="FFFFFF" w:themeColor="background1"/>
                <w:sz w:val="44"/>
                <w:szCs w:val="44"/>
              </w:rPr>
            </w:pPr>
            <w:r w:rsidRPr="00F81B74">
              <w:rPr>
                <w:b/>
                <w:color w:val="FFFFFF" w:themeColor="background1"/>
                <w:sz w:val="44"/>
                <w:szCs w:val="44"/>
              </w:rPr>
              <w:t>ABORIGINAL EMPLOYMENT</w:t>
            </w:r>
          </w:p>
          <w:p w14:paraId="63FA8D65" w14:textId="77777777" w:rsidR="003E5A84" w:rsidRDefault="003E5A84" w:rsidP="003E5A84">
            <w:pPr>
              <w:pStyle w:val="Header"/>
              <w:jc w:val="center"/>
              <w:rPr>
                <w:b/>
                <w:color w:val="FFFFFF" w:themeColor="background1"/>
                <w:sz w:val="48"/>
                <w:szCs w:val="48"/>
              </w:rPr>
            </w:pPr>
            <w:r w:rsidRPr="00F81B74">
              <w:rPr>
                <w:b/>
                <w:color w:val="FFFFFF" w:themeColor="background1"/>
                <w:sz w:val="44"/>
                <w:szCs w:val="44"/>
              </w:rPr>
              <w:t>IN VICTORIAN LOCAL GOVERNMENT</w:t>
            </w:r>
          </w:p>
        </w:tc>
      </w:tr>
      <w:tr w:rsidR="003E5A84" w14:paraId="18AFA226" w14:textId="77777777" w:rsidTr="003E5A84">
        <w:tc>
          <w:tcPr>
            <w:tcW w:w="2519" w:type="dxa"/>
          </w:tcPr>
          <w:p w14:paraId="4BB00F9C" w14:textId="77777777" w:rsidR="003E5A84" w:rsidRDefault="003E5A84" w:rsidP="003E5A84">
            <w:pPr>
              <w:pStyle w:val="Header"/>
            </w:pPr>
          </w:p>
        </w:tc>
        <w:tc>
          <w:tcPr>
            <w:tcW w:w="5591" w:type="dxa"/>
            <w:tcBorders>
              <w:top w:val="single" w:sz="4" w:space="0" w:color="auto"/>
            </w:tcBorders>
            <w:shd w:val="clear" w:color="auto" w:fill="B7C5D1"/>
          </w:tcPr>
          <w:p w14:paraId="3C53A1D3" w14:textId="77777777" w:rsidR="003E5A84" w:rsidRPr="005374DA" w:rsidRDefault="003E5A84" w:rsidP="003E5A84">
            <w:pPr>
              <w:pStyle w:val="Header"/>
              <w:jc w:val="center"/>
              <w:rPr>
                <w:b/>
                <w:color w:val="000000" w:themeColor="text1"/>
                <w:sz w:val="16"/>
                <w:szCs w:val="16"/>
              </w:rPr>
            </w:pPr>
          </w:p>
          <w:p w14:paraId="6F73E06F" w14:textId="77777777" w:rsidR="003E5A84" w:rsidRPr="00D629D7" w:rsidRDefault="003E5A84" w:rsidP="00D629D7">
            <w:pPr>
              <w:pStyle w:val="Title"/>
              <w:framePr w:hSpace="0" w:wrap="auto" w:vAnchor="margin" w:hAnchor="text" w:xAlign="left" w:yAlign="inline"/>
            </w:pPr>
            <w:r>
              <w:tab/>
            </w:r>
            <w:r>
              <w:tab/>
            </w:r>
            <w:r w:rsidRPr="00D629D7">
              <w:t>Respect</w:t>
            </w:r>
          </w:p>
          <w:p w14:paraId="4B75F8C9" w14:textId="77777777" w:rsidR="003E5A84" w:rsidRDefault="003E5A84" w:rsidP="003E5A84">
            <w:pPr>
              <w:pStyle w:val="Header"/>
              <w:jc w:val="center"/>
            </w:pPr>
          </w:p>
        </w:tc>
        <w:tc>
          <w:tcPr>
            <w:tcW w:w="3481" w:type="dxa"/>
            <w:tcBorders>
              <w:top w:val="single" w:sz="4" w:space="0" w:color="auto"/>
            </w:tcBorders>
            <w:shd w:val="clear" w:color="auto" w:fill="B7C5D1"/>
          </w:tcPr>
          <w:p w14:paraId="07D6179B" w14:textId="77777777" w:rsidR="003E5A84" w:rsidRDefault="003E5A84" w:rsidP="003E5A84">
            <w:pPr>
              <w:pStyle w:val="Header"/>
              <w:jc w:val="center"/>
              <w:rPr>
                <w:b/>
                <w:color w:val="000000" w:themeColor="text1"/>
                <w:sz w:val="16"/>
                <w:szCs w:val="16"/>
              </w:rPr>
            </w:pPr>
          </w:p>
          <w:p w14:paraId="3B544DF4" w14:textId="77777777" w:rsidR="003E5A84" w:rsidRDefault="003E5A84" w:rsidP="003E5A84">
            <w:pPr>
              <w:pStyle w:val="Header"/>
              <w:jc w:val="center"/>
              <w:rPr>
                <w:b/>
                <w:color w:val="000000" w:themeColor="text1"/>
                <w:sz w:val="16"/>
                <w:szCs w:val="16"/>
              </w:rPr>
            </w:pPr>
          </w:p>
          <w:p w14:paraId="2C3F6FC5" w14:textId="77777777" w:rsidR="003E5A84" w:rsidRPr="005374DA" w:rsidRDefault="003E5A84" w:rsidP="003E5A84">
            <w:pPr>
              <w:pStyle w:val="Header"/>
              <w:jc w:val="right"/>
              <w:rPr>
                <w:b/>
                <w:color w:val="000000" w:themeColor="text1"/>
                <w:sz w:val="16"/>
                <w:szCs w:val="16"/>
              </w:rPr>
            </w:pPr>
            <w:r>
              <w:rPr>
                <w:b/>
                <w:color w:val="000000" w:themeColor="text1"/>
                <w:sz w:val="16"/>
                <w:szCs w:val="16"/>
              </w:rPr>
              <w:t xml:space="preserve">Fact Sheet 3 </w:t>
            </w:r>
          </w:p>
        </w:tc>
      </w:tr>
    </w:tbl>
    <w:p w14:paraId="24EC4D85" w14:textId="77777777" w:rsidR="003E5A84" w:rsidRDefault="003E5A84" w:rsidP="003E5A84">
      <w:pPr>
        <w:pStyle w:val="Header"/>
      </w:pPr>
    </w:p>
    <w:p w14:paraId="1866A642" w14:textId="77777777" w:rsidR="003E5A84" w:rsidRDefault="003E5A84" w:rsidP="003E5A84">
      <w:pPr>
        <w:rPr>
          <w:rFonts w:cs="Arial"/>
          <w:color w:val="000000"/>
        </w:rPr>
      </w:pPr>
    </w:p>
    <w:p w14:paraId="3504FBA2" w14:textId="77777777" w:rsidR="003E5A84" w:rsidRPr="004129E0" w:rsidRDefault="003E5A84" w:rsidP="003E5A84">
      <w:pPr>
        <w:tabs>
          <w:tab w:val="left" w:pos="851"/>
        </w:tabs>
        <w:ind w:left="1276"/>
        <w:jc w:val="both"/>
        <w:rPr>
          <w:rFonts w:cs="Arial"/>
          <w:b/>
          <w:smallCaps/>
        </w:rPr>
      </w:pPr>
      <w:r w:rsidRPr="004129E0">
        <w:rPr>
          <w:rFonts w:cs="Arial"/>
          <w:b/>
          <w:smallCaps/>
        </w:rPr>
        <w:t>Framework – “</w:t>
      </w:r>
      <w:proofErr w:type="spellStart"/>
      <w:r w:rsidRPr="004129E0">
        <w:rPr>
          <w:rFonts w:cs="Arial"/>
          <w:b/>
          <w:smallCaps/>
        </w:rPr>
        <w:t>Koories</w:t>
      </w:r>
      <w:proofErr w:type="spellEnd"/>
      <w:r w:rsidRPr="004129E0">
        <w:rPr>
          <w:rFonts w:cs="Arial"/>
          <w:b/>
          <w:smallCaps/>
        </w:rPr>
        <w:t xml:space="preserve"> in Victorian Councils”</w:t>
      </w:r>
    </w:p>
    <w:p w14:paraId="1B363E89" w14:textId="77777777" w:rsidR="003E5A84" w:rsidRPr="0079626D" w:rsidRDefault="003E5A84" w:rsidP="003E5A84">
      <w:pPr>
        <w:ind w:left="2127"/>
        <w:jc w:val="center"/>
        <w:rPr>
          <w:rFonts w:cs="Arial"/>
          <w:color w:val="000000"/>
          <w:sz w:val="24"/>
          <w:szCs w:val="24"/>
        </w:rPr>
      </w:pPr>
    </w:p>
    <w:p w14:paraId="0B09C898" w14:textId="77777777" w:rsidR="00B66383" w:rsidRDefault="003E5A84" w:rsidP="003E5A84">
      <w:pPr>
        <w:ind w:left="1134"/>
      </w:pPr>
      <w:r>
        <w:rPr>
          <w:noProof/>
          <w:lang w:eastAsia="en-AU"/>
        </w:rPr>
        <w:drawing>
          <wp:inline distT="0" distB="0" distL="0" distR="0" wp14:anchorId="61E8D125" wp14:editId="36CA04B8">
            <wp:extent cx="4247458" cy="751159"/>
            <wp:effectExtent l="0" t="0" r="1270" b="0"/>
            <wp:docPr id="1" name="Picture 1" descr="Respect + Relationships + Opportunities = Aboriginal people benefiting council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56378" cy="752737"/>
                    </a:xfrm>
                    <a:prstGeom prst="rect">
                      <a:avLst/>
                    </a:prstGeom>
                  </pic:spPr>
                </pic:pic>
              </a:graphicData>
            </a:graphic>
          </wp:inline>
        </w:drawing>
      </w:r>
    </w:p>
    <w:p w14:paraId="116112E3" w14:textId="77777777" w:rsidR="003E5A84" w:rsidRDefault="003E5A84"/>
    <w:p w14:paraId="541E539F" w14:textId="77777777" w:rsidR="003E5A84" w:rsidRPr="0079626D" w:rsidRDefault="003E5A84" w:rsidP="003E5A84">
      <w:pPr>
        <w:ind w:left="-567" w:right="-731"/>
        <w:jc w:val="both"/>
        <w:rPr>
          <w:rFonts w:cs="Arial"/>
          <w:sz w:val="20"/>
          <w:szCs w:val="20"/>
        </w:rPr>
      </w:pPr>
      <w:r>
        <w:rPr>
          <w:rFonts w:cs="Arial"/>
          <w:sz w:val="20"/>
          <w:szCs w:val="20"/>
        </w:rPr>
        <w:t>T</w:t>
      </w:r>
      <w:r w:rsidRPr="0079626D">
        <w:rPr>
          <w:rFonts w:cs="Arial"/>
          <w:sz w:val="20"/>
          <w:szCs w:val="20"/>
        </w:rPr>
        <w:t xml:space="preserve">he MAV has invited all councils and Aboriginal people to participate in a Victorian Local Government Aboriginal Employment Framework. </w:t>
      </w:r>
      <w:r>
        <w:rPr>
          <w:rFonts w:cs="Arial"/>
          <w:sz w:val="20"/>
          <w:szCs w:val="20"/>
        </w:rPr>
        <w:t xml:space="preserve"> </w:t>
      </w:r>
      <w:r w:rsidRPr="0079626D">
        <w:rPr>
          <w:rFonts w:cs="Arial"/>
          <w:sz w:val="20"/>
          <w:szCs w:val="20"/>
        </w:rPr>
        <w:t xml:space="preserve">Developed through the MAV Aboriginal Employment project, this framework has been designed to provide a tool for local government and Aboriginal communities. It is based on the structure for Reconciliation Action Plans established by Reconciliation Australia so that it can easily align with council Reconciliation Action Plans.  </w:t>
      </w:r>
    </w:p>
    <w:p w14:paraId="2A7AEDB4" w14:textId="77777777" w:rsidR="003E5A84" w:rsidRPr="0079626D" w:rsidRDefault="003E5A84" w:rsidP="003E5A84">
      <w:pPr>
        <w:ind w:left="-567" w:right="-731"/>
        <w:jc w:val="both"/>
        <w:rPr>
          <w:rFonts w:cs="Arial"/>
          <w:sz w:val="20"/>
          <w:szCs w:val="20"/>
        </w:rPr>
      </w:pPr>
    </w:p>
    <w:p w14:paraId="48FDDE4B" w14:textId="475C99A8" w:rsidR="003E5A84" w:rsidRDefault="003E5A84" w:rsidP="003E5A84">
      <w:pPr>
        <w:ind w:left="-567" w:right="-731"/>
        <w:jc w:val="both"/>
        <w:rPr>
          <w:rFonts w:cs="Arial"/>
          <w:sz w:val="20"/>
          <w:szCs w:val="20"/>
        </w:rPr>
      </w:pPr>
      <w:r w:rsidRPr="0079626D">
        <w:rPr>
          <w:rFonts w:cs="Arial"/>
          <w:sz w:val="20"/>
          <w:szCs w:val="20"/>
        </w:rPr>
        <w:t>Councils understanding and acknowledging the unique place of Aboriginal people in their community is often the first step in councils becoming an employer of choice for Aboriginal people.  Having an informed understanding of the local Aboriginal community will better enable councils to take the actions that will resul</w:t>
      </w:r>
      <w:r w:rsidR="00EC5D6C">
        <w:rPr>
          <w:rFonts w:cs="Arial"/>
          <w:sz w:val="20"/>
          <w:szCs w:val="20"/>
        </w:rPr>
        <w:t xml:space="preserve">t in </w:t>
      </w:r>
      <w:r w:rsidRPr="0079626D">
        <w:rPr>
          <w:rFonts w:cs="Arial"/>
          <w:sz w:val="20"/>
          <w:szCs w:val="20"/>
        </w:rPr>
        <w:t>Aboriginal people wanting to work in local government.</w:t>
      </w:r>
    </w:p>
    <w:p w14:paraId="4E45BD29" w14:textId="77777777" w:rsidR="003E5A84" w:rsidRDefault="003E5A84" w:rsidP="003E5A84">
      <w:pPr>
        <w:ind w:left="-567" w:right="-731"/>
        <w:jc w:val="both"/>
        <w:rPr>
          <w:rFonts w:cs="Arial"/>
          <w:sz w:val="20"/>
          <w:szCs w:val="20"/>
        </w:rPr>
      </w:pPr>
    </w:p>
    <w:p w14:paraId="6476A688" w14:textId="143E702D" w:rsidR="003E5A84" w:rsidRDefault="003E5A84" w:rsidP="003E5A84">
      <w:pPr>
        <w:tabs>
          <w:tab w:val="left" w:pos="-709"/>
        </w:tabs>
        <w:ind w:left="-567" w:right="-731"/>
        <w:jc w:val="both"/>
        <w:rPr>
          <w:rFonts w:cs="Arial"/>
          <w:sz w:val="20"/>
          <w:szCs w:val="20"/>
        </w:rPr>
      </w:pPr>
      <w:r>
        <w:rPr>
          <w:rFonts w:cs="Arial"/>
          <w:sz w:val="20"/>
          <w:szCs w:val="20"/>
        </w:rPr>
        <w:t xml:space="preserve">The Victorian Aboriginal community is also expected to grow significantly from the current base </w:t>
      </w:r>
      <w:r w:rsidR="007B04AA">
        <w:rPr>
          <w:rFonts w:cs="Arial"/>
          <w:sz w:val="20"/>
          <w:szCs w:val="20"/>
        </w:rPr>
        <w:t xml:space="preserve">of over 47,000 people </w:t>
      </w:r>
      <w:r>
        <w:rPr>
          <w:rFonts w:cs="Arial"/>
          <w:sz w:val="20"/>
          <w:szCs w:val="20"/>
        </w:rPr>
        <w:t>to nearly 70,000 people by 2026.</w:t>
      </w:r>
    </w:p>
    <w:p w14:paraId="3DB16D3C" w14:textId="77777777" w:rsidR="003E5A84" w:rsidRDefault="003E5A84" w:rsidP="003E5A84">
      <w:pPr>
        <w:jc w:val="center"/>
        <w:rPr>
          <w:rFonts w:cs="Arial"/>
          <w:color w:val="000000"/>
        </w:rPr>
      </w:pPr>
      <w:r w:rsidRPr="004C26FC">
        <w:rPr>
          <w:noProof/>
          <w:lang w:eastAsia="en-AU"/>
        </w:rPr>
        <mc:AlternateContent>
          <mc:Choice Requires="wps">
            <w:drawing>
              <wp:anchor distT="0" distB="0" distL="114300" distR="114300" simplePos="0" relativeHeight="251659264" behindDoc="0" locked="0" layoutInCell="1" allowOverlap="1" wp14:anchorId="5FF10264" wp14:editId="3BF5A573">
                <wp:simplePos x="0" y="0"/>
                <wp:positionH relativeFrom="column">
                  <wp:posOffset>945515</wp:posOffset>
                </wp:positionH>
                <wp:positionV relativeFrom="paragraph">
                  <wp:posOffset>52705</wp:posOffset>
                </wp:positionV>
                <wp:extent cx="3119755" cy="276860"/>
                <wp:effectExtent l="0" t="0" r="0" b="0"/>
                <wp:wrapNone/>
                <wp:docPr id="31" name="TextBox 6"/>
                <wp:cNvGraphicFramePr/>
                <a:graphic xmlns:a="http://schemas.openxmlformats.org/drawingml/2006/main">
                  <a:graphicData uri="http://schemas.microsoft.com/office/word/2010/wordprocessingShape">
                    <wps:wsp>
                      <wps:cNvSpPr txBox="1"/>
                      <wps:spPr>
                        <a:xfrm>
                          <a:off x="0" y="0"/>
                          <a:ext cx="3119755" cy="276860"/>
                        </a:xfrm>
                        <a:prstGeom prst="rect">
                          <a:avLst/>
                        </a:prstGeom>
                        <a:noFill/>
                      </wps:spPr>
                      <wps:txbx>
                        <w:txbxContent>
                          <w:p w14:paraId="2CC4B470" w14:textId="77777777" w:rsidR="003E5A84" w:rsidRPr="00465C77" w:rsidRDefault="003E5A84" w:rsidP="003E5A84">
                            <w:pPr>
                              <w:pStyle w:val="NormalWeb"/>
                              <w:spacing w:before="0" w:beforeAutospacing="0" w:after="0" w:afterAutospacing="0"/>
                              <w:rPr>
                                <w:rFonts w:ascii="Arial" w:hAnsi="Arial" w:cs="Arial"/>
                              </w:rPr>
                            </w:pPr>
                            <w:r w:rsidRPr="00465C77">
                              <w:rPr>
                                <w:rFonts w:ascii="Arial" w:hAnsi="Arial" w:cs="Arial"/>
                                <w:b/>
                                <w:bCs/>
                                <w:color w:val="000000" w:themeColor="text1"/>
                                <w:kern w:val="24"/>
                              </w:rPr>
                              <w:t xml:space="preserve">Population projections for </w:t>
                            </w:r>
                            <w:r>
                              <w:rPr>
                                <w:rFonts w:ascii="Arial" w:hAnsi="Arial" w:cs="Arial"/>
                                <w:b/>
                                <w:bCs/>
                                <w:color w:val="000000" w:themeColor="text1"/>
                                <w:kern w:val="24"/>
                              </w:rPr>
                              <w:t>Aboriginal people</w:t>
                            </w:r>
                            <w:r w:rsidRPr="00465C77">
                              <w:rPr>
                                <w:rFonts w:ascii="Arial" w:hAnsi="Arial" w:cs="Arial"/>
                                <w:b/>
                                <w:bCs/>
                                <w:color w:val="000000" w:themeColor="text1"/>
                                <w:kern w:val="24"/>
                              </w:rPr>
                              <w:t xml:space="preserve"> living in Victoria</w:t>
                            </w:r>
                          </w:p>
                        </w:txbxContent>
                      </wps:txbx>
                      <wps:bodyPr wrap="none" rtlCol="0">
                        <a:spAutoFit/>
                      </wps:bodyPr>
                    </wps:wsp>
                  </a:graphicData>
                </a:graphic>
              </wp:anchor>
            </w:drawing>
          </mc:Choice>
          <mc:Fallback>
            <w:pict>
              <v:shapetype w14:anchorId="5FF10264" id="_x0000_t202" coordsize="21600,21600" o:spt="202" path="m,l,21600r21600,l21600,xe">
                <v:stroke joinstyle="miter"/>
                <v:path gradientshapeok="t" o:connecttype="rect"/>
              </v:shapetype>
              <v:shape id="TextBox 6" o:spid="_x0000_s1026" type="#_x0000_t202" style="position:absolute;left:0;text-align:left;margin-left:74.45pt;margin-top:4.15pt;width:245.65pt;height:2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" filled="f" stroked="f">
                <v:textbox style="mso-fit-shape-to-text:t">
                  <w:txbxContent>
                    <w:p w14:paraId="2CC4B470" w14:textId="77777777" w:rsidR="003E5A84" w:rsidRPr="00465C77" w:rsidRDefault="003E5A84" w:rsidP="003E5A84">
                      <w:pPr>
                        <w:pStyle w:val="NormalWeb"/>
                        <w:spacing w:before="0" w:beforeAutospacing="0" w:after="0" w:afterAutospacing="0"/>
                        <w:rPr>
                          <w:rFonts w:ascii="Arial" w:hAnsi="Arial" w:cs="Arial"/>
                        </w:rPr>
                      </w:pPr>
                      <w:r w:rsidRPr="00465C77">
                        <w:rPr>
                          <w:rFonts w:ascii="Arial" w:hAnsi="Arial" w:cs="Arial"/>
                          <w:b/>
                          <w:bCs/>
                          <w:color w:val="000000" w:themeColor="text1"/>
                          <w:kern w:val="24"/>
                        </w:rPr>
                        <w:t xml:space="preserve">Population projections for </w:t>
                      </w:r>
                      <w:r>
                        <w:rPr>
                          <w:rFonts w:ascii="Arial" w:hAnsi="Arial" w:cs="Arial"/>
                          <w:b/>
                          <w:bCs/>
                          <w:color w:val="000000" w:themeColor="text1"/>
                          <w:kern w:val="24"/>
                        </w:rPr>
                        <w:t>Aboriginal people</w:t>
                      </w:r>
                      <w:r w:rsidRPr="00465C77">
                        <w:rPr>
                          <w:rFonts w:ascii="Arial" w:hAnsi="Arial" w:cs="Arial"/>
                          <w:b/>
                          <w:bCs/>
                          <w:color w:val="000000" w:themeColor="text1"/>
                          <w:kern w:val="24"/>
                        </w:rPr>
                        <w:t xml:space="preserve"> living in Victoria</w:t>
                      </w:r>
                    </w:p>
                  </w:txbxContent>
                </v:textbox>
              </v:shape>
            </w:pict>
          </mc:Fallback>
        </mc:AlternateContent>
      </w:r>
    </w:p>
    <w:tbl>
      <w:tblPr>
        <w:tblStyle w:val="TableGrid"/>
        <w:tblpPr w:leftFromText="180" w:rightFromText="180" w:vertAnchor="text" w:horzAnchor="margin" w:tblpXSpec="right" w:tblpY="138"/>
        <w:tblW w:w="9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7216"/>
      </w:tblGrid>
      <w:tr w:rsidR="003E5A84" w14:paraId="11BD9A57" w14:textId="77777777" w:rsidTr="005C626D">
        <w:tc>
          <w:tcPr>
            <w:tcW w:w="2507" w:type="dxa"/>
          </w:tcPr>
          <w:p w14:paraId="5AB85F07" w14:textId="77777777" w:rsidR="003E5A84" w:rsidRDefault="003E5A84" w:rsidP="001669BF">
            <w:pPr>
              <w:rPr>
                <w:b/>
                <w:sz w:val="16"/>
                <w:szCs w:val="16"/>
              </w:rPr>
            </w:pPr>
          </w:p>
          <w:p w14:paraId="6E226D47" w14:textId="77777777" w:rsidR="003E5A84" w:rsidRDefault="003E5A84" w:rsidP="001669BF">
            <w:pPr>
              <w:rPr>
                <w:b/>
                <w:sz w:val="16"/>
                <w:szCs w:val="16"/>
              </w:rPr>
            </w:pPr>
          </w:p>
          <w:p w14:paraId="39C71F8D" w14:textId="77777777" w:rsidR="003E5A84" w:rsidRDefault="003E5A84" w:rsidP="001669BF">
            <w:pPr>
              <w:rPr>
                <w:b/>
                <w:sz w:val="16"/>
                <w:szCs w:val="16"/>
              </w:rPr>
            </w:pPr>
          </w:p>
          <w:p w14:paraId="27122723" w14:textId="77777777" w:rsidR="003E5A84" w:rsidRDefault="003E5A84" w:rsidP="001669BF">
            <w:pPr>
              <w:rPr>
                <w:b/>
                <w:sz w:val="16"/>
                <w:szCs w:val="16"/>
              </w:rPr>
            </w:pPr>
          </w:p>
          <w:p w14:paraId="60F14D53" w14:textId="77777777" w:rsidR="005C626D" w:rsidRDefault="003E5A84" w:rsidP="001669BF">
            <w:pPr>
              <w:rPr>
                <w:sz w:val="16"/>
                <w:szCs w:val="16"/>
              </w:rPr>
            </w:pPr>
            <w:r w:rsidRPr="007F1F24">
              <w:rPr>
                <w:noProof/>
                <w:sz w:val="16"/>
                <w:szCs w:val="16"/>
                <w:lang w:eastAsia="en-AU"/>
              </w:rPr>
              <mc:AlternateContent>
                <mc:Choice Requires="wps">
                  <w:drawing>
                    <wp:anchor distT="0" distB="0" distL="114300" distR="114300" simplePos="0" relativeHeight="251660288" behindDoc="0" locked="0" layoutInCell="1" allowOverlap="1" wp14:anchorId="59D8EE90" wp14:editId="5A5BC541">
                      <wp:simplePos x="0" y="0"/>
                      <wp:positionH relativeFrom="column">
                        <wp:posOffset>1071565</wp:posOffset>
                      </wp:positionH>
                      <wp:positionV relativeFrom="paragraph">
                        <wp:posOffset>293686</wp:posOffset>
                      </wp:positionV>
                      <wp:extent cx="1136650" cy="245745"/>
                      <wp:effectExtent l="0" t="0" r="0" b="0"/>
                      <wp:wrapNone/>
                      <wp:docPr id="34" name="TextBox 4"/>
                      <wp:cNvGraphicFramePr/>
                      <a:graphic xmlns:a="http://schemas.openxmlformats.org/drawingml/2006/main">
                        <a:graphicData uri="http://schemas.microsoft.com/office/word/2010/wordprocessingShape">
                          <wps:wsp>
                            <wps:cNvSpPr txBox="1"/>
                            <wps:spPr>
                              <a:xfrm rot="16200000">
                                <a:off x="0" y="0"/>
                                <a:ext cx="1136650" cy="245745"/>
                              </a:xfrm>
                              <a:prstGeom prst="rect">
                                <a:avLst/>
                              </a:prstGeom>
                              <a:noFill/>
                            </wps:spPr>
                            <wps:txbx>
                              <w:txbxContent>
                                <w:p w14:paraId="02FC009D" w14:textId="77777777" w:rsidR="003E5A84" w:rsidRDefault="003E5A84" w:rsidP="003E5A84">
                                  <w:pPr>
                                    <w:pStyle w:val="NormalWeb"/>
                                    <w:spacing w:before="0" w:beforeAutospacing="0" w:after="0" w:afterAutospacing="0"/>
                                  </w:pPr>
                                  <w:r>
                                    <w:rPr>
                                      <w:rFonts w:asciiTheme="minorHAnsi" w:hAnsi="Calibri" w:cstheme="minorBidi"/>
                                      <w:color w:val="000000" w:themeColor="text1"/>
                                      <w:kern w:val="24"/>
                                      <w:sz w:val="20"/>
                                      <w:szCs w:val="20"/>
                                    </w:rPr>
                                    <w:t>Number of people</w:t>
                                  </w:r>
                                </w:p>
                              </w:txbxContent>
                            </wps:txbx>
                            <wps:bodyPr wrap="none" rtlCol="0">
                              <a:spAutoFit/>
                            </wps:bodyPr>
                          </wps:wsp>
                        </a:graphicData>
                      </a:graphic>
                    </wp:anchor>
                  </w:drawing>
                </mc:Choice>
                <mc:Fallback>
                  <w:pict>
                    <v:shape w14:anchorId="59D8EE90" id="TextBox 4" o:spid="_x0000_s1027" type="#_x0000_t202" style="position:absolute;margin-left:84.4pt;margin-top:23.1pt;width:89.5pt;height:19.35pt;rotation:-9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" filled="f" stroked="f">
                      <v:textbox style="mso-fit-shape-to-text:t">
                        <w:txbxContent>
                          <w:p w14:paraId="02FC009D" w14:textId="77777777" w:rsidR="003E5A84" w:rsidRDefault="003E5A84" w:rsidP="003E5A84">
                            <w:pPr>
                              <w:pStyle w:val="NormalWeb"/>
                              <w:spacing w:before="0" w:beforeAutospacing="0" w:after="0" w:afterAutospacing="0"/>
                            </w:pPr>
                            <w:r>
                              <w:rPr>
                                <w:rFonts w:asciiTheme="minorHAnsi" w:hAnsi="Calibri" w:cstheme="minorBidi"/>
                                <w:color w:val="000000" w:themeColor="text1"/>
                                <w:kern w:val="24"/>
                                <w:sz w:val="20"/>
                                <w:szCs w:val="20"/>
                              </w:rPr>
                              <w:t>Number of people</w:t>
                            </w:r>
                          </w:p>
                        </w:txbxContent>
                      </v:textbox>
                    </v:shape>
                  </w:pict>
                </mc:Fallback>
              </mc:AlternateContent>
            </w:r>
            <w:r w:rsidRPr="007F1F24">
              <w:rPr>
                <w:sz w:val="16"/>
                <w:szCs w:val="16"/>
              </w:rPr>
              <w:t xml:space="preserve">Currently there are 47,327 Aboriginal people living in Victoria, with the number expected to grow significantly </w:t>
            </w:r>
          </w:p>
          <w:p w14:paraId="7E74250E" w14:textId="243064F0" w:rsidR="003E5A84" w:rsidRPr="007F1F24" w:rsidRDefault="003E5A84" w:rsidP="001669BF">
            <w:pPr>
              <w:rPr>
                <w:rFonts w:eastAsia="Times New Roman"/>
                <w:color w:val="000000"/>
                <w:sz w:val="16"/>
                <w:szCs w:val="16"/>
                <w:lang w:eastAsia="en-AU"/>
              </w:rPr>
            </w:pPr>
            <w:proofErr w:type="gramStart"/>
            <w:r w:rsidRPr="007F1F24">
              <w:rPr>
                <w:sz w:val="16"/>
                <w:szCs w:val="16"/>
              </w:rPr>
              <w:t>to</w:t>
            </w:r>
            <w:proofErr w:type="gramEnd"/>
            <w:r w:rsidRPr="007F1F24">
              <w:rPr>
                <w:sz w:val="16"/>
                <w:szCs w:val="16"/>
              </w:rPr>
              <w:t xml:space="preserve"> nearly 70,000 by 2026.</w:t>
            </w:r>
          </w:p>
          <w:p w14:paraId="48BE84E5" w14:textId="03DFB7F2" w:rsidR="003E5A84" w:rsidRDefault="007B04AA" w:rsidP="001669BF">
            <w:pPr>
              <w:rPr>
                <w:color w:val="000000"/>
              </w:rPr>
            </w:pPr>
            <w:r>
              <w:rPr>
                <w:noProof/>
                <w:lang w:eastAsia="en-AU"/>
              </w:rPr>
              <mc:AlternateContent>
                <mc:Choice Requires="wps">
                  <w:drawing>
                    <wp:anchor distT="0" distB="0" distL="114300" distR="114300" simplePos="0" relativeHeight="251662336" behindDoc="0" locked="0" layoutInCell="1" allowOverlap="1" wp14:anchorId="5AB49E06" wp14:editId="76AAA180">
                      <wp:simplePos x="0" y="0"/>
                      <wp:positionH relativeFrom="column">
                        <wp:posOffset>224790</wp:posOffset>
                      </wp:positionH>
                      <wp:positionV relativeFrom="paragraph">
                        <wp:posOffset>1176655</wp:posOffset>
                      </wp:positionV>
                      <wp:extent cx="5810250" cy="276225"/>
                      <wp:effectExtent l="0" t="0" r="0"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6225"/>
                              </a:xfrm>
                              <a:prstGeom prst="rect">
                                <a:avLst/>
                              </a:prstGeom>
                              <a:solidFill>
                                <a:srgbClr val="FFFFFF"/>
                              </a:solidFill>
                              <a:ln w="9525">
                                <a:noFill/>
                                <a:miter lim="800000"/>
                                <a:headEnd/>
                                <a:tailEnd/>
                              </a:ln>
                            </wps:spPr>
                            <wps:txbx>
                              <w:txbxContent>
                                <w:p w14:paraId="38AB08D4" w14:textId="77777777" w:rsidR="003E5A84" w:rsidRDefault="003E5A84" w:rsidP="003E5A84">
                                  <w:pPr>
                                    <w:rPr>
                                      <w:sz w:val="16"/>
                                      <w:szCs w:val="16"/>
                                    </w:rPr>
                                  </w:pPr>
                                  <w:r>
                                    <w:rPr>
                                      <w:sz w:val="16"/>
                                      <w:szCs w:val="16"/>
                                    </w:rPr>
                                    <w:t xml:space="preserve">Source:  </w:t>
                                  </w:r>
                                  <w:r w:rsidRPr="007A45CE">
                                    <w:rPr>
                                      <w:sz w:val="16"/>
                                      <w:szCs w:val="16"/>
                                    </w:rPr>
                                    <w:t>ABS Estimates &amp; Projections, Aboriginal &amp; Torres Strait Islander Australian</w:t>
                                  </w:r>
                                  <w:r>
                                    <w:rPr>
                                      <w:sz w:val="16"/>
                                      <w:szCs w:val="16"/>
                                    </w:rPr>
                                    <w:t>s, 2001 to 2026, Public</w:t>
                                  </w:r>
                                  <w:r w:rsidRPr="007A45CE">
                                    <w:rPr>
                                      <w:sz w:val="16"/>
                                      <w:szCs w:val="16"/>
                                    </w:rPr>
                                    <w:t>ation No 3238.0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49E06" id="Text Box 2" o:spid="_x0000_s1028" type="#_x0000_t202" style="position:absolute;margin-left:17.7pt;margin-top:92.65pt;width:45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" stroked="f">
                      <v:textbox>
                        <w:txbxContent>
                          <w:p w14:paraId="38AB08D4" w14:textId="77777777" w:rsidR="003E5A84" w:rsidRDefault="003E5A84" w:rsidP="003E5A84">
                            <w:pPr>
                              <w:rPr>
                                <w:sz w:val="16"/>
                                <w:szCs w:val="16"/>
                              </w:rPr>
                            </w:pPr>
                            <w:r>
                              <w:rPr>
                                <w:sz w:val="16"/>
                                <w:szCs w:val="16"/>
                              </w:rPr>
                              <w:t xml:space="preserve">Source:  </w:t>
                            </w:r>
                            <w:r w:rsidRPr="007A45CE">
                              <w:rPr>
                                <w:sz w:val="16"/>
                                <w:szCs w:val="16"/>
                              </w:rPr>
                              <w:t>ABS Estimates &amp; Projections, Aboriginal &amp; Torres Strait Islander Australian</w:t>
                            </w:r>
                            <w:r>
                              <w:rPr>
                                <w:sz w:val="16"/>
                                <w:szCs w:val="16"/>
                              </w:rPr>
                              <w:t>s, 2001 to 2026, Public</w:t>
                            </w:r>
                            <w:r w:rsidRPr="007A45CE">
                              <w:rPr>
                                <w:sz w:val="16"/>
                                <w:szCs w:val="16"/>
                              </w:rPr>
                              <w:t>ation No 3238.0</w:t>
                            </w:r>
                          </w:p>
                        </w:txbxContent>
                      </v:textbox>
                    </v:shape>
                  </w:pict>
                </mc:Fallback>
              </mc:AlternateContent>
            </w:r>
          </w:p>
        </w:tc>
        <w:tc>
          <w:tcPr>
            <w:tcW w:w="7216" w:type="dxa"/>
          </w:tcPr>
          <w:p w14:paraId="4FFD13F1" w14:textId="77777777" w:rsidR="003E5A84" w:rsidRDefault="003E5A84" w:rsidP="001669BF">
            <w:pPr>
              <w:rPr>
                <w:color w:val="000000"/>
              </w:rPr>
            </w:pPr>
          </w:p>
          <w:p w14:paraId="3AF2DAB8" w14:textId="77777777" w:rsidR="003E5A84" w:rsidRDefault="003E5A84" w:rsidP="001669BF">
            <w:pPr>
              <w:jc w:val="right"/>
              <w:rPr>
                <w:color w:val="000000"/>
              </w:rPr>
            </w:pPr>
            <w:r w:rsidRPr="004C26FC">
              <w:rPr>
                <w:noProof/>
                <w:lang w:eastAsia="en-AU"/>
              </w:rPr>
              <mc:AlternateContent>
                <mc:Choice Requires="wps">
                  <w:drawing>
                    <wp:anchor distT="0" distB="0" distL="114300" distR="114300" simplePos="0" relativeHeight="251658240" behindDoc="0" locked="0" layoutInCell="1" allowOverlap="1" wp14:anchorId="6F3E3A3D" wp14:editId="414D3850">
                      <wp:simplePos x="0" y="0"/>
                      <wp:positionH relativeFrom="column">
                        <wp:posOffset>1868170</wp:posOffset>
                      </wp:positionH>
                      <wp:positionV relativeFrom="paragraph">
                        <wp:posOffset>1815465</wp:posOffset>
                      </wp:positionV>
                      <wp:extent cx="1497330" cy="245745"/>
                      <wp:effectExtent l="0" t="0" r="0" b="0"/>
                      <wp:wrapNone/>
                      <wp:docPr id="35" name="TextBox 5"/>
                      <wp:cNvGraphicFramePr/>
                      <a:graphic xmlns:a="http://schemas.openxmlformats.org/drawingml/2006/main">
                        <a:graphicData uri="http://schemas.microsoft.com/office/word/2010/wordprocessingShape">
                          <wps:wsp>
                            <wps:cNvSpPr txBox="1"/>
                            <wps:spPr>
                              <a:xfrm>
                                <a:off x="0" y="0"/>
                                <a:ext cx="1497330" cy="245745"/>
                              </a:xfrm>
                              <a:prstGeom prst="rect">
                                <a:avLst/>
                              </a:prstGeom>
                              <a:noFill/>
                            </wps:spPr>
                            <wps:txbx>
                              <w:txbxContent>
                                <w:p w14:paraId="55C608B2" w14:textId="77777777" w:rsidR="003E5A84" w:rsidRDefault="003E5A84" w:rsidP="003E5A84">
                                  <w:pPr>
                                    <w:pStyle w:val="NormalWeb"/>
                                    <w:spacing w:before="0" w:beforeAutospacing="0" w:after="0" w:afterAutospacing="0"/>
                                  </w:pPr>
                                  <w:r>
                                    <w:rPr>
                                      <w:rFonts w:asciiTheme="minorHAnsi" w:hAnsi="Calibri" w:cstheme="minorBidi"/>
                                      <w:color w:val="000000" w:themeColor="text1"/>
                                      <w:kern w:val="24"/>
                                      <w:sz w:val="20"/>
                                      <w:szCs w:val="20"/>
                                    </w:rPr>
                                    <w:t>Year of census / estimate</w:t>
                                  </w:r>
                                </w:p>
                              </w:txbxContent>
                            </wps:txbx>
                            <wps:bodyPr wrap="none" rtlCol="0">
                              <a:spAutoFit/>
                            </wps:bodyPr>
                          </wps:wsp>
                        </a:graphicData>
                      </a:graphic>
                    </wp:anchor>
                  </w:drawing>
                </mc:Choice>
                <mc:Fallback>
                  <w:pict>
                    <v:shape w14:anchorId="6F3E3A3D" id="TextBox 5" o:spid="_x0000_s1029" type="#_x0000_t202" style="position:absolute;left:0;text-align:left;margin-left:147.1pt;margin-top:142.95pt;width:117.9pt;height:19.3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" filled="f" stroked="f">
                      <v:textbox style="mso-fit-shape-to-text:t">
                        <w:txbxContent>
                          <w:p w14:paraId="55C608B2" w14:textId="77777777" w:rsidR="003E5A84" w:rsidRDefault="003E5A84" w:rsidP="003E5A84">
                            <w:pPr>
                              <w:pStyle w:val="NormalWeb"/>
                              <w:spacing w:before="0" w:beforeAutospacing="0" w:after="0" w:afterAutospacing="0"/>
                            </w:pPr>
                            <w:r>
                              <w:rPr>
                                <w:rFonts w:asciiTheme="minorHAnsi" w:hAnsi="Calibri" w:cstheme="minorBidi"/>
                                <w:color w:val="000000" w:themeColor="text1"/>
                                <w:kern w:val="24"/>
                                <w:sz w:val="20"/>
                                <w:szCs w:val="20"/>
                              </w:rPr>
                              <w:t>Year of census / estimate</w:t>
                            </w:r>
                          </w:p>
                        </w:txbxContent>
                      </v:textbox>
                    </v:shape>
                  </w:pict>
                </mc:Fallback>
              </mc:AlternateContent>
            </w:r>
            <w:r w:rsidRPr="004C26FC">
              <w:rPr>
                <w:noProof/>
                <w:lang w:eastAsia="en-AU"/>
              </w:rPr>
              <w:drawing>
                <wp:inline distT="0" distB="0" distL="0" distR="0" wp14:anchorId="4A761C2B" wp14:editId="5A7E197E">
                  <wp:extent cx="4152900" cy="2190750"/>
                  <wp:effectExtent l="0" t="0" r="0" b="0"/>
                  <wp:docPr id="32" name="Chart 32" descr="Projections indicate Aboriginal people in Victoria will grow to almost 70,000 by 20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31D6B8C0" w14:textId="6AC78900" w:rsidR="003E5A84" w:rsidRDefault="003E5A84" w:rsidP="003E5A84">
      <w:pPr>
        <w:jc w:val="center"/>
        <w:rPr>
          <w:rFonts w:cs="Arial"/>
          <w:color w:val="000000"/>
        </w:rPr>
      </w:pPr>
    </w:p>
    <w:p w14:paraId="63C2D197" w14:textId="77777777" w:rsidR="00FF5C85" w:rsidRDefault="00FF5C85" w:rsidP="00EC5D6C">
      <w:pPr>
        <w:tabs>
          <w:tab w:val="left" w:pos="2694"/>
        </w:tabs>
        <w:ind w:left="-567" w:right="-733"/>
        <w:rPr>
          <w:b/>
          <w:smallCaps/>
        </w:rPr>
      </w:pPr>
    </w:p>
    <w:p w14:paraId="74CBABAD" w14:textId="37616E03" w:rsidR="00EC5D6C" w:rsidRPr="00CC6885" w:rsidRDefault="00EC5D6C" w:rsidP="00EC5D6C">
      <w:pPr>
        <w:tabs>
          <w:tab w:val="left" w:pos="2694"/>
        </w:tabs>
        <w:ind w:left="-567" w:right="-733"/>
        <w:rPr>
          <w:b/>
          <w:smallCaps/>
        </w:rPr>
      </w:pPr>
      <w:r w:rsidRPr="00CC6885">
        <w:rPr>
          <w:b/>
          <w:smallCaps/>
        </w:rPr>
        <w:t>Download Mav Fact Sheets:</w:t>
      </w:r>
      <w:r>
        <w:rPr>
          <w:b/>
          <w:smallCaps/>
        </w:rPr>
        <w:t xml:space="preserve"> </w:t>
      </w:r>
      <w:r>
        <w:rPr>
          <w:b/>
          <w:smallCaps/>
        </w:rPr>
        <w:tab/>
        <w:t xml:space="preserve">No 1 </w:t>
      </w:r>
      <w:r w:rsidRPr="00CC6885">
        <w:rPr>
          <w:b/>
          <w:smallCaps/>
        </w:rPr>
        <w:t>getting started</w:t>
      </w:r>
    </w:p>
    <w:p w14:paraId="44860528" w14:textId="2FC63717" w:rsidR="00EC5D6C" w:rsidRDefault="00EC5D6C" w:rsidP="00EC5D6C">
      <w:pPr>
        <w:tabs>
          <w:tab w:val="left" w:pos="2552"/>
        </w:tabs>
        <w:ind w:left="3261" w:right="-733" w:hanging="567"/>
        <w:rPr>
          <w:b/>
          <w:smallCaps/>
        </w:rPr>
      </w:pPr>
      <w:r>
        <w:rPr>
          <w:b/>
          <w:smallCaps/>
        </w:rPr>
        <w:t xml:space="preserve">No 2 </w:t>
      </w:r>
      <w:r w:rsidRPr="00CC6885">
        <w:rPr>
          <w:b/>
          <w:smallCaps/>
        </w:rPr>
        <w:t>resources guide for aboriginal employment in local government</w:t>
      </w:r>
    </w:p>
    <w:p w14:paraId="623C4A91" w14:textId="3E057504" w:rsidR="00EC5D6C" w:rsidRDefault="00EC5D6C" w:rsidP="00EC5D6C">
      <w:pPr>
        <w:tabs>
          <w:tab w:val="left" w:pos="2552"/>
        </w:tabs>
        <w:ind w:left="2694" w:right="-733"/>
      </w:pPr>
      <w:r>
        <w:rPr>
          <w:b/>
          <w:smallCaps/>
        </w:rPr>
        <w:t>No 4 Relationships</w:t>
      </w:r>
    </w:p>
    <w:p w14:paraId="7EC0F1A8" w14:textId="77777777" w:rsidR="00EC5D6C" w:rsidRDefault="00EC5D6C" w:rsidP="00EC5D6C">
      <w:pPr>
        <w:rPr>
          <w:b/>
          <w:i/>
          <w:sz w:val="20"/>
          <w:szCs w:val="20"/>
        </w:rPr>
        <w:sectPr w:rsidR="00EC5D6C" w:rsidSect="007B04AA">
          <w:footerReference w:type="default" r:id="rId13"/>
          <w:pgSz w:w="11906" w:h="16838"/>
          <w:pgMar w:top="567" w:right="1418" w:bottom="510" w:left="1440" w:header="709" w:footer="567" w:gutter="0"/>
          <w:cols w:space="708"/>
          <w:docGrid w:linePitch="360"/>
        </w:sectPr>
      </w:pPr>
    </w:p>
    <w:tbl>
      <w:tblPr>
        <w:tblStyle w:val="TableGrid"/>
        <w:tblW w:w="1109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10013"/>
      </w:tblGrid>
      <w:tr w:rsidR="003E5A84" w:rsidRPr="003E5A84" w14:paraId="03DAEC56" w14:textId="77777777" w:rsidTr="003E5A84">
        <w:trPr>
          <w:trHeight w:val="689"/>
        </w:trPr>
        <w:tc>
          <w:tcPr>
            <w:tcW w:w="1082" w:type="dxa"/>
          </w:tcPr>
          <w:p w14:paraId="082EAE51" w14:textId="39703281" w:rsidR="003E5A84" w:rsidRPr="003E5A84" w:rsidRDefault="003E5A84" w:rsidP="001669BF">
            <w:pPr>
              <w:pStyle w:val="Header"/>
              <w:rPr>
                <w:color w:val="708DBD"/>
              </w:rPr>
            </w:pPr>
            <w:r>
              <w:lastRenderedPageBreak/>
              <w:br w:type="page"/>
            </w:r>
            <w:r w:rsidRPr="003E5A84">
              <w:rPr>
                <w:noProof/>
                <w:color w:val="708DBD"/>
                <w:lang w:eastAsia="en-AU"/>
              </w:rPr>
              <w:drawing>
                <wp:inline distT="0" distB="0" distL="0" distR="0" wp14:anchorId="768AA21D" wp14:editId="3F7A1E82">
                  <wp:extent cx="531495" cy="485775"/>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495" cy="485775"/>
                          </a:xfrm>
                          <a:prstGeom prst="rect">
                            <a:avLst/>
                          </a:prstGeom>
                        </pic:spPr>
                      </pic:pic>
                    </a:graphicData>
                  </a:graphic>
                </wp:inline>
              </w:drawing>
            </w:r>
          </w:p>
        </w:tc>
        <w:tc>
          <w:tcPr>
            <w:tcW w:w="10013" w:type="dxa"/>
            <w:shd w:val="clear" w:color="auto" w:fill="FDBB30"/>
          </w:tcPr>
          <w:p w14:paraId="01E20D5B" w14:textId="77777777" w:rsidR="003E5A84" w:rsidRPr="003E5A84" w:rsidRDefault="003E5A84" w:rsidP="001669BF">
            <w:pPr>
              <w:pStyle w:val="Header"/>
              <w:jc w:val="center"/>
              <w:rPr>
                <w:b/>
                <w:color w:val="708DBD"/>
                <w:sz w:val="16"/>
                <w:szCs w:val="16"/>
              </w:rPr>
            </w:pPr>
          </w:p>
          <w:p w14:paraId="58270AD0" w14:textId="77777777" w:rsidR="003E5A84" w:rsidRPr="003E5A84" w:rsidRDefault="003E5A84" w:rsidP="001669BF">
            <w:pPr>
              <w:pStyle w:val="Header"/>
              <w:tabs>
                <w:tab w:val="left" w:pos="1350"/>
                <w:tab w:val="center" w:pos="5012"/>
              </w:tabs>
              <w:rPr>
                <w:b/>
                <w:color w:val="708DBD"/>
              </w:rPr>
            </w:pPr>
            <w:r w:rsidRPr="003E5A84">
              <w:rPr>
                <w:b/>
                <w:color w:val="708DBD"/>
              </w:rPr>
              <w:tab/>
            </w:r>
            <w:r w:rsidRPr="003E5A84">
              <w:rPr>
                <w:b/>
                <w:color w:val="708DBD"/>
              </w:rPr>
              <w:tab/>
              <w:t>KOORIES IN VICTORIAN COUNCILS:</w:t>
            </w:r>
          </w:p>
          <w:p w14:paraId="6CD6B497" w14:textId="77777777" w:rsidR="003E5A84" w:rsidRPr="003E5A84" w:rsidRDefault="003E5A84" w:rsidP="001669BF">
            <w:pPr>
              <w:pStyle w:val="Header"/>
              <w:tabs>
                <w:tab w:val="left" w:pos="1350"/>
                <w:tab w:val="center" w:pos="5012"/>
              </w:tabs>
              <w:jc w:val="center"/>
              <w:rPr>
                <w:b/>
                <w:color w:val="708DBD"/>
              </w:rPr>
            </w:pPr>
            <w:r w:rsidRPr="003E5A84">
              <w:rPr>
                <w:b/>
                <w:color w:val="708DBD"/>
              </w:rPr>
              <w:t>ABORIGINAL EMPLOYMENT IN VICTORIAN LOCAL GOVERNMENT</w:t>
            </w:r>
          </w:p>
        </w:tc>
      </w:tr>
    </w:tbl>
    <w:p w14:paraId="00A94CE1" w14:textId="77777777" w:rsidR="003E5A84" w:rsidRDefault="003E5A84" w:rsidP="003E5A84">
      <w:pPr>
        <w:ind w:left="-993" w:firstLine="142"/>
      </w:pPr>
    </w:p>
    <w:p w14:paraId="79F6F89A" w14:textId="77777777" w:rsidR="003E5A84" w:rsidRPr="00D629D7" w:rsidRDefault="003E5A84" w:rsidP="00D629D7">
      <w:pPr>
        <w:pStyle w:val="Heading1"/>
      </w:pPr>
      <w:r w:rsidRPr="00D629D7">
        <w:t>Context</w:t>
      </w:r>
    </w:p>
    <w:p w14:paraId="370FF9B3" w14:textId="77777777" w:rsidR="00EC5D6C" w:rsidRPr="00BA2853" w:rsidRDefault="00EC5D6C" w:rsidP="003E5A84">
      <w:pPr>
        <w:ind w:left="-567" w:right="-733"/>
        <w:jc w:val="both"/>
        <w:rPr>
          <w:rFonts w:cs="Arial"/>
          <w:b/>
          <w:color w:val="708DBD"/>
        </w:rPr>
      </w:pPr>
    </w:p>
    <w:p w14:paraId="2C95BE57" w14:textId="479B1FFB" w:rsidR="00EC5D6C" w:rsidRPr="00FF5C85" w:rsidRDefault="00EC5D6C" w:rsidP="00EC5D6C">
      <w:pPr>
        <w:ind w:left="-567" w:right="-733"/>
        <w:rPr>
          <w:sz w:val="20"/>
          <w:szCs w:val="20"/>
        </w:rPr>
      </w:pPr>
      <w:r w:rsidRPr="00FF5C85">
        <w:rPr>
          <w:sz w:val="20"/>
          <w:szCs w:val="20"/>
        </w:rPr>
        <w:t xml:space="preserve">By offering employment to Aboriginal people, Victorian councils can make an important difference </w:t>
      </w:r>
      <w:r w:rsidR="00FF5C85">
        <w:rPr>
          <w:sz w:val="20"/>
          <w:szCs w:val="20"/>
        </w:rPr>
        <w:t>for</w:t>
      </w:r>
      <w:r w:rsidRPr="00FF5C85">
        <w:rPr>
          <w:sz w:val="20"/>
          <w:szCs w:val="20"/>
        </w:rPr>
        <w:t xml:space="preserve"> Aboriginal people and their communities.</w:t>
      </w:r>
    </w:p>
    <w:p w14:paraId="07B3DDAF" w14:textId="77777777" w:rsidR="00EC5D6C" w:rsidRPr="00FF5C85" w:rsidRDefault="00EC5D6C" w:rsidP="00EC5D6C">
      <w:pPr>
        <w:ind w:left="-567" w:right="-733"/>
        <w:rPr>
          <w:sz w:val="20"/>
          <w:szCs w:val="20"/>
        </w:rPr>
      </w:pPr>
    </w:p>
    <w:p w14:paraId="1A4C4065" w14:textId="77777777" w:rsidR="00EC5D6C" w:rsidRPr="00FF5C85" w:rsidRDefault="00EC5D6C" w:rsidP="00EC5D6C">
      <w:pPr>
        <w:ind w:left="-567" w:right="-733"/>
        <w:rPr>
          <w:sz w:val="20"/>
          <w:szCs w:val="20"/>
        </w:rPr>
      </w:pPr>
      <w:r w:rsidRPr="00FF5C85">
        <w:rPr>
          <w:sz w:val="20"/>
          <w:szCs w:val="20"/>
        </w:rPr>
        <w:t xml:space="preserve">Building a modern-day Australia with values of tolerance and respect for all relies on the reconciliation journey which started with the legacies of Aboriginal people who first lived here and those who have migrated here since British settlers first arrived on Victorian shores and lands in the early 1800s.  While this migration resulted in huge disruption and dispossession for Aboriginal people, it also led to the institutions and conventions that underpin our system of government today, and make Australia a country in which many people around the world aspire to live. </w:t>
      </w:r>
    </w:p>
    <w:p w14:paraId="7A4F108B" w14:textId="77777777" w:rsidR="00EC5D6C" w:rsidRPr="00FF5C85" w:rsidRDefault="00EC5D6C" w:rsidP="00EC5D6C">
      <w:pPr>
        <w:ind w:left="-567" w:right="-733"/>
        <w:rPr>
          <w:rStyle w:val="tgc"/>
          <w:rFonts w:cs="Arial"/>
          <w:color w:val="222222"/>
          <w:sz w:val="20"/>
          <w:szCs w:val="20"/>
        </w:rPr>
      </w:pPr>
    </w:p>
    <w:p w14:paraId="463AAAFE" w14:textId="77777777" w:rsidR="00EC5D6C" w:rsidRPr="00FF5C85" w:rsidRDefault="00EC5D6C" w:rsidP="00EC5D6C">
      <w:pPr>
        <w:ind w:left="-567" w:right="-733"/>
        <w:rPr>
          <w:rStyle w:val="tgc"/>
          <w:rFonts w:cs="Arial"/>
          <w:color w:val="222222"/>
          <w:sz w:val="20"/>
          <w:szCs w:val="20"/>
        </w:rPr>
      </w:pPr>
      <w:r w:rsidRPr="00FF5C85">
        <w:rPr>
          <w:rStyle w:val="tgc"/>
          <w:rFonts w:cs="Arial"/>
          <w:color w:val="222222"/>
          <w:sz w:val="20"/>
          <w:szCs w:val="20"/>
        </w:rPr>
        <w:t xml:space="preserve">We should all be proud of celebrating these legacies alongside Aboriginal and </w:t>
      </w:r>
      <w:r w:rsidRPr="00FF5C85">
        <w:rPr>
          <w:rStyle w:val="tgc"/>
          <w:rFonts w:cs="Arial"/>
          <w:bCs/>
          <w:color w:val="222222"/>
          <w:sz w:val="20"/>
          <w:szCs w:val="20"/>
        </w:rPr>
        <w:t>Torres Strait Islander</w:t>
      </w:r>
      <w:r w:rsidRPr="00FF5C85">
        <w:rPr>
          <w:rStyle w:val="tgc"/>
          <w:rFonts w:cs="Arial"/>
          <w:color w:val="222222"/>
          <w:sz w:val="20"/>
          <w:szCs w:val="20"/>
        </w:rPr>
        <w:t xml:space="preserve"> culture which is one of the oldest continuous living cultures in the world – Aboriginal people’s presence on these lands go back at least 50,000 years and possibly closer to 65,000 years.  </w:t>
      </w:r>
    </w:p>
    <w:p w14:paraId="53BEADE9" w14:textId="77777777" w:rsidR="00EC5D6C" w:rsidRPr="00FF5C85" w:rsidRDefault="00EC5D6C" w:rsidP="00EC5D6C">
      <w:pPr>
        <w:ind w:left="-567" w:right="-733"/>
        <w:rPr>
          <w:sz w:val="20"/>
          <w:szCs w:val="20"/>
        </w:rPr>
      </w:pPr>
    </w:p>
    <w:p w14:paraId="5522A31A" w14:textId="77777777" w:rsidR="00EC5D6C" w:rsidRPr="00FF5C85" w:rsidRDefault="00EC5D6C" w:rsidP="00EC5D6C">
      <w:pPr>
        <w:ind w:left="-567" w:right="-733"/>
        <w:rPr>
          <w:sz w:val="20"/>
          <w:szCs w:val="20"/>
        </w:rPr>
      </w:pPr>
      <w:r w:rsidRPr="00FF5C85">
        <w:rPr>
          <w:sz w:val="20"/>
          <w:szCs w:val="20"/>
        </w:rPr>
        <w:t>As a result, there is a rich seam of local knowledge and history and connection with community that is available to local government through engagement and employment of Aboriginal people.</w:t>
      </w:r>
    </w:p>
    <w:p w14:paraId="2CD80605" w14:textId="77777777" w:rsidR="00EC5D6C" w:rsidRPr="00FF5C85" w:rsidRDefault="00EC5D6C" w:rsidP="00EC5D6C">
      <w:pPr>
        <w:ind w:left="-567" w:right="-733"/>
        <w:rPr>
          <w:sz w:val="20"/>
          <w:szCs w:val="20"/>
        </w:rPr>
      </w:pPr>
    </w:p>
    <w:p w14:paraId="766BC508" w14:textId="77777777" w:rsidR="00EC5D6C" w:rsidRPr="00FF5C85" w:rsidRDefault="00EC5D6C" w:rsidP="00EC5D6C">
      <w:pPr>
        <w:ind w:left="-567" w:right="-733"/>
        <w:rPr>
          <w:sz w:val="20"/>
          <w:szCs w:val="20"/>
        </w:rPr>
      </w:pPr>
      <w:r w:rsidRPr="00FF5C85">
        <w:rPr>
          <w:sz w:val="20"/>
          <w:szCs w:val="20"/>
        </w:rPr>
        <w:t xml:space="preserve">Being able to consider the legacies of the past, both positive and negative, taking action, and finding room to truly understand and acknowledge Aboriginal people as the first Australians are important features of the modern reconciliation movement and are vital ingredients for a just society.    </w:t>
      </w:r>
    </w:p>
    <w:p w14:paraId="1F72AE3B" w14:textId="77777777" w:rsidR="00EC5D6C" w:rsidRPr="00FF5C85" w:rsidRDefault="00EC5D6C" w:rsidP="00EC5D6C">
      <w:pPr>
        <w:ind w:left="-567" w:right="-733"/>
        <w:rPr>
          <w:sz w:val="20"/>
          <w:szCs w:val="20"/>
        </w:rPr>
      </w:pPr>
    </w:p>
    <w:p w14:paraId="0D92DDAF" w14:textId="77777777" w:rsidR="00EC5D6C" w:rsidRPr="00FF5C85" w:rsidRDefault="00EC5D6C" w:rsidP="00EC5D6C">
      <w:pPr>
        <w:ind w:left="-567" w:right="-733"/>
        <w:rPr>
          <w:sz w:val="20"/>
          <w:szCs w:val="20"/>
        </w:rPr>
      </w:pPr>
      <w:r w:rsidRPr="00FF5C85">
        <w:rPr>
          <w:sz w:val="20"/>
          <w:szCs w:val="20"/>
        </w:rPr>
        <w:t>There are many remarkable stories from Aboriginal people – from the ancient traditions of family kinship and connection to land, to the struggles and hardships endured since European settlement of Victoria from the 1820s onwards.  Dispossession of Aboriginal Victorians involved, among other things, relocation to missions and reserves, removal from traditional lands and separation of families.  In fact, family break-up through forced removals of Aboriginal children from their families was more prevalent in Victoria through the 19</w:t>
      </w:r>
      <w:r w:rsidRPr="00FF5C85">
        <w:rPr>
          <w:sz w:val="20"/>
          <w:szCs w:val="20"/>
          <w:vertAlign w:val="superscript"/>
        </w:rPr>
        <w:t>th</w:t>
      </w:r>
      <w:r w:rsidRPr="00FF5C85">
        <w:rPr>
          <w:sz w:val="20"/>
          <w:szCs w:val="20"/>
        </w:rPr>
        <w:t xml:space="preserve"> and 20</w:t>
      </w:r>
      <w:r w:rsidRPr="00FF5C85">
        <w:rPr>
          <w:sz w:val="20"/>
          <w:szCs w:val="20"/>
          <w:vertAlign w:val="superscript"/>
        </w:rPr>
        <w:t>th</w:t>
      </w:r>
      <w:r w:rsidRPr="00FF5C85">
        <w:rPr>
          <w:sz w:val="20"/>
          <w:szCs w:val="20"/>
        </w:rPr>
        <w:t xml:space="preserve"> centuries than in other parts of Australia.</w:t>
      </w:r>
    </w:p>
    <w:p w14:paraId="564F4AA7" w14:textId="77777777" w:rsidR="00EC5D6C" w:rsidRPr="00FF5C85" w:rsidRDefault="00EC5D6C" w:rsidP="00EC5D6C">
      <w:pPr>
        <w:ind w:left="-567" w:right="-733"/>
        <w:rPr>
          <w:sz w:val="20"/>
          <w:szCs w:val="20"/>
        </w:rPr>
      </w:pPr>
    </w:p>
    <w:p w14:paraId="3AEFDED5" w14:textId="77777777" w:rsidR="00EC5D6C" w:rsidRPr="00FF5C85" w:rsidRDefault="00EC5D6C" w:rsidP="00EC5D6C">
      <w:pPr>
        <w:ind w:left="-567" w:right="-733"/>
        <w:rPr>
          <w:sz w:val="20"/>
          <w:szCs w:val="20"/>
        </w:rPr>
      </w:pPr>
      <w:r w:rsidRPr="00FF5C85">
        <w:rPr>
          <w:sz w:val="20"/>
          <w:szCs w:val="20"/>
        </w:rPr>
        <w:t xml:space="preserve">Throughout these times, many Aboriginal people have shown great leadership and diplomacy and continued working towards reconciliation.  The Victorian Government’s </w:t>
      </w:r>
      <w:hyperlink r:id="rId14" w:history="1">
        <w:r w:rsidRPr="00FF5C85">
          <w:rPr>
            <w:rStyle w:val="Hyperlink"/>
            <w:sz w:val="20"/>
            <w:szCs w:val="20"/>
          </w:rPr>
          <w:t>Indigenous Honour Roll</w:t>
        </w:r>
      </w:hyperlink>
      <w:r w:rsidRPr="00FF5C85">
        <w:rPr>
          <w:sz w:val="20"/>
          <w:szCs w:val="20"/>
        </w:rPr>
        <w:t xml:space="preserve"> honours some of these notable people.</w:t>
      </w:r>
    </w:p>
    <w:p w14:paraId="1F445604" w14:textId="77777777" w:rsidR="00EC5D6C" w:rsidRPr="00FF5C85" w:rsidRDefault="00EC5D6C" w:rsidP="00EC5D6C">
      <w:pPr>
        <w:ind w:left="-567" w:right="-733"/>
        <w:rPr>
          <w:sz w:val="20"/>
          <w:szCs w:val="20"/>
        </w:rPr>
      </w:pPr>
    </w:p>
    <w:p w14:paraId="1BA4999E" w14:textId="77777777" w:rsidR="00EC5D6C" w:rsidRPr="00FF5C85" w:rsidRDefault="00EC5D6C" w:rsidP="00EC5D6C">
      <w:pPr>
        <w:ind w:left="-567" w:right="-733"/>
        <w:rPr>
          <w:rFonts w:cs="Arial"/>
          <w:color w:val="000000"/>
          <w:sz w:val="20"/>
          <w:szCs w:val="20"/>
        </w:rPr>
      </w:pPr>
      <w:r w:rsidRPr="00FF5C85">
        <w:rPr>
          <w:sz w:val="20"/>
          <w:szCs w:val="20"/>
        </w:rPr>
        <w:t xml:space="preserve">Many more stories from south-eastern Australia have been generously shared by people who have had to deal with extraordinary life events – visit the </w:t>
      </w:r>
      <w:hyperlink r:id="rId15" w:history="1">
        <w:proofErr w:type="spellStart"/>
        <w:r w:rsidRPr="00FF5C85">
          <w:rPr>
            <w:rStyle w:val="Hyperlink"/>
            <w:rFonts w:cs="Arial"/>
            <w:sz w:val="20"/>
            <w:szCs w:val="20"/>
          </w:rPr>
          <w:t>Banjilaka</w:t>
        </w:r>
        <w:proofErr w:type="spellEnd"/>
        <w:r w:rsidRPr="00FF5C85">
          <w:rPr>
            <w:rStyle w:val="Hyperlink"/>
            <w:rFonts w:cs="Arial"/>
            <w:sz w:val="20"/>
            <w:szCs w:val="20"/>
          </w:rPr>
          <w:t xml:space="preserve"> First Peoples Permanent Exhibition</w:t>
        </w:r>
      </w:hyperlink>
      <w:r w:rsidRPr="00FF5C85">
        <w:rPr>
          <w:rFonts w:cs="Arial"/>
          <w:color w:val="000000"/>
          <w:sz w:val="20"/>
          <w:szCs w:val="20"/>
        </w:rPr>
        <w:t xml:space="preserve"> to access these. </w:t>
      </w:r>
      <w:r w:rsidRPr="00FF5C85">
        <w:rPr>
          <w:sz w:val="20"/>
          <w:szCs w:val="20"/>
        </w:rPr>
        <w:t xml:space="preserve">There are also important art and heritage collections from southern Australia on display at the </w:t>
      </w:r>
      <w:hyperlink r:id="rId16" w:history="1">
        <w:proofErr w:type="spellStart"/>
        <w:r w:rsidRPr="00FF5C85">
          <w:rPr>
            <w:rStyle w:val="Hyperlink"/>
            <w:sz w:val="20"/>
            <w:szCs w:val="20"/>
          </w:rPr>
          <w:t>Koorie</w:t>
        </w:r>
        <w:proofErr w:type="spellEnd"/>
        <w:r w:rsidRPr="00FF5C85">
          <w:rPr>
            <w:rStyle w:val="Hyperlink"/>
            <w:sz w:val="20"/>
            <w:szCs w:val="20"/>
          </w:rPr>
          <w:t xml:space="preserve"> Heritage Trust</w:t>
        </w:r>
      </w:hyperlink>
      <w:r w:rsidRPr="00FF5C85">
        <w:rPr>
          <w:sz w:val="20"/>
          <w:szCs w:val="20"/>
        </w:rPr>
        <w:t xml:space="preserve">.  </w:t>
      </w:r>
    </w:p>
    <w:p w14:paraId="14A604CA" w14:textId="77777777" w:rsidR="00EC5D6C" w:rsidRPr="00FF5C85" w:rsidRDefault="00EC5D6C" w:rsidP="00EC5D6C">
      <w:pPr>
        <w:ind w:left="-567" w:right="-733"/>
        <w:rPr>
          <w:sz w:val="20"/>
          <w:szCs w:val="20"/>
        </w:rPr>
      </w:pPr>
    </w:p>
    <w:p w14:paraId="40126A50" w14:textId="77777777" w:rsidR="00EC5D6C" w:rsidRDefault="00EC5D6C" w:rsidP="00EC5D6C">
      <w:pPr>
        <w:ind w:left="-567" w:right="-733"/>
        <w:rPr>
          <w:sz w:val="20"/>
          <w:szCs w:val="20"/>
        </w:rPr>
      </w:pPr>
      <w:r w:rsidRPr="00FF5C85">
        <w:rPr>
          <w:sz w:val="20"/>
          <w:szCs w:val="20"/>
        </w:rPr>
        <w:t>Despite all of this activism and effort, Aboriginal Victorians living in our midst continue to experience very different life outcomes than the general population, including lower life expectancy, poorer health and less likelihood of sustained employment.   Councils can take practical steps to acknowledge the unique place of Indigenous people in our local communities by attracting and retaining Aboriginal staff as part of their workforces.</w:t>
      </w:r>
    </w:p>
    <w:p w14:paraId="20DCDFC9" w14:textId="77777777" w:rsidR="00FF5C85" w:rsidRPr="00FF5C85" w:rsidRDefault="00FF5C85" w:rsidP="00EC5D6C">
      <w:pPr>
        <w:ind w:left="-567" w:right="-733"/>
        <w:rPr>
          <w:sz w:val="20"/>
          <w:szCs w:val="20"/>
        </w:rPr>
      </w:pPr>
    </w:p>
    <w:p w14:paraId="6012B2D0" w14:textId="77777777" w:rsidR="003E5A84" w:rsidRPr="00CC6885" w:rsidRDefault="003E5A84" w:rsidP="003E5A84">
      <w:pPr>
        <w:tabs>
          <w:tab w:val="left" w:pos="2430"/>
        </w:tabs>
        <w:rPr>
          <w:rFonts w:cs="Arial"/>
          <w:b/>
          <w:color w:val="879FB3"/>
          <w:sz w:val="20"/>
          <w:szCs w:val="20"/>
        </w:rPr>
      </w:pPr>
    </w:p>
    <w:tbl>
      <w:tblPr>
        <w:tblStyle w:val="TableGrid1"/>
        <w:tblW w:w="10915" w:type="dxa"/>
        <w:tblInd w:w="-601" w:type="dxa"/>
        <w:tblLook w:val="04A0" w:firstRow="1" w:lastRow="0" w:firstColumn="1" w:lastColumn="0" w:noHBand="0" w:noVBand="1"/>
      </w:tblPr>
      <w:tblGrid>
        <w:gridCol w:w="10915"/>
      </w:tblGrid>
      <w:tr w:rsidR="003E5A84" w:rsidRPr="00AF2162" w14:paraId="5685BACC" w14:textId="77777777" w:rsidTr="00EC5D6C">
        <w:tc>
          <w:tcPr>
            <w:tcW w:w="10915" w:type="dxa"/>
          </w:tcPr>
          <w:p w14:paraId="4862B5B2" w14:textId="77777777" w:rsidR="003E5A84" w:rsidRPr="00AF2162" w:rsidRDefault="003E5A84" w:rsidP="001669BF">
            <w:pPr>
              <w:rPr>
                <w:b/>
                <w:smallCaps/>
                <w:sz w:val="20"/>
                <w:szCs w:val="20"/>
              </w:rPr>
            </w:pPr>
            <w:r w:rsidRPr="00AF2162">
              <w:rPr>
                <w:b/>
                <w:smallCaps/>
                <w:sz w:val="20"/>
                <w:szCs w:val="20"/>
              </w:rPr>
              <w:t xml:space="preserve">acknowledgement  of aboriginal people  in the </w:t>
            </w:r>
            <w:proofErr w:type="spellStart"/>
            <w:r w:rsidRPr="00AF2162">
              <w:rPr>
                <w:b/>
                <w:smallCaps/>
                <w:sz w:val="20"/>
                <w:szCs w:val="20"/>
              </w:rPr>
              <w:t>victorian</w:t>
            </w:r>
            <w:proofErr w:type="spellEnd"/>
            <w:r w:rsidRPr="00AF2162">
              <w:rPr>
                <w:b/>
                <w:smallCaps/>
                <w:sz w:val="20"/>
                <w:szCs w:val="20"/>
              </w:rPr>
              <w:t xml:space="preserve"> constitution</w:t>
            </w:r>
          </w:p>
          <w:p w14:paraId="0DE1493B" w14:textId="77777777" w:rsidR="003E5A84" w:rsidRPr="00AF2162" w:rsidRDefault="003E5A84" w:rsidP="001669BF">
            <w:pPr>
              <w:rPr>
                <w:sz w:val="20"/>
                <w:szCs w:val="20"/>
              </w:rPr>
            </w:pPr>
          </w:p>
          <w:p w14:paraId="629E9DC8" w14:textId="3547EED7" w:rsidR="003E5A84" w:rsidRDefault="003E5A84" w:rsidP="001669BF">
            <w:pPr>
              <w:rPr>
                <w:sz w:val="20"/>
                <w:szCs w:val="20"/>
              </w:rPr>
            </w:pPr>
            <w:r w:rsidRPr="00AF2162">
              <w:rPr>
                <w:sz w:val="20"/>
                <w:szCs w:val="20"/>
              </w:rPr>
              <w:t>The preamble of the Victorian Constitution recognises in section 1A(2):</w:t>
            </w:r>
            <w:r w:rsidR="00EC5D6C">
              <w:rPr>
                <w:sz w:val="20"/>
                <w:szCs w:val="20"/>
              </w:rPr>
              <w:t xml:space="preserve">  </w:t>
            </w:r>
            <w:r w:rsidRPr="00AF2162">
              <w:rPr>
                <w:sz w:val="20"/>
                <w:szCs w:val="20"/>
              </w:rPr>
              <w:t xml:space="preserve">“… that Victoria’s Aboriginal people, as the original custodians of the land on which the Colony of Victoria was established – </w:t>
            </w:r>
          </w:p>
          <w:p w14:paraId="10C3740E" w14:textId="77777777" w:rsidR="00EC5D6C" w:rsidRPr="00AF2162" w:rsidRDefault="00EC5D6C" w:rsidP="001669BF">
            <w:pPr>
              <w:rPr>
                <w:sz w:val="20"/>
                <w:szCs w:val="20"/>
              </w:rPr>
            </w:pPr>
          </w:p>
          <w:p w14:paraId="7A17EF7F" w14:textId="77777777" w:rsidR="003E5A84" w:rsidRPr="00AF2162" w:rsidRDefault="003E5A84" w:rsidP="00EC5D6C">
            <w:pPr>
              <w:numPr>
                <w:ilvl w:val="0"/>
                <w:numId w:val="1"/>
              </w:numPr>
              <w:ind w:left="317" w:hanging="284"/>
              <w:contextualSpacing/>
              <w:rPr>
                <w:sz w:val="20"/>
                <w:szCs w:val="20"/>
              </w:rPr>
            </w:pPr>
            <w:r w:rsidRPr="00AF2162">
              <w:rPr>
                <w:sz w:val="20"/>
                <w:szCs w:val="20"/>
              </w:rPr>
              <w:t xml:space="preserve">Have a unique status as the descendants of Australia’s first people; and </w:t>
            </w:r>
          </w:p>
          <w:p w14:paraId="034BE648" w14:textId="05AACFFE" w:rsidR="003E5A84" w:rsidRPr="00AF2162" w:rsidRDefault="003E5A84" w:rsidP="00EC5D6C">
            <w:pPr>
              <w:numPr>
                <w:ilvl w:val="0"/>
                <w:numId w:val="1"/>
              </w:numPr>
              <w:ind w:left="317" w:hanging="284"/>
              <w:contextualSpacing/>
              <w:rPr>
                <w:sz w:val="20"/>
                <w:szCs w:val="20"/>
              </w:rPr>
            </w:pPr>
            <w:r w:rsidRPr="00AF2162">
              <w:rPr>
                <w:sz w:val="20"/>
                <w:szCs w:val="20"/>
              </w:rPr>
              <w:t xml:space="preserve">Have a spiritual, social, cultural and economic </w:t>
            </w:r>
            <w:r w:rsidR="00EC5D6C">
              <w:rPr>
                <w:sz w:val="20"/>
                <w:szCs w:val="20"/>
              </w:rPr>
              <w:t>relationship with their tra</w:t>
            </w:r>
            <w:r w:rsidRPr="00AF2162">
              <w:rPr>
                <w:sz w:val="20"/>
                <w:szCs w:val="20"/>
              </w:rPr>
              <w:t xml:space="preserve">ditional lands and waters within </w:t>
            </w:r>
            <w:r w:rsidR="00EC5D6C">
              <w:rPr>
                <w:sz w:val="20"/>
                <w:szCs w:val="20"/>
              </w:rPr>
              <w:t>Victoria; and</w:t>
            </w:r>
          </w:p>
          <w:p w14:paraId="11CE1779" w14:textId="77777777" w:rsidR="003E5A84" w:rsidRPr="00AF2162" w:rsidRDefault="003E5A84" w:rsidP="00EC5D6C">
            <w:pPr>
              <w:numPr>
                <w:ilvl w:val="0"/>
                <w:numId w:val="1"/>
              </w:numPr>
              <w:ind w:left="317" w:hanging="284"/>
              <w:contextualSpacing/>
              <w:rPr>
                <w:sz w:val="20"/>
                <w:szCs w:val="20"/>
              </w:rPr>
            </w:pPr>
            <w:r w:rsidRPr="00AF2162">
              <w:rPr>
                <w:sz w:val="20"/>
                <w:szCs w:val="20"/>
              </w:rPr>
              <w:t>Have made a unique and irreplaceable contribution to the identity and well-being of Victoria”</w:t>
            </w:r>
          </w:p>
          <w:p w14:paraId="2A674318" w14:textId="77777777" w:rsidR="003E5A84" w:rsidRPr="00AF2162" w:rsidRDefault="003E5A84" w:rsidP="001669BF">
            <w:pPr>
              <w:rPr>
                <w:b/>
                <w:smallCaps/>
                <w:sz w:val="20"/>
                <w:szCs w:val="20"/>
              </w:rPr>
            </w:pPr>
          </w:p>
        </w:tc>
      </w:tr>
    </w:tbl>
    <w:p w14:paraId="635BFE19" w14:textId="77777777" w:rsidR="003E5A84" w:rsidRDefault="003E5A84" w:rsidP="003E5A84">
      <w:pPr>
        <w:ind w:left="426"/>
        <w:rPr>
          <w:b/>
          <w:smallCaps/>
        </w:rPr>
      </w:pPr>
    </w:p>
    <w:p w14:paraId="5B2FE4B0" w14:textId="77777777" w:rsidR="003E5A84" w:rsidRPr="00EC5D6C" w:rsidRDefault="003E5A84" w:rsidP="00D629D7">
      <w:pPr>
        <w:pStyle w:val="Heading1"/>
      </w:pPr>
      <w:r w:rsidRPr="00EC5D6C">
        <w:t>Further information</w:t>
      </w:r>
    </w:p>
    <w:p w14:paraId="57652B72" w14:textId="77777777" w:rsidR="003E5A84" w:rsidRDefault="003E5A84" w:rsidP="003E5A84">
      <w:pPr>
        <w:ind w:left="-567" w:right="-733"/>
        <w:rPr>
          <w:b/>
          <w:smallCaps/>
        </w:rPr>
      </w:pPr>
    </w:p>
    <w:p w14:paraId="5F40A9C0" w14:textId="77777777" w:rsidR="003E5A84" w:rsidRPr="00CC6885" w:rsidRDefault="003E5A84" w:rsidP="003E5A84">
      <w:pPr>
        <w:ind w:left="-567" w:right="-733"/>
        <w:rPr>
          <w:b/>
          <w:smallCaps/>
        </w:rPr>
      </w:pPr>
      <w:r w:rsidRPr="00CC6885">
        <w:rPr>
          <w:b/>
          <w:smallCaps/>
        </w:rPr>
        <w:t xml:space="preserve">Visit the aboriginal employment page of the </w:t>
      </w:r>
      <w:proofErr w:type="spellStart"/>
      <w:r w:rsidRPr="00CC6885">
        <w:rPr>
          <w:b/>
          <w:smallCaps/>
        </w:rPr>
        <w:t>mav</w:t>
      </w:r>
      <w:proofErr w:type="spellEnd"/>
      <w:r w:rsidRPr="00CC6885">
        <w:rPr>
          <w:b/>
          <w:smallCaps/>
        </w:rPr>
        <w:t xml:space="preserve"> website </w:t>
      </w:r>
      <w:hyperlink r:id="rId17" w:history="1">
        <w:r w:rsidRPr="00CC6885">
          <w:rPr>
            <w:rStyle w:val="Hyperlink"/>
            <w:b/>
            <w:smallCaps/>
          </w:rPr>
          <w:t>www.mav.asn.au</w:t>
        </w:r>
      </w:hyperlink>
      <w:r w:rsidRPr="00CC6885">
        <w:rPr>
          <w:b/>
          <w:smallCaps/>
        </w:rPr>
        <w:t xml:space="preserve"> or get there directly </w:t>
      </w:r>
      <w:proofErr w:type="gramStart"/>
      <w:r w:rsidRPr="00CC6885">
        <w:rPr>
          <w:b/>
          <w:smallCaps/>
        </w:rPr>
        <w:t xml:space="preserve">via  </w:t>
      </w:r>
      <w:proofErr w:type="gramEnd"/>
      <w:hyperlink r:id="rId18" w:history="1">
        <w:r w:rsidRPr="00CC6885">
          <w:rPr>
            <w:rStyle w:val="Hyperlink"/>
            <w:b/>
            <w:smallCaps/>
          </w:rPr>
          <w:t>www.bit.ly/abori</w:t>
        </w:r>
        <w:bookmarkStart w:id="0" w:name="_GoBack"/>
        <w:bookmarkEnd w:id="0"/>
        <w:r w:rsidRPr="00CC6885">
          <w:rPr>
            <w:rStyle w:val="Hyperlink"/>
            <w:b/>
            <w:smallCaps/>
          </w:rPr>
          <w:t>ginalemployment</w:t>
        </w:r>
      </w:hyperlink>
    </w:p>
    <w:p w14:paraId="4EBD15D2" w14:textId="77777777" w:rsidR="003E5A84" w:rsidRPr="00CC6885" w:rsidRDefault="003E5A84" w:rsidP="003E5A84">
      <w:pPr>
        <w:ind w:left="-567" w:right="-733"/>
        <w:rPr>
          <w:b/>
          <w:smallCaps/>
        </w:rPr>
      </w:pPr>
    </w:p>
    <w:p w14:paraId="33BF84E4" w14:textId="77777777" w:rsidR="003E5A84" w:rsidRDefault="003E5A84" w:rsidP="003E5A84">
      <w:pPr>
        <w:ind w:left="-993" w:firstLine="142"/>
      </w:pPr>
    </w:p>
    <w:sectPr w:rsidR="003E5A84" w:rsidSect="00EC5D6C">
      <w:footerReference w:type="default" r:id="rId19"/>
      <w:pgSz w:w="11906" w:h="16838"/>
      <w:pgMar w:top="567" w:right="1418" w:bottom="51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AA830" w14:textId="77777777" w:rsidR="00EC5D6C" w:rsidRDefault="00EC5D6C" w:rsidP="00EC5D6C">
      <w:r>
        <w:separator/>
      </w:r>
    </w:p>
  </w:endnote>
  <w:endnote w:type="continuationSeparator" w:id="0">
    <w:p w14:paraId="317B47BF" w14:textId="77777777" w:rsidR="00EC5D6C" w:rsidRDefault="00EC5D6C" w:rsidP="00EC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04830" w14:textId="77777777" w:rsidR="00EC5D6C" w:rsidRDefault="00EC5D6C" w:rsidP="00EC5D6C">
    <w:pPr>
      <w:jc w:val="center"/>
      <w:rPr>
        <w:b/>
        <w:i/>
        <w:sz w:val="20"/>
        <w:szCs w:val="20"/>
      </w:rPr>
    </w:pPr>
    <w:r w:rsidRPr="00556805">
      <w:rPr>
        <w:rFonts w:cs="Arial"/>
        <w:bCs/>
        <w:iCs/>
        <w:noProof/>
        <w:color w:val="395593"/>
        <w:sz w:val="20"/>
        <w:szCs w:val="20"/>
        <w:lang w:eastAsia="en-AU"/>
      </w:rPr>
      <w:drawing>
        <wp:anchor distT="0" distB="0" distL="114300" distR="114300" simplePos="0" relativeHeight="251661312" behindDoc="0" locked="0" layoutInCell="1" allowOverlap="1" wp14:anchorId="0F6E8C3B" wp14:editId="1F066244">
          <wp:simplePos x="0" y="0"/>
          <wp:positionH relativeFrom="column">
            <wp:posOffset>5252484</wp:posOffset>
          </wp:positionH>
          <wp:positionV relativeFrom="paragraph">
            <wp:posOffset>19847</wp:posOffset>
          </wp:positionV>
          <wp:extent cx="499730" cy="364009"/>
          <wp:effectExtent l="0" t="0" r="0" b="0"/>
          <wp:wrapNone/>
          <wp:docPr id="4" name="Picture 9" descr="Torres Strait Islander Flag"/>
          <wp:cNvGraphicFramePr/>
          <a:graphic xmlns:a="http://schemas.openxmlformats.org/drawingml/2006/main">
            <a:graphicData uri="http://schemas.openxmlformats.org/drawingml/2006/picture">
              <pic:pic xmlns:pic="http://schemas.openxmlformats.org/drawingml/2006/picture">
                <pic:nvPicPr>
                  <pic:cNvPr id="10" name="Picture 9" descr="Torres Strait Islander Fla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07365"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6805">
      <w:rPr>
        <w:rFonts w:cs="Arial"/>
        <w:bCs/>
        <w:iCs/>
        <w:noProof/>
        <w:color w:val="395593"/>
        <w:sz w:val="20"/>
        <w:szCs w:val="20"/>
        <w:lang w:eastAsia="en-AU"/>
      </w:rPr>
      <w:drawing>
        <wp:anchor distT="0" distB="0" distL="114300" distR="114300" simplePos="0" relativeHeight="251660288" behindDoc="0" locked="0" layoutInCell="1" allowOverlap="1" wp14:anchorId="52F49255" wp14:editId="0B9EB999">
          <wp:simplePos x="0" y="0"/>
          <wp:positionH relativeFrom="column">
            <wp:posOffset>4709160</wp:posOffset>
          </wp:positionH>
          <wp:positionV relativeFrom="paragraph">
            <wp:posOffset>23495</wp:posOffset>
          </wp:positionV>
          <wp:extent cx="514985" cy="349250"/>
          <wp:effectExtent l="0" t="0" r="0" b="0"/>
          <wp:wrapNone/>
          <wp:docPr id="5" name="Picture 8" descr="Australian Aboriginal Flag"/>
          <wp:cNvGraphicFramePr/>
          <a:graphic xmlns:a="http://schemas.openxmlformats.org/drawingml/2006/main">
            <a:graphicData uri="http://schemas.openxmlformats.org/drawingml/2006/picture">
              <pic:pic xmlns:pic="http://schemas.openxmlformats.org/drawingml/2006/picture">
                <pic:nvPicPr>
                  <pic:cNvPr id="9" name="Picture 8" descr="Australian Aboriginal Flag"/>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14985" cy="349250"/>
                  </a:xfrm>
                  <a:prstGeom prst="rect">
                    <a:avLst/>
                  </a:prstGeom>
                  <a:noFill/>
                  <a:ln>
                    <a:noFill/>
                  </a:ln>
                </pic:spPr>
              </pic:pic>
            </a:graphicData>
          </a:graphic>
        </wp:anchor>
      </w:drawing>
    </w:r>
    <w:r w:rsidRPr="00556805">
      <w:rPr>
        <w:rFonts w:cs="Arial"/>
        <w:bCs/>
        <w:iCs/>
        <w:noProof/>
        <w:color w:val="395593"/>
        <w:sz w:val="20"/>
        <w:szCs w:val="20"/>
        <w:lang w:eastAsia="en-AU"/>
      </w:rPr>
      <w:drawing>
        <wp:anchor distT="0" distB="0" distL="114300" distR="114300" simplePos="0" relativeHeight="251659264" behindDoc="0" locked="0" layoutInCell="1" allowOverlap="1" wp14:anchorId="6342D994" wp14:editId="16A1E90C">
          <wp:simplePos x="0" y="0"/>
          <wp:positionH relativeFrom="column">
            <wp:posOffset>4124960</wp:posOffset>
          </wp:positionH>
          <wp:positionV relativeFrom="paragraph">
            <wp:posOffset>27305</wp:posOffset>
          </wp:positionV>
          <wp:extent cx="528320" cy="342900"/>
          <wp:effectExtent l="0" t="0" r="5080" b="0"/>
          <wp:wrapNone/>
          <wp:docPr id="6" name="Picture 7" descr="The Australian National Flag"/>
          <wp:cNvGraphicFramePr/>
          <a:graphic xmlns:a="http://schemas.openxmlformats.org/drawingml/2006/main">
            <a:graphicData uri="http://schemas.openxmlformats.org/drawingml/2006/picture">
              <pic:pic xmlns:pic="http://schemas.openxmlformats.org/drawingml/2006/picture">
                <pic:nvPicPr>
                  <pic:cNvPr id="8" name="Picture 7" descr="The Australian National Flag"/>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28320" cy="342900"/>
                  </a:xfrm>
                  <a:prstGeom prst="rect">
                    <a:avLst/>
                  </a:prstGeom>
                  <a:noFill/>
                  <a:ln>
                    <a:noFill/>
                  </a:ln>
                </pic:spPr>
              </pic:pic>
            </a:graphicData>
          </a:graphic>
        </wp:anchor>
      </w:drawing>
    </w:r>
  </w:p>
  <w:p w14:paraId="50EE1EAC" w14:textId="77777777" w:rsidR="00EC5D6C" w:rsidRDefault="00EC5D6C" w:rsidP="00EC5D6C">
    <w:pPr>
      <w:jc w:val="center"/>
      <w:rPr>
        <w:b/>
        <w:i/>
        <w:sz w:val="20"/>
        <w:szCs w:val="20"/>
      </w:rPr>
    </w:pPr>
  </w:p>
  <w:p w14:paraId="5A1B8007" w14:textId="77777777" w:rsidR="00EC5D6C" w:rsidRDefault="00EC5D6C" w:rsidP="00EC5D6C">
    <w:pPr>
      <w:jc w:val="center"/>
      <w:rPr>
        <w:rFonts w:cs="Arial"/>
        <w:bCs/>
        <w:iCs/>
        <w:color w:val="395593"/>
        <w:sz w:val="20"/>
        <w:szCs w:val="20"/>
        <w:lang w:val="en-US"/>
      </w:rPr>
    </w:pPr>
  </w:p>
  <w:p w14:paraId="01109342" w14:textId="76ECA449" w:rsidR="00EC5D6C" w:rsidRPr="007B04AA" w:rsidRDefault="00EC5D6C" w:rsidP="00EC5D6C">
    <w:pPr>
      <w:ind w:left="-567"/>
      <w:jc w:val="both"/>
      <w:rPr>
        <w:rFonts w:cs="Arial"/>
        <w:bCs/>
        <w:iCs/>
        <w:color w:val="708DBD"/>
        <w:sz w:val="20"/>
        <w:szCs w:val="20"/>
        <w:lang w:val="en-US"/>
      </w:rPr>
    </w:pPr>
    <w:r w:rsidRPr="007B04AA">
      <w:rPr>
        <w:rFonts w:cs="Arial"/>
        <w:bCs/>
        <w:iCs/>
        <w:color w:val="708DBD"/>
        <w:sz w:val="20"/>
        <w:szCs w:val="20"/>
        <w:lang w:val="en-US"/>
      </w:rPr>
      <w:t>The terms Aboriginal and Indigenous are used to describe both Aboriginal and Torres Strait Islander people.  “</w:t>
    </w:r>
    <w:proofErr w:type="spellStart"/>
    <w:r w:rsidRPr="007B04AA">
      <w:rPr>
        <w:rFonts w:cs="Arial"/>
        <w:bCs/>
        <w:iCs/>
        <w:color w:val="708DBD"/>
        <w:sz w:val="20"/>
        <w:szCs w:val="20"/>
        <w:lang w:val="en-US"/>
      </w:rPr>
      <w:t>Koories</w:t>
    </w:r>
    <w:proofErr w:type="spellEnd"/>
    <w:r w:rsidRPr="007B04AA">
      <w:rPr>
        <w:rFonts w:cs="Arial"/>
        <w:bCs/>
        <w:iCs/>
        <w:color w:val="708DBD"/>
        <w:sz w:val="20"/>
        <w:szCs w:val="20"/>
        <w:lang w:val="en-US"/>
      </w:rPr>
      <w:t xml:space="preserve"> is a word commonly used to refer to Aboriginal people who come from south-eastern Australia.  The MAV gratefully acknowledges the artwork provided by </w:t>
    </w:r>
    <w:proofErr w:type="spellStart"/>
    <w:r w:rsidRPr="007B04AA">
      <w:rPr>
        <w:rFonts w:cs="Arial"/>
        <w:bCs/>
        <w:iCs/>
        <w:color w:val="708DBD"/>
        <w:sz w:val="20"/>
        <w:szCs w:val="20"/>
        <w:lang w:val="en-US"/>
      </w:rPr>
      <w:t>Ngarra</w:t>
    </w:r>
    <w:proofErr w:type="spellEnd"/>
    <w:r w:rsidRPr="007B04AA">
      <w:rPr>
        <w:rFonts w:cs="Arial"/>
        <w:bCs/>
        <w:iCs/>
        <w:color w:val="708DBD"/>
        <w:sz w:val="20"/>
        <w:szCs w:val="20"/>
        <w:lang w:val="en-US"/>
      </w:rPr>
      <w:t xml:space="preserve"> Murray, who is a proud </w:t>
    </w:r>
    <w:proofErr w:type="spellStart"/>
    <w:r w:rsidRPr="007B04AA">
      <w:rPr>
        <w:rFonts w:cs="Arial"/>
        <w:bCs/>
        <w:iCs/>
        <w:color w:val="708DBD"/>
        <w:sz w:val="20"/>
        <w:szCs w:val="20"/>
        <w:lang w:val="en-US"/>
      </w:rPr>
      <w:t>Wamba</w:t>
    </w:r>
    <w:proofErr w:type="spellEnd"/>
    <w:r w:rsidRPr="007B04AA">
      <w:rPr>
        <w:rFonts w:cs="Arial"/>
        <w:bCs/>
        <w:iCs/>
        <w:color w:val="708DBD"/>
        <w:sz w:val="20"/>
        <w:szCs w:val="20"/>
        <w:lang w:val="en-US"/>
      </w:rPr>
      <w:t xml:space="preserve"> </w:t>
    </w:r>
    <w:proofErr w:type="spellStart"/>
    <w:r w:rsidRPr="007B04AA">
      <w:rPr>
        <w:rFonts w:cs="Arial"/>
        <w:bCs/>
        <w:iCs/>
        <w:color w:val="708DBD"/>
        <w:sz w:val="20"/>
        <w:szCs w:val="20"/>
        <w:lang w:val="en-US"/>
      </w:rPr>
      <w:t>Wamba</w:t>
    </w:r>
    <w:proofErr w:type="spellEnd"/>
    <w:r w:rsidRPr="007B04AA">
      <w:rPr>
        <w:rFonts w:cs="Arial"/>
        <w:bCs/>
        <w:iCs/>
        <w:color w:val="708DBD"/>
        <w:sz w:val="20"/>
        <w:szCs w:val="20"/>
        <w:lang w:val="en-US"/>
      </w:rPr>
      <w:t xml:space="preserve"> and Yorta </w:t>
    </w:r>
    <w:proofErr w:type="spellStart"/>
    <w:r w:rsidRPr="007B04AA">
      <w:rPr>
        <w:rFonts w:cs="Arial"/>
        <w:bCs/>
        <w:iCs/>
        <w:color w:val="708DBD"/>
        <w:sz w:val="20"/>
        <w:szCs w:val="20"/>
        <w:lang w:val="en-US"/>
      </w:rPr>
      <w:t>Yorta</w:t>
    </w:r>
    <w:proofErr w:type="spellEnd"/>
    <w:r w:rsidRPr="007B04AA">
      <w:rPr>
        <w:rFonts w:cs="Arial"/>
        <w:bCs/>
        <w:iCs/>
        <w:color w:val="708DBD"/>
        <w:sz w:val="20"/>
        <w:szCs w:val="20"/>
        <w:lang w:val="en-US"/>
      </w:rPr>
      <w:t xml:space="preserve"> woman having strong family connections to Lake Boga and </w:t>
    </w:r>
    <w:proofErr w:type="spellStart"/>
    <w:r w:rsidRPr="007B04AA">
      <w:rPr>
        <w:rFonts w:cs="Arial"/>
        <w:bCs/>
        <w:iCs/>
        <w:color w:val="708DBD"/>
        <w:sz w:val="20"/>
        <w:szCs w:val="20"/>
        <w:lang w:val="en-US"/>
      </w:rPr>
      <w:t>Cummeragunja</w:t>
    </w:r>
    <w:proofErr w:type="spellEnd"/>
    <w:r w:rsidRPr="007B04AA">
      <w:rPr>
        <w:rFonts w:cs="Arial"/>
        <w:bCs/>
        <w:iCs/>
        <w:color w:val="708DBD"/>
        <w:sz w:val="20"/>
        <w:szCs w:val="20"/>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5"/>
      <w:gridCol w:w="5496"/>
    </w:tblGrid>
    <w:tr w:rsidR="00EC5D6C" w14:paraId="2B0CB371" w14:textId="77777777" w:rsidTr="00F42AAC">
      <w:tc>
        <w:tcPr>
          <w:tcW w:w="5130" w:type="dxa"/>
        </w:tcPr>
        <w:p w14:paraId="7A3EFA67" w14:textId="77777777" w:rsidR="00EC5D6C" w:rsidRDefault="00EC5D6C" w:rsidP="00F42AAC">
          <w:pPr>
            <w:pStyle w:val="Footer"/>
            <w:rPr>
              <w:color w:val="464749"/>
              <w:sz w:val="18"/>
              <w:szCs w:val="18"/>
            </w:rPr>
          </w:pPr>
        </w:p>
        <w:p w14:paraId="5D19315C" w14:textId="77777777" w:rsidR="00EC5D6C" w:rsidRDefault="00EC5D6C" w:rsidP="00F42AAC">
          <w:pPr>
            <w:pStyle w:val="Footer"/>
            <w:jc w:val="center"/>
          </w:pPr>
          <w:r>
            <w:rPr>
              <w:color w:val="464749"/>
              <w:sz w:val="18"/>
              <w:szCs w:val="18"/>
            </w:rPr>
            <w:t xml:space="preserve">See Issue 6 (2014) of CiVic magazine for the centrepiece article on Reconciliation </w:t>
          </w:r>
          <w:r>
            <w:rPr>
              <w:color w:val="464749"/>
              <w:sz w:val="18"/>
              <w:szCs w:val="18"/>
            </w:rPr>
            <w:br/>
          </w:r>
          <w:hyperlink r:id="rId1" w:tgtFrame="_blank" w:history="1">
            <w:r>
              <w:rPr>
                <w:rStyle w:val="Hyperlink"/>
                <w:color w:val="718DBD"/>
                <w:sz w:val="18"/>
                <w:szCs w:val="18"/>
              </w:rPr>
              <w:t>Read CiVic online</w:t>
            </w:r>
          </w:hyperlink>
          <w:r>
            <w:rPr>
              <w:rStyle w:val="apple-converted-space"/>
              <w:b/>
              <w:bCs/>
              <w:color w:val="FABC31"/>
              <w:sz w:val="18"/>
              <w:szCs w:val="18"/>
            </w:rPr>
            <w:t> </w:t>
          </w:r>
          <w:r>
            <w:rPr>
              <w:b/>
              <w:bCs/>
              <w:color w:val="FABC31"/>
              <w:sz w:val="18"/>
              <w:szCs w:val="18"/>
            </w:rPr>
            <w:t>|</w:t>
          </w:r>
          <w:r>
            <w:rPr>
              <w:rStyle w:val="apple-converted-space"/>
              <w:b/>
              <w:bCs/>
              <w:color w:val="FABC31"/>
              <w:sz w:val="18"/>
              <w:szCs w:val="18"/>
            </w:rPr>
            <w:t> </w:t>
          </w:r>
          <w:hyperlink r:id="rId2" w:tgtFrame="_blank" w:history="1">
            <w:r>
              <w:rPr>
                <w:rStyle w:val="Hyperlink"/>
                <w:color w:val="718DBD"/>
                <w:sz w:val="18"/>
                <w:szCs w:val="18"/>
              </w:rPr>
              <w:t>Download the iPad app</w:t>
            </w:r>
          </w:hyperlink>
        </w:p>
      </w:tc>
      <w:tc>
        <w:tcPr>
          <w:tcW w:w="5496" w:type="dxa"/>
        </w:tcPr>
        <w:p w14:paraId="2A877E80" w14:textId="77777777" w:rsidR="00EC5D6C" w:rsidRDefault="00EC5D6C" w:rsidP="00F42AAC">
          <w:pPr>
            <w:pStyle w:val="Footer"/>
          </w:pPr>
          <w:r w:rsidRPr="00676C95">
            <w:rPr>
              <w:noProof/>
              <w:lang w:eastAsia="en-AU"/>
            </w:rPr>
            <w:drawing>
              <wp:inline distT="0" distB="0" distL="0" distR="0" wp14:anchorId="214CBFB5" wp14:editId="18634B70">
                <wp:extent cx="3343275" cy="600075"/>
                <wp:effectExtent l="0" t="0" r="9525" b="9525"/>
                <wp:docPr id="4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3"/>
                        <a:stretch>
                          <a:fillRect/>
                        </a:stretch>
                      </pic:blipFill>
                      <pic:spPr>
                        <a:xfrm>
                          <a:off x="0" y="0"/>
                          <a:ext cx="3343275" cy="600075"/>
                        </a:xfrm>
                        <a:prstGeom prst="rect">
                          <a:avLst/>
                        </a:prstGeom>
                      </pic:spPr>
                    </pic:pic>
                  </a:graphicData>
                </a:graphic>
              </wp:inline>
            </w:drawing>
          </w:r>
        </w:p>
      </w:tc>
    </w:tr>
  </w:tbl>
  <w:p w14:paraId="5BEA09ED" w14:textId="25A98546" w:rsidR="00EC5D6C" w:rsidRPr="00EC5D6C" w:rsidRDefault="00EC5D6C" w:rsidP="00EC5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9E5D" w14:textId="77777777" w:rsidR="00EC5D6C" w:rsidRDefault="00EC5D6C" w:rsidP="00EC5D6C">
      <w:r>
        <w:separator/>
      </w:r>
    </w:p>
  </w:footnote>
  <w:footnote w:type="continuationSeparator" w:id="0">
    <w:p w14:paraId="4F2DF123" w14:textId="77777777" w:rsidR="00EC5D6C" w:rsidRDefault="00EC5D6C" w:rsidP="00EC5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41438B"/>
    <w:multiLevelType w:val="hybridMultilevel"/>
    <w:tmpl w:val="58844A24"/>
    <w:lvl w:ilvl="0" w:tplc="D966A4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84"/>
    <w:rsid w:val="002B34DD"/>
    <w:rsid w:val="003E5A84"/>
    <w:rsid w:val="00463AAA"/>
    <w:rsid w:val="005C3C5C"/>
    <w:rsid w:val="005C626D"/>
    <w:rsid w:val="007B04AA"/>
    <w:rsid w:val="00815AC3"/>
    <w:rsid w:val="00D629D7"/>
    <w:rsid w:val="00E54990"/>
    <w:rsid w:val="00EB6D81"/>
    <w:rsid w:val="00EC5D6C"/>
    <w:rsid w:val="00EE2D4D"/>
    <w:rsid w:val="00F54145"/>
    <w:rsid w:val="00FF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E194"/>
  <w15:docId w15:val="{8BF11F4B-60B0-4CF2-81EF-5ECC8A37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84"/>
  </w:style>
  <w:style w:type="paragraph" w:styleId="Heading1">
    <w:name w:val="heading 1"/>
    <w:basedOn w:val="Normal"/>
    <w:next w:val="Normal"/>
    <w:link w:val="Heading1Char"/>
    <w:uiPriority w:val="9"/>
    <w:qFormat/>
    <w:rsid w:val="00D629D7"/>
    <w:pPr>
      <w:ind w:left="-567" w:right="-733"/>
      <w:jc w:val="both"/>
      <w:outlineLvl w:val="0"/>
    </w:pPr>
    <w:rPr>
      <w:rFonts w:cs="Arial"/>
      <w:b/>
      <w:color w:val="708DB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A84"/>
    <w:pPr>
      <w:tabs>
        <w:tab w:val="center" w:pos="4513"/>
        <w:tab w:val="right" w:pos="9026"/>
      </w:tabs>
    </w:pPr>
  </w:style>
  <w:style w:type="character" w:customStyle="1" w:styleId="HeaderChar">
    <w:name w:val="Header Char"/>
    <w:basedOn w:val="DefaultParagraphFont"/>
    <w:link w:val="Header"/>
    <w:uiPriority w:val="99"/>
    <w:rsid w:val="003E5A84"/>
  </w:style>
  <w:style w:type="table" w:styleId="TableGrid">
    <w:name w:val="Table Grid"/>
    <w:basedOn w:val="TableNormal"/>
    <w:uiPriority w:val="59"/>
    <w:rsid w:val="003E5A84"/>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5A84"/>
    <w:rPr>
      <w:rFonts w:ascii="Tahoma" w:hAnsi="Tahoma" w:cs="Tahoma"/>
      <w:sz w:val="16"/>
      <w:szCs w:val="16"/>
    </w:rPr>
  </w:style>
  <w:style w:type="character" w:customStyle="1" w:styleId="BalloonTextChar">
    <w:name w:val="Balloon Text Char"/>
    <w:basedOn w:val="DefaultParagraphFont"/>
    <w:link w:val="BalloonText"/>
    <w:uiPriority w:val="99"/>
    <w:semiHidden/>
    <w:rsid w:val="003E5A84"/>
    <w:rPr>
      <w:rFonts w:ascii="Tahoma" w:hAnsi="Tahoma" w:cs="Tahoma"/>
      <w:sz w:val="16"/>
      <w:szCs w:val="16"/>
    </w:rPr>
  </w:style>
  <w:style w:type="paragraph" w:styleId="NormalWeb">
    <w:name w:val="Normal (Web)"/>
    <w:basedOn w:val="Normal"/>
    <w:uiPriority w:val="99"/>
    <w:unhideWhenUsed/>
    <w:rsid w:val="003E5A84"/>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E5A84"/>
    <w:rPr>
      <w:color w:val="0000FF" w:themeColor="hyperlink"/>
      <w:u w:val="single"/>
    </w:rPr>
  </w:style>
  <w:style w:type="paragraph" w:styleId="Footer">
    <w:name w:val="footer"/>
    <w:basedOn w:val="Normal"/>
    <w:link w:val="FooterChar"/>
    <w:uiPriority w:val="99"/>
    <w:unhideWhenUsed/>
    <w:rsid w:val="003E5A84"/>
    <w:pPr>
      <w:tabs>
        <w:tab w:val="center" w:pos="4513"/>
        <w:tab w:val="right" w:pos="9026"/>
      </w:tabs>
    </w:pPr>
  </w:style>
  <w:style w:type="character" w:customStyle="1" w:styleId="FooterChar">
    <w:name w:val="Footer Char"/>
    <w:basedOn w:val="DefaultParagraphFont"/>
    <w:link w:val="Footer"/>
    <w:uiPriority w:val="99"/>
    <w:rsid w:val="003E5A84"/>
  </w:style>
  <w:style w:type="character" w:customStyle="1" w:styleId="apple-converted-space">
    <w:name w:val="apple-converted-space"/>
    <w:basedOn w:val="DefaultParagraphFont"/>
    <w:rsid w:val="003E5A84"/>
  </w:style>
  <w:style w:type="table" w:customStyle="1" w:styleId="TableGrid1">
    <w:name w:val="Table Grid1"/>
    <w:basedOn w:val="TableNormal"/>
    <w:next w:val="TableGrid"/>
    <w:uiPriority w:val="59"/>
    <w:rsid w:val="003E5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EC5D6C"/>
  </w:style>
  <w:style w:type="paragraph" w:styleId="Title">
    <w:name w:val="Title"/>
    <w:basedOn w:val="Header"/>
    <w:next w:val="Normal"/>
    <w:link w:val="TitleChar"/>
    <w:uiPriority w:val="10"/>
    <w:qFormat/>
    <w:rsid w:val="00D629D7"/>
    <w:pPr>
      <w:framePr w:hSpace="180" w:wrap="around" w:vAnchor="page" w:hAnchor="margin" w:xAlign="center" w:y="469"/>
      <w:tabs>
        <w:tab w:val="left" w:pos="345"/>
        <w:tab w:val="center" w:pos="4107"/>
      </w:tabs>
    </w:pPr>
    <w:rPr>
      <w:rFonts w:cs="Arial"/>
      <w:b/>
      <w:color w:val="000000" w:themeColor="text1"/>
      <w:sz w:val="40"/>
      <w:szCs w:val="40"/>
    </w:rPr>
  </w:style>
  <w:style w:type="character" w:customStyle="1" w:styleId="TitleChar">
    <w:name w:val="Title Char"/>
    <w:basedOn w:val="DefaultParagraphFont"/>
    <w:link w:val="Title"/>
    <w:uiPriority w:val="10"/>
    <w:rsid w:val="00D629D7"/>
    <w:rPr>
      <w:rFonts w:cs="Arial"/>
      <w:b/>
      <w:color w:val="000000" w:themeColor="text1"/>
      <w:sz w:val="40"/>
      <w:szCs w:val="40"/>
    </w:rPr>
  </w:style>
  <w:style w:type="character" w:customStyle="1" w:styleId="Heading1Char">
    <w:name w:val="Heading 1 Char"/>
    <w:basedOn w:val="DefaultParagraphFont"/>
    <w:link w:val="Heading1"/>
    <w:uiPriority w:val="9"/>
    <w:rsid w:val="00D629D7"/>
    <w:rPr>
      <w:rFonts w:cs="Arial"/>
      <w:b/>
      <w:color w:val="708DBD"/>
      <w:sz w:val="36"/>
      <w:szCs w:val="36"/>
    </w:rPr>
  </w:style>
  <w:style w:type="character" w:styleId="FollowedHyperlink">
    <w:name w:val="FollowedHyperlink"/>
    <w:basedOn w:val="DefaultParagraphFont"/>
    <w:uiPriority w:val="99"/>
    <w:semiHidden/>
    <w:unhideWhenUsed/>
    <w:rsid w:val="002B3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it.ly/aboriginalemploy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www.mav.asn.au/" TargetMode="External"/><Relationship Id="rId2" Type="http://schemas.openxmlformats.org/officeDocument/2006/relationships/customXml" Target="../customXml/item2.xml"/><Relationship Id="rId16" Type="http://schemas.openxmlformats.org/officeDocument/2006/relationships/hyperlink" Target="http://www.koorieheritagetrust.com/about_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museumvictoria.com.au/bunjilaka/"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roudrace.org.au/victorian-indigenous-honor-rol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05.jpg@01CEA313.7A2208C0" TargetMode="External"/><Relationship Id="rId1" Type="http://schemas.openxmlformats.org/officeDocument/2006/relationships/image" Target="media/image3.jpeg"/><Relationship Id="rId6" Type="http://schemas.openxmlformats.org/officeDocument/2006/relationships/image" Target="cid:image003.jpg@01CEA313.7A2208C0" TargetMode="External"/><Relationship Id="rId5" Type="http://schemas.openxmlformats.org/officeDocument/2006/relationships/image" Target="media/image5.jpeg"/><Relationship Id="rId4" Type="http://schemas.openxmlformats.org/officeDocument/2006/relationships/image" Target="cid:image004.jpg@01CEA313.7A2208C0"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s://mobile.mav.asn.au/owa/redir.aspx?C=iv1XGl2CEUuoKWqq2GCJ0VE6rybrpNEIK4py9DP426Z1yyihQdTFq4d_NZZSVULkSYIJn6SfUeg.&amp;URL=https%3a%2f%2fitunes.apple.com%2fau%2fapp%2fcivic%2fid576216073%3fmt%3d8" TargetMode="External"/><Relationship Id="rId1" Type="http://schemas.openxmlformats.org/officeDocument/2006/relationships/hyperlink" Target="https://mobile.mav.asn.au/owa/redir.aspx?C=iv1XGl2CEUuoKWqq2GCJ0VE6rybrpNEIK4py9DP426Z1yyihQdTFq4d_NZZSVULkSYIJn6SfUeg.&amp;URL=http%3a%2f%2fissuu.com%2fcivic-magazin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mavisnew/sites/HumanServices/Indigenous/Aboriginal%20Population%20Statistic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16907261592301"/>
          <c:y val="5.1400554097404488E-2"/>
          <c:w val="0.6982753718285214"/>
          <c:h val="0.64743438320209978"/>
        </c:manualLayout>
      </c:layout>
      <c:lineChart>
        <c:grouping val="standard"/>
        <c:varyColors val="0"/>
        <c:ser>
          <c:idx val="1"/>
          <c:order val="0"/>
          <c:marker>
            <c:symbol val="none"/>
          </c:marker>
          <c:cat>
            <c:numRef>
              <c:f>'Projections to 2026'!$O$2:$X$2</c:f>
              <c:numCache>
                <c:formatCode>General</c:formatCode>
                <c:ptCount val="10"/>
                <c:pt idx="0">
                  <c:v>1971</c:v>
                </c:pt>
                <c:pt idx="1">
                  <c:v>1976</c:v>
                </c:pt>
                <c:pt idx="2">
                  <c:v>1981</c:v>
                </c:pt>
                <c:pt idx="3">
                  <c:v>1986</c:v>
                </c:pt>
                <c:pt idx="4">
                  <c:v>1991</c:v>
                </c:pt>
                <c:pt idx="5">
                  <c:v>1996</c:v>
                </c:pt>
                <c:pt idx="6">
                  <c:v>2001</c:v>
                </c:pt>
                <c:pt idx="7">
                  <c:v>2006</c:v>
                </c:pt>
                <c:pt idx="8">
                  <c:v>2011</c:v>
                </c:pt>
                <c:pt idx="9">
                  <c:v>2026</c:v>
                </c:pt>
              </c:numCache>
            </c:numRef>
          </c:cat>
          <c:val>
            <c:numRef>
              <c:f>'Projections to 2026'!$O$3:$X$3</c:f>
              <c:numCache>
                <c:formatCode>#,##0</c:formatCode>
                <c:ptCount val="10"/>
                <c:pt idx="0">
                  <c:v>6371</c:v>
                </c:pt>
                <c:pt idx="1">
                  <c:v>14760</c:v>
                </c:pt>
                <c:pt idx="2">
                  <c:v>6057</c:v>
                </c:pt>
                <c:pt idx="3">
                  <c:v>15766</c:v>
                </c:pt>
                <c:pt idx="4">
                  <c:v>22283</c:v>
                </c:pt>
                <c:pt idx="5">
                  <c:v>25196</c:v>
                </c:pt>
                <c:pt idx="6">
                  <c:v>27846</c:v>
                </c:pt>
                <c:pt idx="7">
                  <c:v>33517</c:v>
                </c:pt>
                <c:pt idx="8">
                  <c:v>47300</c:v>
                </c:pt>
                <c:pt idx="9">
                  <c:v>69637</c:v>
                </c:pt>
              </c:numCache>
            </c:numRef>
          </c:val>
          <c:smooth val="0"/>
        </c:ser>
        <c:ser>
          <c:idx val="0"/>
          <c:order val="1"/>
          <c:tx>
            <c:strRef>
              <c:f>'Projections to 2026'!$P$3:$X$3</c:f>
              <c:strCache>
                <c:ptCount val="1"/>
                <c:pt idx="0">
                  <c:v>14,760 6,057 15,766 22,283 25,196 27,846 33,517 47,300 69,637</c:v>
                </c:pt>
              </c:strCache>
            </c:strRef>
          </c:tx>
          <c:marker>
            <c:symbol val="none"/>
          </c:marker>
          <c:cat>
            <c:numRef>
              <c:f>'Projections to 2026'!$O$2:$X$2</c:f>
              <c:numCache>
                <c:formatCode>General</c:formatCode>
                <c:ptCount val="10"/>
                <c:pt idx="0">
                  <c:v>1971</c:v>
                </c:pt>
                <c:pt idx="1">
                  <c:v>1976</c:v>
                </c:pt>
                <c:pt idx="2">
                  <c:v>1981</c:v>
                </c:pt>
                <c:pt idx="3">
                  <c:v>1986</c:v>
                </c:pt>
                <c:pt idx="4">
                  <c:v>1991</c:v>
                </c:pt>
                <c:pt idx="5">
                  <c:v>1996</c:v>
                </c:pt>
                <c:pt idx="6">
                  <c:v>2001</c:v>
                </c:pt>
                <c:pt idx="7">
                  <c:v>2006</c:v>
                </c:pt>
                <c:pt idx="8">
                  <c:v>2011</c:v>
                </c:pt>
                <c:pt idx="9">
                  <c:v>2026</c:v>
                </c:pt>
              </c:numCache>
            </c:numRef>
          </c:cat>
          <c:val>
            <c:numLit>
              <c:formatCode>General</c:formatCode>
              <c:ptCount val="1"/>
              <c:pt idx="0">
                <c:v>1</c:v>
              </c:pt>
            </c:numLit>
          </c:val>
          <c:smooth val="0"/>
        </c:ser>
        <c:dLbls>
          <c:showLegendKey val="0"/>
          <c:showVal val="0"/>
          <c:showCatName val="0"/>
          <c:showSerName val="0"/>
          <c:showPercent val="0"/>
          <c:showBubbleSize val="0"/>
        </c:dLbls>
        <c:smooth val="0"/>
        <c:axId val="416431656"/>
        <c:axId val="416428128"/>
      </c:lineChart>
      <c:catAx>
        <c:axId val="416431656"/>
        <c:scaling>
          <c:orientation val="minMax"/>
        </c:scaling>
        <c:delete val="0"/>
        <c:axPos val="b"/>
        <c:numFmt formatCode="General" sourceLinked="1"/>
        <c:majorTickMark val="out"/>
        <c:minorTickMark val="none"/>
        <c:tickLblPos val="nextTo"/>
        <c:crossAx val="416428128"/>
        <c:crosses val="autoZero"/>
        <c:auto val="1"/>
        <c:lblAlgn val="ctr"/>
        <c:lblOffset val="100"/>
        <c:noMultiLvlLbl val="0"/>
      </c:catAx>
      <c:valAx>
        <c:axId val="416428128"/>
        <c:scaling>
          <c:orientation val="minMax"/>
        </c:scaling>
        <c:delete val="0"/>
        <c:axPos val="l"/>
        <c:majorGridlines/>
        <c:numFmt formatCode="#,##0" sourceLinked="1"/>
        <c:majorTickMark val="out"/>
        <c:minorTickMark val="none"/>
        <c:tickLblPos val="nextTo"/>
        <c:crossAx val="416431656"/>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BAF861C57757489DCC7D9727D06580" ma:contentTypeVersion="3" ma:contentTypeDescription="Create a new document." ma:contentTypeScope="" ma:versionID="b757dbcb0db0596c92846d0ac0015db7">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5d8dc7b62b980573aadba3c0d4de8b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71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Employment</TermName>
          <TermId xmlns="http://schemas.microsoft.com/office/infopath/2007/PartnerControls">9fcd59ef-7b73-4208-a48c-5379525db58f</TermId>
        </TermInfo>
      </Terms>
    </AGLSSubjectHTField0>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22D5D7-556F-4818-8BC4-D493CC785FE1}">
  <ds:schemaRefs>
    <ds:schemaRef ds:uri="http://schemas.microsoft.com/sharepoint/v3/contenttype/forms"/>
  </ds:schemaRefs>
</ds:datastoreItem>
</file>

<file path=customXml/itemProps2.xml><?xml version="1.0" encoding="utf-8"?>
<ds:datastoreItem xmlns:ds="http://schemas.openxmlformats.org/officeDocument/2006/customXml" ds:itemID="{82877703-1337-40D1-9C80-32D0E9A41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12CF16-624F-4629-AF82-E5A18941F27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Respect - Aboriginal employment in Victorian local government fact sheet</vt:lpstr>
    </vt:vector>
  </TitlesOfParts>
  <Company/>
  <LinksUpToDate>false</LinksUpToDate>
  <CharactersWithSpaces>5615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Respect - Aboriginal employment in Victorian local government fact sheet</dc:title>
  <dc:creator>Rosemary Hancock</dc:creator>
  <cp:lastModifiedBy>Zachary Tangey</cp:lastModifiedBy>
  <cp:revision>2</cp:revision>
  <cp:lastPrinted>2015-05-06T06:24:00Z</cp:lastPrinted>
  <dcterms:created xsi:type="dcterms:W3CDTF">2018-03-16T05:11:00Z</dcterms:created>
  <dcterms:modified xsi:type="dcterms:W3CDTF">2018-03-16T05:11:00Z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Fact sheet|6360168b-5b5f-4f35-b1f5-cccc14c82f85</vt:lpwstr>
  </property>
  <property fmtid="{D5CDD505-2E9C-101B-9397-08002B2CF9AE}" pid="4" name="Doc Type">
    <vt:lpwstr>40;#Fact sheet|6360168b-5b5f-4f35-b1f5-cccc14c82f85</vt:lpwstr>
  </property>
  <property fmtid="{D5CDD505-2E9C-101B-9397-08002B2CF9AE}" pid="5" name="ee64d7fb010e4a05a924de355a8c7215">
    <vt:lpwstr>May|705f73a3-3aed-4cfb-ab7d-88e9896dce21</vt:lpwstr>
  </property>
  <property fmtid="{D5CDD505-2E9C-101B-9397-08002B2CF9AE}" pid="6" name="Month">
    <vt:lpwstr>57;#May|705f73a3-3aed-4cfb-ab7d-88e9896dce21</vt:lpwstr>
  </property>
  <property fmtid="{D5CDD505-2E9C-101B-9397-08002B2CF9AE}" pid="7" name="a5701f4c3d364836bbe78d9cf21e7ae1">
    <vt:lpwstr/>
  </property>
  <property fmtid="{D5CDD505-2E9C-101B-9397-08002B2CF9AE}" pid="8" name="Year">
    <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Indigenous|5a78515e-bd93-4292-839c-8a40c7a9e326</vt:lpwstr>
  </property>
  <property fmtid="{D5CDD505-2E9C-101B-9397-08002B2CF9AE}" pid="12" name="Topic">
    <vt:lpwstr>319;#Indigenous|5a78515e-bd93-4292-839c-8a40c7a9e326</vt:lpwstr>
  </property>
  <property fmtid="{D5CDD505-2E9C-101B-9397-08002B2CF9AE}" pid="13" name="k727aceab77943df8808c76e2c853ca1">
    <vt:lpwstr>Aboriginal Employment Broker Project|c43d6cd3-4128-4437-ac09-c6cceae31fe7</vt:lpwstr>
  </property>
  <property fmtid="{D5CDD505-2E9C-101B-9397-08002B2CF9AE}" pid="14" name="Project">
    <vt:lpwstr>497;#Aboriginal Employment Broker Project|c43d6cd3-4128-4437-ac09-c6cceae31fe7</vt:lpwstr>
  </property>
  <property fmtid="{D5CDD505-2E9C-101B-9397-08002B2CF9AE}" pid="15" name="TaxCatchAll">
    <vt:lpwstr/>
  </property>
  <property fmtid="{D5CDD505-2E9C-101B-9397-08002B2CF9AE}" pid="16" name="ContentTypeId">
    <vt:lpwstr>0x01010000BAF861C57757489DCC7D9727D06580</vt:lpwstr>
  </property>
  <property fmtid="{D5CDD505-2E9C-101B-9397-08002B2CF9AE}" pid="17" name="AGLSSubject">
    <vt:lpwstr>71;#Employment|9fcd59ef-7b73-4208-a48c-5379525db58f</vt:lpwstr>
  </property>
</Properties>
</file>