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76" w:lineRule="auto"/>
        <w:rPr>
          <w:rFonts w:ascii="Arial" w:cs="Arial" w:eastAsia="Arial" w:hAnsi="Arial"/>
        </w:rPr>
      </w:pPr>
      <w:r w:rsidDel="00000000" w:rsidR="00000000" w:rsidRPr="00000000">
        <w:rPr>
          <w:rFonts w:ascii="Arial" w:cs="Arial" w:eastAsia="Arial" w:hAnsi="Arial"/>
          <w:rtl w:val="0"/>
        </w:rPr>
        <w:t xml:space="preserve">DATE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3771900</wp:posOffset>
            </wp:positionH>
            <wp:positionV relativeFrom="paragraph">
              <wp:posOffset>-228599</wp:posOffset>
            </wp:positionV>
            <wp:extent cx="3086100" cy="1535430"/>
            <wp:effectExtent b="0" l="0" r="0" t="0"/>
            <wp:wrapSquare wrapText="bothSides" distB="0" distT="0" distL="114300" distR="114300"/>
            <wp:docPr descr="Macintosh HD:Users:kerrien:Dropbox:D2KDay:D2KDay logos:Dying to Know Day logo - no year.pdf" id="1" name="image1.png"/>
            <a:graphic>
              <a:graphicData uri="http://schemas.openxmlformats.org/drawingml/2006/picture">
                <pic:pic>
                  <pic:nvPicPr>
                    <pic:cNvPr descr="Macintosh HD:Users:kerrien:Dropbox:D2KDay:D2KDay logos:Dying to Know Day logo - no year.pdf" id="0" name="image1.png"/>
                    <pic:cNvPicPr preferRelativeResize="0"/>
                  </pic:nvPicPr>
                  <pic:blipFill>
                    <a:blip r:embed="rId6"/>
                    <a:srcRect b="0" l="0" r="0" t="0"/>
                    <a:stretch>
                      <a:fillRect/>
                    </a:stretch>
                  </pic:blipFill>
                  <pic:spPr>
                    <a:xfrm>
                      <a:off x="0" y="0"/>
                      <a:ext cx="3086100" cy="1535430"/>
                    </a:xfrm>
                    <a:prstGeom prst="rect"/>
                    <a:ln/>
                  </pic:spPr>
                </pic:pic>
              </a:graphicData>
            </a:graphic>
          </wp:anchor>
        </w:drawing>
      </w:r>
    </w:p>
    <w:p w:rsidR="00000000" w:rsidDel="00000000" w:rsidP="00000000" w:rsidRDefault="00000000" w:rsidRPr="00000000" w14:paraId="00000002">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03">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04">
      <w:pPr>
        <w:spacing w:line="276" w:lineRule="auto"/>
        <w:rPr>
          <w:rFonts w:ascii="Arial" w:cs="Arial" w:eastAsia="Arial" w:hAnsi="Arial"/>
          <w:color w:val="b7b7b7"/>
          <w:sz w:val="60"/>
          <w:szCs w:val="60"/>
        </w:rPr>
      </w:pPr>
      <w:r w:rsidDel="00000000" w:rsidR="00000000" w:rsidRPr="00000000">
        <w:rPr>
          <w:rFonts w:ascii="Arial" w:cs="Arial" w:eastAsia="Arial" w:hAnsi="Arial"/>
          <w:sz w:val="60"/>
          <w:szCs w:val="60"/>
          <w:rtl w:val="0"/>
        </w:rPr>
        <w:t xml:space="preserve">MEDIA RELEASE</w:t>
      </w:r>
      <w:r w:rsidDel="00000000" w:rsidR="00000000" w:rsidRPr="00000000">
        <w:rPr>
          <w:rtl w:val="0"/>
        </w:rPr>
      </w:r>
    </w:p>
    <w:p w:rsidR="00000000" w:rsidDel="00000000" w:rsidP="00000000" w:rsidRDefault="00000000" w:rsidRPr="00000000" w14:paraId="00000005">
      <w:pPr>
        <w:spacing w:line="276"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06">
      <w:pPr>
        <w:spacing w:line="276" w:lineRule="auto"/>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7">
      <w:pPr>
        <w:spacing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Dying to Know Day: Australian’s want to talk about dying, death and grief</w:t>
      </w:r>
    </w:p>
    <w:p w:rsidR="00000000" w:rsidDel="00000000" w:rsidP="00000000" w:rsidRDefault="00000000" w:rsidRPr="00000000" w14:paraId="00000008">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09">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0A">
      <w:pPr>
        <w:spacing w:line="276" w:lineRule="auto"/>
        <w:rPr>
          <w:rFonts w:ascii="Arial" w:cs="Arial" w:eastAsia="Arial" w:hAnsi="Arial"/>
        </w:rPr>
      </w:pPr>
      <w:r w:rsidDel="00000000" w:rsidR="00000000" w:rsidRPr="00000000">
        <w:rPr>
          <w:rFonts w:ascii="Arial" w:cs="Arial" w:eastAsia="Arial" w:hAnsi="Arial"/>
          <w:highlight w:val="white"/>
          <w:rtl w:val="0"/>
        </w:rPr>
        <w:t xml:space="preserve">This August 8th is the 7</w:t>
      </w:r>
      <w:r w:rsidDel="00000000" w:rsidR="00000000" w:rsidRPr="00000000">
        <w:rPr>
          <w:rFonts w:ascii="Arial" w:cs="Arial" w:eastAsia="Arial" w:hAnsi="Arial"/>
          <w:highlight w:val="white"/>
          <w:vertAlign w:val="superscript"/>
          <w:rtl w:val="0"/>
        </w:rPr>
        <w:t xml:space="preserve">th</w:t>
      </w:r>
      <w:r w:rsidDel="00000000" w:rsidR="00000000" w:rsidRPr="00000000">
        <w:rPr>
          <w:rFonts w:ascii="Arial" w:cs="Arial" w:eastAsia="Arial" w:hAnsi="Arial"/>
          <w:highlight w:val="white"/>
          <w:rtl w:val="0"/>
        </w:rPr>
        <w:t xml:space="preserve"> annual </w:t>
      </w:r>
      <w:r w:rsidDel="00000000" w:rsidR="00000000" w:rsidRPr="00000000">
        <w:rPr>
          <w:rFonts w:ascii="Arial" w:cs="Arial" w:eastAsia="Arial" w:hAnsi="Arial"/>
          <w:b w:val="1"/>
          <w:highlight w:val="white"/>
          <w:rtl w:val="0"/>
        </w:rPr>
        <w:t xml:space="preserve">Dying To Know Day</w:t>
      </w:r>
      <w:r w:rsidDel="00000000" w:rsidR="00000000" w:rsidRPr="00000000">
        <w:rPr>
          <w:rFonts w:ascii="Arial" w:cs="Arial" w:eastAsia="Arial" w:hAnsi="Arial"/>
          <w:highlight w:val="white"/>
          <w:rtl w:val="0"/>
        </w:rPr>
        <w:t xml:space="preserve">, an initiative of not-for-profit The GroundSwell Project, which aims to bring to life conversations and actions to change the way Australians plan for the end of life.</w:t>
      </w:r>
      <w:r w:rsidDel="00000000" w:rsidR="00000000" w:rsidRPr="00000000">
        <w:rPr>
          <w:rFonts w:ascii="Arial" w:cs="Arial" w:eastAsia="Arial" w:hAnsi="Arial"/>
          <w:rtl w:val="0"/>
        </w:rPr>
        <w:t xml:space="preserve"> </w:t>
      </w:r>
    </w:p>
    <w:p w:rsidR="00000000" w:rsidDel="00000000" w:rsidP="00000000" w:rsidRDefault="00000000" w:rsidRPr="00000000" w14:paraId="0000000B">
      <w:pPr>
        <w:spacing w:line="276" w:lineRule="auto"/>
        <w:rPr>
          <w:rFonts w:ascii="Arial" w:cs="Arial" w:eastAsia="Arial" w:hAnsi="Arial"/>
          <w:highlight w:val="white"/>
        </w:rPr>
      </w:pPr>
      <w:r w:rsidDel="00000000" w:rsidR="00000000" w:rsidRPr="00000000">
        <w:rPr>
          <w:rtl w:val="0"/>
        </w:rPr>
      </w:r>
    </w:p>
    <w:p w:rsidR="00000000" w:rsidDel="00000000" w:rsidP="00000000" w:rsidRDefault="00000000" w:rsidRPr="00000000" w14:paraId="0000000C">
      <w:pPr>
        <w:shd w:fill="ffffff" w:val="clear"/>
        <w:spacing w:line="276" w:lineRule="auto"/>
        <w:jc w:val="left"/>
        <w:rPr>
          <w:rFonts w:ascii="Arial" w:cs="Arial" w:eastAsia="Arial" w:hAnsi="Arial"/>
          <w:highlight w:val="white"/>
        </w:rPr>
      </w:pPr>
      <w:r w:rsidDel="00000000" w:rsidR="00000000" w:rsidRPr="00000000">
        <w:rPr>
          <w:rFonts w:ascii="Arial" w:cs="Arial" w:eastAsia="Arial" w:hAnsi="Arial"/>
          <w:highlight w:val="white"/>
          <w:rtl w:val="0"/>
        </w:rPr>
        <w:t xml:space="preserve">Too often, people are ill-equipped to start a conversation or know best how to support a loved one who is dying, caring or grieving, often resulting in an end of life experience that is not consistent with their values or wishes, for themselves of their loved ones. </w:t>
      </w:r>
    </w:p>
    <w:p w:rsidR="00000000" w:rsidDel="00000000" w:rsidP="00000000" w:rsidRDefault="00000000" w:rsidRPr="00000000" w14:paraId="0000000D">
      <w:pPr>
        <w:shd w:fill="ffffff" w:val="clear"/>
        <w:spacing w:line="276" w:lineRule="auto"/>
        <w:jc w:val="left"/>
        <w:rPr>
          <w:rFonts w:ascii="Arial" w:cs="Arial" w:eastAsia="Arial" w:hAnsi="Arial"/>
          <w:highlight w:val="white"/>
        </w:rPr>
      </w:pPr>
      <w:r w:rsidDel="00000000" w:rsidR="00000000" w:rsidRPr="00000000">
        <w:rPr>
          <w:rtl w:val="0"/>
        </w:rPr>
      </w:r>
    </w:p>
    <w:p w:rsidR="00000000" w:rsidDel="00000000" w:rsidP="00000000" w:rsidRDefault="00000000" w:rsidRPr="00000000" w14:paraId="0000000E">
      <w:pPr>
        <w:shd w:fill="ffffff" w:val="clear"/>
        <w:spacing w:line="276" w:lineRule="auto"/>
        <w:rPr>
          <w:rFonts w:ascii="Arial" w:cs="Arial" w:eastAsia="Arial" w:hAnsi="Arial"/>
          <w:highlight w:val="white"/>
        </w:rPr>
      </w:pPr>
      <w:r w:rsidDel="00000000" w:rsidR="00000000" w:rsidRPr="00000000">
        <w:rPr>
          <w:rFonts w:ascii="Arial" w:cs="Arial" w:eastAsia="Arial" w:hAnsi="Arial"/>
          <w:highlight w:val="white"/>
          <w:rtl w:val="0"/>
        </w:rPr>
        <w:t xml:space="preserve">Dying to Know Day is designed to change this by activating conversations and curiosity. By encouraging</w:t>
      </w:r>
      <w:hyperlink r:id="rId7">
        <w:r w:rsidDel="00000000" w:rsidR="00000000" w:rsidRPr="00000000">
          <w:rPr>
            <w:rFonts w:ascii="Arial" w:cs="Arial" w:eastAsia="Arial" w:hAnsi="Arial"/>
            <w:highlight w:val="white"/>
            <w:rtl w:val="0"/>
          </w:rPr>
          <w:t xml:space="preserve"> </w:t>
        </w:r>
      </w:hyperlink>
      <w:hyperlink r:id="rId8">
        <w:r w:rsidDel="00000000" w:rsidR="00000000" w:rsidRPr="00000000">
          <w:rPr>
            <w:rFonts w:ascii="Arial" w:cs="Arial" w:eastAsia="Arial" w:hAnsi="Arial"/>
            <w:highlight w:val="white"/>
            <w:rtl w:val="0"/>
          </w:rPr>
          <w:t xml:space="preserve">death literacy</w:t>
        </w:r>
      </w:hyperlink>
      <w:r w:rsidDel="00000000" w:rsidR="00000000" w:rsidRPr="00000000">
        <w:rPr>
          <w:rFonts w:ascii="Arial" w:cs="Arial" w:eastAsia="Arial" w:hAnsi="Arial"/>
          <w:highlight w:val="white"/>
          <w:rtl w:val="0"/>
        </w:rPr>
        <w:t xml:space="preserve"> and providing a space to talk about end of life plans, we can all help individuals, families and even whole communities to do death better.</w:t>
      </w:r>
    </w:p>
    <w:p w:rsidR="00000000" w:rsidDel="00000000" w:rsidP="00000000" w:rsidRDefault="00000000" w:rsidRPr="00000000" w14:paraId="0000000F">
      <w:pPr>
        <w:spacing w:line="276" w:lineRule="auto"/>
        <w:rPr>
          <w:rFonts w:ascii="Arial" w:cs="Arial" w:eastAsia="Arial" w:hAnsi="Arial"/>
          <w:highlight w:val="white"/>
        </w:rPr>
      </w:pPr>
      <w:r w:rsidDel="00000000" w:rsidR="00000000" w:rsidRPr="00000000">
        <w:rPr>
          <w:rtl w:val="0"/>
        </w:rPr>
      </w:r>
    </w:p>
    <w:p w:rsidR="00000000" w:rsidDel="00000000" w:rsidP="00000000" w:rsidRDefault="00000000" w:rsidRPr="00000000" w14:paraId="00000010">
      <w:pPr>
        <w:spacing w:line="276" w:lineRule="auto"/>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highlight w:val="white"/>
          <w:rtl w:val="0"/>
        </w:rPr>
        <w:t xml:space="preserve">This year there are community events planned across Australia.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There are people all over Australia talking about and keen to change the current approach to death. </w:t>
      </w: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Individuals and organisations are hosting a variety of events including Death Cafes, seminars on death and dying, end of life planning workshops and film nights</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011">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12">
      <w:pPr>
        <w:spacing w:line="276" w:lineRule="auto"/>
        <w:rPr>
          <w:rFonts w:ascii="Arial" w:cs="Arial" w:eastAsia="Arial" w:hAnsi="Arial"/>
          <w:highlight w:val="yellow"/>
        </w:rPr>
      </w:pPr>
      <w:r w:rsidDel="00000000" w:rsidR="00000000" w:rsidRPr="00000000">
        <w:rPr>
          <w:rFonts w:ascii="Arial" w:cs="Arial" w:eastAsia="Arial" w:hAnsi="Arial"/>
          <w:highlight w:val="yellow"/>
          <w:rtl w:val="0"/>
        </w:rPr>
        <w:t xml:space="preserve">Insert quote from Council - why it’s signing up to the campaign this year </w:t>
      </w:r>
    </w:p>
    <w:p w:rsidR="00000000" w:rsidDel="00000000" w:rsidP="00000000" w:rsidRDefault="00000000" w:rsidRPr="00000000" w14:paraId="00000013">
      <w:pPr>
        <w:spacing w:line="276" w:lineRule="auto"/>
        <w:rPr>
          <w:rFonts w:ascii="Arial" w:cs="Arial" w:eastAsia="Arial" w:hAnsi="Arial"/>
          <w:color w:val="000000"/>
          <w:highlight w:val="white"/>
        </w:rPr>
      </w:pPr>
      <w:r w:rsidDel="00000000" w:rsidR="00000000" w:rsidRPr="00000000">
        <w:rPr>
          <w:rtl w:val="0"/>
        </w:rPr>
      </w:r>
    </w:p>
    <w:p w:rsidR="00000000" w:rsidDel="00000000" w:rsidP="00000000" w:rsidRDefault="00000000" w:rsidRPr="00000000" w14:paraId="00000014">
      <w:pPr>
        <w:spacing w:line="276" w:lineRule="auto"/>
        <w:rPr>
          <w:rFonts w:ascii="Arial" w:cs="Arial" w:eastAsia="Arial" w:hAnsi="Arial"/>
        </w:rPr>
      </w:pPr>
      <w:r w:rsidDel="00000000" w:rsidR="00000000" w:rsidRPr="00000000">
        <w:rPr>
          <w:rFonts w:ascii="Arial" w:cs="Arial" w:eastAsia="Arial" w:hAnsi="Arial"/>
          <w:color w:val="000000"/>
          <w:highlight w:val="white"/>
          <w:rtl w:val="0"/>
        </w:rPr>
        <w:t xml:space="preserve">National Ambassador Molly Carlile AM encourages everyone to get involved. </w:t>
      </w:r>
      <w:r w:rsidDel="00000000" w:rsidR="00000000" w:rsidRPr="00000000">
        <w:rPr>
          <w:rFonts w:ascii="Arial" w:cs="Arial" w:eastAsia="Arial" w:hAnsi="Arial"/>
          <w:i w:val="1"/>
          <w:color w:val="000000"/>
          <w:highlight w:val="white"/>
          <w:rtl w:val="0"/>
        </w:rPr>
        <w:t xml:space="preserve">"Dying to Know Day is about us getting together with people we care about, sharing our hopes and fears and growing our understanding of death in order to live more fully. Let's not wait until it's too late to have meaningful conversations. Dying To Know Day is our golden ticket to talking about death</w:t>
      </w:r>
      <w:r w:rsidDel="00000000" w:rsidR="00000000" w:rsidRPr="00000000">
        <w:rPr>
          <w:rFonts w:ascii="Arial" w:cs="Arial" w:eastAsia="Arial" w:hAnsi="Arial"/>
          <w:i w:val="1"/>
          <w:rtl w:val="0"/>
        </w:rPr>
        <w:t xml:space="preserve">”</w:t>
      </w:r>
      <w:r w:rsidDel="00000000" w:rsidR="00000000" w:rsidRPr="00000000">
        <w:rPr>
          <w:rtl w:val="0"/>
        </w:rPr>
      </w:r>
    </w:p>
    <w:p w:rsidR="00000000" w:rsidDel="00000000" w:rsidP="00000000" w:rsidRDefault="00000000" w:rsidRPr="00000000" w14:paraId="00000015">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16">
      <w:pPr>
        <w:spacing w:line="276" w:lineRule="auto"/>
        <w:rPr>
          <w:rFonts w:ascii="Arial" w:cs="Arial" w:eastAsia="Arial" w:hAnsi="Arial"/>
        </w:rPr>
      </w:pPr>
      <w:r w:rsidDel="00000000" w:rsidR="00000000" w:rsidRPr="00000000">
        <w:rPr>
          <w:rFonts w:ascii="Arial" w:cs="Arial" w:eastAsia="Arial" w:hAnsi="Arial"/>
          <w:rtl w:val="0"/>
        </w:rPr>
        <w:t xml:space="preserve">We are encouraging everyone to think about what action they can take on the day. Whether it is helping a family member to plan well for ageing, getting your will sorted or hosting an event in your workplace or local community. It all counts. </w:t>
        <w:br w:type="textWrapping"/>
      </w:r>
    </w:p>
    <w:p w:rsidR="00000000" w:rsidDel="00000000" w:rsidP="00000000" w:rsidRDefault="00000000" w:rsidRPr="00000000" w14:paraId="00000017">
      <w:pPr>
        <w:spacing w:line="276" w:lineRule="auto"/>
        <w:rPr>
          <w:rFonts w:ascii="Arial" w:cs="Arial" w:eastAsia="Arial" w:hAnsi="Arial"/>
        </w:rPr>
      </w:pPr>
      <w:r w:rsidDel="00000000" w:rsidR="00000000" w:rsidRPr="00000000">
        <w:rPr>
          <w:rFonts w:ascii="Arial" w:cs="Arial" w:eastAsia="Arial" w:hAnsi="Arial"/>
          <w:highlight w:val="white"/>
          <w:rtl w:val="0"/>
        </w:rPr>
        <w:t xml:space="preserve">"Opening up conversations and sharing information helps demystify death and dying. On August 8th, if you are unable to host or attend an event, take a personal action toward building your death literacy.”</w:t>
      </w:r>
      <w:r w:rsidDel="00000000" w:rsidR="00000000" w:rsidRPr="00000000">
        <w:rPr>
          <w:rtl w:val="0"/>
        </w:rPr>
      </w:r>
    </w:p>
    <w:p w:rsidR="00000000" w:rsidDel="00000000" w:rsidP="00000000" w:rsidRDefault="00000000" w:rsidRPr="00000000" w14:paraId="00000018">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19">
      <w:pPr>
        <w:spacing w:line="276" w:lineRule="auto"/>
        <w:rPr>
          <w:rFonts w:ascii="Arial" w:cs="Arial" w:eastAsia="Arial" w:hAnsi="Arial"/>
        </w:rPr>
      </w:pPr>
      <w:r w:rsidDel="00000000" w:rsidR="00000000" w:rsidRPr="00000000">
        <w:rPr>
          <w:rFonts w:ascii="Arial" w:cs="Arial" w:eastAsia="Arial" w:hAnsi="Arial"/>
          <w:b w:val="1"/>
          <w:rtl w:val="0"/>
        </w:rPr>
        <w:t xml:space="preserve">To find an event near you or register your own event, go to: </w:t>
      </w:r>
      <w:hyperlink r:id="rId9">
        <w:r w:rsidDel="00000000" w:rsidR="00000000" w:rsidRPr="00000000">
          <w:rPr>
            <w:rFonts w:ascii="Arial" w:cs="Arial" w:eastAsia="Arial" w:hAnsi="Arial"/>
            <w:b w:val="1"/>
            <w:color w:val="1155cc"/>
            <w:u w:val="single"/>
            <w:rtl w:val="0"/>
          </w:rPr>
          <w:t xml:space="preserve">www.dyingtoknowday.org</w:t>
        </w:r>
      </w:hyperlink>
      <w:r w:rsidDel="00000000" w:rsidR="00000000" w:rsidRPr="00000000">
        <w:rPr>
          <w:rFonts w:ascii="Arial" w:cs="Arial" w:eastAsia="Arial" w:hAnsi="Arial"/>
          <w:b w:val="1"/>
          <w:rtl w:val="0"/>
        </w:rPr>
        <w:t xml:space="preserve"> </w:t>
        <w:br w:type="textWrapping"/>
      </w:r>
      <w:r w:rsidDel="00000000" w:rsidR="00000000" w:rsidRPr="00000000">
        <w:rPr>
          <w:rtl w:val="0"/>
        </w:rPr>
      </w:r>
    </w:p>
    <w:p w:rsidR="00000000" w:rsidDel="00000000" w:rsidP="00000000" w:rsidRDefault="00000000" w:rsidRPr="00000000" w14:paraId="0000001A">
      <w:pPr>
        <w:spacing w:line="276" w:lineRule="auto"/>
        <w:rPr>
          <w:rFonts w:ascii="Arial" w:cs="Arial" w:eastAsia="Arial" w:hAnsi="Arial"/>
          <w:highlight w:val="white"/>
        </w:rPr>
      </w:pPr>
      <w:r w:rsidDel="00000000" w:rsidR="00000000" w:rsidRPr="00000000">
        <w:rPr>
          <w:rFonts w:ascii="Arial" w:cs="Arial" w:eastAsia="Arial" w:hAnsi="Arial"/>
          <w:color w:val="000000"/>
          <w:highlight w:val="white"/>
          <w:rtl w:val="0"/>
        </w:rPr>
        <w:t xml:space="preserve">To interview our Ambassadors or one of our 80+ event holders, contact:</w:t>
      </w:r>
      <w:r w:rsidDel="00000000" w:rsidR="00000000" w:rsidRPr="00000000">
        <w:rPr>
          <w:rFonts w:ascii="Arial" w:cs="Arial" w:eastAsia="Arial" w:hAnsi="Arial"/>
          <w:highlight w:val="white"/>
          <w:rtl w:val="0"/>
        </w:rPr>
        <w:t xml:space="preserve"> Jessie Williams, CEO</w:t>
      </w:r>
      <w:r w:rsidDel="00000000" w:rsidR="00000000" w:rsidRPr="00000000">
        <w:rPr>
          <w:rFonts w:ascii="Arial" w:cs="Arial" w:eastAsia="Arial" w:hAnsi="Arial"/>
          <w:color w:val="000000"/>
          <w:highlight w:val="white"/>
          <w:rtl w:val="0"/>
        </w:rPr>
        <w:t xml:space="preserve"> The GroundSwell Project | 0</w:t>
      </w:r>
      <w:r w:rsidDel="00000000" w:rsidR="00000000" w:rsidRPr="00000000">
        <w:rPr>
          <w:rFonts w:ascii="Arial" w:cs="Arial" w:eastAsia="Arial" w:hAnsi="Arial"/>
          <w:highlight w:val="white"/>
          <w:rtl w:val="0"/>
        </w:rPr>
        <w:t xml:space="preserve">449 117 824</w:t>
      </w:r>
      <w:r w:rsidDel="00000000" w:rsidR="00000000" w:rsidRPr="00000000">
        <w:rPr>
          <w:rFonts w:ascii="Arial" w:cs="Arial" w:eastAsia="Arial" w:hAnsi="Arial"/>
          <w:color w:val="000000"/>
          <w:highlight w:val="white"/>
          <w:rtl w:val="0"/>
        </w:rPr>
        <w:t xml:space="preserve"> or </w:t>
      </w:r>
      <w:r w:rsidDel="00000000" w:rsidR="00000000" w:rsidRPr="00000000">
        <w:rPr>
          <w:rFonts w:ascii="Arial" w:cs="Arial" w:eastAsia="Arial" w:hAnsi="Arial"/>
          <w:color w:val="386eff"/>
          <w:rtl w:val="0"/>
        </w:rPr>
        <w:t xml:space="preserve">Jessie@thegroundswellproject.com</w:t>
      </w:r>
      <w:r w:rsidDel="00000000" w:rsidR="00000000" w:rsidRPr="00000000">
        <w:rPr>
          <w:rtl w:val="0"/>
        </w:rPr>
      </w:r>
    </w:p>
    <w:p w:rsidR="00000000" w:rsidDel="00000000" w:rsidP="00000000" w:rsidRDefault="00000000" w:rsidRPr="00000000" w14:paraId="0000001B">
      <w:pPr>
        <w:spacing w:line="276" w:lineRule="auto"/>
        <w:rPr>
          <w:rFonts w:ascii="Arial" w:cs="Arial" w:eastAsia="Arial" w:hAnsi="Arial"/>
          <w:highlight w:val="white"/>
        </w:rPr>
      </w:pPr>
      <w:r w:rsidDel="00000000" w:rsidR="00000000" w:rsidRPr="00000000">
        <w:rPr>
          <w:rtl w:val="0"/>
        </w:rPr>
      </w:r>
    </w:p>
    <w:p w:rsidR="00000000" w:rsidDel="00000000" w:rsidP="00000000" w:rsidRDefault="00000000" w:rsidRPr="00000000" w14:paraId="0000001C">
      <w:pPr>
        <w:spacing w:line="276" w:lineRule="auto"/>
        <w:rPr>
          <w:rFonts w:ascii="Arial" w:cs="Arial" w:eastAsia="Arial" w:hAnsi="Arial"/>
          <w:b w:val="0"/>
          <w:i w:val="0"/>
          <w:smallCaps w:val="0"/>
          <w:strike w:val="0"/>
          <w:color w:val="000000"/>
          <w:sz w:val="24"/>
          <w:szCs w:val="24"/>
          <w:highlight w:val="white"/>
          <w:u w:val="none"/>
          <w:vertAlign w:val="baseline"/>
        </w:rPr>
      </w:pPr>
      <w:r w:rsidDel="00000000" w:rsidR="00000000" w:rsidRPr="00000000">
        <w:rPr>
          <w:rFonts w:ascii="Arial" w:cs="Arial" w:eastAsia="Arial" w:hAnsi="Arial"/>
          <w:highlight w:val="white"/>
          <w:rtl w:val="0"/>
        </w:rPr>
        <w:t xml:space="preserve">The GroundSwell Project is Australia’s pioneering Death Literacy organisation, leading innovative projects combining the arts and health sectors to generate widespread community change.</w:t>
        <w:br w:type="textWrapping"/>
        <w:t xml:space="preserve">To find out more, go to </w:t>
      </w:r>
      <w:hyperlink r:id="rId10">
        <w:r w:rsidDel="00000000" w:rsidR="00000000" w:rsidRPr="00000000">
          <w:rPr>
            <w:rFonts w:ascii="Arial" w:cs="Arial" w:eastAsia="Arial" w:hAnsi="Arial"/>
            <w:color w:val="1155cc"/>
            <w:highlight w:val="white"/>
            <w:u w:val="single"/>
            <w:rtl w:val="0"/>
          </w:rPr>
          <w:t xml:space="preserve">www.thegroundswellproject.com</w:t>
        </w:r>
      </w:hyperlink>
      <w:r w:rsidDel="00000000" w:rsidR="00000000" w:rsidRPr="00000000">
        <w:rPr>
          <w:rFonts w:ascii="Arial" w:cs="Arial" w:eastAsia="Arial" w:hAnsi="Arial"/>
          <w:highlight w:val="white"/>
          <w:rtl w:val="0"/>
        </w:rPr>
        <w:t xml:space="preserve"> </w:t>
        <w:br w:type="textWrapping"/>
      </w:r>
      <w:r w:rsidDel="00000000" w:rsidR="00000000" w:rsidRPr="00000000">
        <w:rPr>
          <w:rtl w:val="0"/>
        </w:rPr>
      </w:r>
    </w:p>
    <w:p w:rsidR="00000000" w:rsidDel="00000000" w:rsidP="00000000" w:rsidRDefault="00000000" w:rsidRPr="00000000" w14:paraId="0000001D">
      <w:pPr>
        <w:spacing w:line="276" w:lineRule="auto"/>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1E">
      <w:pPr>
        <w:spacing w:line="276" w:lineRule="auto"/>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1F">
      <w:pPr>
        <w:spacing w:line="276" w:lineRule="auto"/>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highlight w:val="white"/>
        </w:rPr>
      </w:pPr>
      <w:r w:rsidDel="00000000" w:rsidR="00000000" w:rsidRPr="00000000">
        <w:rPr>
          <w:rtl w:val="0"/>
        </w:rPr>
      </w:r>
    </w:p>
    <w:sectPr>
      <w:pgSz w:h="16840" w:w="11900"/>
      <w:pgMar w:bottom="720" w:top="72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thegroundswellproject.com" TargetMode="External"/><Relationship Id="rId9" Type="http://schemas.openxmlformats.org/officeDocument/2006/relationships/hyperlink" Target="http://www.dyingtoknowday.org/"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dyingtoknowday.org/death-literacy" TargetMode="External"/><Relationship Id="rId8" Type="http://schemas.openxmlformats.org/officeDocument/2006/relationships/hyperlink" Target="https://www.dyingtoknowday.org/death-liter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