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2AD" w:rsidRPr="0096776A" w:rsidRDefault="008662AD" w:rsidP="005D657D">
      <w:pPr>
        <w:jc w:val="center"/>
        <w:rPr>
          <w:rFonts w:ascii="Montserrat" w:hAnsi="Montserrat"/>
          <w:sz w:val="28"/>
          <w:szCs w:val="28"/>
        </w:rPr>
      </w:pPr>
    </w:p>
    <w:p w:rsidR="003E51D0" w:rsidRPr="0096776A" w:rsidRDefault="003E51D0" w:rsidP="005D657D">
      <w:pPr>
        <w:jc w:val="center"/>
        <w:rPr>
          <w:rFonts w:ascii="Montserrat" w:hAnsi="Montserrat"/>
          <w:b/>
          <w:sz w:val="28"/>
          <w:szCs w:val="28"/>
        </w:rPr>
      </w:pPr>
      <w:r w:rsidRPr="0096776A">
        <w:rPr>
          <w:rFonts w:ascii="Montserrat" w:hAnsi="Montserrat"/>
          <w:b/>
          <w:sz w:val="28"/>
          <w:szCs w:val="28"/>
        </w:rPr>
        <w:t>Secondary Impact Assessment</w:t>
      </w:r>
      <w:r w:rsidR="009C5CC0" w:rsidRPr="0096776A">
        <w:rPr>
          <w:rFonts w:ascii="Montserrat" w:hAnsi="Montserrat"/>
          <w:b/>
          <w:sz w:val="28"/>
          <w:szCs w:val="28"/>
        </w:rPr>
        <w:t xml:space="preserve"> Project</w:t>
      </w:r>
      <w:r w:rsidRPr="0096776A">
        <w:rPr>
          <w:rFonts w:ascii="Montserrat" w:hAnsi="Montserrat"/>
          <w:b/>
          <w:sz w:val="28"/>
          <w:szCs w:val="28"/>
        </w:rPr>
        <w:t xml:space="preserve"> – A Framework for Local Government</w:t>
      </w:r>
    </w:p>
    <w:p w:rsidR="006D1560" w:rsidRPr="0096776A" w:rsidRDefault="003E51D0" w:rsidP="005D657D">
      <w:pPr>
        <w:jc w:val="center"/>
        <w:rPr>
          <w:rFonts w:ascii="Montserrat" w:hAnsi="Montserrat"/>
          <w:b/>
          <w:sz w:val="28"/>
          <w:szCs w:val="28"/>
        </w:rPr>
      </w:pPr>
      <w:r w:rsidRPr="0096776A">
        <w:rPr>
          <w:rFonts w:ascii="Montserrat" w:hAnsi="Montserrat"/>
          <w:b/>
          <w:sz w:val="28"/>
          <w:szCs w:val="28"/>
        </w:rPr>
        <w:t>Project</w:t>
      </w:r>
      <w:r w:rsidR="0097219C">
        <w:rPr>
          <w:rFonts w:ascii="Montserrat" w:hAnsi="Montserrat"/>
          <w:b/>
          <w:sz w:val="28"/>
          <w:szCs w:val="28"/>
        </w:rPr>
        <w:t xml:space="preserve"> Reference Group - Expressions</w:t>
      </w:r>
      <w:r w:rsidR="006D1560" w:rsidRPr="0096776A">
        <w:rPr>
          <w:rFonts w:ascii="Montserrat" w:hAnsi="Montserrat"/>
          <w:b/>
          <w:sz w:val="28"/>
          <w:szCs w:val="28"/>
        </w:rPr>
        <w:t xml:space="preserve"> of Interest</w:t>
      </w:r>
    </w:p>
    <w:p w:rsidR="005D657D" w:rsidRPr="009C5CC0" w:rsidRDefault="005D657D" w:rsidP="005D657D">
      <w:pPr>
        <w:jc w:val="both"/>
        <w:rPr>
          <w:b/>
          <w:sz w:val="24"/>
          <w:szCs w:val="24"/>
        </w:rPr>
      </w:pPr>
    </w:p>
    <w:p w:rsidR="00C6743F" w:rsidRDefault="00C6743F" w:rsidP="005D657D">
      <w:pPr>
        <w:jc w:val="both"/>
        <w:rPr>
          <w:b/>
          <w:sz w:val="24"/>
          <w:szCs w:val="24"/>
        </w:rPr>
      </w:pPr>
      <w:r w:rsidRPr="009C5CC0">
        <w:rPr>
          <w:b/>
          <w:sz w:val="24"/>
          <w:szCs w:val="24"/>
        </w:rPr>
        <w:t>Background</w:t>
      </w:r>
    </w:p>
    <w:p w:rsidR="00F74DF2" w:rsidRPr="005D657D" w:rsidRDefault="0029235E" w:rsidP="005D657D">
      <w:pPr>
        <w:numPr>
          <w:ilvl w:val="0"/>
          <w:numId w:val="9"/>
        </w:numPr>
        <w:spacing w:after="0"/>
        <w:ind w:left="714" w:hanging="357"/>
        <w:jc w:val="both"/>
      </w:pPr>
      <w:r w:rsidRPr="005D657D">
        <w:t>Endorsed by the State Municipal Emergency Management Enhancement Group (MEMEG)</w:t>
      </w:r>
    </w:p>
    <w:p w:rsidR="00F74DF2" w:rsidRPr="005D657D" w:rsidRDefault="0029235E" w:rsidP="005D657D">
      <w:pPr>
        <w:numPr>
          <w:ilvl w:val="0"/>
          <w:numId w:val="9"/>
        </w:numPr>
        <w:spacing w:after="0"/>
        <w:ind w:left="714" w:hanging="357"/>
        <w:jc w:val="both"/>
      </w:pPr>
      <w:r w:rsidRPr="005D657D">
        <w:t>Working con</w:t>
      </w:r>
      <w:r w:rsidR="005D657D">
        <w:t>currently with EMV’s</w:t>
      </w:r>
      <w:r w:rsidRPr="005D657D">
        <w:t xml:space="preserve"> Victorian Impact Assessment Project - EM-IMPACT</w:t>
      </w:r>
    </w:p>
    <w:p w:rsidR="00F74DF2" w:rsidRPr="005D657D" w:rsidRDefault="0029235E" w:rsidP="005D657D">
      <w:pPr>
        <w:numPr>
          <w:ilvl w:val="0"/>
          <w:numId w:val="9"/>
        </w:numPr>
        <w:spacing w:after="0"/>
        <w:ind w:left="714" w:hanging="357"/>
        <w:jc w:val="both"/>
      </w:pPr>
      <w:r w:rsidRPr="005D657D">
        <w:t>Hosted by Manningham Council</w:t>
      </w:r>
    </w:p>
    <w:p w:rsidR="005D657D" w:rsidRPr="005D657D" w:rsidRDefault="005D657D" w:rsidP="005D657D">
      <w:pPr>
        <w:spacing w:after="0"/>
        <w:ind w:left="714"/>
        <w:jc w:val="center"/>
      </w:pPr>
    </w:p>
    <w:p w:rsidR="00DB67EB" w:rsidRPr="005D657D" w:rsidRDefault="008662AD" w:rsidP="005D657D">
      <w:pPr>
        <w:spacing w:after="0" w:line="240" w:lineRule="auto"/>
        <w:rPr>
          <w:rFonts w:ascii="Calibri" w:eastAsia="Times New Roman" w:hAnsi="Calibri" w:cs="Arial"/>
          <w:lang w:val="en-US"/>
        </w:rPr>
      </w:pPr>
      <w:r w:rsidRPr="009C5CC0">
        <w:rPr>
          <w:rFonts w:ascii="Calibri" w:eastAsia="Times New Roman" w:hAnsi="Calibri" w:cs="Arial"/>
          <w:lang w:val="en-US"/>
        </w:rPr>
        <w:t>Local government is responsible for the coordination of relief and recovery</w:t>
      </w:r>
      <w:r w:rsidR="00C6743F" w:rsidRPr="009C5CC0">
        <w:rPr>
          <w:rFonts w:ascii="Calibri" w:eastAsia="Times New Roman" w:hAnsi="Calibri" w:cs="Arial"/>
          <w:lang w:val="en-US"/>
        </w:rPr>
        <w:t xml:space="preserve"> after an </w:t>
      </w:r>
      <w:r w:rsidR="00AA0E46" w:rsidRPr="009C5CC0">
        <w:rPr>
          <w:rFonts w:ascii="Calibri" w:eastAsia="Times New Roman" w:hAnsi="Calibri" w:cs="Arial"/>
          <w:lang w:val="en-US"/>
        </w:rPr>
        <w:t>e</w:t>
      </w:r>
      <w:r w:rsidR="008472E9" w:rsidRPr="009C5CC0">
        <w:rPr>
          <w:rFonts w:ascii="Calibri" w:eastAsia="Times New Roman" w:hAnsi="Calibri" w:cs="Arial"/>
          <w:lang w:val="en-US"/>
        </w:rPr>
        <w:t>mergency</w:t>
      </w:r>
      <w:r w:rsidRPr="009C5CC0">
        <w:rPr>
          <w:rFonts w:ascii="Calibri" w:eastAsia="Times New Roman" w:hAnsi="Calibri" w:cs="Arial"/>
          <w:lang w:val="en-US"/>
        </w:rPr>
        <w:t xml:space="preserve"> at </w:t>
      </w:r>
      <w:r w:rsidR="00C6743F" w:rsidRPr="009C5CC0">
        <w:rPr>
          <w:rFonts w:ascii="Calibri" w:eastAsia="Times New Roman" w:hAnsi="Calibri" w:cs="Arial"/>
          <w:lang w:val="en-US"/>
        </w:rPr>
        <w:t>the municipal level, including Secondary Impact A</w:t>
      </w:r>
      <w:r w:rsidRPr="009C5CC0">
        <w:rPr>
          <w:rFonts w:ascii="Calibri" w:eastAsia="Times New Roman" w:hAnsi="Calibri" w:cs="Arial"/>
          <w:lang w:val="en-US"/>
        </w:rPr>
        <w:t>ssessment (SIA).</w:t>
      </w:r>
      <w:r w:rsidR="005D657D">
        <w:rPr>
          <w:rFonts w:ascii="Calibri" w:eastAsia="Times New Roman" w:hAnsi="Calibri" w:cs="Arial"/>
          <w:lang w:val="en-US"/>
        </w:rPr>
        <w:t xml:space="preserve"> However</w:t>
      </w:r>
      <w:r w:rsidR="006C79EF">
        <w:rPr>
          <w:rFonts w:ascii="Calibri" w:eastAsia="Times New Roman" w:hAnsi="Calibri" w:cs="Arial"/>
          <w:lang w:val="en-US"/>
        </w:rPr>
        <w:t>,</w:t>
      </w:r>
      <w:r w:rsidR="005D657D">
        <w:rPr>
          <w:rFonts w:ascii="Calibri" w:eastAsia="Times New Roman" w:hAnsi="Calibri" w:cs="Arial"/>
          <w:lang w:val="en-US"/>
        </w:rPr>
        <w:t xml:space="preserve"> </w:t>
      </w:r>
      <w:r w:rsidR="005D657D">
        <w:rPr>
          <w:rFonts w:ascii="Calibri" w:eastAsia="Times New Roman" w:hAnsi="Calibri" w:cs="Arial"/>
          <w:bCs/>
        </w:rPr>
        <w:t>c</w:t>
      </w:r>
      <w:r w:rsidR="00DB67EB" w:rsidRPr="00DB67EB">
        <w:rPr>
          <w:rFonts w:ascii="Calibri" w:eastAsia="Times New Roman" w:hAnsi="Calibri" w:cs="Arial"/>
          <w:bCs/>
        </w:rPr>
        <w:t>urrently there are various SIA guidelines and procedures</w:t>
      </w:r>
      <w:r w:rsidR="00DB67EB">
        <w:rPr>
          <w:rFonts w:ascii="Calibri" w:eastAsia="Times New Roman" w:hAnsi="Calibri" w:cs="Arial"/>
          <w:bCs/>
        </w:rPr>
        <w:t xml:space="preserve"> that</w:t>
      </w:r>
      <w:r w:rsidR="00DB67EB" w:rsidRPr="00DB67EB">
        <w:rPr>
          <w:rFonts w:ascii="Calibri" w:eastAsia="Times New Roman" w:hAnsi="Calibri" w:cs="Arial"/>
          <w:bCs/>
        </w:rPr>
        <w:t xml:space="preserve"> exist across the </w:t>
      </w:r>
      <w:r w:rsidR="0097219C">
        <w:rPr>
          <w:rFonts w:ascii="Calibri" w:eastAsia="Times New Roman" w:hAnsi="Calibri" w:cs="Arial"/>
          <w:bCs/>
        </w:rPr>
        <w:t>Victorian local g</w:t>
      </w:r>
      <w:r w:rsidR="00DB67EB" w:rsidRPr="00DB67EB">
        <w:rPr>
          <w:rFonts w:ascii="Calibri" w:eastAsia="Times New Roman" w:hAnsi="Calibri" w:cs="Arial"/>
          <w:bCs/>
        </w:rPr>
        <w:t>overnment sector.</w:t>
      </w:r>
    </w:p>
    <w:p w:rsidR="008662AD" w:rsidRPr="009C5CC0" w:rsidRDefault="008662AD" w:rsidP="005D657D">
      <w:pPr>
        <w:spacing w:after="0" w:line="240" w:lineRule="auto"/>
        <w:rPr>
          <w:rFonts w:ascii="Calibri" w:eastAsia="Times New Roman" w:hAnsi="Calibri" w:cs="Arial"/>
          <w:lang w:val="en-US"/>
        </w:rPr>
      </w:pPr>
    </w:p>
    <w:p w:rsidR="008662AD" w:rsidRPr="009C5CC0" w:rsidRDefault="008662AD" w:rsidP="005D657D">
      <w:pPr>
        <w:spacing w:after="0" w:line="240" w:lineRule="auto"/>
        <w:rPr>
          <w:rFonts w:ascii="Calibri" w:eastAsia="Times New Roman" w:hAnsi="Calibri" w:cs="Arial"/>
          <w:lang w:val="en-US"/>
        </w:rPr>
      </w:pPr>
      <w:r w:rsidRPr="009C5CC0">
        <w:rPr>
          <w:rFonts w:ascii="Calibri" w:eastAsia="Times New Roman" w:hAnsi="Calibri" w:cs="Arial"/>
          <w:lang w:val="en-US"/>
        </w:rPr>
        <w:t xml:space="preserve">The need to formally consolidate and </w:t>
      </w:r>
      <w:r w:rsidR="00C6743F" w:rsidRPr="009C5CC0">
        <w:rPr>
          <w:rFonts w:ascii="Calibri" w:eastAsia="Times New Roman" w:hAnsi="Calibri" w:cs="Arial"/>
          <w:lang w:val="en-US"/>
        </w:rPr>
        <w:t>develop</w:t>
      </w:r>
      <w:r w:rsidRPr="009C5CC0">
        <w:rPr>
          <w:rFonts w:ascii="Calibri" w:eastAsia="Times New Roman" w:hAnsi="Calibri" w:cs="Arial"/>
          <w:lang w:val="en-US"/>
        </w:rPr>
        <w:t xml:space="preserve"> a </w:t>
      </w:r>
      <w:r w:rsidR="00C6743F" w:rsidRPr="009C5CC0">
        <w:rPr>
          <w:rFonts w:ascii="Calibri" w:eastAsia="Times New Roman" w:hAnsi="Calibri" w:cs="Arial"/>
          <w:lang w:val="en-US"/>
        </w:rPr>
        <w:t>state wide</w:t>
      </w:r>
      <w:r w:rsidRPr="009C5CC0">
        <w:rPr>
          <w:rFonts w:ascii="Calibri" w:eastAsia="Times New Roman" w:hAnsi="Calibri" w:cs="Arial"/>
          <w:lang w:val="en-US"/>
        </w:rPr>
        <w:t xml:space="preserve"> approach for </w:t>
      </w:r>
      <w:r w:rsidR="00BC6BC7">
        <w:rPr>
          <w:rFonts w:ascii="Calibri" w:eastAsia="Times New Roman" w:hAnsi="Calibri" w:cs="Arial"/>
          <w:lang w:val="en-US"/>
        </w:rPr>
        <w:t xml:space="preserve">Victorian </w:t>
      </w:r>
      <w:r w:rsidRPr="009C5CC0">
        <w:rPr>
          <w:rFonts w:ascii="Calibri" w:eastAsia="Times New Roman" w:hAnsi="Calibri" w:cs="Arial"/>
          <w:lang w:val="en-US"/>
        </w:rPr>
        <w:t>local government to coordinate Secondary Impact A</w:t>
      </w:r>
      <w:r w:rsidR="008472E9" w:rsidRPr="009C5CC0">
        <w:rPr>
          <w:rFonts w:ascii="Calibri" w:eastAsia="Times New Roman" w:hAnsi="Calibri" w:cs="Arial"/>
          <w:lang w:val="en-US"/>
        </w:rPr>
        <w:t xml:space="preserve">ssessment has been </w:t>
      </w:r>
      <w:proofErr w:type="spellStart"/>
      <w:r w:rsidR="00C6743F" w:rsidRPr="009C5CC0">
        <w:rPr>
          <w:rFonts w:ascii="Calibri" w:eastAsia="Times New Roman" w:hAnsi="Calibri" w:cs="Arial"/>
          <w:lang w:val="en-US"/>
        </w:rPr>
        <w:t>recognised</w:t>
      </w:r>
      <w:proofErr w:type="spellEnd"/>
      <w:r w:rsidR="00C6743F" w:rsidRPr="009C5CC0">
        <w:rPr>
          <w:rFonts w:ascii="Calibri" w:eastAsia="Times New Roman" w:hAnsi="Calibri" w:cs="Arial"/>
          <w:lang w:val="en-US"/>
        </w:rPr>
        <w:t xml:space="preserve"> and </w:t>
      </w:r>
      <w:r w:rsidR="005D657D">
        <w:rPr>
          <w:rFonts w:ascii="Calibri" w:eastAsia="Times New Roman" w:hAnsi="Calibri" w:cs="Arial"/>
          <w:lang w:val="en-US"/>
        </w:rPr>
        <w:t xml:space="preserve">recently </w:t>
      </w:r>
      <w:r w:rsidR="008472E9" w:rsidRPr="009C5CC0">
        <w:rPr>
          <w:rFonts w:ascii="Calibri" w:eastAsia="Times New Roman" w:hAnsi="Calibri" w:cs="Arial"/>
          <w:lang w:val="en-US"/>
        </w:rPr>
        <w:t xml:space="preserve">endorsed by </w:t>
      </w:r>
      <w:r w:rsidRPr="009C5CC0">
        <w:rPr>
          <w:rFonts w:ascii="Calibri" w:eastAsia="Times New Roman" w:hAnsi="Calibri" w:cs="Arial"/>
          <w:lang w:val="en-US"/>
        </w:rPr>
        <w:t>the State ME</w:t>
      </w:r>
      <w:r w:rsidR="005D657D">
        <w:rPr>
          <w:rFonts w:ascii="Calibri" w:eastAsia="Times New Roman" w:hAnsi="Calibri" w:cs="Arial"/>
          <w:lang w:val="en-US"/>
        </w:rPr>
        <w:t>MEG</w:t>
      </w:r>
      <w:r w:rsidR="008472E9" w:rsidRPr="009C5CC0">
        <w:rPr>
          <w:rFonts w:ascii="Calibri" w:eastAsia="Times New Roman" w:hAnsi="Calibri" w:cs="Arial"/>
          <w:lang w:val="en-US"/>
        </w:rPr>
        <w:t>.</w:t>
      </w:r>
    </w:p>
    <w:p w:rsidR="008472E9" w:rsidRPr="009C5CC0" w:rsidRDefault="008472E9" w:rsidP="005D657D">
      <w:pPr>
        <w:spacing w:after="0" w:line="240" w:lineRule="auto"/>
        <w:rPr>
          <w:rFonts w:ascii="Calibri" w:eastAsia="Times New Roman" w:hAnsi="Calibri" w:cs="Arial"/>
          <w:lang w:val="en-US"/>
        </w:rPr>
      </w:pPr>
    </w:p>
    <w:p w:rsidR="006E4018" w:rsidRPr="009C5CC0" w:rsidRDefault="008472E9" w:rsidP="005D657D">
      <w:pPr>
        <w:pStyle w:val="NoSpacing"/>
        <w:spacing w:before="120"/>
        <w:rPr>
          <w:rFonts w:asciiTheme="minorHAnsi" w:hAnsiTheme="minorHAnsi" w:cs="Arial"/>
          <w:color w:val="000000" w:themeColor="text1"/>
        </w:rPr>
      </w:pPr>
      <w:r w:rsidRPr="009C5CC0">
        <w:rPr>
          <w:rFonts w:cs="Arial"/>
        </w:rPr>
        <w:t xml:space="preserve">The purpose of the </w:t>
      </w:r>
      <w:r w:rsidR="00AA0E46" w:rsidRPr="009C5CC0">
        <w:rPr>
          <w:rFonts w:cs="Arial"/>
        </w:rPr>
        <w:t xml:space="preserve">Secondary Impact </w:t>
      </w:r>
      <w:r w:rsidR="006E4018" w:rsidRPr="009C5CC0">
        <w:rPr>
          <w:rFonts w:cs="Arial"/>
        </w:rPr>
        <w:t xml:space="preserve">Project is to </w:t>
      </w:r>
      <w:r w:rsidR="006E4018" w:rsidRPr="009C5CC0">
        <w:rPr>
          <w:rFonts w:asciiTheme="minorHAnsi" w:hAnsiTheme="minorHAnsi" w:cs="Arial"/>
          <w:color w:val="000000" w:themeColor="text1"/>
        </w:rPr>
        <w:t>develop an overarching framework that outlines the coordination and delivery of Secondar</w:t>
      </w:r>
      <w:r w:rsidR="0097219C">
        <w:rPr>
          <w:rFonts w:asciiTheme="minorHAnsi" w:hAnsiTheme="minorHAnsi" w:cs="Arial"/>
          <w:color w:val="000000" w:themeColor="text1"/>
        </w:rPr>
        <w:t>y Impact Assessment across the Victorian local g</w:t>
      </w:r>
      <w:r w:rsidR="006E4018" w:rsidRPr="009C5CC0">
        <w:rPr>
          <w:rFonts w:asciiTheme="minorHAnsi" w:hAnsiTheme="minorHAnsi" w:cs="Arial"/>
          <w:color w:val="000000" w:themeColor="text1"/>
        </w:rPr>
        <w:t>overnment sector.</w:t>
      </w:r>
    </w:p>
    <w:p w:rsidR="006E4018" w:rsidRPr="009C5CC0" w:rsidRDefault="006E4018" w:rsidP="005D657D">
      <w:pPr>
        <w:spacing w:after="0" w:line="240" w:lineRule="auto"/>
        <w:jc w:val="center"/>
        <w:rPr>
          <w:rFonts w:ascii="Calibri" w:eastAsia="Times New Roman" w:hAnsi="Calibri" w:cs="Arial"/>
          <w:sz w:val="24"/>
          <w:szCs w:val="24"/>
          <w:lang w:val="en-US"/>
        </w:rPr>
      </w:pPr>
    </w:p>
    <w:p w:rsidR="00AA0E46" w:rsidRPr="009C5CC0" w:rsidRDefault="006E4018" w:rsidP="005D657D">
      <w:pPr>
        <w:spacing w:after="0" w:line="240" w:lineRule="auto"/>
        <w:jc w:val="both"/>
        <w:rPr>
          <w:rFonts w:ascii="Calibri" w:eastAsia="Times New Roman" w:hAnsi="Calibri" w:cs="Arial"/>
          <w:b/>
          <w:sz w:val="24"/>
          <w:szCs w:val="24"/>
          <w:lang w:val="en-US"/>
        </w:rPr>
      </w:pPr>
      <w:r w:rsidRPr="009C5CC0">
        <w:rPr>
          <w:rFonts w:ascii="Calibri" w:eastAsia="Times New Roman" w:hAnsi="Calibri" w:cs="Arial"/>
          <w:b/>
          <w:sz w:val="24"/>
          <w:szCs w:val="24"/>
          <w:lang w:val="en-US"/>
        </w:rPr>
        <w:t>The purpose of t</w:t>
      </w:r>
      <w:r w:rsidR="009C5CC0" w:rsidRPr="009C5CC0">
        <w:rPr>
          <w:rFonts w:ascii="Calibri" w:eastAsia="Times New Roman" w:hAnsi="Calibri" w:cs="Arial"/>
          <w:b/>
          <w:sz w:val="24"/>
          <w:szCs w:val="24"/>
          <w:lang w:val="en-US"/>
        </w:rPr>
        <w:t>he Project Reference Group is</w:t>
      </w:r>
      <w:r w:rsidR="00BC6BC7">
        <w:rPr>
          <w:rFonts w:ascii="Calibri" w:eastAsia="Times New Roman" w:hAnsi="Calibri" w:cs="Arial"/>
          <w:b/>
          <w:sz w:val="24"/>
          <w:szCs w:val="24"/>
          <w:lang w:val="en-US"/>
        </w:rPr>
        <w:t xml:space="preserve"> to</w:t>
      </w:r>
      <w:r w:rsidR="009C5CC0" w:rsidRPr="009C5CC0">
        <w:rPr>
          <w:rFonts w:ascii="Calibri" w:eastAsia="Times New Roman" w:hAnsi="Calibri" w:cs="Arial"/>
          <w:b/>
          <w:sz w:val="24"/>
          <w:szCs w:val="24"/>
          <w:lang w:val="en-US"/>
        </w:rPr>
        <w:t>:</w:t>
      </w:r>
    </w:p>
    <w:p w:rsidR="009C5CC0" w:rsidRPr="009C5CC0" w:rsidRDefault="009C5CC0" w:rsidP="005D657D">
      <w:pPr>
        <w:autoSpaceDE w:val="0"/>
        <w:autoSpaceDN w:val="0"/>
        <w:adjustRightInd w:val="0"/>
        <w:spacing w:after="0" w:line="240" w:lineRule="auto"/>
        <w:ind w:right="-510"/>
        <w:jc w:val="center"/>
        <w:rPr>
          <w:rFonts w:ascii="Calibri" w:eastAsia="Times New Roman" w:hAnsi="Calibri" w:cs="Calibri"/>
          <w:color w:val="000000"/>
          <w:sz w:val="24"/>
          <w:szCs w:val="24"/>
        </w:rPr>
      </w:pPr>
    </w:p>
    <w:p w:rsidR="009C5CC0" w:rsidRPr="009C5CC0" w:rsidRDefault="00BC6BC7" w:rsidP="005D657D">
      <w:pPr>
        <w:numPr>
          <w:ilvl w:val="0"/>
          <w:numId w:val="7"/>
        </w:numPr>
        <w:overflowPunct w:val="0"/>
        <w:autoSpaceDE w:val="0"/>
        <w:autoSpaceDN w:val="0"/>
        <w:adjustRightInd w:val="0"/>
        <w:spacing w:after="0" w:line="240" w:lineRule="auto"/>
        <w:ind w:left="714" w:hanging="357"/>
        <w:jc w:val="both"/>
        <w:textAlignment w:val="baseline"/>
        <w:rPr>
          <w:rFonts w:ascii="Calibri" w:eastAsia="Times New Roman" w:hAnsi="Calibri" w:cs="Times New Roman"/>
          <w:bCs/>
          <w:color w:val="000000"/>
        </w:rPr>
      </w:pPr>
      <w:r>
        <w:rPr>
          <w:rFonts w:ascii="Calibri" w:eastAsia="Times New Roman" w:hAnsi="Calibri" w:cs="Times New Roman"/>
          <w:bCs/>
          <w:color w:val="000000"/>
        </w:rPr>
        <w:t>B</w:t>
      </w:r>
      <w:r w:rsidR="009C5CC0" w:rsidRPr="009C5CC0">
        <w:rPr>
          <w:rFonts w:ascii="Calibri" w:eastAsia="Times New Roman" w:hAnsi="Calibri" w:cs="Times New Roman"/>
          <w:bCs/>
          <w:color w:val="000000"/>
        </w:rPr>
        <w:t>e a repository of expertise that the project can draw from, at a particular stage or throughout a project.</w:t>
      </w:r>
    </w:p>
    <w:p w:rsidR="009C5CC0" w:rsidRPr="009C5CC0" w:rsidRDefault="00BC6BC7" w:rsidP="005D657D">
      <w:pPr>
        <w:numPr>
          <w:ilvl w:val="0"/>
          <w:numId w:val="7"/>
        </w:numPr>
        <w:overflowPunct w:val="0"/>
        <w:autoSpaceDE w:val="0"/>
        <w:autoSpaceDN w:val="0"/>
        <w:adjustRightInd w:val="0"/>
        <w:spacing w:after="0" w:line="240" w:lineRule="auto"/>
        <w:ind w:left="714" w:hanging="357"/>
        <w:jc w:val="both"/>
        <w:textAlignment w:val="baseline"/>
        <w:rPr>
          <w:rFonts w:ascii="Calibri" w:eastAsia="Times New Roman" w:hAnsi="Calibri" w:cs="Times New Roman"/>
          <w:bCs/>
          <w:color w:val="000000"/>
        </w:rPr>
      </w:pPr>
      <w:r>
        <w:rPr>
          <w:rFonts w:ascii="Calibri" w:eastAsia="Times New Roman" w:hAnsi="Calibri" w:cs="Times New Roman"/>
          <w:bCs/>
          <w:color w:val="000000"/>
        </w:rPr>
        <w:t>E</w:t>
      </w:r>
      <w:r w:rsidR="009C5CC0" w:rsidRPr="009C5CC0">
        <w:rPr>
          <w:rFonts w:ascii="Calibri" w:eastAsia="Times New Roman" w:hAnsi="Calibri" w:cs="Times New Roman"/>
          <w:bCs/>
          <w:color w:val="000000"/>
        </w:rPr>
        <w:t>ngage and consult within members own departments and agencies to provide advice and represent a collective approach to the project.</w:t>
      </w:r>
    </w:p>
    <w:p w:rsidR="009C5CC0" w:rsidRPr="009C5CC0" w:rsidRDefault="009C5CC0" w:rsidP="005D657D">
      <w:pPr>
        <w:numPr>
          <w:ilvl w:val="0"/>
          <w:numId w:val="7"/>
        </w:numPr>
        <w:overflowPunct w:val="0"/>
        <w:autoSpaceDE w:val="0"/>
        <w:autoSpaceDN w:val="0"/>
        <w:adjustRightInd w:val="0"/>
        <w:spacing w:after="0" w:line="240" w:lineRule="auto"/>
        <w:jc w:val="both"/>
        <w:textAlignment w:val="baseline"/>
        <w:rPr>
          <w:rFonts w:ascii="Calibri" w:eastAsia="Times New Roman" w:hAnsi="Calibri" w:cs="Times New Roman"/>
          <w:bCs/>
          <w:color w:val="000000"/>
        </w:rPr>
      </w:pPr>
      <w:r w:rsidRPr="009C5CC0">
        <w:rPr>
          <w:rFonts w:ascii="Calibri" w:eastAsia="Times New Roman" w:hAnsi="Calibri" w:cs="Times New Roman"/>
          <w:bCs/>
          <w:color w:val="000000"/>
        </w:rPr>
        <w:t>Provide an active and positive contribution to the project.</w:t>
      </w:r>
    </w:p>
    <w:p w:rsidR="009C5CC0" w:rsidRPr="0096776A" w:rsidRDefault="00BC6BC7" w:rsidP="0096776A">
      <w:pPr>
        <w:numPr>
          <w:ilvl w:val="0"/>
          <w:numId w:val="7"/>
        </w:numPr>
        <w:overflowPunct w:val="0"/>
        <w:autoSpaceDE w:val="0"/>
        <w:autoSpaceDN w:val="0"/>
        <w:adjustRightInd w:val="0"/>
        <w:spacing w:after="0" w:line="240" w:lineRule="auto"/>
        <w:ind w:left="714" w:hanging="357"/>
        <w:jc w:val="both"/>
        <w:textAlignment w:val="baseline"/>
        <w:rPr>
          <w:rFonts w:ascii="Calibri" w:eastAsia="Times New Roman" w:hAnsi="Calibri" w:cs="Times New Roman"/>
          <w:bCs/>
          <w:color w:val="000000"/>
        </w:rPr>
      </w:pPr>
      <w:r>
        <w:rPr>
          <w:rFonts w:ascii="Calibri" w:eastAsia="Times New Roman" w:hAnsi="Calibri" w:cs="Times New Roman"/>
          <w:bCs/>
          <w:color w:val="000000"/>
        </w:rPr>
        <w:t>L</w:t>
      </w:r>
      <w:r w:rsidR="009C5CC0" w:rsidRPr="009C5CC0">
        <w:rPr>
          <w:rFonts w:ascii="Calibri" w:eastAsia="Times New Roman" w:hAnsi="Calibri" w:cs="Times New Roman"/>
          <w:bCs/>
          <w:color w:val="000000"/>
        </w:rPr>
        <w:t>ook for collaborative solutions.</w:t>
      </w:r>
    </w:p>
    <w:p w:rsidR="009C5CC0" w:rsidRPr="009C5CC0" w:rsidRDefault="00BC6BC7" w:rsidP="005D657D">
      <w:pPr>
        <w:numPr>
          <w:ilvl w:val="0"/>
          <w:numId w:val="6"/>
        </w:numPr>
        <w:overflowPunct w:val="0"/>
        <w:autoSpaceDE w:val="0"/>
        <w:autoSpaceDN w:val="0"/>
        <w:adjustRightInd w:val="0"/>
        <w:spacing w:after="0" w:line="240" w:lineRule="auto"/>
        <w:jc w:val="both"/>
        <w:textAlignment w:val="baseline"/>
        <w:rPr>
          <w:rFonts w:ascii="Calibri" w:eastAsia="Times New Roman" w:hAnsi="Calibri" w:cs="Times New Roman"/>
          <w:bCs/>
          <w:color w:val="000000"/>
        </w:rPr>
      </w:pPr>
      <w:r>
        <w:rPr>
          <w:rFonts w:ascii="Calibri" w:eastAsia="Times New Roman" w:hAnsi="Calibri" w:cs="Times New Roman"/>
          <w:bCs/>
          <w:color w:val="000000"/>
        </w:rPr>
        <w:t>F</w:t>
      </w:r>
      <w:r w:rsidR="009C5CC0" w:rsidRPr="009C5CC0">
        <w:rPr>
          <w:rFonts w:ascii="Calibri" w:eastAsia="Times New Roman" w:hAnsi="Calibri" w:cs="Times New Roman"/>
          <w:bCs/>
          <w:color w:val="000000"/>
        </w:rPr>
        <w:t>orm SME working groups as needed.</w:t>
      </w:r>
    </w:p>
    <w:p w:rsidR="006D1560" w:rsidRPr="009C5CC0" w:rsidRDefault="006D1560" w:rsidP="005D657D">
      <w:pPr>
        <w:jc w:val="center"/>
        <w:rPr>
          <w:sz w:val="24"/>
          <w:szCs w:val="24"/>
        </w:rPr>
      </w:pPr>
    </w:p>
    <w:p w:rsidR="00AA0E46" w:rsidRPr="009C5CC0" w:rsidRDefault="00AA0E46" w:rsidP="005D657D">
      <w:pPr>
        <w:jc w:val="both"/>
        <w:rPr>
          <w:b/>
          <w:sz w:val="24"/>
          <w:szCs w:val="24"/>
        </w:rPr>
      </w:pPr>
      <w:r w:rsidRPr="009C5CC0">
        <w:rPr>
          <w:b/>
          <w:sz w:val="24"/>
          <w:szCs w:val="24"/>
        </w:rPr>
        <w:t xml:space="preserve">Project </w:t>
      </w:r>
      <w:r w:rsidR="006D1560" w:rsidRPr="009C5CC0">
        <w:rPr>
          <w:b/>
          <w:sz w:val="24"/>
          <w:szCs w:val="24"/>
        </w:rPr>
        <w:t>Reference Group members</w:t>
      </w:r>
      <w:r w:rsidRPr="009C5CC0">
        <w:rPr>
          <w:b/>
          <w:sz w:val="24"/>
          <w:szCs w:val="24"/>
        </w:rPr>
        <w:t xml:space="preserve"> will</w:t>
      </w:r>
      <w:r w:rsidR="006D1560" w:rsidRPr="009C5CC0">
        <w:rPr>
          <w:b/>
          <w:sz w:val="24"/>
          <w:szCs w:val="24"/>
        </w:rPr>
        <w:t xml:space="preserve"> have the responsibility to:</w:t>
      </w:r>
    </w:p>
    <w:p w:rsidR="00AA0E46" w:rsidRPr="009C5CC0" w:rsidRDefault="00BC6BC7" w:rsidP="005D657D">
      <w:pPr>
        <w:pStyle w:val="ListParagraph"/>
        <w:numPr>
          <w:ilvl w:val="0"/>
          <w:numId w:val="1"/>
        </w:numPr>
        <w:jc w:val="both"/>
      </w:pPr>
      <w:r>
        <w:t>A</w:t>
      </w:r>
      <w:r w:rsidR="00AA0E46" w:rsidRPr="009C5CC0">
        <w:t>ttend regular</w:t>
      </w:r>
      <w:r w:rsidR="00C6743F" w:rsidRPr="009C5CC0">
        <w:t xml:space="preserve"> monthly</w:t>
      </w:r>
      <w:r w:rsidR="00AA0E46" w:rsidRPr="009C5CC0">
        <w:t xml:space="preserve"> meetings</w:t>
      </w:r>
      <w:r w:rsidR="005D657D">
        <w:t>.</w:t>
      </w:r>
    </w:p>
    <w:p w:rsidR="00AA0E46" w:rsidRPr="009C5CC0" w:rsidRDefault="00C6743F" w:rsidP="005D657D">
      <w:pPr>
        <w:pStyle w:val="ListParagraph"/>
        <w:numPr>
          <w:ilvl w:val="0"/>
          <w:numId w:val="1"/>
        </w:numPr>
        <w:jc w:val="both"/>
      </w:pPr>
      <w:r w:rsidRPr="009C5CC0">
        <w:t>R</w:t>
      </w:r>
      <w:r w:rsidR="00AA0E46" w:rsidRPr="009C5CC0">
        <w:t>ead required documents and relevant information in preparation for meetings</w:t>
      </w:r>
      <w:r w:rsidR="005D657D">
        <w:t>.</w:t>
      </w:r>
    </w:p>
    <w:p w:rsidR="009B794B" w:rsidRDefault="00C6743F" w:rsidP="005D657D">
      <w:pPr>
        <w:pStyle w:val="ListParagraph"/>
        <w:numPr>
          <w:ilvl w:val="0"/>
          <w:numId w:val="1"/>
        </w:numPr>
        <w:jc w:val="both"/>
      </w:pPr>
      <w:r w:rsidRPr="009C5CC0">
        <w:t>P</w:t>
      </w:r>
      <w:r w:rsidR="00AA0E46" w:rsidRPr="009C5CC0">
        <w:t xml:space="preserve">rovide constructive input and represent views of respective </w:t>
      </w:r>
      <w:r w:rsidRPr="009C5CC0">
        <w:t xml:space="preserve">collaborations, </w:t>
      </w:r>
      <w:r w:rsidR="009C5CC0" w:rsidRPr="009C5CC0">
        <w:t>region, organisation or agency</w:t>
      </w:r>
      <w:r w:rsidR="006C79EF">
        <w:t>.</w:t>
      </w:r>
    </w:p>
    <w:p w:rsidR="0029235E" w:rsidRPr="0096776A" w:rsidRDefault="0029235E" w:rsidP="0029235E">
      <w:pPr>
        <w:pStyle w:val="ListParagraph"/>
        <w:jc w:val="both"/>
        <w:rPr>
          <w:sz w:val="24"/>
          <w:szCs w:val="24"/>
        </w:rPr>
      </w:pPr>
    </w:p>
    <w:p w:rsidR="009C5CC0" w:rsidRPr="0096776A" w:rsidRDefault="009C5CC0" w:rsidP="005D657D">
      <w:pPr>
        <w:jc w:val="both"/>
        <w:rPr>
          <w:b/>
          <w:sz w:val="24"/>
          <w:szCs w:val="24"/>
        </w:rPr>
      </w:pPr>
      <w:r w:rsidRPr="0096776A">
        <w:rPr>
          <w:b/>
          <w:sz w:val="24"/>
          <w:szCs w:val="24"/>
        </w:rPr>
        <w:t>Term</w:t>
      </w:r>
      <w:r w:rsidR="0029235E" w:rsidRPr="0096776A">
        <w:rPr>
          <w:b/>
          <w:sz w:val="24"/>
          <w:szCs w:val="24"/>
        </w:rPr>
        <w:t xml:space="preserve"> of Project Reference Group</w:t>
      </w:r>
    </w:p>
    <w:p w:rsidR="005D657D" w:rsidRDefault="00BC6BC7" w:rsidP="005D657D">
      <w:pPr>
        <w:rPr>
          <w:szCs w:val="24"/>
        </w:rPr>
      </w:pPr>
      <w:r w:rsidRPr="00BC6BC7">
        <w:rPr>
          <w:szCs w:val="24"/>
        </w:rPr>
        <w:t>The Project Reference Group will run until November 2019 unless otherwise specified by the SIA Project Control Group</w:t>
      </w:r>
      <w:r>
        <w:rPr>
          <w:szCs w:val="24"/>
        </w:rPr>
        <w:t>,</w:t>
      </w:r>
      <w:r w:rsidRPr="00BC6BC7">
        <w:rPr>
          <w:szCs w:val="24"/>
        </w:rPr>
        <w:t xml:space="preserve"> through the Project Coordinator.</w:t>
      </w:r>
    </w:p>
    <w:p w:rsidR="009C5CC0" w:rsidRDefault="009C5CC0" w:rsidP="005D657D">
      <w:pPr>
        <w:jc w:val="both"/>
        <w:rPr>
          <w:b/>
          <w:szCs w:val="24"/>
        </w:rPr>
      </w:pPr>
      <w:r w:rsidRPr="009C5CC0">
        <w:rPr>
          <w:b/>
          <w:szCs w:val="24"/>
        </w:rPr>
        <w:lastRenderedPageBreak/>
        <w:t>Membership</w:t>
      </w:r>
    </w:p>
    <w:p w:rsidR="00BC6BC7" w:rsidRPr="00BC6BC7" w:rsidRDefault="00BC6BC7" w:rsidP="00BC6BC7">
      <w:pPr>
        <w:pStyle w:val="Default"/>
        <w:rPr>
          <w:rFonts w:ascii="Calibri" w:hAnsi="Calibri" w:cs="Calibri"/>
        </w:rPr>
      </w:pPr>
      <w:r w:rsidRPr="00BC6BC7">
        <w:rPr>
          <w:rFonts w:ascii="Calibri" w:hAnsi="Calibri" w:cs="Calibri"/>
        </w:rPr>
        <w:t>Membership will be sourced from:</w:t>
      </w:r>
    </w:p>
    <w:p w:rsidR="009C5CC0" w:rsidRPr="00066245" w:rsidRDefault="009C5CC0" w:rsidP="005D657D">
      <w:pPr>
        <w:pStyle w:val="Default"/>
        <w:ind w:right="-510"/>
        <w:jc w:val="both"/>
        <w:rPr>
          <w:rFonts w:ascii="Calibri" w:hAnsi="Calibri" w:cs="Calibri"/>
          <w:sz w:val="22"/>
          <w:szCs w:val="22"/>
          <w:lang w:eastAsia="en-US"/>
        </w:rPr>
      </w:pPr>
    </w:p>
    <w:p w:rsidR="009C5CC0" w:rsidRPr="00066245" w:rsidRDefault="009C5CC0" w:rsidP="005D657D">
      <w:pPr>
        <w:pStyle w:val="Default"/>
        <w:numPr>
          <w:ilvl w:val="0"/>
          <w:numId w:val="8"/>
        </w:numPr>
        <w:ind w:right="-510"/>
        <w:jc w:val="both"/>
        <w:rPr>
          <w:rFonts w:ascii="Calibri" w:hAnsi="Calibri" w:cs="Calibri"/>
          <w:sz w:val="22"/>
          <w:szCs w:val="22"/>
          <w:lang w:eastAsia="en-US"/>
        </w:rPr>
      </w:pPr>
      <w:r w:rsidRPr="00066245">
        <w:rPr>
          <w:rFonts w:ascii="Calibri" w:hAnsi="Calibri" w:cs="Calibri"/>
          <w:sz w:val="22"/>
          <w:szCs w:val="22"/>
          <w:lang w:eastAsia="en-US"/>
        </w:rPr>
        <w:t>Metropolitan, regional and rural councils (no more than one representative from</w:t>
      </w:r>
      <w:r>
        <w:rPr>
          <w:rFonts w:ascii="Calibri" w:hAnsi="Calibri" w:cs="Calibri"/>
          <w:sz w:val="22"/>
          <w:szCs w:val="22"/>
          <w:lang w:eastAsia="en-US"/>
        </w:rPr>
        <w:t xml:space="preserve"> each</w:t>
      </w:r>
      <w:r w:rsidRPr="00066245">
        <w:rPr>
          <w:rFonts w:ascii="Calibri" w:hAnsi="Calibri" w:cs="Calibri"/>
          <w:sz w:val="22"/>
          <w:szCs w:val="22"/>
          <w:lang w:eastAsia="en-US"/>
        </w:rPr>
        <w:t xml:space="preserve"> collaboration or region).</w:t>
      </w:r>
    </w:p>
    <w:p w:rsidR="009C5CC0" w:rsidRPr="00066245" w:rsidRDefault="009C5CC0" w:rsidP="005D657D">
      <w:pPr>
        <w:pStyle w:val="Default"/>
        <w:numPr>
          <w:ilvl w:val="0"/>
          <w:numId w:val="8"/>
        </w:numPr>
        <w:ind w:right="-510"/>
        <w:jc w:val="both"/>
        <w:rPr>
          <w:rFonts w:ascii="Calibri" w:hAnsi="Calibri" w:cs="Calibri"/>
          <w:sz w:val="22"/>
          <w:szCs w:val="22"/>
          <w:lang w:eastAsia="en-US"/>
        </w:rPr>
      </w:pPr>
      <w:r w:rsidRPr="00066245">
        <w:rPr>
          <w:rFonts w:ascii="Calibri" w:hAnsi="Calibri" w:cs="Calibri"/>
          <w:sz w:val="22"/>
          <w:szCs w:val="22"/>
          <w:lang w:eastAsia="en-US"/>
        </w:rPr>
        <w:t>EMV</w:t>
      </w:r>
    </w:p>
    <w:p w:rsidR="009C5CC0" w:rsidRPr="00066245" w:rsidRDefault="009C5CC0" w:rsidP="005D657D">
      <w:pPr>
        <w:pStyle w:val="Default"/>
        <w:numPr>
          <w:ilvl w:val="0"/>
          <w:numId w:val="8"/>
        </w:numPr>
        <w:ind w:right="-510"/>
        <w:jc w:val="both"/>
        <w:rPr>
          <w:rFonts w:ascii="Calibri" w:hAnsi="Calibri" w:cs="Calibri"/>
          <w:sz w:val="22"/>
          <w:szCs w:val="22"/>
          <w:lang w:eastAsia="en-US"/>
        </w:rPr>
      </w:pPr>
      <w:r w:rsidRPr="00066245">
        <w:rPr>
          <w:rFonts w:ascii="Calibri" w:hAnsi="Calibri" w:cs="Calibri"/>
          <w:sz w:val="22"/>
          <w:szCs w:val="22"/>
          <w:lang w:eastAsia="en-US"/>
        </w:rPr>
        <w:t>EHO Association</w:t>
      </w:r>
    </w:p>
    <w:p w:rsidR="009C5CC0" w:rsidRPr="00066245" w:rsidRDefault="00F02DAC" w:rsidP="005D657D">
      <w:pPr>
        <w:pStyle w:val="Default"/>
        <w:numPr>
          <w:ilvl w:val="0"/>
          <w:numId w:val="8"/>
        </w:numPr>
        <w:ind w:right="-510"/>
        <w:jc w:val="both"/>
        <w:rPr>
          <w:rFonts w:ascii="Calibri" w:hAnsi="Calibri" w:cs="Calibri"/>
          <w:sz w:val="22"/>
          <w:szCs w:val="22"/>
          <w:lang w:eastAsia="en-US"/>
        </w:rPr>
      </w:pPr>
      <w:r>
        <w:rPr>
          <w:rFonts w:ascii="Calibri" w:hAnsi="Calibri" w:cs="Calibri"/>
          <w:sz w:val="22"/>
          <w:szCs w:val="22"/>
          <w:lang w:eastAsia="en-US"/>
        </w:rPr>
        <w:t>Victorian Municipal Building Surveyors Group</w:t>
      </w:r>
    </w:p>
    <w:p w:rsidR="009C5CC0" w:rsidRDefault="009C5CC0" w:rsidP="005D657D">
      <w:pPr>
        <w:pStyle w:val="Default"/>
        <w:numPr>
          <w:ilvl w:val="0"/>
          <w:numId w:val="8"/>
        </w:numPr>
        <w:ind w:right="-510"/>
        <w:jc w:val="both"/>
        <w:rPr>
          <w:rFonts w:ascii="Calibri" w:hAnsi="Calibri" w:cs="Calibri"/>
          <w:sz w:val="22"/>
          <w:szCs w:val="22"/>
          <w:lang w:eastAsia="en-US"/>
        </w:rPr>
      </w:pPr>
      <w:r w:rsidRPr="00066245">
        <w:rPr>
          <w:rFonts w:ascii="Calibri" w:hAnsi="Calibri" w:cs="Calibri"/>
          <w:sz w:val="22"/>
          <w:szCs w:val="22"/>
          <w:lang w:eastAsia="en-US"/>
        </w:rPr>
        <w:t>DHHS</w:t>
      </w:r>
    </w:p>
    <w:p w:rsidR="0029235E" w:rsidRDefault="0029235E" w:rsidP="0029235E">
      <w:pPr>
        <w:pStyle w:val="Default"/>
        <w:ind w:right="-510"/>
        <w:jc w:val="both"/>
        <w:rPr>
          <w:rFonts w:ascii="Calibri" w:hAnsi="Calibri" w:cs="Calibri"/>
          <w:sz w:val="22"/>
          <w:szCs w:val="22"/>
          <w:lang w:eastAsia="en-US"/>
        </w:rPr>
      </w:pPr>
    </w:p>
    <w:p w:rsidR="0029235E" w:rsidRPr="0029235E" w:rsidRDefault="0029235E" w:rsidP="0029235E">
      <w:pPr>
        <w:autoSpaceDE w:val="0"/>
        <w:autoSpaceDN w:val="0"/>
        <w:adjustRightInd w:val="0"/>
        <w:spacing w:after="0" w:line="240" w:lineRule="auto"/>
        <w:ind w:right="-510"/>
        <w:rPr>
          <w:rFonts w:ascii="Calibri" w:eastAsia="Times New Roman" w:hAnsi="Calibri" w:cs="Calibri"/>
          <w:color w:val="000000"/>
        </w:rPr>
      </w:pPr>
      <w:r w:rsidRPr="0029235E">
        <w:rPr>
          <w:rFonts w:ascii="Calibri" w:eastAsia="Times New Roman" w:hAnsi="Calibri" w:cs="Calibri"/>
          <w:color w:val="000000"/>
        </w:rPr>
        <w:t xml:space="preserve">Members will also be selected on their relevant knowledge and experience in Secondary Impact Assessment as well as their availability to perform the role. It is important that the PRG members have authority to give advice, feedback and make decisions on behalf of the group, agency or collaboration they are representing. </w:t>
      </w:r>
    </w:p>
    <w:p w:rsidR="00BC44A8" w:rsidRPr="00BC44A8" w:rsidRDefault="00BC44A8" w:rsidP="005D657D">
      <w:pPr>
        <w:pStyle w:val="Default"/>
        <w:ind w:left="720" w:right="-510"/>
        <w:jc w:val="both"/>
        <w:rPr>
          <w:rFonts w:ascii="Calibri" w:hAnsi="Calibri" w:cs="Calibri"/>
          <w:sz w:val="22"/>
          <w:szCs w:val="22"/>
          <w:lang w:eastAsia="en-US"/>
        </w:rPr>
      </w:pPr>
    </w:p>
    <w:p w:rsidR="009B794B" w:rsidRDefault="009B794B" w:rsidP="005D657D">
      <w:pPr>
        <w:spacing w:line="320" w:lineRule="atLeast"/>
        <w:jc w:val="both"/>
        <w:rPr>
          <w:rFonts w:cs="Arial"/>
          <w:b/>
          <w:sz w:val="24"/>
          <w:szCs w:val="24"/>
        </w:rPr>
      </w:pPr>
      <w:r w:rsidRPr="00C6743F">
        <w:rPr>
          <w:rFonts w:cs="Arial"/>
          <w:b/>
          <w:sz w:val="24"/>
          <w:szCs w:val="24"/>
        </w:rPr>
        <w:t>Process</w:t>
      </w:r>
      <w:bookmarkStart w:id="0" w:name="_GoBack"/>
      <w:bookmarkEnd w:id="0"/>
    </w:p>
    <w:p w:rsidR="0097219C" w:rsidRDefault="009C5CC0" w:rsidP="0097219C">
      <w:pPr>
        <w:spacing w:line="276" w:lineRule="auto"/>
      </w:pPr>
      <w:r w:rsidRPr="009C5CC0">
        <w:t xml:space="preserve">EOI’s to close on </w:t>
      </w:r>
      <w:r w:rsidR="00C912D1">
        <w:t>Friday the 7</w:t>
      </w:r>
      <w:r w:rsidR="00C912D1" w:rsidRPr="00C912D1">
        <w:rPr>
          <w:vertAlign w:val="superscript"/>
        </w:rPr>
        <w:t>th</w:t>
      </w:r>
      <w:r w:rsidR="0097219C">
        <w:t xml:space="preserve"> of December.</w:t>
      </w:r>
    </w:p>
    <w:p w:rsidR="0097219C" w:rsidRDefault="0097219C" w:rsidP="0097219C">
      <w:pPr>
        <w:spacing w:line="276" w:lineRule="auto"/>
        <w:rPr>
          <w:lang w:val="en-US"/>
        </w:rPr>
      </w:pPr>
      <w:r>
        <w:t>Applicants</w:t>
      </w:r>
      <w:r>
        <w:rPr>
          <w:lang w:val="en-US"/>
        </w:rPr>
        <w:t xml:space="preserve"> are invited to submit an expression of i</w:t>
      </w:r>
      <w:r w:rsidRPr="009C5CC0">
        <w:rPr>
          <w:lang w:val="en-US"/>
        </w:rPr>
        <w:t xml:space="preserve">nterest </w:t>
      </w:r>
      <w:r>
        <w:rPr>
          <w:lang w:val="en-US"/>
        </w:rPr>
        <w:t xml:space="preserve">to </w:t>
      </w:r>
      <w:r>
        <w:rPr>
          <w:sz w:val="24"/>
          <w:szCs w:val="24"/>
        </w:rPr>
        <w:t>amelia.t</w:t>
      </w:r>
      <w:r w:rsidRPr="00C912D1">
        <w:rPr>
          <w:sz w:val="24"/>
          <w:szCs w:val="24"/>
        </w:rPr>
        <w:t>hamrin@manningham.vic.gov.au</w:t>
      </w:r>
      <w:r>
        <w:rPr>
          <w:lang w:val="en-US"/>
        </w:rPr>
        <w:t xml:space="preserve"> </w:t>
      </w:r>
    </w:p>
    <w:p w:rsidR="009C5CC0" w:rsidRPr="0097219C" w:rsidRDefault="0097219C" w:rsidP="0097219C">
      <w:pPr>
        <w:spacing w:line="276" w:lineRule="auto"/>
        <w:rPr>
          <w:lang w:val="en-US"/>
        </w:rPr>
      </w:pPr>
      <w:r>
        <w:rPr>
          <w:lang w:val="en-US"/>
        </w:rPr>
        <w:t xml:space="preserve">Please also use the above email address to request a copy of the Terms of Reference. </w:t>
      </w:r>
    </w:p>
    <w:p w:rsidR="0097219C" w:rsidRPr="009C5CC0" w:rsidRDefault="0097219C" w:rsidP="005D657D">
      <w:pPr>
        <w:jc w:val="both"/>
      </w:pPr>
    </w:p>
    <w:sectPr w:rsidR="0097219C" w:rsidRPr="009C5CC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560" w:rsidRDefault="006D1560" w:rsidP="006D1560">
      <w:pPr>
        <w:spacing w:after="0" w:line="240" w:lineRule="auto"/>
      </w:pPr>
      <w:r>
        <w:separator/>
      </w:r>
    </w:p>
  </w:endnote>
  <w:endnote w:type="continuationSeparator" w:id="0">
    <w:p w:rsidR="006D1560" w:rsidRDefault="006D1560" w:rsidP="006D1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serrat">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560" w:rsidRDefault="006D1560" w:rsidP="006D1560">
      <w:pPr>
        <w:spacing w:after="0" w:line="240" w:lineRule="auto"/>
      </w:pPr>
      <w:r>
        <w:separator/>
      </w:r>
    </w:p>
  </w:footnote>
  <w:footnote w:type="continuationSeparator" w:id="0">
    <w:p w:rsidR="006D1560" w:rsidRDefault="006D1560" w:rsidP="006D1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560" w:rsidRPr="00BC6BC7" w:rsidRDefault="00BC6BC7" w:rsidP="00BC6BC7">
    <w:pPr>
      <w:pStyle w:val="Header"/>
      <w:ind w:left="-284"/>
      <w:rPr>
        <w:sz w:val="20"/>
        <w:szCs w:val="20"/>
      </w:rPr>
    </w:pPr>
    <w:r w:rsidRPr="00BC6BC7">
      <w:rPr>
        <w:noProof/>
        <w:sz w:val="20"/>
        <w:szCs w:val="20"/>
        <w:lang w:eastAsia="en-AU"/>
      </w:rPr>
      <w:drawing>
        <wp:anchor distT="0" distB="0" distL="114300" distR="114300" simplePos="0" relativeHeight="251659264" behindDoc="1" locked="0" layoutInCell="1" allowOverlap="1" wp14:anchorId="5F0510F0" wp14:editId="6067B089">
          <wp:simplePos x="0" y="0"/>
          <wp:positionH relativeFrom="margin">
            <wp:posOffset>3962400</wp:posOffset>
          </wp:positionH>
          <wp:positionV relativeFrom="paragraph">
            <wp:posOffset>-182880</wp:posOffset>
          </wp:positionV>
          <wp:extent cx="990600" cy="643255"/>
          <wp:effectExtent l="0" t="0" r="0" b="4445"/>
          <wp:wrapTight wrapText="bothSides">
            <wp:wrapPolygon edited="0">
              <wp:start x="0" y="0"/>
              <wp:lineTo x="0" y="21110"/>
              <wp:lineTo x="21185" y="21110"/>
              <wp:lineTo x="211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 MEMEG Logo.JPG"/>
                  <pic:cNvPicPr/>
                </pic:nvPicPr>
                <pic:blipFill>
                  <a:blip r:embed="rId1">
                    <a:extLst>
                      <a:ext uri="{28A0092B-C50C-407E-A947-70E740481C1C}">
                        <a14:useLocalDpi xmlns:a14="http://schemas.microsoft.com/office/drawing/2010/main" val="0"/>
                      </a:ext>
                    </a:extLst>
                  </a:blip>
                  <a:stretch>
                    <a:fillRect/>
                  </a:stretch>
                </pic:blipFill>
                <pic:spPr>
                  <a:xfrm>
                    <a:off x="0" y="0"/>
                    <a:ext cx="990600" cy="643255"/>
                  </a:xfrm>
                  <a:prstGeom prst="rect">
                    <a:avLst/>
                  </a:prstGeom>
                </pic:spPr>
              </pic:pic>
            </a:graphicData>
          </a:graphic>
          <wp14:sizeRelH relativeFrom="margin">
            <wp14:pctWidth>0</wp14:pctWidth>
          </wp14:sizeRelH>
          <wp14:sizeRelV relativeFrom="margin">
            <wp14:pctHeight>0</wp14:pctHeight>
          </wp14:sizeRelV>
        </wp:anchor>
      </w:drawing>
    </w:r>
    <w:r w:rsidRPr="00BC6BC7">
      <w:rPr>
        <w:noProof/>
        <w:sz w:val="20"/>
        <w:szCs w:val="20"/>
        <w:lang w:eastAsia="en-AU"/>
      </w:rPr>
      <w:drawing>
        <wp:anchor distT="0" distB="0" distL="114300" distR="114300" simplePos="0" relativeHeight="251658240" behindDoc="1" locked="0" layoutInCell="1" allowOverlap="1" wp14:anchorId="2045A791" wp14:editId="2B3A3208">
          <wp:simplePos x="0" y="0"/>
          <wp:positionH relativeFrom="column">
            <wp:posOffset>5000625</wp:posOffset>
          </wp:positionH>
          <wp:positionV relativeFrom="paragraph">
            <wp:posOffset>-87630</wp:posOffset>
          </wp:positionV>
          <wp:extent cx="965200" cy="485775"/>
          <wp:effectExtent l="0" t="0" r="6350" b="9525"/>
          <wp:wrapTight wrapText="bothSides">
            <wp:wrapPolygon edited="0">
              <wp:start x="2558" y="0"/>
              <wp:lineTo x="0" y="8471"/>
              <wp:lineTo x="0" y="17788"/>
              <wp:lineTo x="1279" y="21176"/>
              <wp:lineTo x="16200" y="21176"/>
              <wp:lineTo x="21316" y="19482"/>
              <wp:lineTo x="21316" y="5082"/>
              <wp:lineTo x="18758" y="2541"/>
              <wp:lineTo x="5968" y="0"/>
              <wp:lineTo x="25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Emergency_Management_Victoria_logo.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5200" cy="485775"/>
                  </a:xfrm>
                  <a:prstGeom prst="rect">
                    <a:avLst/>
                  </a:prstGeom>
                </pic:spPr>
              </pic:pic>
            </a:graphicData>
          </a:graphic>
          <wp14:sizeRelH relativeFrom="margin">
            <wp14:pctWidth>0</wp14:pctWidth>
          </wp14:sizeRelH>
          <wp14:sizeRelV relativeFrom="margin">
            <wp14:pctHeight>0</wp14:pctHeight>
          </wp14:sizeRelV>
        </wp:anchor>
      </w:drawing>
    </w:r>
    <w:r w:rsidR="006D1560" w:rsidRPr="00BC6BC7">
      <w:rPr>
        <w:sz w:val="20"/>
        <w:szCs w:val="20"/>
      </w:rPr>
      <w:t xml:space="preserve">Secondary Impact Assessment </w:t>
    </w:r>
    <w:r w:rsidR="008662AD" w:rsidRPr="00BC6BC7">
      <w:rPr>
        <w:sz w:val="20"/>
        <w:szCs w:val="20"/>
      </w:rPr>
      <w:t xml:space="preserve">Project </w:t>
    </w:r>
    <w:r w:rsidR="006D1560" w:rsidRPr="00BC6BC7">
      <w:rPr>
        <w:sz w:val="20"/>
        <w:szCs w:val="20"/>
      </w:rPr>
      <w:t>– A Framework for Local Government</w:t>
    </w:r>
    <w:r w:rsidRPr="00BC6BC7">
      <w:rPr>
        <w:sz w:val="20"/>
        <w:szCs w:val="20"/>
      </w:rPr>
      <w:t xml:space="preserve"> </w:t>
    </w:r>
  </w:p>
  <w:p w:rsidR="008662AD" w:rsidRPr="00BC6BC7" w:rsidRDefault="008662AD" w:rsidP="00BC6BC7">
    <w:pPr>
      <w:pStyle w:val="Header"/>
      <w:ind w:left="-284"/>
      <w:rPr>
        <w:sz w:val="20"/>
        <w:szCs w:val="20"/>
      </w:rPr>
    </w:pPr>
    <w:r w:rsidRPr="00BC6BC7">
      <w:rPr>
        <w:sz w:val="20"/>
        <w:szCs w:val="20"/>
      </w:rPr>
      <w:t xml:space="preserve">Expression of Interest for the Project </w:t>
    </w:r>
    <w:r w:rsidR="00373844">
      <w:rPr>
        <w:sz w:val="20"/>
        <w:szCs w:val="20"/>
      </w:rPr>
      <w:t xml:space="preserve">Reference </w:t>
    </w:r>
    <w:r w:rsidRPr="00BC6BC7">
      <w:rPr>
        <w:sz w:val="20"/>
        <w:szCs w:val="20"/>
      </w:rPr>
      <w:t xml:space="preserve">Group. </w:t>
    </w:r>
  </w:p>
  <w:p w:rsidR="006D1560" w:rsidRDefault="006D15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B25B4"/>
    <w:multiLevelType w:val="hybridMultilevel"/>
    <w:tmpl w:val="69DA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0D4396F"/>
    <w:multiLevelType w:val="hybridMultilevel"/>
    <w:tmpl w:val="139CCFDC"/>
    <w:lvl w:ilvl="0" w:tplc="D3D04B9E">
      <w:start w:val="1"/>
      <w:numFmt w:val="bullet"/>
      <w:lvlText w:val="•"/>
      <w:lvlJc w:val="left"/>
      <w:pPr>
        <w:tabs>
          <w:tab w:val="num" w:pos="720"/>
        </w:tabs>
        <w:ind w:left="720" w:hanging="360"/>
      </w:pPr>
      <w:rPr>
        <w:rFonts w:ascii="Arial" w:hAnsi="Arial" w:hint="default"/>
      </w:rPr>
    </w:lvl>
    <w:lvl w:ilvl="1" w:tplc="73A027CA" w:tentative="1">
      <w:start w:val="1"/>
      <w:numFmt w:val="bullet"/>
      <w:lvlText w:val="•"/>
      <w:lvlJc w:val="left"/>
      <w:pPr>
        <w:tabs>
          <w:tab w:val="num" w:pos="1440"/>
        </w:tabs>
        <w:ind w:left="1440" w:hanging="360"/>
      </w:pPr>
      <w:rPr>
        <w:rFonts w:ascii="Arial" w:hAnsi="Arial" w:hint="default"/>
      </w:rPr>
    </w:lvl>
    <w:lvl w:ilvl="2" w:tplc="CF86DFCC" w:tentative="1">
      <w:start w:val="1"/>
      <w:numFmt w:val="bullet"/>
      <w:lvlText w:val="•"/>
      <w:lvlJc w:val="left"/>
      <w:pPr>
        <w:tabs>
          <w:tab w:val="num" w:pos="2160"/>
        </w:tabs>
        <w:ind w:left="2160" w:hanging="360"/>
      </w:pPr>
      <w:rPr>
        <w:rFonts w:ascii="Arial" w:hAnsi="Arial" w:hint="default"/>
      </w:rPr>
    </w:lvl>
    <w:lvl w:ilvl="3" w:tplc="2B744950" w:tentative="1">
      <w:start w:val="1"/>
      <w:numFmt w:val="bullet"/>
      <w:lvlText w:val="•"/>
      <w:lvlJc w:val="left"/>
      <w:pPr>
        <w:tabs>
          <w:tab w:val="num" w:pos="2880"/>
        </w:tabs>
        <w:ind w:left="2880" w:hanging="360"/>
      </w:pPr>
      <w:rPr>
        <w:rFonts w:ascii="Arial" w:hAnsi="Arial" w:hint="default"/>
      </w:rPr>
    </w:lvl>
    <w:lvl w:ilvl="4" w:tplc="FEC2054E" w:tentative="1">
      <w:start w:val="1"/>
      <w:numFmt w:val="bullet"/>
      <w:lvlText w:val="•"/>
      <w:lvlJc w:val="left"/>
      <w:pPr>
        <w:tabs>
          <w:tab w:val="num" w:pos="3600"/>
        </w:tabs>
        <w:ind w:left="3600" w:hanging="360"/>
      </w:pPr>
      <w:rPr>
        <w:rFonts w:ascii="Arial" w:hAnsi="Arial" w:hint="default"/>
      </w:rPr>
    </w:lvl>
    <w:lvl w:ilvl="5" w:tplc="C890FABC" w:tentative="1">
      <w:start w:val="1"/>
      <w:numFmt w:val="bullet"/>
      <w:lvlText w:val="•"/>
      <w:lvlJc w:val="left"/>
      <w:pPr>
        <w:tabs>
          <w:tab w:val="num" w:pos="4320"/>
        </w:tabs>
        <w:ind w:left="4320" w:hanging="360"/>
      </w:pPr>
      <w:rPr>
        <w:rFonts w:ascii="Arial" w:hAnsi="Arial" w:hint="default"/>
      </w:rPr>
    </w:lvl>
    <w:lvl w:ilvl="6" w:tplc="8DBABC0E" w:tentative="1">
      <w:start w:val="1"/>
      <w:numFmt w:val="bullet"/>
      <w:lvlText w:val="•"/>
      <w:lvlJc w:val="left"/>
      <w:pPr>
        <w:tabs>
          <w:tab w:val="num" w:pos="5040"/>
        </w:tabs>
        <w:ind w:left="5040" w:hanging="360"/>
      </w:pPr>
      <w:rPr>
        <w:rFonts w:ascii="Arial" w:hAnsi="Arial" w:hint="default"/>
      </w:rPr>
    </w:lvl>
    <w:lvl w:ilvl="7" w:tplc="0E02DB86" w:tentative="1">
      <w:start w:val="1"/>
      <w:numFmt w:val="bullet"/>
      <w:lvlText w:val="•"/>
      <w:lvlJc w:val="left"/>
      <w:pPr>
        <w:tabs>
          <w:tab w:val="num" w:pos="5760"/>
        </w:tabs>
        <w:ind w:left="5760" w:hanging="360"/>
      </w:pPr>
      <w:rPr>
        <w:rFonts w:ascii="Arial" w:hAnsi="Arial" w:hint="default"/>
      </w:rPr>
    </w:lvl>
    <w:lvl w:ilvl="8" w:tplc="3C4EF1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8E70206"/>
    <w:multiLevelType w:val="hybridMultilevel"/>
    <w:tmpl w:val="850A5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6A30A6"/>
    <w:multiLevelType w:val="hybridMultilevel"/>
    <w:tmpl w:val="0CE86090"/>
    <w:lvl w:ilvl="0" w:tplc="A822D37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2387472"/>
    <w:multiLevelType w:val="hybridMultilevel"/>
    <w:tmpl w:val="0B34231C"/>
    <w:lvl w:ilvl="0" w:tplc="A822D37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037794"/>
    <w:multiLevelType w:val="hybridMultilevel"/>
    <w:tmpl w:val="90245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3B1360"/>
    <w:multiLevelType w:val="hybridMultilevel"/>
    <w:tmpl w:val="030C1D6E"/>
    <w:lvl w:ilvl="0" w:tplc="0C09000F">
      <w:start w:val="1"/>
      <w:numFmt w:val="decimal"/>
      <w:lvlText w:val="%1."/>
      <w:lvlJc w:val="left"/>
      <w:pPr>
        <w:ind w:left="1080" w:hanging="360"/>
      </w:pPr>
      <w:rPr>
        <w:rFonts w:hint="default"/>
      </w:rPr>
    </w:lvl>
    <w:lvl w:ilvl="1" w:tplc="0C090001">
      <w:start w:val="1"/>
      <w:numFmt w:val="bullet"/>
      <w:lvlText w:val=""/>
      <w:lvlJc w:val="left"/>
      <w:pPr>
        <w:ind w:left="1800" w:hanging="360"/>
      </w:pPr>
      <w:rPr>
        <w:rFonts w:ascii="Symbol" w:hAnsi="Symbol"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BE72484"/>
    <w:multiLevelType w:val="hybridMultilevel"/>
    <w:tmpl w:val="4B00C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FA44AD"/>
    <w:multiLevelType w:val="hybridMultilevel"/>
    <w:tmpl w:val="DB609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880BD5"/>
    <w:multiLevelType w:val="hybridMultilevel"/>
    <w:tmpl w:val="19FC4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60"/>
    <w:rsid w:val="00283DBA"/>
    <w:rsid w:val="0029235E"/>
    <w:rsid w:val="00373844"/>
    <w:rsid w:val="003E51D0"/>
    <w:rsid w:val="005D657D"/>
    <w:rsid w:val="006C79EF"/>
    <w:rsid w:val="006D1560"/>
    <w:rsid w:val="006E4018"/>
    <w:rsid w:val="007C566D"/>
    <w:rsid w:val="008472E9"/>
    <w:rsid w:val="0086102D"/>
    <w:rsid w:val="008662AD"/>
    <w:rsid w:val="008839B0"/>
    <w:rsid w:val="008D6BFF"/>
    <w:rsid w:val="0096776A"/>
    <w:rsid w:val="0097219C"/>
    <w:rsid w:val="009B794B"/>
    <w:rsid w:val="009C5CC0"/>
    <w:rsid w:val="00AA0871"/>
    <w:rsid w:val="00AA0E46"/>
    <w:rsid w:val="00BC44A8"/>
    <w:rsid w:val="00BC6BC7"/>
    <w:rsid w:val="00C6743F"/>
    <w:rsid w:val="00C912D1"/>
    <w:rsid w:val="00DB67EB"/>
    <w:rsid w:val="00E02DCF"/>
    <w:rsid w:val="00F02DAC"/>
    <w:rsid w:val="00F74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11EE398-C447-41FE-9B3A-38D3D97C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560"/>
  </w:style>
  <w:style w:type="paragraph" w:styleId="Footer">
    <w:name w:val="footer"/>
    <w:basedOn w:val="Normal"/>
    <w:link w:val="FooterChar"/>
    <w:uiPriority w:val="99"/>
    <w:unhideWhenUsed/>
    <w:rsid w:val="006D1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560"/>
  </w:style>
  <w:style w:type="paragraph" w:styleId="ListParagraph">
    <w:name w:val="List Paragraph"/>
    <w:basedOn w:val="Normal"/>
    <w:uiPriority w:val="34"/>
    <w:qFormat/>
    <w:rsid w:val="00AA0E46"/>
    <w:pPr>
      <w:ind w:left="720"/>
      <w:contextualSpacing/>
    </w:pPr>
  </w:style>
  <w:style w:type="paragraph" w:styleId="NoSpacing">
    <w:name w:val="No Spacing"/>
    <w:link w:val="NoSpacingChar"/>
    <w:uiPriority w:val="1"/>
    <w:qFormat/>
    <w:rsid w:val="006E4018"/>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6E4018"/>
    <w:rPr>
      <w:rFonts w:ascii="Calibri" w:eastAsia="Times New Roman" w:hAnsi="Calibri" w:cs="Times New Roman"/>
      <w:lang w:val="en-US"/>
    </w:rPr>
  </w:style>
  <w:style w:type="paragraph" w:styleId="FootnoteText">
    <w:name w:val="footnote text"/>
    <w:basedOn w:val="Normal"/>
    <w:link w:val="FootnoteTextChar"/>
    <w:uiPriority w:val="99"/>
    <w:semiHidden/>
    <w:unhideWhenUsed/>
    <w:rsid w:val="009B794B"/>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uiPriority w:val="99"/>
    <w:semiHidden/>
    <w:rsid w:val="009B794B"/>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unhideWhenUsed/>
    <w:rsid w:val="009B794B"/>
    <w:rPr>
      <w:vertAlign w:val="superscript"/>
    </w:rPr>
  </w:style>
  <w:style w:type="character" w:styleId="Hyperlink">
    <w:name w:val="Hyperlink"/>
    <w:basedOn w:val="DefaultParagraphFont"/>
    <w:uiPriority w:val="99"/>
    <w:unhideWhenUsed/>
    <w:rsid w:val="009B794B"/>
    <w:rPr>
      <w:color w:val="0563C1" w:themeColor="hyperlink"/>
      <w:u w:val="single"/>
    </w:rPr>
  </w:style>
  <w:style w:type="paragraph" w:customStyle="1" w:styleId="Default">
    <w:name w:val="Default"/>
    <w:rsid w:val="009C5CC0"/>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903925">
      <w:bodyDiv w:val="1"/>
      <w:marLeft w:val="0"/>
      <w:marRight w:val="0"/>
      <w:marTop w:val="0"/>
      <w:marBottom w:val="0"/>
      <w:divBdr>
        <w:top w:val="none" w:sz="0" w:space="0" w:color="auto"/>
        <w:left w:val="none" w:sz="0" w:space="0" w:color="auto"/>
        <w:bottom w:val="none" w:sz="0" w:space="0" w:color="auto"/>
        <w:right w:val="none" w:sz="0" w:space="0" w:color="auto"/>
      </w:divBdr>
      <w:divsChild>
        <w:div w:id="537856851">
          <w:marLeft w:val="446"/>
          <w:marRight w:val="0"/>
          <w:marTop w:val="0"/>
          <w:marBottom w:val="0"/>
          <w:divBdr>
            <w:top w:val="none" w:sz="0" w:space="0" w:color="auto"/>
            <w:left w:val="none" w:sz="0" w:space="0" w:color="auto"/>
            <w:bottom w:val="none" w:sz="0" w:space="0" w:color="auto"/>
            <w:right w:val="none" w:sz="0" w:space="0" w:color="auto"/>
          </w:divBdr>
        </w:div>
        <w:div w:id="1944342850">
          <w:marLeft w:val="446"/>
          <w:marRight w:val="0"/>
          <w:marTop w:val="0"/>
          <w:marBottom w:val="0"/>
          <w:divBdr>
            <w:top w:val="none" w:sz="0" w:space="0" w:color="auto"/>
            <w:left w:val="none" w:sz="0" w:space="0" w:color="auto"/>
            <w:bottom w:val="none" w:sz="0" w:space="0" w:color="auto"/>
            <w:right w:val="none" w:sz="0" w:space="0" w:color="auto"/>
          </w:divBdr>
        </w:div>
        <w:div w:id="1217475184">
          <w:marLeft w:val="446"/>
          <w:marRight w:val="0"/>
          <w:marTop w:val="0"/>
          <w:marBottom w:val="0"/>
          <w:divBdr>
            <w:top w:val="none" w:sz="0" w:space="0" w:color="auto"/>
            <w:left w:val="none" w:sz="0" w:space="0" w:color="auto"/>
            <w:bottom w:val="none" w:sz="0" w:space="0" w:color="auto"/>
            <w:right w:val="none" w:sz="0" w:space="0" w:color="auto"/>
          </w:divBdr>
        </w:div>
        <w:div w:id="414665759">
          <w:marLeft w:val="446"/>
          <w:marRight w:val="0"/>
          <w:marTop w:val="0"/>
          <w:marBottom w:val="0"/>
          <w:divBdr>
            <w:top w:val="none" w:sz="0" w:space="0" w:color="auto"/>
            <w:left w:val="none" w:sz="0" w:space="0" w:color="auto"/>
            <w:bottom w:val="none" w:sz="0" w:space="0" w:color="auto"/>
            <w:right w:val="none" w:sz="0" w:space="0" w:color="auto"/>
          </w:divBdr>
        </w:div>
        <w:div w:id="1986153718">
          <w:marLeft w:val="446"/>
          <w:marRight w:val="0"/>
          <w:marTop w:val="0"/>
          <w:marBottom w:val="0"/>
          <w:divBdr>
            <w:top w:val="none" w:sz="0" w:space="0" w:color="auto"/>
            <w:left w:val="none" w:sz="0" w:space="0" w:color="auto"/>
            <w:bottom w:val="none" w:sz="0" w:space="0" w:color="auto"/>
            <w:right w:val="none" w:sz="0" w:space="0" w:color="auto"/>
          </w:divBdr>
        </w:div>
      </w:divsChild>
    </w:div>
    <w:div w:id="635181416">
      <w:bodyDiv w:val="1"/>
      <w:marLeft w:val="0"/>
      <w:marRight w:val="0"/>
      <w:marTop w:val="0"/>
      <w:marBottom w:val="0"/>
      <w:divBdr>
        <w:top w:val="none" w:sz="0" w:space="0" w:color="auto"/>
        <w:left w:val="none" w:sz="0" w:space="0" w:color="auto"/>
        <w:bottom w:val="none" w:sz="0" w:space="0" w:color="auto"/>
        <w:right w:val="none" w:sz="0" w:space="0" w:color="auto"/>
      </w:divBdr>
    </w:div>
    <w:div w:id="177428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0EDEF-8D66-4F7F-8575-7796167D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Manningham City Council</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Thamrin</dc:creator>
  <cp:keywords/>
  <dc:description/>
  <cp:lastModifiedBy>Amelia Thamrin</cp:lastModifiedBy>
  <cp:revision>3</cp:revision>
  <dcterms:created xsi:type="dcterms:W3CDTF">2018-11-21T22:23:00Z</dcterms:created>
  <dcterms:modified xsi:type="dcterms:W3CDTF">2018-11-21T23:01:00Z</dcterms:modified>
</cp:coreProperties>
</file>