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E12CF" w14:textId="75AA74FB" w:rsidR="001E4FCC" w:rsidRPr="00560ABB" w:rsidRDefault="001E4FCC" w:rsidP="00560ABB">
      <w:pPr>
        <w:rPr>
          <w:b/>
          <w:bCs/>
        </w:rPr>
      </w:pPr>
      <w:r w:rsidRPr="00560ABB">
        <w:rPr>
          <w:b/>
          <w:bCs/>
        </w:rPr>
        <w:t>THEME 3</w:t>
      </w:r>
      <w:r w:rsidR="00560ABB" w:rsidRPr="00560ABB">
        <w:rPr>
          <w:b/>
          <w:bCs/>
        </w:rPr>
        <w:t xml:space="preserve"> - </w:t>
      </w:r>
      <w:r w:rsidRPr="00560ABB">
        <w:rPr>
          <w:b/>
          <w:bCs/>
        </w:rPr>
        <w:t xml:space="preserve">Well-planned, </w:t>
      </w:r>
      <w:proofErr w:type="gramStart"/>
      <w:r w:rsidRPr="00560ABB">
        <w:rPr>
          <w:b/>
          <w:bCs/>
        </w:rPr>
        <w:t>connected</w:t>
      </w:r>
      <w:proofErr w:type="gramEnd"/>
      <w:r w:rsidRPr="00560ABB">
        <w:rPr>
          <w:b/>
          <w:bCs/>
        </w:rPr>
        <w:t xml:space="preserve"> and resilient built environment</w:t>
      </w:r>
    </w:p>
    <w:p w14:paraId="33FFC76C" w14:textId="77777777" w:rsidR="00560ABB" w:rsidRPr="00560ABB" w:rsidRDefault="00560ABB" w:rsidP="00560ABB">
      <w:pPr>
        <w:rPr>
          <w:b/>
          <w:bCs/>
        </w:rPr>
      </w:pPr>
      <w:r w:rsidRPr="00560ABB">
        <w:rPr>
          <w:b/>
          <w:bCs/>
        </w:rPr>
        <w:t>KEY ISSUES: PLANNING AND BUILDING; COMMUNITY RESILIENCE AND EMERGENCY MANAGEMENT; INFRASTRUCTURE &amp; TRANSPORT</w:t>
      </w:r>
    </w:p>
    <w:p w14:paraId="46A1CEF6" w14:textId="77777777" w:rsidR="00560ABB" w:rsidRPr="00560ABB" w:rsidRDefault="00560ABB" w:rsidP="00560ABB">
      <w:pPr>
        <w:rPr>
          <w:b/>
          <w:bCs/>
        </w:rPr>
      </w:pPr>
    </w:p>
    <w:p w14:paraId="10A3DFCA" w14:textId="2756C3C9" w:rsidR="001E4FCC" w:rsidRPr="00560ABB" w:rsidRDefault="001E4FCC" w:rsidP="00560ABB">
      <w:pPr>
        <w:rPr>
          <w:b/>
          <w:bCs/>
        </w:rPr>
      </w:pPr>
      <w:r w:rsidRPr="00560ABB">
        <w:rPr>
          <w:b/>
          <w:bCs/>
        </w:rPr>
        <w:t>PLANNING AND BUILDING</w:t>
      </w:r>
    </w:p>
    <w:p w14:paraId="79CD0034" w14:textId="77777777" w:rsidR="001E4FCC" w:rsidRPr="00560ABB" w:rsidRDefault="001E4FCC" w:rsidP="00560ABB">
      <w:pPr>
        <w:rPr>
          <w:b/>
          <w:bCs/>
        </w:rPr>
      </w:pPr>
      <w:r w:rsidRPr="00560ABB">
        <w:rPr>
          <w:b/>
          <w:bCs/>
        </w:rPr>
        <w:t>CURRENT SITUATION</w:t>
      </w:r>
    </w:p>
    <w:p w14:paraId="488DB118" w14:textId="77777777" w:rsidR="001E4FCC" w:rsidRDefault="001E4FCC" w:rsidP="001E4FCC">
      <w:pPr>
        <w:pStyle w:val="BodyText"/>
        <w:spacing w:before="65" w:line="242" w:lineRule="auto"/>
        <w:ind w:left="390" w:right="226"/>
      </w:pPr>
      <w:r>
        <w:rPr>
          <w:color w:val="231F20"/>
        </w:rPr>
        <w:t xml:space="preserve">The State </w:t>
      </w:r>
      <w:r>
        <w:rPr>
          <w:color w:val="231F20"/>
          <w:spacing w:val="2"/>
          <w:w w:val="135"/>
        </w:rPr>
        <w:t>G</w:t>
      </w:r>
      <w:r>
        <w:rPr>
          <w:color w:val="231F20"/>
          <w:spacing w:val="-3"/>
          <w:w w:val="108"/>
        </w:rPr>
        <w:t>o</w:t>
      </w:r>
      <w:r>
        <w:rPr>
          <w:color w:val="231F20"/>
          <w:spacing w:val="-2"/>
        </w:rPr>
        <w:t>v</w:t>
      </w:r>
      <w:r>
        <w:rPr>
          <w:color w:val="231F20"/>
          <w:spacing w:val="-1"/>
          <w:w w:val="107"/>
        </w:rPr>
        <w:t>e</w:t>
      </w:r>
      <w:r>
        <w:rPr>
          <w:color w:val="231F20"/>
          <w:w w:val="84"/>
        </w:rPr>
        <w:t>r</w:t>
      </w:r>
      <w:r>
        <w:rPr>
          <w:color w:val="231F20"/>
          <w:spacing w:val="-2"/>
          <w:w w:val="98"/>
        </w:rPr>
        <w:t>n</w:t>
      </w:r>
      <w:r>
        <w:rPr>
          <w:color w:val="231F20"/>
          <w:w w:val="95"/>
        </w:rPr>
        <w:t>m</w:t>
      </w:r>
      <w:r>
        <w:rPr>
          <w:color w:val="231F20"/>
          <w:spacing w:val="-1"/>
          <w:w w:val="107"/>
        </w:rPr>
        <w:t>e</w:t>
      </w:r>
      <w:r>
        <w:rPr>
          <w:color w:val="231F20"/>
          <w:spacing w:val="-2"/>
          <w:w w:val="98"/>
        </w:rPr>
        <w:t>n</w:t>
      </w:r>
      <w:r>
        <w:rPr>
          <w:color w:val="231F20"/>
          <w:spacing w:val="1"/>
          <w:w w:val="67"/>
        </w:rPr>
        <w:t>t</w:t>
      </w:r>
      <w:r>
        <w:rPr>
          <w:color w:val="231F20"/>
          <w:spacing w:val="-1"/>
          <w:w w:val="99"/>
        </w:rPr>
        <w:t xml:space="preserve"> </w:t>
      </w:r>
      <w:r>
        <w:rPr>
          <w:color w:val="231F20"/>
        </w:rPr>
        <w:t>has a critical leadership role to play</w:t>
      </w:r>
      <w:r>
        <w:rPr>
          <w:color w:val="231F20"/>
          <w:spacing w:val="-5"/>
        </w:rPr>
        <w:t xml:space="preserve"> </w:t>
      </w:r>
      <w:r>
        <w:rPr>
          <w:color w:val="231F20"/>
        </w:rPr>
        <w:t>in</w:t>
      </w:r>
      <w:r>
        <w:rPr>
          <w:color w:val="231F20"/>
          <w:spacing w:val="-5"/>
        </w:rPr>
        <w:t xml:space="preserve"> </w:t>
      </w:r>
      <w:r>
        <w:rPr>
          <w:color w:val="231F20"/>
        </w:rPr>
        <w:t>ensuring</w:t>
      </w:r>
      <w:r>
        <w:rPr>
          <w:color w:val="231F20"/>
          <w:spacing w:val="-5"/>
        </w:rPr>
        <w:t xml:space="preserve"> </w:t>
      </w:r>
      <w:r>
        <w:rPr>
          <w:color w:val="231F20"/>
        </w:rPr>
        <w:t>our</w:t>
      </w:r>
      <w:r>
        <w:rPr>
          <w:color w:val="231F20"/>
          <w:spacing w:val="-5"/>
        </w:rPr>
        <w:t xml:space="preserve"> </w:t>
      </w:r>
      <w:r>
        <w:rPr>
          <w:color w:val="231F20"/>
        </w:rPr>
        <w:t>built</w:t>
      </w:r>
      <w:r>
        <w:rPr>
          <w:color w:val="231F20"/>
          <w:spacing w:val="-5"/>
        </w:rPr>
        <w:t xml:space="preserve"> </w:t>
      </w:r>
      <w:r>
        <w:rPr>
          <w:color w:val="231F20"/>
        </w:rPr>
        <w:t>environment</w:t>
      </w:r>
      <w:r>
        <w:rPr>
          <w:color w:val="231F20"/>
          <w:spacing w:val="-5"/>
        </w:rPr>
        <w:t xml:space="preserve"> </w:t>
      </w:r>
      <w:r>
        <w:rPr>
          <w:color w:val="231F20"/>
        </w:rPr>
        <w:t>–</w:t>
      </w:r>
      <w:r>
        <w:rPr>
          <w:color w:val="231F20"/>
          <w:spacing w:val="-5"/>
        </w:rPr>
        <w:t xml:space="preserve"> </w:t>
      </w:r>
      <w:r>
        <w:rPr>
          <w:color w:val="231F20"/>
        </w:rPr>
        <w:t>our</w:t>
      </w:r>
      <w:r>
        <w:rPr>
          <w:color w:val="231F20"/>
          <w:spacing w:val="-5"/>
        </w:rPr>
        <w:t xml:space="preserve"> </w:t>
      </w:r>
      <w:r>
        <w:rPr>
          <w:color w:val="231F20"/>
        </w:rPr>
        <w:t>homes,</w:t>
      </w:r>
      <w:r>
        <w:rPr>
          <w:color w:val="231F20"/>
          <w:spacing w:val="-5"/>
        </w:rPr>
        <w:t xml:space="preserve"> </w:t>
      </w:r>
      <w:r>
        <w:rPr>
          <w:color w:val="231F20"/>
        </w:rPr>
        <w:t xml:space="preserve">our workplaces, our </w:t>
      </w:r>
      <w:proofErr w:type="gramStart"/>
      <w:r>
        <w:rPr>
          <w:color w:val="231F20"/>
        </w:rPr>
        <w:t>towns</w:t>
      </w:r>
      <w:proofErr w:type="gramEnd"/>
      <w:r>
        <w:rPr>
          <w:color w:val="231F20"/>
        </w:rPr>
        <w:t xml:space="preserve"> and cities – are safe, sustainable and great places to live, work, and visit.</w:t>
      </w:r>
    </w:p>
    <w:p w14:paraId="7ECFB643" w14:textId="77777777" w:rsidR="001E4FCC" w:rsidRDefault="001E4FCC" w:rsidP="001E4FCC">
      <w:pPr>
        <w:pStyle w:val="BodyText"/>
        <w:spacing w:before="174" w:line="242" w:lineRule="auto"/>
        <w:ind w:left="390" w:right="60"/>
      </w:pPr>
      <w:r>
        <w:rPr>
          <w:color w:val="231F20"/>
          <w:spacing w:val="-2"/>
        </w:rPr>
        <w:t>Since</w:t>
      </w:r>
      <w:r>
        <w:rPr>
          <w:color w:val="231F20"/>
          <w:spacing w:val="-4"/>
        </w:rPr>
        <w:t xml:space="preserve"> </w:t>
      </w:r>
      <w:r>
        <w:rPr>
          <w:color w:val="231F20"/>
          <w:spacing w:val="-2"/>
        </w:rPr>
        <w:t>the</w:t>
      </w:r>
      <w:r>
        <w:rPr>
          <w:color w:val="231F20"/>
          <w:spacing w:val="-4"/>
        </w:rPr>
        <w:t xml:space="preserve"> </w:t>
      </w:r>
      <w:r>
        <w:rPr>
          <w:color w:val="231F20"/>
          <w:spacing w:val="-2"/>
        </w:rPr>
        <w:t>introduction</w:t>
      </w:r>
      <w:r>
        <w:rPr>
          <w:color w:val="231F20"/>
          <w:spacing w:val="-4"/>
        </w:rPr>
        <w:t xml:space="preserve"> </w:t>
      </w:r>
      <w:r>
        <w:rPr>
          <w:color w:val="231F20"/>
          <w:spacing w:val="-2"/>
        </w:rPr>
        <w:t>of</w:t>
      </w:r>
      <w:r>
        <w:rPr>
          <w:color w:val="231F20"/>
          <w:spacing w:val="-4"/>
        </w:rPr>
        <w:t xml:space="preserve"> </w:t>
      </w:r>
      <w:r>
        <w:rPr>
          <w:color w:val="231F20"/>
          <w:spacing w:val="-2"/>
        </w:rPr>
        <w:t>the</w:t>
      </w:r>
      <w:r>
        <w:rPr>
          <w:color w:val="231F20"/>
          <w:spacing w:val="-4"/>
        </w:rPr>
        <w:t xml:space="preserve"> </w:t>
      </w:r>
      <w:r>
        <w:rPr>
          <w:color w:val="231F20"/>
          <w:spacing w:val="-2"/>
        </w:rPr>
        <w:t>Planning</w:t>
      </w:r>
      <w:r>
        <w:rPr>
          <w:color w:val="231F20"/>
          <w:spacing w:val="-4"/>
        </w:rPr>
        <w:t xml:space="preserve"> </w:t>
      </w:r>
      <w:r>
        <w:rPr>
          <w:color w:val="231F20"/>
          <w:spacing w:val="-2"/>
        </w:rPr>
        <w:t>and</w:t>
      </w:r>
      <w:r>
        <w:rPr>
          <w:color w:val="231F20"/>
          <w:spacing w:val="-4"/>
        </w:rPr>
        <w:t xml:space="preserve"> </w:t>
      </w:r>
      <w:r>
        <w:rPr>
          <w:color w:val="231F20"/>
          <w:spacing w:val="-2"/>
        </w:rPr>
        <w:t>Environment</w:t>
      </w:r>
      <w:r>
        <w:rPr>
          <w:color w:val="231F20"/>
          <w:spacing w:val="-4"/>
        </w:rPr>
        <w:t xml:space="preserve"> </w:t>
      </w:r>
      <w:r>
        <w:rPr>
          <w:color w:val="231F20"/>
          <w:spacing w:val="-2"/>
        </w:rPr>
        <w:t xml:space="preserve">Act </w:t>
      </w:r>
      <w:r>
        <w:rPr>
          <w:color w:val="231F20"/>
        </w:rPr>
        <w:t>1987, Victoria’s planning system has become well known for</w:t>
      </w:r>
      <w:r>
        <w:rPr>
          <w:color w:val="231F20"/>
          <w:spacing w:val="-3"/>
        </w:rPr>
        <w:t xml:space="preserve"> </w:t>
      </w:r>
      <w:r>
        <w:rPr>
          <w:color w:val="231F20"/>
        </w:rPr>
        <w:t>incorporating</w:t>
      </w:r>
      <w:r>
        <w:rPr>
          <w:color w:val="231F20"/>
          <w:spacing w:val="-3"/>
        </w:rPr>
        <w:t xml:space="preserve"> </w:t>
      </w:r>
      <w:r>
        <w:rPr>
          <w:color w:val="231F20"/>
        </w:rPr>
        <w:t>community</w:t>
      </w:r>
      <w:r>
        <w:rPr>
          <w:color w:val="231F20"/>
          <w:spacing w:val="-3"/>
        </w:rPr>
        <w:t xml:space="preserve"> </w:t>
      </w:r>
      <w:r>
        <w:rPr>
          <w:color w:val="231F20"/>
        </w:rPr>
        <w:t>consultation</w:t>
      </w:r>
      <w:r>
        <w:rPr>
          <w:color w:val="231F20"/>
          <w:spacing w:val="-3"/>
        </w:rPr>
        <w:t xml:space="preserve"> </w:t>
      </w:r>
      <w:r>
        <w:rPr>
          <w:color w:val="231F20"/>
        </w:rPr>
        <w:t>in</w:t>
      </w:r>
      <w:r>
        <w:rPr>
          <w:color w:val="231F20"/>
          <w:spacing w:val="-3"/>
        </w:rPr>
        <w:t xml:space="preserve"> </w:t>
      </w:r>
      <w:r>
        <w:rPr>
          <w:color w:val="231F20"/>
        </w:rPr>
        <w:t>planning.</w:t>
      </w:r>
      <w:r>
        <w:rPr>
          <w:color w:val="231F20"/>
          <w:spacing w:val="-3"/>
        </w:rPr>
        <w:t xml:space="preserve"> </w:t>
      </w:r>
      <w:r>
        <w:rPr>
          <w:color w:val="231F20"/>
        </w:rPr>
        <w:t>It</w:t>
      </w:r>
      <w:r>
        <w:rPr>
          <w:color w:val="231F20"/>
          <w:spacing w:val="-3"/>
        </w:rPr>
        <w:t xml:space="preserve"> </w:t>
      </w:r>
      <w:r>
        <w:rPr>
          <w:color w:val="231F20"/>
        </w:rPr>
        <w:t>is a component of our system that is enshrined in legislation and provides democratic legitimacy to planning decisions.</w:t>
      </w:r>
    </w:p>
    <w:p w14:paraId="019032A9" w14:textId="77777777" w:rsidR="001E4FCC" w:rsidRDefault="001E4FCC" w:rsidP="001E4FCC">
      <w:pPr>
        <w:pStyle w:val="BodyText"/>
        <w:spacing w:before="176" w:line="242" w:lineRule="auto"/>
        <w:ind w:left="390" w:right="367"/>
      </w:pPr>
      <w:r>
        <w:rPr>
          <w:color w:val="231F20"/>
        </w:rPr>
        <w:t xml:space="preserve">In recent years there has been a shift away from local decision making, towards </w:t>
      </w:r>
      <w:proofErr w:type="spellStart"/>
      <w:r>
        <w:rPr>
          <w:color w:val="231F20"/>
        </w:rPr>
        <w:t>centralised</w:t>
      </w:r>
      <w:proofErr w:type="spellEnd"/>
      <w:r>
        <w:rPr>
          <w:color w:val="231F20"/>
        </w:rPr>
        <w:t xml:space="preserve"> decisions made by</w:t>
      </w:r>
      <w:r>
        <w:rPr>
          <w:color w:val="231F20"/>
          <w:spacing w:val="-6"/>
        </w:rPr>
        <w:t xml:space="preserve"> </w:t>
      </w:r>
      <w:r>
        <w:rPr>
          <w:color w:val="231F20"/>
        </w:rPr>
        <w:t>DELWP</w:t>
      </w:r>
      <w:r>
        <w:rPr>
          <w:color w:val="231F20"/>
          <w:spacing w:val="-6"/>
        </w:rPr>
        <w:t xml:space="preserve"> </w:t>
      </w:r>
      <w:r>
        <w:rPr>
          <w:color w:val="231F20"/>
        </w:rPr>
        <w:t>or</w:t>
      </w:r>
      <w:r>
        <w:rPr>
          <w:color w:val="231F20"/>
          <w:spacing w:val="-5"/>
        </w:rPr>
        <w:t xml:space="preserve"> </w:t>
      </w:r>
      <w:r>
        <w:rPr>
          <w:color w:val="231F20"/>
        </w:rPr>
        <w:t>the</w:t>
      </w:r>
      <w:r>
        <w:rPr>
          <w:color w:val="231F20"/>
          <w:spacing w:val="-6"/>
        </w:rPr>
        <w:t xml:space="preserve"> </w:t>
      </w:r>
      <w:r>
        <w:rPr>
          <w:color w:val="231F20"/>
        </w:rPr>
        <w:t>Minister</w:t>
      </w:r>
      <w:r>
        <w:rPr>
          <w:color w:val="231F20"/>
          <w:spacing w:val="-5"/>
        </w:rPr>
        <w:t xml:space="preserve"> </w:t>
      </w:r>
      <w:r>
        <w:rPr>
          <w:color w:val="231F20"/>
        </w:rPr>
        <w:t>for</w:t>
      </w:r>
      <w:r>
        <w:rPr>
          <w:color w:val="231F20"/>
          <w:spacing w:val="-6"/>
        </w:rPr>
        <w:t xml:space="preserve"> </w:t>
      </w:r>
      <w:r>
        <w:rPr>
          <w:color w:val="231F20"/>
        </w:rPr>
        <w:t>Planning.</w:t>
      </w:r>
      <w:r>
        <w:rPr>
          <w:color w:val="231F20"/>
          <w:spacing w:val="-5"/>
        </w:rPr>
        <w:t xml:space="preserve"> </w:t>
      </w:r>
      <w:r>
        <w:rPr>
          <w:color w:val="231F20"/>
        </w:rPr>
        <w:t>These</w:t>
      </w:r>
      <w:r>
        <w:rPr>
          <w:color w:val="231F20"/>
          <w:spacing w:val="-6"/>
        </w:rPr>
        <w:t xml:space="preserve"> </w:t>
      </w:r>
      <w:r>
        <w:rPr>
          <w:color w:val="231F20"/>
        </w:rPr>
        <w:t>decisions are often made with little or no public consultation</w:t>
      </w:r>
    </w:p>
    <w:p w14:paraId="13F43CDD" w14:textId="77777777" w:rsidR="001E4FCC" w:rsidRDefault="001E4FCC" w:rsidP="001E4FCC">
      <w:pPr>
        <w:pStyle w:val="BodyText"/>
        <w:spacing w:before="4" w:line="242" w:lineRule="auto"/>
        <w:ind w:left="390"/>
      </w:pPr>
      <w:r>
        <w:rPr>
          <w:color w:val="231F20"/>
        </w:rPr>
        <w:t xml:space="preserve">and lack channels for further appeals. Protecting the </w:t>
      </w:r>
      <w:r>
        <w:rPr>
          <w:color w:val="231F20"/>
          <w:spacing w:val="-4"/>
        </w:rPr>
        <w:t xml:space="preserve">community’s voice in the planning system through council- </w:t>
      </w:r>
      <w:r>
        <w:rPr>
          <w:color w:val="231F20"/>
        </w:rPr>
        <w:t>based decision making is a priority concern for the local government sector</w:t>
      </w:r>
    </w:p>
    <w:p w14:paraId="1BCF97FF" w14:textId="77777777" w:rsidR="001E4FCC" w:rsidRDefault="001E4FCC" w:rsidP="001E4FCC">
      <w:pPr>
        <w:pStyle w:val="BodyText"/>
        <w:spacing w:before="174" w:line="242" w:lineRule="auto"/>
        <w:ind w:left="390" w:right="284"/>
      </w:pPr>
      <w:r>
        <w:rPr>
          <w:color w:val="231F20"/>
          <w:spacing w:val="-2"/>
        </w:rPr>
        <w:t>The</w:t>
      </w:r>
      <w:r>
        <w:rPr>
          <w:color w:val="231F20"/>
          <w:spacing w:val="-6"/>
        </w:rPr>
        <w:t xml:space="preserve"> </w:t>
      </w:r>
      <w:r>
        <w:rPr>
          <w:color w:val="231F20"/>
          <w:spacing w:val="-2"/>
        </w:rPr>
        <w:t>planning</w:t>
      </w:r>
      <w:r>
        <w:rPr>
          <w:color w:val="231F20"/>
          <w:spacing w:val="-6"/>
        </w:rPr>
        <w:t xml:space="preserve"> </w:t>
      </w:r>
      <w:r>
        <w:rPr>
          <w:color w:val="231F20"/>
          <w:spacing w:val="-2"/>
        </w:rPr>
        <w:t>system</w:t>
      </w:r>
      <w:r>
        <w:rPr>
          <w:color w:val="231F20"/>
          <w:spacing w:val="-5"/>
        </w:rPr>
        <w:t xml:space="preserve"> </w:t>
      </w:r>
      <w:r>
        <w:rPr>
          <w:color w:val="231F20"/>
          <w:spacing w:val="-2"/>
        </w:rPr>
        <w:t>should</w:t>
      </w:r>
      <w:r>
        <w:rPr>
          <w:color w:val="231F20"/>
          <w:spacing w:val="-6"/>
        </w:rPr>
        <w:t xml:space="preserve"> </w:t>
      </w:r>
      <w:r>
        <w:rPr>
          <w:color w:val="231F20"/>
          <w:spacing w:val="-2"/>
        </w:rPr>
        <w:t>deliver</w:t>
      </w:r>
      <w:r>
        <w:rPr>
          <w:color w:val="231F20"/>
          <w:spacing w:val="-5"/>
        </w:rPr>
        <w:t xml:space="preserve"> </w:t>
      </w:r>
      <w:r>
        <w:rPr>
          <w:color w:val="231F20"/>
          <w:spacing w:val="-2"/>
        </w:rPr>
        <w:t>on</w:t>
      </w:r>
      <w:r>
        <w:rPr>
          <w:color w:val="231F20"/>
          <w:spacing w:val="-6"/>
        </w:rPr>
        <w:t xml:space="preserve"> </w:t>
      </w:r>
      <w:r>
        <w:rPr>
          <w:color w:val="231F20"/>
          <w:spacing w:val="-2"/>
        </w:rPr>
        <w:t>the</w:t>
      </w:r>
      <w:r>
        <w:rPr>
          <w:color w:val="231F20"/>
          <w:spacing w:val="-5"/>
        </w:rPr>
        <w:t xml:space="preserve"> </w:t>
      </w:r>
      <w:r>
        <w:rPr>
          <w:color w:val="231F20"/>
          <w:spacing w:val="-2"/>
        </w:rPr>
        <w:t xml:space="preserve">environmental </w:t>
      </w:r>
      <w:r>
        <w:rPr>
          <w:color w:val="231F20"/>
        </w:rPr>
        <w:t>and social needs and priorities of our communities.</w:t>
      </w:r>
    </w:p>
    <w:p w14:paraId="0606C8FA" w14:textId="77777777" w:rsidR="001E4FCC" w:rsidRDefault="001E4FCC" w:rsidP="001E4FCC">
      <w:pPr>
        <w:pStyle w:val="BodyText"/>
        <w:spacing w:before="2" w:line="242" w:lineRule="auto"/>
        <w:ind w:left="390"/>
      </w:pPr>
      <w:r>
        <w:rPr>
          <w:color w:val="231F20"/>
        </w:rPr>
        <w:t>Too often planning is treated as a vehicle for short-term economic</w:t>
      </w:r>
      <w:r>
        <w:rPr>
          <w:color w:val="231F20"/>
          <w:spacing w:val="-6"/>
        </w:rPr>
        <w:t xml:space="preserve"> </w:t>
      </w:r>
      <w:r>
        <w:rPr>
          <w:color w:val="231F20"/>
        </w:rPr>
        <w:t>stimulus</w:t>
      </w:r>
      <w:r>
        <w:rPr>
          <w:color w:val="231F20"/>
          <w:spacing w:val="-6"/>
        </w:rPr>
        <w:t xml:space="preserve"> </w:t>
      </w:r>
      <w:r>
        <w:rPr>
          <w:color w:val="231F20"/>
        </w:rPr>
        <w:t>with</w:t>
      </w:r>
      <w:r>
        <w:rPr>
          <w:color w:val="231F20"/>
          <w:spacing w:val="-5"/>
        </w:rPr>
        <w:t xml:space="preserve"> </w:t>
      </w:r>
      <w:r>
        <w:rPr>
          <w:color w:val="231F20"/>
        </w:rPr>
        <w:t>little</w:t>
      </w:r>
      <w:r>
        <w:rPr>
          <w:color w:val="231F20"/>
          <w:spacing w:val="-6"/>
        </w:rPr>
        <w:t xml:space="preserve"> </w:t>
      </w:r>
      <w:r>
        <w:rPr>
          <w:color w:val="231F20"/>
        </w:rPr>
        <w:t>regard</w:t>
      </w:r>
      <w:r>
        <w:rPr>
          <w:color w:val="231F20"/>
          <w:spacing w:val="-5"/>
        </w:rPr>
        <w:t xml:space="preserve"> </w:t>
      </w:r>
      <w:r>
        <w:rPr>
          <w:color w:val="231F20"/>
        </w:rPr>
        <w:t>for</w:t>
      </w:r>
      <w:r>
        <w:rPr>
          <w:color w:val="231F20"/>
          <w:spacing w:val="-6"/>
        </w:rPr>
        <w:t xml:space="preserve"> </w:t>
      </w:r>
      <w:r>
        <w:rPr>
          <w:color w:val="231F20"/>
        </w:rPr>
        <w:t>the</w:t>
      </w:r>
      <w:r>
        <w:rPr>
          <w:color w:val="231F20"/>
          <w:spacing w:val="-5"/>
        </w:rPr>
        <w:t xml:space="preserve"> </w:t>
      </w:r>
      <w:r>
        <w:rPr>
          <w:color w:val="231F20"/>
        </w:rPr>
        <w:t xml:space="preserve">long-term </w:t>
      </w:r>
      <w:r>
        <w:rPr>
          <w:color w:val="231F20"/>
          <w:spacing w:val="-2"/>
        </w:rPr>
        <w:t>consequences</w:t>
      </w:r>
      <w:r>
        <w:rPr>
          <w:color w:val="231F20"/>
          <w:spacing w:val="-7"/>
        </w:rPr>
        <w:t xml:space="preserve"> </w:t>
      </w:r>
      <w:r>
        <w:rPr>
          <w:color w:val="231F20"/>
          <w:spacing w:val="-2"/>
        </w:rPr>
        <w:t>this</w:t>
      </w:r>
      <w:r>
        <w:rPr>
          <w:color w:val="231F20"/>
          <w:spacing w:val="-6"/>
        </w:rPr>
        <w:t xml:space="preserve"> </w:t>
      </w:r>
      <w:r>
        <w:rPr>
          <w:color w:val="231F20"/>
          <w:spacing w:val="-2"/>
        </w:rPr>
        <w:t>has</w:t>
      </w:r>
      <w:r>
        <w:rPr>
          <w:color w:val="231F20"/>
          <w:spacing w:val="-6"/>
        </w:rPr>
        <w:t xml:space="preserve"> </w:t>
      </w:r>
      <w:r>
        <w:rPr>
          <w:color w:val="231F20"/>
          <w:spacing w:val="-2"/>
        </w:rPr>
        <w:t>on</w:t>
      </w:r>
      <w:r>
        <w:rPr>
          <w:color w:val="231F20"/>
          <w:spacing w:val="-6"/>
        </w:rPr>
        <w:t xml:space="preserve"> </w:t>
      </w:r>
      <w:r>
        <w:rPr>
          <w:color w:val="231F20"/>
          <w:spacing w:val="-2"/>
        </w:rPr>
        <w:t>our</w:t>
      </w:r>
      <w:r>
        <w:rPr>
          <w:color w:val="231F20"/>
          <w:spacing w:val="-7"/>
        </w:rPr>
        <w:t xml:space="preserve"> </w:t>
      </w:r>
      <w:r>
        <w:rPr>
          <w:color w:val="231F20"/>
          <w:spacing w:val="-2"/>
        </w:rPr>
        <w:t>built</w:t>
      </w:r>
      <w:r>
        <w:rPr>
          <w:color w:val="231F20"/>
          <w:spacing w:val="-6"/>
        </w:rPr>
        <w:t xml:space="preserve"> </w:t>
      </w:r>
      <w:r>
        <w:rPr>
          <w:color w:val="231F20"/>
          <w:spacing w:val="-2"/>
        </w:rPr>
        <w:t>and</w:t>
      </w:r>
      <w:r>
        <w:rPr>
          <w:color w:val="231F20"/>
          <w:spacing w:val="-6"/>
        </w:rPr>
        <w:t xml:space="preserve"> </w:t>
      </w:r>
      <w:r>
        <w:rPr>
          <w:color w:val="231F20"/>
          <w:spacing w:val="-2"/>
        </w:rPr>
        <w:t>natural</w:t>
      </w:r>
      <w:r>
        <w:rPr>
          <w:color w:val="231F20"/>
          <w:spacing w:val="-6"/>
        </w:rPr>
        <w:t xml:space="preserve"> </w:t>
      </w:r>
      <w:r>
        <w:rPr>
          <w:color w:val="231F20"/>
          <w:spacing w:val="-2"/>
        </w:rPr>
        <w:t>environment.</w:t>
      </w:r>
    </w:p>
    <w:p w14:paraId="4D58C48C" w14:textId="77777777" w:rsidR="001E4FCC" w:rsidRDefault="001E4FCC" w:rsidP="001E4FCC">
      <w:pPr>
        <w:pStyle w:val="BodyText"/>
        <w:spacing w:before="174" w:line="242" w:lineRule="auto"/>
        <w:ind w:left="390" w:right="95"/>
      </w:pPr>
      <w:r>
        <w:rPr>
          <w:color w:val="231F20"/>
        </w:rPr>
        <w:t>The Victorian building regulatory system is at a crisis</w:t>
      </w:r>
      <w:r>
        <w:rPr>
          <w:color w:val="231F20"/>
          <w:spacing w:val="40"/>
        </w:rPr>
        <w:t xml:space="preserve"> </w:t>
      </w:r>
      <w:r>
        <w:rPr>
          <w:color w:val="231F20"/>
        </w:rPr>
        <w:t xml:space="preserve">point. It is unacceptable that so many homebuyers find </w:t>
      </w:r>
      <w:r>
        <w:rPr>
          <w:color w:val="231F20"/>
          <w:spacing w:val="-2"/>
        </w:rPr>
        <w:t xml:space="preserve">themselves left with unsafe buildings, expected to bear the </w:t>
      </w:r>
      <w:r>
        <w:rPr>
          <w:color w:val="231F20"/>
        </w:rPr>
        <w:t>cost</w:t>
      </w:r>
      <w:r>
        <w:rPr>
          <w:color w:val="231F20"/>
          <w:spacing w:val="-6"/>
        </w:rPr>
        <w:t xml:space="preserve"> </w:t>
      </w:r>
      <w:r>
        <w:rPr>
          <w:color w:val="231F20"/>
        </w:rPr>
        <w:t>of</w:t>
      </w:r>
      <w:r>
        <w:rPr>
          <w:color w:val="231F20"/>
          <w:spacing w:val="-6"/>
        </w:rPr>
        <w:t xml:space="preserve"> </w:t>
      </w:r>
      <w:r>
        <w:rPr>
          <w:color w:val="231F20"/>
        </w:rPr>
        <w:t>rectification</w:t>
      </w:r>
      <w:r>
        <w:rPr>
          <w:color w:val="231F20"/>
          <w:spacing w:val="-5"/>
        </w:rPr>
        <w:t xml:space="preserve"> </w:t>
      </w:r>
      <w:r>
        <w:rPr>
          <w:color w:val="231F20"/>
        </w:rPr>
        <w:t>for</w:t>
      </w:r>
      <w:r>
        <w:rPr>
          <w:color w:val="231F20"/>
          <w:spacing w:val="-6"/>
        </w:rPr>
        <w:t xml:space="preserve"> </w:t>
      </w:r>
      <w:r>
        <w:rPr>
          <w:color w:val="231F20"/>
        </w:rPr>
        <w:t>defects</w:t>
      </w:r>
      <w:r>
        <w:rPr>
          <w:color w:val="231F20"/>
          <w:spacing w:val="-5"/>
        </w:rPr>
        <w:t xml:space="preserve"> </w:t>
      </w:r>
      <w:r>
        <w:rPr>
          <w:color w:val="231F20"/>
        </w:rPr>
        <w:t>they</w:t>
      </w:r>
      <w:r>
        <w:rPr>
          <w:color w:val="231F20"/>
          <w:spacing w:val="-6"/>
        </w:rPr>
        <w:t xml:space="preserve"> </w:t>
      </w:r>
      <w:r>
        <w:rPr>
          <w:color w:val="231F20"/>
        </w:rPr>
        <w:t>had</w:t>
      </w:r>
      <w:r>
        <w:rPr>
          <w:color w:val="231F20"/>
          <w:spacing w:val="-5"/>
        </w:rPr>
        <w:t xml:space="preserve"> </w:t>
      </w:r>
      <w:r>
        <w:rPr>
          <w:color w:val="231F20"/>
        </w:rPr>
        <w:t>no</w:t>
      </w:r>
      <w:r>
        <w:rPr>
          <w:color w:val="231F20"/>
          <w:spacing w:val="-6"/>
        </w:rPr>
        <w:t xml:space="preserve"> </w:t>
      </w:r>
      <w:r>
        <w:rPr>
          <w:color w:val="231F20"/>
        </w:rPr>
        <w:t>fault</w:t>
      </w:r>
      <w:r>
        <w:rPr>
          <w:color w:val="231F20"/>
          <w:spacing w:val="-6"/>
        </w:rPr>
        <w:t xml:space="preserve"> </w:t>
      </w:r>
      <w:r>
        <w:rPr>
          <w:color w:val="231F20"/>
        </w:rPr>
        <w:t>in.</w:t>
      </w:r>
      <w:r>
        <w:rPr>
          <w:color w:val="231F20"/>
          <w:spacing w:val="-5"/>
        </w:rPr>
        <w:t xml:space="preserve"> </w:t>
      </w:r>
      <w:r>
        <w:rPr>
          <w:color w:val="231F20"/>
        </w:rPr>
        <w:t xml:space="preserve">Urgent reforms are needed to ensure greater </w:t>
      </w:r>
      <w:proofErr w:type="spellStart"/>
      <w:r>
        <w:rPr>
          <w:color w:val="231F20"/>
        </w:rPr>
        <w:t>rigour</w:t>
      </w:r>
      <w:proofErr w:type="spellEnd"/>
      <w:r>
        <w:rPr>
          <w:color w:val="231F20"/>
        </w:rPr>
        <w:t xml:space="preserve"> is applied through building approval processes.</w:t>
      </w:r>
    </w:p>
    <w:p w14:paraId="7B0EDFA5" w14:textId="0EE6D01B" w:rsidR="001E4FCC" w:rsidRDefault="001E4FCC" w:rsidP="001E4FCC">
      <w:pPr>
        <w:pStyle w:val="BodyText"/>
        <w:spacing w:before="176" w:line="242" w:lineRule="auto"/>
        <w:ind w:left="390" w:right="103"/>
        <w:rPr>
          <w:sz w:val="28"/>
        </w:rPr>
      </w:pPr>
      <w:r>
        <w:rPr>
          <w:color w:val="231F20"/>
        </w:rPr>
        <w:t xml:space="preserve">We are eager to engage with the State </w:t>
      </w:r>
      <w:r>
        <w:rPr>
          <w:color w:val="231F20"/>
          <w:spacing w:val="2"/>
          <w:w w:val="135"/>
        </w:rPr>
        <w:t>G</w:t>
      </w:r>
      <w:r>
        <w:rPr>
          <w:color w:val="231F20"/>
          <w:spacing w:val="-3"/>
          <w:w w:val="108"/>
        </w:rPr>
        <w:t>o</w:t>
      </w:r>
      <w:r>
        <w:rPr>
          <w:color w:val="231F20"/>
          <w:spacing w:val="-2"/>
        </w:rPr>
        <w:t>v</w:t>
      </w:r>
      <w:r>
        <w:rPr>
          <w:color w:val="231F20"/>
          <w:spacing w:val="-1"/>
          <w:w w:val="107"/>
        </w:rPr>
        <w:t>e</w:t>
      </w:r>
      <w:r>
        <w:rPr>
          <w:color w:val="231F20"/>
          <w:w w:val="84"/>
        </w:rPr>
        <w:t>r</w:t>
      </w:r>
      <w:r>
        <w:rPr>
          <w:color w:val="231F20"/>
          <w:spacing w:val="-2"/>
          <w:w w:val="98"/>
        </w:rPr>
        <w:t>n</w:t>
      </w:r>
      <w:r>
        <w:rPr>
          <w:color w:val="231F20"/>
          <w:w w:val="95"/>
        </w:rPr>
        <w:t>m</w:t>
      </w:r>
      <w:r>
        <w:rPr>
          <w:color w:val="231F20"/>
          <w:spacing w:val="-1"/>
          <w:w w:val="107"/>
        </w:rPr>
        <w:t>e</w:t>
      </w:r>
      <w:r>
        <w:rPr>
          <w:color w:val="231F20"/>
          <w:spacing w:val="-2"/>
          <w:w w:val="98"/>
        </w:rPr>
        <w:t>n</w:t>
      </w:r>
      <w:r>
        <w:rPr>
          <w:color w:val="231F20"/>
          <w:spacing w:val="1"/>
          <w:w w:val="67"/>
        </w:rPr>
        <w:t>t</w:t>
      </w:r>
      <w:r>
        <w:rPr>
          <w:color w:val="231F20"/>
          <w:spacing w:val="-1"/>
          <w:w w:val="99"/>
        </w:rPr>
        <w:t xml:space="preserve"> </w:t>
      </w:r>
      <w:r>
        <w:rPr>
          <w:color w:val="231F20"/>
        </w:rPr>
        <w:t>on significant reform to the building regulatory system and local</w:t>
      </w:r>
      <w:r>
        <w:rPr>
          <w:color w:val="231F20"/>
          <w:spacing w:val="-6"/>
        </w:rPr>
        <w:t xml:space="preserve"> </w:t>
      </w:r>
      <w:r>
        <w:rPr>
          <w:color w:val="231F20"/>
        </w:rPr>
        <w:t>government’s</w:t>
      </w:r>
      <w:r>
        <w:rPr>
          <w:color w:val="231F20"/>
          <w:spacing w:val="-6"/>
        </w:rPr>
        <w:t xml:space="preserve"> </w:t>
      </w:r>
      <w:r>
        <w:rPr>
          <w:color w:val="231F20"/>
        </w:rPr>
        <w:t>role</w:t>
      </w:r>
      <w:r>
        <w:rPr>
          <w:color w:val="231F20"/>
          <w:spacing w:val="-5"/>
        </w:rPr>
        <w:t xml:space="preserve"> </w:t>
      </w:r>
      <w:r>
        <w:rPr>
          <w:color w:val="231F20"/>
        </w:rPr>
        <w:t>in</w:t>
      </w:r>
      <w:r>
        <w:rPr>
          <w:color w:val="231F20"/>
          <w:spacing w:val="-6"/>
        </w:rPr>
        <w:t xml:space="preserve"> </w:t>
      </w:r>
      <w:r>
        <w:rPr>
          <w:color w:val="231F20"/>
        </w:rPr>
        <w:t>it.</w:t>
      </w:r>
      <w:r>
        <w:rPr>
          <w:color w:val="231F20"/>
          <w:spacing w:val="-5"/>
        </w:rPr>
        <w:t xml:space="preserve"> </w:t>
      </w:r>
      <w:r>
        <w:rPr>
          <w:color w:val="231F20"/>
        </w:rPr>
        <w:t>However,</w:t>
      </w:r>
      <w:r>
        <w:rPr>
          <w:color w:val="231F20"/>
          <w:spacing w:val="-6"/>
        </w:rPr>
        <w:t xml:space="preserve"> </w:t>
      </w:r>
      <w:r>
        <w:rPr>
          <w:color w:val="231F20"/>
        </w:rPr>
        <w:t>the</w:t>
      </w:r>
      <w:r>
        <w:rPr>
          <w:color w:val="231F20"/>
          <w:spacing w:val="-5"/>
        </w:rPr>
        <w:t xml:space="preserve"> </w:t>
      </w:r>
      <w:r>
        <w:rPr>
          <w:color w:val="231F20"/>
        </w:rPr>
        <w:t>current</w:t>
      </w:r>
      <w:r>
        <w:rPr>
          <w:color w:val="231F20"/>
          <w:spacing w:val="-6"/>
        </w:rPr>
        <w:t xml:space="preserve"> </w:t>
      </w:r>
      <w:r>
        <w:rPr>
          <w:color w:val="231F20"/>
        </w:rPr>
        <w:t>push</w:t>
      </w:r>
      <w:r>
        <w:rPr>
          <w:color w:val="231F20"/>
          <w:spacing w:val="-6"/>
        </w:rPr>
        <w:t xml:space="preserve"> </w:t>
      </w:r>
      <w:r>
        <w:rPr>
          <w:color w:val="231F20"/>
        </w:rPr>
        <w:t xml:space="preserve">to </w:t>
      </w:r>
      <w:r>
        <w:rPr>
          <w:color w:val="231F20"/>
          <w:w w:val="95"/>
        </w:rPr>
        <w:t xml:space="preserve">transfer responsibility from the VBA to local government for </w:t>
      </w:r>
      <w:r>
        <w:rPr>
          <w:color w:val="231F20"/>
        </w:rPr>
        <w:t>addressing cladding rectification and orphaned building permits ignores the lack of building surveyors available to local government and hinders efforts to find a consistent and timely resolution for building owners.</w:t>
      </w:r>
    </w:p>
    <w:p w14:paraId="04A6A9D1" w14:textId="77777777" w:rsidR="001E4FCC" w:rsidRPr="00560ABB" w:rsidRDefault="001E4FCC" w:rsidP="00560ABB"/>
    <w:p w14:paraId="08CD678F" w14:textId="77777777" w:rsidR="001E4FCC" w:rsidRPr="00560ABB" w:rsidRDefault="001E4FCC" w:rsidP="00560ABB">
      <w:pPr>
        <w:rPr>
          <w:b/>
          <w:bCs/>
        </w:rPr>
      </w:pPr>
      <w:r w:rsidRPr="00560ABB">
        <w:rPr>
          <w:b/>
          <w:bCs/>
        </w:rPr>
        <w:t>WHAT WE NEED FROM THE STATE GOVERNMENT</w:t>
      </w:r>
    </w:p>
    <w:p w14:paraId="4B0A8801" w14:textId="77777777" w:rsidR="001E4FCC" w:rsidRPr="00560ABB" w:rsidRDefault="001E4FCC" w:rsidP="00560ABB">
      <w:pPr>
        <w:pStyle w:val="ListParagraph"/>
        <w:numPr>
          <w:ilvl w:val="0"/>
          <w:numId w:val="4"/>
        </w:numPr>
      </w:pPr>
      <w:r w:rsidRPr="00560ABB">
        <w:t>A commitment to protect the democratic legitimacy of the planning system by respecting local decision making</w:t>
      </w:r>
    </w:p>
    <w:p w14:paraId="6E106AE6" w14:textId="77777777" w:rsidR="001E4FCC" w:rsidRPr="00560ABB" w:rsidRDefault="001E4FCC" w:rsidP="00560ABB">
      <w:pPr>
        <w:pStyle w:val="ListParagraph"/>
        <w:numPr>
          <w:ilvl w:val="0"/>
          <w:numId w:val="4"/>
        </w:numPr>
      </w:pPr>
      <w:r w:rsidRPr="00560ABB">
        <w:t>Reform of Victoria’s building regulatory system to provide safe buildings and adequate resources to councils to play an increased role</w:t>
      </w:r>
    </w:p>
    <w:p w14:paraId="06E1DFE9" w14:textId="77777777" w:rsidR="001E4FCC" w:rsidRPr="00560ABB" w:rsidRDefault="001E4FCC" w:rsidP="00560ABB">
      <w:pPr>
        <w:pStyle w:val="ListParagraph"/>
        <w:numPr>
          <w:ilvl w:val="0"/>
          <w:numId w:val="4"/>
        </w:numPr>
      </w:pPr>
      <w:r w:rsidRPr="00560ABB">
        <w:t xml:space="preserve">Review of the planning system to ensure that community benefit is </w:t>
      </w:r>
      <w:proofErr w:type="spellStart"/>
      <w:r w:rsidRPr="00560ABB">
        <w:t>prioritised</w:t>
      </w:r>
      <w:proofErr w:type="spellEnd"/>
      <w:r w:rsidRPr="00560ABB">
        <w:t xml:space="preserve"> over private financial windfalls, including through improved infrastructure contribution mechanisms and greater provision of social and affordable housing</w:t>
      </w:r>
    </w:p>
    <w:p w14:paraId="2257A5EB" w14:textId="77777777" w:rsidR="001E4FCC" w:rsidRPr="00560ABB" w:rsidRDefault="001E4FCC" w:rsidP="00560ABB">
      <w:pPr>
        <w:pStyle w:val="ListParagraph"/>
        <w:numPr>
          <w:ilvl w:val="0"/>
          <w:numId w:val="4"/>
        </w:numPr>
      </w:pPr>
      <w:r w:rsidRPr="00560ABB">
        <w:t>Transparent reporting on the net community benefit and economic gain expected from major planning decisions and reforms</w:t>
      </w:r>
    </w:p>
    <w:p w14:paraId="1784EBA9" w14:textId="77777777" w:rsidR="001E4FCC" w:rsidRPr="00560ABB" w:rsidRDefault="001E4FCC" w:rsidP="00560ABB">
      <w:pPr>
        <w:pStyle w:val="ListParagraph"/>
        <w:numPr>
          <w:ilvl w:val="0"/>
          <w:numId w:val="4"/>
        </w:numPr>
      </w:pPr>
      <w:r w:rsidRPr="00560ABB">
        <w:t>An evidence-driven and state-led approach to ensure that planning schemes accurately reflect and manage environmental hazards and increasing climate change risks</w:t>
      </w:r>
    </w:p>
    <w:p w14:paraId="61516A37" w14:textId="77777777" w:rsidR="001E4FCC" w:rsidRPr="00560ABB" w:rsidRDefault="001E4FCC" w:rsidP="00560ABB">
      <w:pPr>
        <w:pStyle w:val="ListParagraph"/>
        <w:numPr>
          <w:ilvl w:val="0"/>
          <w:numId w:val="4"/>
        </w:numPr>
      </w:pPr>
      <w:r w:rsidRPr="00560ABB">
        <w:t>Improvements to the planning scheme amendment process to ensure councils can develop and implement local policy in an efficient and timely manner.</w:t>
      </w:r>
    </w:p>
    <w:p w14:paraId="0B64A630" w14:textId="77777777" w:rsidR="001E4FCC" w:rsidRPr="00560ABB" w:rsidRDefault="001E4FCC" w:rsidP="00560ABB"/>
    <w:p w14:paraId="2F4829A0" w14:textId="77777777" w:rsidR="001E4FCC" w:rsidRPr="00560ABB" w:rsidRDefault="001E4FCC" w:rsidP="00560ABB">
      <w:pPr>
        <w:rPr>
          <w:b/>
          <w:bCs/>
        </w:rPr>
      </w:pPr>
      <w:r w:rsidRPr="00560ABB">
        <w:rPr>
          <w:b/>
          <w:bCs/>
        </w:rPr>
        <w:t>BENEFITS FOR OUR COMMUNITY</w:t>
      </w:r>
    </w:p>
    <w:p w14:paraId="7E719CB6" w14:textId="77777777" w:rsidR="001E4FCC" w:rsidRPr="00560ABB" w:rsidRDefault="001E4FCC" w:rsidP="00560ABB">
      <w:pPr>
        <w:pStyle w:val="ListParagraph"/>
        <w:numPr>
          <w:ilvl w:val="0"/>
          <w:numId w:val="5"/>
        </w:numPr>
      </w:pPr>
      <w:r w:rsidRPr="00560ABB">
        <w:t xml:space="preserve">Communities provided with meaningful input into the planning decisions that shape their </w:t>
      </w:r>
      <w:proofErr w:type="spellStart"/>
      <w:r w:rsidRPr="00560ABB">
        <w:t>neighbourhoods</w:t>
      </w:r>
      <w:proofErr w:type="spellEnd"/>
    </w:p>
    <w:p w14:paraId="6795FE28" w14:textId="77777777" w:rsidR="001E4FCC" w:rsidRPr="00560ABB" w:rsidRDefault="001E4FCC" w:rsidP="00560ABB">
      <w:pPr>
        <w:pStyle w:val="ListParagraph"/>
        <w:numPr>
          <w:ilvl w:val="0"/>
          <w:numId w:val="5"/>
        </w:numPr>
      </w:pPr>
      <w:r w:rsidRPr="00560ABB">
        <w:t>Improved safety of buildings, consumer protection for building owners, and restored confidence in the construction industry</w:t>
      </w:r>
    </w:p>
    <w:p w14:paraId="0044311B" w14:textId="77777777" w:rsidR="001E4FCC" w:rsidRPr="00560ABB" w:rsidRDefault="001E4FCC" w:rsidP="00560ABB">
      <w:pPr>
        <w:pStyle w:val="ListParagraph"/>
        <w:numPr>
          <w:ilvl w:val="0"/>
          <w:numId w:val="5"/>
        </w:numPr>
      </w:pPr>
      <w:r w:rsidRPr="00560ABB">
        <w:t>Infrastructure, including social and affordable housing, that meets community expectations</w:t>
      </w:r>
    </w:p>
    <w:p w14:paraId="531C93DA" w14:textId="77777777" w:rsidR="001E4FCC" w:rsidRPr="00560ABB" w:rsidRDefault="001E4FCC" w:rsidP="00560ABB">
      <w:pPr>
        <w:pStyle w:val="ListParagraph"/>
        <w:numPr>
          <w:ilvl w:val="0"/>
          <w:numId w:val="5"/>
        </w:numPr>
      </w:pPr>
      <w:r w:rsidRPr="00560ABB">
        <w:t>Communities that are safer from environmental hazards.</w:t>
      </w:r>
    </w:p>
    <w:p w14:paraId="42A659AF" w14:textId="77777777" w:rsidR="00560ABB" w:rsidRDefault="00560ABB" w:rsidP="00560ABB"/>
    <w:p w14:paraId="50A819B9" w14:textId="77777777" w:rsidR="00560ABB" w:rsidRDefault="001E4FCC" w:rsidP="00560ABB">
      <w:pPr>
        <w:rPr>
          <w:b/>
          <w:bCs/>
        </w:rPr>
      </w:pPr>
      <w:r w:rsidRPr="00560ABB">
        <w:rPr>
          <w:b/>
          <w:bCs/>
        </w:rPr>
        <w:t>COMMUNITY RESILIENCE AND EMERGENCY MANAGEMENT</w:t>
      </w:r>
    </w:p>
    <w:p w14:paraId="51F45D92" w14:textId="02CB69D7" w:rsidR="001E4FCC" w:rsidRPr="00560ABB" w:rsidRDefault="001E4FCC" w:rsidP="00560ABB">
      <w:pPr>
        <w:rPr>
          <w:b/>
          <w:bCs/>
        </w:rPr>
      </w:pPr>
      <w:r w:rsidRPr="00560ABB">
        <w:rPr>
          <w:b/>
          <w:bCs/>
        </w:rPr>
        <w:t>CURRENT SITUATION</w:t>
      </w:r>
    </w:p>
    <w:p w14:paraId="26B68993" w14:textId="5BEFA606" w:rsidR="001E4FCC" w:rsidRDefault="001E4FCC" w:rsidP="00560ABB">
      <w:r w:rsidRPr="00560ABB">
        <w:t>Local government’s cradle-to-the-grave involvement in people’s lives, and links to community groups and local businesses provide a solid foundation on which to build effective community resilience.</w:t>
      </w:r>
    </w:p>
    <w:p w14:paraId="13C12087" w14:textId="77777777" w:rsidR="00560ABB" w:rsidRPr="00560ABB" w:rsidRDefault="00560ABB" w:rsidP="00560ABB"/>
    <w:p w14:paraId="43C89695" w14:textId="7309A78B" w:rsidR="001E4FCC" w:rsidRDefault="001E4FCC" w:rsidP="00560ABB">
      <w:r w:rsidRPr="00560ABB">
        <w:t xml:space="preserve">In the critical area of emergency management, councils have supported communities through the pandemic, and coordinated relief and recovery from severe bushfires, </w:t>
      </w:r>
      <w:proofErr w:type="gramStart"/>
      <w:r w:rsidRPr="00560ABB">
        <w:t>storms</w:t>
      </w:r>
      <w:proofErr w:type="gramEnd"/>
      <w:r w:rsidRPr="00560ABB">
        <w:t xml:space="preserve"> and prolonged power outages.</w:t>
      </w:r>
    </w:p>
    <w:p w14:paraId="546D6ACB" w14:textId="77777777" w:rsidR="00560ABB" w:rsidRPr="00560ABB" w:rsidRDefault="00560ABB" w:rsidP="00560ABB"/>
    <w:p w14:paraId="0145A53B" w14:textId="04A6CBC9" w:rsidR="001E4FCC" w:rsidRDefault="001E4FCC" w:rsidP="00560ABB">
      <w:r w:rsidRPr="00560ABB">
        <w:t>In 2019, a state-facilitated assessment through the State Government’s Councils &amp; Emergencies project found sector- wide capability and capacity gaps in several of councils’ critical emergency management roles.</w:t>
      </w:r>
    </w:p>
    <w:p w14:paraId="0DE48FED" w14:textId="77777777" w:rsidR="00560ABB" w:rsidRPr="00560ABB" w:rsidRDefault="00560ABB" w:rsidP="00560ABB"/>
    <w:p w14:paraId="67E06667" w14:textId="14722987" w:rsidR="001E4FCC" w:rsidRDefault="001E4FCC" w:rsidP="00560ABB">
      <w:r w:rsidRPr="00560ABB">
        <w:t>Despite this, there has been no investment in sector training and development, nor an increase in funding commensurate with their expanding role.</w:t>
      </w:r>
    </w:p>
    <w:p w14:paraId="7AAFDCE2" w14:textId="77777777" w:rsidR="00560ABB" w:rsidRPr="00560ABB" w:rsidRDefault="00560ABB" w:rsidP="00560ABB"/>
    <w:p w14:paraId="26C57070" w14:textId="47B9B6D3" w:rsidR="001E4FCC" w:rsidRDefault="001E4FCC" w:rsidP="00560ABB">
      <w:r w:rsidRPr="00560ABB">
        <w:t xml:space="preserve">Emergency management is </w:t>
      </w:r>
      <w:proofErr w:type="gramStart"/>
      <w:r w:rsidRPr="00560ABB">
        <w:t>complex</w:t>
      </w:r>
      <w:proofErr w:type="gramEnd"/>
      <w:r w:rsidRPr="00560ABB">
        <w:t xml:space="preserve"> and the stakes are high. It is critical that councils are empowered and adequately funded to lead local resilience building, support local </w:t>
      </w:r>
      <w:proofErr w:type="gramStart"/>
      <w:r w:rsidRPr="00560ABB">
        <w:t>planning</w:t>
      </w:r>
      <w:proofErr w:type="gramEnd"/>
      <w:r w:rsidRPr="00560ABB">
        <w:t xml:space="preserve"> and effectively coordinate local- level relief and recovery.</w:t>
      </w:r>
    </w:p>
    <w:p w14:paraId="3AA785B5" w14:textId="77777777" w:rsidR="00560ABB" w:rsidRPr="00560ABB" w:rsidRDefault="00560ABB" w:rsidP="00560ABB"/>
    <w:p w14:paraId="7F7730A8" w14:textId="47C14E6A" w:rsidR="001E4FCC" w:rsidRDefault="001E4FCC" w:rsidP="00560ABB">
      <w:r w:rsidRPr="00560ABB">
        <w:t xml:space="preserve">While there has been significant reform and investment in family violence prevention since the Royal Commission into Family Violence, the opportunities available through local government are yet to be fully </w:t>
      </w:r>
      <w:proofErr w:type="spellStart"/>
      <w:r w:rsidRPr="00560ABB">
        <w:t>realised</w:t>
      </w:r>
      <w:proofErr w:type="spellEnd"/>
      <w:r w:rsidRPr="00560ABB">
        <w:t>. Recent co-design of the Local Government Guide for Preventing Family Violence is a significant step forward, particularly for the 15 funded councils. The next step will require ongoing resourcing and support to be fully embedded across the state.</w:t>
      </w:r>
    </w:p>
    <w:p w14:paraId="5DEA144B" w14:textId="77777777" w:rsidR="00560ABB" w:rsidRPr="00560ABB" w:rsidRDefault="00560ABB" w:rsidP="00560ABB"/>
    <w:p w14:paraId="3475F482" w14:textId="77777777" w:rsidR="001E4FCC" w:rsidRPr="00560ABB" w:rsidRDefault="001E4FCC" w:rsidP="00560ABB">
      <w:r w:rsidRPr="00560ABB">
        <w:t xml:space="preserve">Introduction of the Gender Equality Act (2020) has been welcomed by the local government </w:t>
      </w:r>
      <w:proofErr w:type="gramStart"/>
      <w:r w:rsidRPr="00560ABB">
        <w:t>sector,</w:t>
      </w:r>
      <w:proofErr w:type="gramEnd"/>
      <w:r w:rsidRPr="00560ABB">
        <w:t xml:space="preserve"> however, the absence of resourcing or sector-specific guidance has resulted in duplication of effort and reduced the potential impact.</w:t>
      </w:r>
    </w:p>
    <w:p w14:paraId="107B1D66" w14:textId="77777777" w:rsidR="001E4FCC" w:rsidRPr="00560ABB" w:rsidRDefault="001E4FCC" w:rsidP="00560ABB"/>
    <w:p w14:paraId="03D80D72" w14:textId="2C31E06A" w:rsidR="001E4FCC" w:rsidRPr="00560ABB" w:rsidRDefault="001E4FCC" w:rsidP="00560ABB">
      <w:pPr>
        <w:rPr>
          <w:b/>
          <w:bCs/>
        </w:rPr>
      </w:pPr>
      <w:r w:rsidRPr="00560ABB">
        <w:rPr>
          <w:b/>
          <w:bCs/>
        </w:rPr>
        <w:t>WHAT WE NEED FROM THE STATE GOVERNMENT</w:t>
      </w:r>
    </w:p>
    <w:p w14:paraId="12887455" w14:textId="77777777" w:rsidR="001E4FCC" w:rsidRPr="00560ABB" w:rsidRDefault="001E4FCC" w:rsidP="00560ABB">
      <w:pPr>
        <w:pStyle w:val="ListParagraph"/>
        <w:numPr>
          <w:ilvl w:val="0"/>
          <w:numId w:val="6"/>
        </w:numPr>
      </w:pPr>
      <w:r w:rsidRPr="00560ABB">
        <w:t>Expand the annual $4.98M Municipal Emergency Resourcing Program to cover all 79 councils, with a reviewed formula based on risk and capacity, and invest immediately in training for councils’ statutory emergency management roles. Significantly higher levels of ongoing funding, reflective of risk and community expectations are essential. As an immediate step, an additional $7M is needed to fund one FTE</w:t>
      </w:r>
    </w:p>
    <w:p w14:paraId="17E390E9" w14:textId="77777777" w:rsidR="001E4FCC" w:rsidRPr="00560ABB" w:rsidRDefault="001E4FCC" w:rsidP="00560ABB">
      <w:pPr>
        <w:pStyle w:val="ListParagraph"/>
        <w:numPr>
          <w:ilvl w:val="0"/>
          <w:numId w:val="6"/>
        </w:numPr>
      </w:pPr>
      <w:r w:rsidRPr="00560ABB">
        <w:t xml:space="preserve">in each council, while a transparent risk and </w:t>
      </w:r>
      <w:proofErr w:type="gramStart"/>
      <w:r w:rsidRPr="00560ABB">
        <w:t>capacity based</w:t>
      </w:r>
      <w:proofErr w:type="gramEnd"/>
      <w:r w:rsidRPr="00560ABB">
        <w:t xml:space="preserve"> formula is developed</w:t>
      </w:r>
    </w:p>
    <w:p w14:paraId="103AFEAF" w14:textId="77777777" w:rsidR="001E4FCC" w:rsidRPr="00560ABB" w:rsidRDefault="001E4FCC" w:rsidP="00560ABB">
      <w:pPr>
        <w:pStyle w:val="ListParagraph"/>
        <w:numPr>
          <w:ilvl w:val="0"/>
          <w:numId w:val="6"/>
        </w:numPr>
      </w:pPr>
      <w:r w:rsidRPr="00560ABB">
        <w:t>Dedicated funding for local hazard mitigation works and community resilience building</w:t>
      </w:r>
    </w:p>
    <w:p w14:paraId="4249305A" w14:textId="77777777" w:rsidR="001E4FCC" w:rsidRPr="00560ABB" w:rsidRDefault="001E4FCC" w:rsidP="00560ABB">
      <w:pPr>
        <w:pStyle w:val="ListParagraph"/>
        <w:numPr>
          <w:ilvl w:val="0"/>
          <w:numId w:val="6"/>
        </w:numPr>
      </w:pPr>
      <w:r w:rsidRPr="00560ABB">
        <w:t>Support councils to expand implementation of the Local Government Guide for Preventing Family Violence and meet obligations under the Gender Equality Act to strengthen community safety and cohesion.</w:t>
      </w:r>
    </w:p>
    <w:p w14:paraId="0CD0D00E" w14:textId="77777777" w:rsidR="001E4FCC" w:rsidRPr="00560ABB" w:rsidRDefault="001E4FCC" w:rsidP="00560ABB"/>
    <w:p w14:paraId="41CA5704" w14:textId="77777777" w:rsidR="001E4FCC" w:rsidRPr="00560ABB" w:rsidRDefault="001E4FCC" w:rsidP="00560ABB">
      <w:pPr>
        <w:rPr>
          <w:b/>
          <w:bCs/>
        </w:rPr>
      </w:pPr>
      <w:r w:rsidRPr="00560ABB">
        <w:rPr>
          <w:b/>
          <w:bCs/>
        </w:rPr>
        <w:t>BENEFITS FOR OUR COMMUNITY</w:t>
      </w:r>
    </w:p>
    <w:p w14:paraId="0A791B8F" w14:textId="77777777" w:rsidR="001E4FCC" w:rsidRPr="00560ABB" w:rsidRDefault="001E4FCC" w:rsidP="00560ABB">
      <w:pPr>
        <w:pStyle w:val="ListParagraph"/>
        <w:numPr>
          <w:ilvl w:val="0"/>
          <w:numId w:val="7"/>
        </w:numPr>
      </w:pPr>
      <w:r w:rsidRPr="00560ABB">
        <w:t>Building on recent investment in councils to support primary prevention of family violence by expanding the Free from Violence program to engage additional councils will fast track and consolidate this work across the state</w:t>
      </w:r>
    </w:p>
    <w:p w14:paraId="6322EE07" w14:textId="77777777" w:rsidR="001E4FCC" w:rsidRPr="00560ABB" w:rsidRDefault="001E4FCC" w:rsidP="00560ABB">
      <w:pPr>
        <w:pStyle w:val="ListParagraph"/>
        <w:numPr>
          <w:ilvl w:val="0"/>
          <w:numId w:val="7"/>
        </w:numPr>
      </w:pPr>
      <w:r w:rsidRPr="00560ABB">
        <w:t xml:space="preserve">The Free from Violence investment is an example of the State Government </w:t>
      </w:r>
      <w:proofErr w:type="spellStart"/>
      <w:r w:rsidRPr="00560ABB">
        <w:t>recognising</w:t>
      </w:r>
      <w:proofErr w:type="spellEnd"/>
      <w:r w:rsidRPr="00560ABB">
        <w:t xml:space="preserve"> councils’ reach into and understanding of local communities. Similar investment through councils to support community resilience and pandemic recovery is needed</w:t>
      </w:r>
    </w:p>
    <w:p w14:paraId="4E125B68" w14:textId="77777777" w:rsidR="001E4FCC" w:rsidRPr="00560ABB" w:rsidRDefault="001E4FCC" w:rsidP="00560ABB">
      <w:pPr>
        <w:pStyle w:val="ListParagraph"/>
        <w:numPr>
          <w:ilvl w:val="0"/>
          <w:numId w:val="7"/>
        </w:numPr>
      </w:pPr>
      <w:r w:rsidRPr="00560ABB">
        <w:t>Sufficiently funding and supporting councils’ emergency management role will mean communities are better supported to prepare for emergencies and help lead their own recovery</w:t>
      </w:r>
    </w:p>
    <w:p w14:paraId="469B86E1" w14:textId="12BDB520" w:rsidR="001E4FCC" w:rsidRPr="00560ABB" w:rsidRDefault="001E4FCC" w:rsidP="00560ABB">
      <w:pPr>
        <w:pStyle w:val="ListParagraph"/>
        <w:numPr>
          <w:ilvl w:val="0"/>
          <w:numId w:val="7"/>
        </w:numPr>
      </w:pPr>
      <w:r w:rsidRPr="00560ABB">
        <w:t xml:space="preserve">Adequate resourcing of councils to implement obligations under the Gender Equality Act will be more cost effective, reduce duplication, ensure the intent of the Act is </w:t>
      </w:r>
      <w:proofErr w:type="spellStart"/>
      <w:r w:rsidRPr="00560ABB">
        <w:t>actualised</w:t>
      </w:r>
      <w:proofErr w:type="spellEnd"/>
      <w:r w:rsidRPr="00560ABB">
        <w:t xml:space="preserve"> and lead to more equal outcomes for communities at the local level.</w:t>
      </w:r>
    </w:p>
    <w:p w14:paraId="3424118D" w14:textId="77777777" w:rsidR="00560ABB" w:rsidRDefault="00560ABB" w:rsidP="00560ABB"/>
    <w:p w14:paraId="7BEC8E08" w14:textId="07466F2F" w:rsidR="001E4FCC" w:rsidRPr="00560ABB" w:rsidRDefault="001E4FCC" w:rsidP="00560ABB">
      <w:pPr>
        <w:rPr>
          <w:b/>
          <w:bCs/>
        </w:rPr>
      </w:pPr>
      <w:r w:rsidRPr="00560ABB">
        <w:rPr>
          <w:b/>
          <w:bCs/>
        </w:rPr>
        <w:t>INFRASTRUCTURE &amp; TRANSPORT</w:t>
      </w:r>
    </w:p>
    <w:p w14:paraId="3D11B8ED" w14:textId="77777777" w:rsidR="001E4FCC" w:rsidRPr="00560ABB" w:rsidRDefault="001E4FCC" w:rsidP="00560ABB">
      <w:pPr>
        <w:rPr>
          <w:b/>
          <w:bCs/>
        </w:rPr>
      </w:pPr>
      <w:r w:rsidRPr="00560ABB">
        <w:rPr>
          <w:b/>
          <w:bCs/>
        </w:rPr>
        <w:t>CURRENT SITUATION</w:t>
      </w:r>
    </w:p>
    <w:p w14:paraId="76C2A758" w14:textId="1BCEBB5B" w:rsidR="001E4FCC" w:rsidRDefault="001E4FCC" w:rsidP="00560ABB">
      <w:r w:rsidRPr="00560ABB">
        <w:t>Communities across the state are seeing increased pressures on paths, roads, transport, infrastructure,</w:t>
      </w:r>
      <w:r w:rsidR="00560ABB">
        <w:t xml:space="preserve"> </w:t>
      </w:r>
      <w:r w:rsidRPr="00560ABB">
        <w:t>and community services driven by population changes and economic growth and the increasing cost of asset maintenance.</w:t>
      </w:r>
    </w:p>
    <w:p w14:paraId="64F65DCF" w14:textId="77777777" w:rsidR="00560ABB" w:rsidRPr="00560ABB" w:rsidRDefault="00560ABB" w:rsidP="00560ABB"/>
    <w:p w14:paraId="249AC764" w14:textId="5A79C08A" w:rsidR="001E4FCC" w:rsidRDefault="001E4FCC" w:rsidP="00560ABB">
      <w:r w:rsidRPr="00560ABB">
        <w:t>Better integration of state and local land use and infrastructure planning and improved data is essential to improve safety, productivity and accessibility for critical services and improve community connection.</w:t>
      </w:r>
    </w:p>
    <w:p w14:paraId="0BDC4F05" w14:textId="77777777" w:rsidR="00560ABB" w:rsidRPr="00560ABB" w:rsidRDefault="00560ABB" w:rsidP="00560ABB"/>
    <w:p w14:paraId="60E01ADF" w14:textId="1DD020FA" w:rsidR="001E4FCC" w:rsidRDefault="001E4FCC" w:rsidP="00560ABB">
      <w:r w:rsidRPr="00560ABB">
        <w:t xml:space="preserve">Six years of rate capping has </w:t>
      </w:r>
      <w:proofErr w:type="spellStart"/>
      <w:r w:rsidRPr="00560ABB">
        <w:t>fuelled</w:t>
      </w:r>
      <w:proofErr w:type="spellEnd"/>
      <w:r w:rsidRPr="00560ABB">
        <w:t xml:space="preserve"> the crisis for local road networks and many other community assets and services. The current State Governments’ preference for inflexible, time-limited grants programs often overlooks the need to renew existing infrastructure, such as ageing swimming pools, which is often the local preference.</w:t>
      </w:r>
    </w:p>
    <w:p w14:paraId="548DC619" w14:textId="77777777" w:rsidR="00560ABB" w:rsidRPr="00560ABB" w:rsidRDefault="00560ABB" w:rsidP="00560ABB"/>
    <w:p w14:paraId="1073CB29" w14:textId="5DF59E86" w:rsidR="001E4FCC" w:rsidRDefault="001E4FCC" w:rsidP="00560ABB">
      <w:r w:rsidRPr="00560ABB">
        <w:t>Compounding factors, such as Victoria’s Big Build and supply shortages, have impacted the cost and availability of materials and contractors.</w:t>
      </w:r>
    </w:p>
    <w:p w14:paraId="32CF54AB" w14:textId="77777777" w:rsidR="00560ABB" w:rsidRPr="00560ABB" w:rsidRDefault="00560ABB" w:rsidP="00560ABB"/>
    <w:p w14:paraId="454597D2" w14:textId="56F003BB" w:rsidR="001E4FCC" w:rsidRDefault="001E4FCC" w:rsidP="00560ABB">
      <w:r w:rsidRPr="00560ABB">
        <w:t>Locals know what locals need so increased autonomy for councils to direct grant funds will deliver better local outcomes.</w:t>
      </w:r>
    </w:p>
    <w:p w14:paraId="50CBEE15" w14:textId="77777777" w:rsidR="00560ABB" w:rsidRPr="00560ABB" w:rsidRDefault="00560ABB" w:rsidP="00560ABB"/>
    <w:p w14:paraId="7AC104CE" w14:textId="5EFB8104" w:rsidR="001E4FCC" w:rsidRPr="00560ABB" w:rsidRDefault="001E4FCC" w:rsidP="00560ABB">
      <w:r w:rsidRPr="00560ABB">
        <w:t>Noting that light vehicles account for around 10 per cent of Australia’s total carbon emissions, an accelerated transition away from internal combustion engine vehicles</w:t>
      </w:r>
      <w:r w:rsidR="00560ABB">
        <w:t xml:space="preserve"> </w:t>
      </w:r>
      <w:r w:rsidRPr="00560ABB">
        <w:t xml:space="preserve">to zero emission vehicles (ZEVs) should be considered an urgent priority. An equally, if not more, important focus should be supporting mode shift away from private vehicle use to active, </w:t>
      </w:r>
      <w:proofErr w:type="gramStart"/>
      <w:r w:rsidRPr="00560ABB">
        <w:t>public</w:t>
      </w:r>
      <w:proofErr w:type="gramEnd"/>
      <w:r w:rsidRPr="00560ABB">
        <w:t xml:space="preserve"> and shared transport options.</w:t>
      </w:r>
    </w:p>
    <w:p w14:paraId="59E249AC" w14:textId="77777777" w:rsidR="001E4FCC" w:rsidRPr="00560ABB" w:rsidRDefault="001E4FCC" w:rsidP="00560ABB"/>
    <w:p w14:paraId="5931289E" w14:textId="77777777" w:rsidR="001E4FCC" w:rsidRPr="00560ABB" w:rsidRDefault="001E4FCC" w:rsidP="00560ABB">
      <w:pPr>
        <w:rPr>
          <w:b/>
          <w:bCs/>
        </w:rPr>
      </w:pPr>
      <w:r w:rsidRPr="00560ABB">
        <w:rPr>
          <w:b/>
          <w:bCs/>
        </w:rPr>
        <w:t>WHAT WE NEED FROM THE STATE GOVERNMENT</w:t>
      </w:r>
    </w:p>
    <w:p w14:paraId="4DF02D22" w14:textId="77777777" w:rsidR="001E4FCC" w:rsidRPr="00560ABB" w:rsidRDefault="001E4FCC" w:rsidP="00560ABB">
      <w:pPr>
        <w:pStyle w:val="ListParagraph"/>
        <w:numPr>
          <w:ilvl w:val="0"/>
          <w:numId w:val="8"/>
        </w:numPr>
      </w:pPr>
      <w:r w:rsidRPr="00560ABB">
        <w:t>Commitment to a collaborative approach to transport and infrastructure planning, including project sequencing, by state and local government, as a valuable partner and community representative</w:t>
      </w:r>
    </w:p>
    <w:p w14:paraId="31D29725" w14:textId="475739EC" w:rsidR="001E4FCC" w:rsidRPr="00560ABB" w:rsidRDefault="001E4FCC" w:rsidP="00560ABB">
      <w:pPr>
        <w:pStyle w:val="ListParagraph"/>
        <w:numPr>
          <w:ilvl w:val="0"/>
          <w:numId w:val="8"/>
        </w:numPr>
      </w:pPr>
      <w:r w:rsidRPr="00560ABB">
        <w:t xml:space="preserve">Fund councils for the delivery of local priorities. With diverse needs </w:t>
      </w:r>
      <w:proofErr w:type="spellStart"/>
      <w:r w:rsidRPr="00560ABB">
        <w:t>prioritised</w:t>
      </w:r>
      <w:proofErr w:type="spellEnd"/>
      <w:r w:rsidRPr="00560ABB">
        <w:t xml:space="preserve"> by different communities, this must allow for local projects such as walking and bike riding infrastructure, road safety and local road construction.</w:t>
      </w:r>
    </w:p>
    <w:p w14:paraId="6A41F6BA" w14:textId="77777777" w:rsidR="001E4FCC" w:rsidRPr="00560ABB" w:rsidRDefault="001E4FCC" w:rsidP="00560ABB">
      <w:pPr>
        <w:pStyle w:val="ListParagraph"/>
        <w:numPr>
          <w:ilvl w:val="0"/>
          <w:numId w:val="8"/>
        </w:numPr>
      </w:pPr>
      <w:r w:rsidRPr="00560ABB">
        <w:t>The MAV calls for $230M over four years for priority walking and cycling projects in all Victorian councils and the establishment of a Local Road Blackspot Treatment and Prevention program targeting local intersections, road segments or users to reduce risk, as well as funding for proactive treatment of sites identified as potential future priorities through safe system assessments.</w:t>
      </w:r>
    </w:p>
    <w:p w14:paraId="7FA3244B" w14:textId="77777777" w:rsidR="001E4FCC" w:rsidRPr="00560ABB" w:rsidRDefault="001E4FCC" w:rsidP="00560ABB">
      <w:pPr>
        <w:pStyle w:val="ListParagraph"/>
        <w:numPr>
          <w:ilvl w:val="0"/>
          <w:numId w:val="8"/>
        </w:numPr>
      </w:pPr>
      <w:r w:rsidRPr="00560ABB">
        <w:t>Support councils to access better data and information systems to improve their asset management capability.</w:t>
      </w:r>
    </w:p>
    <w:p w14:paraId="30B45293" w14:textId="77777777" w:rsidR="001E4FCC" w:rsidRPr="00560ABB" w:rsidRDefault="001E4FCC" w:rsidP="00560ABB">
      <w:pPr>
        <w:pStyle w:val="ListParagraph"/>
        <w:numPr>
          <w:ilvl w:val="0"/>
          <w:numId w:val="8"/>
        </w:numPr>
      </w:pPr>
      <w:r w:rsidRPr="00560ABB">
        <w:t>Continued state investment in safe school access, including provision of indexed annual funding to truly match local government contributions to the school crossing supervisor program, plus funding to deliver safe system works to reduce reliance on supervisors and encourage safe active school transport</w:t>
      </w:r>
    </w:p>
    <w:p w14:paraId="10D098AA" w14:textId="77777777" w:rsidR="001E4FCC" w:rsidRPr="00560ABB" w:rsidRDefault="001E4FCC" w:rsidP="00560ABB">
      <w:pPr>
        <w:pStyle w:val="ListParagraph"/>
        <w:numPr>
          <w:ilvl w:val="0"/>
          <w:numId w:val="8"/>
        </w:numPr>
      </w:pPr>
      <w:r w:rsidRPr="00560ABB">
        <w:t>Commit to acting on findings of the Parliamentary Inquiry into Electric Vehicles, including exploring the feasibility of joint state/local government procurement of electric vehicles and improving electric vehicle infrastructure, including public charging stations, across Victoria.</w:t>
      </w:r>
    </w:p>
    <w:p w14:paraId="2D7D5B45" w14:textId="77777777" w:rsidR="001E4FCC" w:rsidRPr="00560ABB" w:rsidRDefault="001E4FCC" w:rsidP="00560ABB"/>
    <w:p w14:paraId="3D2331AB" w14:textId="77777777" w:rsidR="001E4FCC" w:rsidRPr="00560ABB" w:rsidRDefault="001E4FCC" w:rsidP="00560ABB">
      <w:pPr>
        <w:rPr>
          <w:b/>
          <w:bCs/>
        </w:rPr>
      </w:pPr>
      <w:r w:rsidRPr="00560ABB">
        <w:rPr>
          <w:b/>
          <w:bCs/>
        </w:rPr>
        <w:t>BENEFITS FOR OUR COMMUNITY</w:t>
      </w:r>
    </w:p>
    <w:p w14:paraId="0A355187" w14:textId="77777777" w:rsidR="001E4FCC" w:rsidRPr="00560ABB" w:rsidRDefault="001E4FCC" w:rsidP="00560ABB">
      <w:pPr>
        <w:pStyle w:val="ListParagraph"/>
        <w:numPr>
          <w:ilvl w:val="0"/>
          <w:numId w:val="9"/>
        </w:numPr>
      </w:pPr>
      <w:r w:rsidRPr="00560ABB">
        <w:t>Councils use their strong community connections and intricate understanding of local needs to support decision making and investment</w:t>
      </w:r>
    </w:p>
    <w:p w14:paraId="3A856ACE" w14:textId="77777777" w:rsidR="001E4FCC" w:rsidRPr="00560ABB" w:rsidRDefault="001E4FCC" w:rsidP="00560ABB">
      <w:pPr>
        <w:pStyle w:val="ListParagraph"/>
        <w:numPr>
          <w:ilvl w:val="0"/>
          <w:numId w:val="9"/>
        </w:numPr>
      </w:pPr>
      <w:r w:rsidRPr="00560ABB">
        <w:t>A shift away from programs requiring quick delivery of shovel-ready projects to programs with minimal administrative burdens and greater flexibility will</w:t>
      </w:r>
    </w:p>
    <w:p w14:paraId="2B5F349B" w14:textId="77777777" w:rsidR="001E4FCC" w:rsidRPr="00560ABB" w:rsidRDefault="001E4FCC" w:rsidP="00560ABB">
      <w:pPr>
        <w:pStyle w:val="ListParagraph"/>
        <w:numPr>
          <w:ilvl w:val="0"/>
          <w:numId w:val="9"/>
        </w:numPr>
      </w:pPr>
      <w:r w:rsidRPr="00560ABB">
        <w:t xml:space="preserve">enable longer-term planning for asset maintenance and renewal, and support collaboration between levels of government and </w:t>
      </w:r>
      <w:proofErr w:type="spellStart"/>
      <w:r w:rsidRPr="00560ABB">
        <w:t>neighbouring</w:t>
      </w:r>
      <w:proofErr w:type="spellEnd"/>
      <w:r w:rsidRPr="00560ABB">
        <w:t xml:space="preserve"> municipalities</w:t>
      </w:r>
    </w:p>
    <w:p w14:paraId="7E71FAFE" w14:textId="77777777" w:rsidR="001E4FCC" w:rsidRPr="00560ABB" w:rsidRDefault="001E4FCC" w:rsidP="00560ABB">
      <w:pPr>
        <w:pStyle w:val="ListParagraph"/>
        <w:numPr>
          <w:ilvl w:val="0"/>
          <w:numId w:val="9"/>
        </w:numPr>
      </w:pPr>
      <w:r w:rsidRPr="00560ABB">
        <w:t xml:space="preserve">Lower-scale infrastructure investment that </w:t>
      </w:r>
      <w:proofErr w:type="spellStart"/>
      <w:r w:rsidRPr="00560ABB">
        <w:t>recognises</w:t>
      </w:r>
      <w:proofErr w:type="spellEnd"/>
      <w:r w:rsidRPr="00560ABB">
        <w:t xml:space="preserve"> local priorities and needs has the potential to make a significant difference to Victorians’ safety, </w:t>
      </w:r>
      <w:proofErr w:type="gramStart"/>
      <w:r w:rsidRPr="00560ABB">
        <w:t>health</w:t>
      </w:r>
      <w:proofErr w:type="gramEnd"/>
      <w:r w:rsidRPr="00560ABB">
        <w:t xml:space="preserve"> and wellbeing, all while increasing productivity and stimulating local economies</w:t>
      </w:r>
    </w:p>
    <w:p w14:paraId="24EAAC20" w14:textId="23C9B0C8" w:rsidR="001E4FCC" w:rsidRPr="00560ABB" w:rsidRDefault="001E4FCC" w:rsidP="00560ABB">
      <w:pPr>
        <w:pStyle w:val="ListParagraph"/>
        <w:numPr>
          <w:ilvl w:val="0"/>
          <w:numId w:val="9"/>
        </w:numPr>
      </w:pPr>
      <w:r w:rsidRPr="00560ABB">
        <w:t>Transition to electric vehicles is a necessary step to reducing emissions. The right policy settings and sustainable investment will encourage community uptake of ZEVs and support Australian innovation and business growth in this important industry.</w:t>
      </w:r>
    </w:p>
    <w:p w14:paraId="59DA079D" w14:textId="77777777" w:rsidR="001E4FCC" w:rsidRPr="00560ABB" w:rsidRDefault="001E4FCC" w:rsidP="00560ABB"/>
    <w:p w14:paraId="1C630786" w14:textId="77777777" w:rsidR="001E4FCC" w:rsidRPr="00560ABB" w:rsidRDefault="001E4FCC" w:rsidP="00560ABB"/>
    <w:p w14:paraId="7F7BEA3B" w14:textId="77777777" w:rsidR="00531DFF" w:rsidRPr="00560ABB" w:rsidRDefault="00531DFF" w:rsidP="00560ABB"/>
    <w:sectPr w:rsidR="00531DFF" w:rsidRPr="00560A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w:panose1 w:val="02020800000000000000"/>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7BE"/>
    <w:multiLevelType w:val="hybridMultilevel"/>
    <w:tmpl w:val="EE164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50092C"/>
    <w:multiLevelType w:val="hybridMultilevel"/>
    <w:tmpl w:val="0A4C4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7749D6"/>
    <w:multiLevelType w:val="hybridMultilevel"/>
    <w:tmpl w:val="90CE9CAA"/>
    <w:lvl w:ilvl="0" w:tplc="AC46AE6E">
      <w:numFmt w:val="bullet"/>
      <w:lvlText w:val=""/>
      <w:lvlJc w:val="left"/>
      <w:pPr>
        <w:ind w:left="390" w:hanging="284"/>
      </w:pPr>
      <w:rPr>
        <w:rFonts w:ascii="Symbol" w:eastAsia="Symbol" w:hAnsi="Symbol" w:cs="Symbol" w:hint="default"/>
        <w:b w:val="0"/>
        <w:bCs w:val="0"/>
        <w:i w:val="0"/>
        <w:iCs w:val="0"/>
        <w:color w:val="231F20"/>
        <w:w w:val="100"/>
        <w:sz w:val="21"/>
        <w:szCs w:val="21"/>
        <w:lang w:val="en-US" w:eastAsia="en-US" w:bidi="ar-SA"/>
      </w:rPr>
    </w:lvl>
    <w:lvl w:ilvl="1" w:tplc="61EAB656">
      <w:numFmt w:val="bullet"/>
      <w:lvlText w:val="•"/>
      <w:lvlJc w:val="left"/>
      <w:pPr>
        <w:ind w:left="917" w:hanging="284"/>
      </w:pPr>
      <w:rPr>
        <w:rFonts w:hint="default"/>
        <w:lang w:val="en-US" w:eastAsia="en-US" w:bidi="ar-SA"/>
      </w:rPr>
    </w:lvl>
    <w:lvl w:ilvl="2" w:tplc="A184AEE0">
      <w:numFmt w:val="bullet"/>
      <w:lvlText w:val="•"/>
      <w:lvlJc w:val="left"/>
      <w:pPr>
        <w:ind w:left="1434" w:hanging="284"/>
      </w:pPr>
      <w:rPr>
        <w:rFonts w:hint="default"/>
        <w:lang w:val="en-US" w:eastAsia="en-US" w:bidi="ar-SA"/>
      </w:rPr>
    </w:lvl>
    <w:lvl w:ilvl="3" w:tplc="574A1CF6">
      <w:numFmt w:val="bullet"/>
      <w:lvlText w:val="•"/>
      <w:lvlJc w:val="left"/>
      <w:pPr>
        <w:ind w:left="1951" w:hanging="284"/>
      </w:pPr>
      <w:rPr>
        <w:rFonts w:hint="default"/>
        <w:lang w:val="en-US" w:eastAsia="en-US" w:bidi="ar-SA"/>
      </w:rPr>
    </w:lvl>
    <w:lvl w:ilvl="4" w:tplc="495CC134">
      <w:numFmt w:val="bullet"/>
      <w:lvlText w:val="•"/>
      <w:lvlJc w:val="left"/>
      <w:pPr>
        <w:ind w:left="2468" w:hanging="284"/>
      </w:pPr>
      <w:rPr>
        <w:rFonts w:hint="default"/>
        <w:lang w:val="en-US" w:eastAsia="en-US" w:bidi="ar-SA"/>
      </w:rPr>
    </w:lvl>
    <w:lvl w:ilvl="5" w:tplc="9BA0D412">
      <w:numFmt w:val="bullet"/>
      <w:lvlText w:val="•"/>
      <w:lvlJc w:val="left"/>
      <w:pPr>
        <w:ind w:left="2985" w:hanging="284"/>
      </w:pPr>
      <w:rPr>
        <w:rFonts w:hint="default"/>
        <w:lang w:val="en-US" w:eastAsia="en-US" w:bidi="ar-SA"/>
      </w:rPr>
    </w:lvl>
    <w:lvl w:ilvl="6" w:tplc="4A80987A">
      <w:numFmt w:val="bullet"/>
      <w:lvlText w:val="•"/>
      <w:lvlJc w:val="left"/>
      <w:pPr>
        <w:ind w:left="3502" w:hanging="284"/>
      </w:pPr>
      <w:rPr>
        <w:rFonts w:hint="default"/>
        <w:lang w:val="en-US" w:eastAsia="en-US" w:bidi="ar-SA"/>
      </w:rPr>
    </w:lvl>
    <w:lvl w:ilvl="7" w:tplc="E94CBE3E">
      <w:numFmt w:val="bullet"/>
      <w:lvlText w:val="•"/>
      <w:lvlJc w:val="left"/>
      <w:pPr>
        <w:ind w:left="4019" w:hanging="284"/>
      </w:pPr>
      <w:rPr>
        <w:rFonts w:hint="default"/>
        <w:lang w:val="en-US" w:eastAsia="en-US" w:bidi="ar-SA"/>
      </w:rPr>
    </w:lvl>
    <w:lvl w:ilvl="8" w:tplc="C4F21C5C">
      <w:numFmt w:val="bullet"/>
      <w:lvlText w:val="•"/>
      <w:lvlJc w:val="left"/>
      <w:pPr>
        <w:ind w:left="4537" w:hanging="284"/>
      </w:pPr>
      <w:rPr>
        <w:rFonts w:hint="default"/>
        <w:lang w:val="en-US" w:eastAsia="en-US" w:bidi="ar-SA"/>
      </w:rPr>
    </w:lvl>
  </w:abstractNum>
  <w:abstractNum w:abstractNumId="3" w15:restartNumberingAfterBreak="0">
    <w:nsid w:val="37975F79"/>
    <w:multiLevelType w:val="hybridMultilevel"/>
    <w:tmpl w:val="CCF8CC62"/>
    <w:lvl w:ilvl="0" w:tplc="752A3DC8">
      <w:numFmt w:val="bullet"/>
      <w:lvlText w:val=""/>
      <w:lvlJc w:val="left"/>
      <w:pPr>
        <w:ind w:left="584" w:hanging="284"/>
      </w:pPr>
      <w:rPr>
        <w:rFonts w:ascii="Symbol" w:eastAsia="Symbol" w:hAnsi="Symbol" w:cs="Symbol" w:hint="default"/>
        <w:b w:val="0"/>
        <w:bCs w:val="0"/>
        <w:i w:val="0"/>
        <w:iCs w:val="0"/>
        <w:color w:val="231F20"/>
        <w:w w:val="100"/>
        <w:sz w:val="21"/>
        <w:szCs w:val="21"/>
        <w:lang w:val="en-US" w:eastAsia="en-US" w:bidi="ar-SA"/>
      </w:rPr>
    </w:lvl>
    <w:lvl w:ilvl="1" w:tplc="6E1A7668">
      <w:numFmt w:val="bullet"/>
      <w:lvlText w:val="•"/>
      <w:lvlJc w:val="left"/>
      <w:pPr>
        <w:ind w:left="1070" w:hanging="284"/>
      </w:pPr>
      <w:rPr>
        <w:rFonts w:hint="default"/>
        <w:lang w:val="en-US" w:eastAsia="en-US" w:bidi="ar-SA"/>
      </w:rPr>
    </w:lvl>
    <w:lvl w:ilvl="2" w:tplc="09929494">
      <w:numFmt w:val="bullet"/>
      <w:lvlText w:val="•"/>
      <w:lvlJc w:val="left"/>
      <w:pPr>
        <w:ind w:left="1560" w:hanging="284"/>
      </w:pPr>
      <w:rPr>
        <w:rFonts w:hint="default"/>
        <w:lang w:val="en-US" w:eastAsia="en-US" w:bidi="ar-SA"/>
      </w:rPr>
    </w:lvl>
    <w:lvl w:ilvl="3" w:tplc="8FA087FE">
      <w:numFmt w:val="bullet"/>
      <w:lvlText w:val="•"/>
      <w:lvlJc w:val="left"/>
      <w:pPr>
        <w:ind w:left="2050" w:hanging="284"/>
      </w:pPr>
      <w:rPr>
        <w:rFonts w:hint="default"/>
        <w:lang w:val="en-US" w:eastAsia="en-US" w:bidi="ar-SA"/>
      </w:rPr>
    </w:lvl>
    <w:lvl w:ilvl="4" w:tplc="A9C44F98">
      <w:numFmt w:val="bullet"/>
      <w:lvlText w:val="•"/>
      <w:lvlJc w:val="left"/>
      <w:pPr>
        <w:ind w:left="2540" w:hanging="284"/>
      </w:pPr>
      <w:rPr>
        <w:rFonts w:hint="default"/>
        <w:lang w:val="en-US" w:eastAsia="en-US" w:bidi="ar-SA"/>
      </w:rPr>
    </w:lvl>
    <w:lvl w:ilvl="5" w:tplc="12C21272">
      <w:numFmt w:val="bullet"/>
      <w:lvlText w:val="•"/>
      <w:lvlJc w:val="left"/>
      <w:pPr>
        <w:ind w:left="3030" w:hanging="284"/>
      </w:pPr>
      <w:rPr>
        <w:rFonts w:hint="default"/>
        <w:lang w:val="en-US" w:eastAsia="en-US" w:bidi="ar-SA"/>
      </w:rPr>
    </w:lvl>
    <w:lvl w:ilvl="6" w:tplc="196A7662">
      <w:numFmt w:val="bullet"/>
      <w:lvlText w:val="•"/>
      <w:lvlJc w:val="left"/>
      <w:pPr>
        <w:ind w:left="3521" w:hanging="284"/>
      </w:pPr>
      <w:rPr>
        <w:rFonts w:hint="default"/>
        <w:lang w:val="en-US" w:eastAsia="en-US" w:bidi="ar-SA"/>
      </w:rPr>
    </w:lvl>
    <w:lvl w:ilvl="7" w:tplc="2B4E9972">
      <w:numFmt w:val="bullet"/>
      <w:lvlText w:val="•"/>
      <w:lvlJc w:val="left"/>
      <w:pPr>
        <w:ind w:left="4011" w:hanging="284"/>
      </w:pPr>
      <w:rPr>
        <w:rFonts w:hint="default"/>
        <w:lang w:val="en-US" w:eastAsia="en-US" w:bidi="ar-SA"/>
      </w:rPr>
    </w:lvl>
    <w:lvl w:ilvl="8" w:tplc="52BA377A">
      <w:numFmt w:val="bullet"/>
      <w:lvlText w:val="•"/>
      <w:lvlJc w:val="left"/>
      <w:pPr>
        <w:ind w:left="4501" w:hanging="284"/>
      </w:pPr>
      <w:rPr>
        <w:rFonts w:hint="default"/>
        <w:lang w:val="en-US" w:eastAsia="en-US" w:bidi="ar-SA"/>
      </w:rPr>
    </w:lvl>
  </w:abstractNum>
  <w:abstractNum w:abstractNumId="4" w15:restartNumberingAfterBreak="0">
    <w:nsid w:val="3DFD5D8B"/>
    <w:multiLevelType w:val="hybridMultilevel"/>
    <w:tmpl w:val="B74EB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B14586"/>
    <w:multiLevelType w:val="hybridMultilevel"/>
    <w:tmpl w:val="DDC20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3606E4"/>
    <w:multiLevelType w:val="hybridMultilevel"/>
    <w:tmpl w:val="F2E86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100DA6"/>
    <w:multiLevelType w:val="hybridMultilevel"/>
    <w:tmpl w:val="96C0C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1149CA"/>
    <w:multiLevelType w:val="hybridMultilevel"/>
    <w:tmpl w:val="01267C50"/>
    <w:lvl w:ilvl="0" w:tplc="711A6A30">
      <w:numFmt w:val="bullet"/>
      <w:lvlText w:val=""/>
      <w:lvlJc w:val="left"/>
      <w:pPr>
        <w:ind w:left="673" w:hanging="284"/>
      </w:pPr>
      <w:rPr>
        <w:rFonts w:ascii="Symbol" w:eastAsia="Symbol" w:hAnsi="Symbol" w:cs="Symbol" w:hint="default"/>
        <w:b w:val="0"/>
        <w:bCs w:val="0"/>
        <w:i w:val="0"/>
        <w:iCs w:val="0"/>
        <w:color w:val="231F20"/>
        <w:w w:val="100"/>
        <w:sz w:val="21"/>
        <w:szCs w:val="21"/>
        <w:lang w:val="en-US" w:eastAsia="en-US" w:bidi="ar-SA"/>
      </w:rPr>
    </w:lvl>
    <w:lvl w:ilvl="1" w:tplc="2C3200DE">
      <w:numFmt w:val="bullet"/>
      <w:lvlText w:val="•"/>
      <w:lvlJc w:val="left"/>
      <w:pPr>
        <w:ind w:left="1160" w:hanging="284"/>
      </w:pPr>
      <w:rPr>
        <w:rFonts w:hint="default"/>
        <w:lang w:val="en-US" w:eastAsia="en-US" w:bidi="ar-SA"/>
      </w:rPr>
    </w:lvl>
    <w:lvl w:ilvl="2" w:tplc="C6205542">
      <w:numFmt w:val="bullet"/>
      <w:lvlText w:val="•"/>
      <w:lvlJc w:val="left"/>
      <w:pPr>
        <w:ind w:left="1641" w:hanging="284"/>
      </w:pPr>
      <w:rPr>
        <w:rFonts w:hint="default"/>
        <w:lang w:val="en-US" w:eastAsia="en-US" w:bidi="ar-SA"/>
      </w:rPr>
    </w:lvl>
    <w:lvl w:ilvl="3" w:tplc="4BB4BFB6">
      <w:numFmt w:val="bullet"/>
      <w:lvlText w:val="•"/>
      <w:lvlJc w:val="left"/>
      <w:pPr>
        <w:ind w:left="2122" w:hanging="284"/>
      </w:pPr>
      <w:rPr>
        <w:rFonts w:hint="default"/>
        <w:lang w:val="en-US" w:eastAsia="en-US" w:bidi="ar-SA"/>
      </w:rPr>
    </w:lvl>
    <w:lvl w:ilvl="4" w:tplc="40320FCE">
      <w:numFmt w:val="bullet"/>
      <w:lvlText w:val="•"/>
      <w:lvlJc w:val="left"/>
      <w:pPr>
        <w:ind w:left="2603" w:hanging="284"/>
      </w:pPr>
      <w:rPr>
        <w:rFonts w:hint="default"/>
        <w:lang w:val="en-US" w:eastAsia="en-US" w:bidi="ar-SA"/>
      </w:rPr>
    </w:lvl>
    <w:lvl w:ilvl="5" w:tplc="BEAA1F34">
      <w:numFmt w:val="bullet"/>
      <w:lvlText w:val="•"/>
      <w:lvlJc w:val="left"/>
      <w:pPr>
        <w:ind w:left="3084" w:hanging="284"/>
      </w:pPr>
      <w:rPr>
        <w:rFonts w:hint="default"/>
        <w:lang w:val="en-US" w:eastAsia="en-US" w:bidi="ar-SA"/>
      </w:rPr>
    </w:lvl>
    <w:lvl w:ilvl="6" w:tplc="88B86094">
      <w:numFmt w:val="bullet"/>
      <w:lvlText w:val="•"/>
      <w:lvlJc w:val="left"/>
      <w:pPr>
        <w:ind w:left="3565" w:hanging="284"/>
      </w:pPr>
      <w:rPr>
        <w:rFonts w:hint="default"/>
        <w:lang w:val="en-US" w:eastAsia="en-US" w:bidi="ar-SA"/>
      </w:rPr>
    </w:lvl>
    <w:lvl w:ilvl="7" w:tplc="8D8CC502">
      <w:numFmt w:val="bullet"/>
      <w:lvlText w:val="•"/>
      <w:lvlJc w:val="left"/>
      <w:pPr>
        <w:ind w:left="4046" w:hanging="284"/>
      </w:pPr>
      <w:rPr>
        <w:rFonts w:hint="default"/>
        <w:lang w:val="en-US" w:eastAsia="en-US" w:bidi="ar-SA"/>
      </w:rPr>
    </w:lvl>
    <w:lvl w:ilvl="8" w:tplc="8348CF58">
      <w:numFmt w:val="bullet"/>
      <w:lvlText w:val="•"/>
      <w:lvlJc w:val="left"/>
      <w:pPr>
        <w:ind w:left="4527" w:hanging="284"/>
      </w:pPr>
      <w:rPr>
        <w:rFonts w:hint="default"/>
        <w:lang w:val="en-US" w:eastAsia="en-US" w:bidi="ar-SA"/>
      </w:rPr>
    </w:lvl>
  </w:abstractNum>
  <w:num w:numId="1" w16cid:durableId="505706305">
    <w:abstractNumId w:val="8"/>
  </w:num>
  <w:num w:numId="2" w16cid:durableId="1459688404">
    <w:abstractNumId w:val="2"/>
  </w:num>
  <w:num w:numId="3" w16cid:durableId="1473328049">
    <w:abstractNumId w:val="3"/>
  </w:num>
  <w:num w:numId="4" w16cid:durableId="966665297">
    <w:abstractNumId w:val="5"/>
  </w:num>
  <w:num w:numId="5" w16cid:durableId="234097824">
    <w:abstractNumId w:val="1"/>
  </w:num>
  <w:num w:numId="6" w16cid:durableId="1738017433">
    <w:abstractNumId w:val="4"/>
  </w:num>
  <w:num w:numId="7" w16cid:durableId="808013377">
    <w:abstractNumId w:val="6"/>
  </w:num>
  <w:num w:numId="8" w16cid:durableId="4678398">
    <w:abstractNumId w:val="7"/>
  </w:num>
  <w:num w:numId="9" w16cid:durableId="68649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CC"/>
    <w:rsid w:val="001E4FCC"/>
    <w:rsid w:val="00531DFF"/>
    <w:rsid w:val="00560A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5B1F078C"/>
  <w15:chartTrackingRefBased/>
  <w15:docId w15:val="{B6BE05E7-4377-4B34-998D-4B14CE3C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FCC"/>
    <w:pPr>
      <w:widowControl w:val="0"/>
      <w:autoSpaceDE w:val="0"/>
      <w:autoSpaceDN w:val="0"/>
      <w:spacing w:after="0" w:line="240" w:lineRule="auto"/>
    </w:pPr>
    <w:rPr>
      <w:rFonts w:ascii="Calibri" w:eastAsia="Calibri" w:hAnsi="Calibri" w:cs="Calibri"/>
      <w:lang w:val="en-US"/>
    </w:rPr>
  </w:style>
  <w:style w:type="paragraph" w:styleId="Heading2">
    <w:name w:val="heading 2"/>
    <w:basedOn w:val="Normal"/>
    <w:link w:val="Heading2Char"/>
    <w:uiPriority w:val="9"/>
    <w:unhideWhenUsed/>
    <w:qFormat/>
    <w:rsid w:val="001E4FCC"/>
    <w:pPr>
      <w:spacing w:before="66" w:line="522" w:lineRule="exact"/>
      <w:ind w:left="1524"/>
      <w:outlineLvl w:val="1"/>
    </w:pPr>
    <w:rPr>
      <w:rFonts w:ascii="Futura" w:eastAsia="Futura" w:hAnsi="Futura" w:cs="Futura"/>
      <w:b/>
      <w:bCs/>
      <w:sz w:val="40"/>
      <w:szCs w:val="40"/>
    </w:rPr>
  </w:style>
  <w:style w:type="paragraph" w:styleId="Heading3">
    <w:name w:val="heading 3"/>
    <w:basedOn w:val="Normal"/>
    <w:link w:val="Heading3Char"/>
    <w:uiPriority w:val="9"/>
    <w:unhideWhenUsed/>
    <w:qFormat/>
    <w:rsid w:val="001E4FCC"/>
    <w:pPr>
      <w:spacing w:line="480" w:lineRule="exact"/>
      <w:ind w:left="1524"/>
      <w:outlineLvl w:val="2"/>
    </w:pPr>
    <w:rPr>
      <w:sz w:val="40"/>
      <w:szCs w:val="40"/>
    </w:rPr>
  </w:style>
  <w:style w:type="paragraph" w:styleId="Heading4">
    <w:name w:val="heading 4"/>
    <w:basedOn w:val="Normal"/>
    <w:link w:val="Heading4Char"/>
    <w:uiPriority w:val="9"/>
    <w:unhideWhenUsed/>
    <w:qFormat/>
    <w:rsid w:val="001E4FCC"/>
    <w:pPr>
      <w:ind w:left="283"/>
      <w:outlineLvl w:val="3"/>
    </w:pPr>
    <w:rPr>
      <w:rFonts w:ascii="Futura" w:eastAsia="Futura" w:hAnsi="Futura" w:cs="Futura"/>
      <w:b/>
      <w:bCs/>
      <w:sz w:val="26"/>
      <w:szCs w:val="26"/>
    </w:rPr>
  </w:style>
  <w:style w:type="paragraph" w:styleId="Heading5">
    <w:name w:val="heading 5"/>
    <w:basedOn w:val="Normal"/>
    <w:link w:val="Heading5Char"/>
    <w:uiPriority w:val="9"/>
    <w:unhideWhenUsed/>
    <w:qFormat/>
    <w:rsid w:val="001E4FCC"/>
    <w:pPr>
      <w:ind w:left="106"/>
      <w:outlineLvl w:val="4"/>
    </w:pPr>
    <w:rPr>
      <w:rFonts w:ascii="Futura" w:eastAsia="Futura" w:hAnsi="Futura" w:cs="Futur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4FCC"/>
    <w:rPr>
      <w:rFonts w:ascii="Futura" w:eastAsia="Futura" w:hAnsi="Futura" w:cs="Futura"/>
      <w:b/>
      <w:bCs/>
      <w:sz w:val="40"/>
      <w:szCs w:val="40"/>
      <w:lang w:val="en-US"/>
    </w:rPr>
  </w:style>
  <w:style w:type="character" w:customStyle="1" w:styleId="Heading3Char">
    <w:name w:val="Heading 3 Char"/>
    <w:basedOn w:val="DefaultParagraphFont"/>
    <w:link w:val="Heading3"/>
    <w:uiPriority w:val="9"/>
    <w:rsid w:val="001E4FCC"/>
    <w:rPr>
      <w:rFonts w:ascii="Calibri" w:eastAsia="Calibri" w:hAnsi="Calibri" w:cs="Calibri"/>
      <w:sz w:val="40"/>
      <w:szCs w:val="40"/>
      <w:lang w:val="en-US"/>
    </w:rPr>
  </w:style>
  <w:style w:type="character" w:customStyle="1" w:styleId="Heading4Char">
    <w:name w:val="Heading 4 Char"/>
    <w:basedOn w:val="DefaultParagraphFont"/>
    <w:link w:val="Heading4"/>
    <w:uiPriority w:val="9"/>
    <w:rsid w:val="001E4FCC"/>
    <w:rPr>
      <w:rFonts w:ascii="Futura" w:eastAsia="Futura" w:hAnsi="Futura" w:cs="Futura"/>
      <w:b/>
      <w:bCs/>
      <w:sz w:val="26"/>
      <w:szCs w:val="26"/>
      <w:lang w:val="en-US"/>
    </w:rPr>
  </w:style>
  <w:style w:type="character" w:customStyle="1" w:styleId="Heading5Char">
    <w:name w:val="Heading 5 Char"/>
    <w:basedOn w:val="DefaultParagraphFont"/>
    <w:link w:val="Heading5"/>
    <w:uiPriority w:val="9"/>
    <w:rsid w:val="001E4FCC"/>
    <w:rPr>
      <w:rFonts w:ascii="Futura" w:eastAsia="Futura" w:hAnsi="Futura" w:cs="Futura"/>
      <w:b/>
      <w:bCs/>
      <w:lang w:val="en-US"/>
    </w:rPr>
  </w:style>
  <w:style w:type="paragraph" w:styleId="BodyText">
    <w:name w:val="Body Text"/>
    <w:basedOn w:val="Normal"/>
    <w:link w:val="BodyTextChar"/>
    <w:uiPriority w:val="1"/>
    <w:qFormat/>
    <w:rsid w:val="001E4FCC"/>
    <w:rPr>
      <w:sz w:val="21"/>
      <w:szCs w:val="21"/>
    </w:rPr>
  </w:style>
  <w:style w:type="character" w:customStyle="1" w:styleId="BodyTextChar">
    <w:name w:val="Body Text Char"/>
    <w:basedOn w:val="DefaultParagraphFont"/>
    <w:link w:val="BodyText"/>
    <w:uiPriority w:val="1"/>
    <w:rsid w:val="001E4FCC"/>
    <w:rPr>
      <w:rFonts w:ascii="Calibri" w:eastAsia="Calibri" w:hAnsi="Calibri" w:cs="Calibri"/>
      <w:sz w:val="21"/>
      <w:szCs w:val="21"/>
      <w:lang w:val="en-US"/>
    </w:rPr>
  </w:style>
  <w:style w:type="paragraph" w:styleId="ListParagraph">
    <w:name w:val="List Paragraph"/>
    <w:basedOn w:val="Normal"/>
    <w:uiPriority w:val="1"/>
    <w:qFormat/>
    <w:rsid w:val="001E4FCC"/>
    <w:pPr>
      <w:spacing w:before="161"/>
      <w:ind w:left="390"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AVIS Document" ma:contentTypeID="0x0101001B5DB325EA0B6E41A34A20CA05C762A900F82BD3F289293C4EA9FB67E8E16F41A3" ma:contentTypeVersion="32" ma:contentTypeDescription="" ma:contentTypeScope="" ma:versionID="b102783f902f39530ab9d1025b4f627d">
  <xsd:schema xmlns:xsd="http://www.w3.org/2001/XMLSchema" xmlns:xs="http://www.w3.org/2001/XMLSchema" xmlns:p="http://schemas.microsoft.com/office/2006/metadata/properties" xmlns:ns2="598c73d0-6bbc-4c43-bf71-bdd6a3679256" xmlns:ns3="12d153cb-4e47-45fd-8533-e6eabeb0769a" targetNamespace="http://schemas.microsoft.com/office/2006/metadata/properties" ma:root="true" ma:fieldsID="dd6f7b8220cacd74af23d635b99d2f3d" ns2:_="" ns3:_="">
    <xsd:import namespace="598c73d0-6bbc-4c43-bf71-bdd6a3679256"/>
    <xsd:import namespace="12d153cb-4e47-45fd-8533-e6eabeb0769a"/>
    <xsd:element name="properties">
      <xsd:complexType>
        <xsd:sequence>
          <xsd:element name="documentManagement">
            <xsd:complexType>
              <xsd:all>
                <xsd:element ref="ns2:Document_x0020_Description" minOccurs="0"/>
                <xsd:element ref="ns2:nbae4009b3bd443780077d15070df07d" minOccurs="0"/>
                <xsd:element ref="ns2:TaxCatchAll" minOccurs="0"/>
                <xsd:element ref="ns2:TaxCatchAllLabel" minOccurs="0"/>
                <xsd:element ref="ns2:d7f85e0859c44e7d817c264aeba39ef1" minOccurs="0"/>
                <xsd:element ref="ns2:p785a836cfd24c2da2e01141ad3ebf8b" minOccurs="0"/>
                <xsd:element ref="ns2:oa5242ed00c84b23ab236249401998e7" minOccurs="0"/>
                <xsd:element ref="ns2:of75246aa5264184a22d91a5a39b9c42" minOccurs="0"/>
                <xsd:element ref="ns3:b82dd3b4a12346558ba0ed9bb6c93f8e" minOccurs="0"/>
                <xsd:element ref="ns3:eb0e1c89c7ae420991499bfb6c8f1631" minOccurs="0"/>
                <xsd:element ref="ns3:c4560009f26649f7b8e6ff5e4a159974" minOccurs="0"/>
                <xsd:element ref="ns3:MediaServiceMetadata" minOccurs="0"/>
                <xsd:element ref="ns3:MediaServiceFastMetadata" minOccurs="0"/>
                <xsd:element ref="ns3:m3a4e94d8490444ab719721a12493d23"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nbae4009b3bd443780077d15070df07d" ma:index="9" ma:taxonomy="true" ma:internalName="nbae4009b3bd443780077d15070df07d" ma:taxonomyFieldName="Doc_x0020_Type" ma:displayName="Doc Type" ma:readOnly="false" ma:fieldId="{7bae4009-b3bd-4437-8007-7d15070df07d}"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b0b394b-d450-43f5-b648-abc6b2ccea3c}"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b0b394b-d450-43f5-b648-abc6b2ccea3c}"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d7f85e0859c44e7d817c264aeba39ef1" ma:index="13" nillable="true" ma:taxonomy="true" ma:internalName="d7f85e0859c44e7d817c264aeba39ef1" ma:taxonomyFieldName="Month" ma:displayName="Month" ma:readOnly="false" ma:fieldId="{d7f85e08-59c4-4e7d-817c-264aeba39ef1}"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p785a836cfd24c2da2e01141ad3ebf8b" ma:index="15" nillable="true" ma:taxonomy="true" ma:internalName="p785a836cfd24c2da2e01141ad3ebf8b" ma:taxonomyFieldName="Year" ma:displayName="Year" ma:readOnly="false" ma:fieldId="{9785a836-cfd2-4c2d-a2e0-1141ad3ebf8b}"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oa5242ed00c84b23ab236249401998e7" ma:index="17" nillable="true" ma:taxonomy="true" ma:internalName="oa5242ed00c84b23ab236249401998e7" ma:taxonomyFieldName="Stakeholders" ma:displayName="Stakeholders" ma:readOnly="false" ma:fieldId="{8a5242ed-00c8-4b23-ab23-6249401998e7}"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of75246aa5264184a22d91a5a39b9c42" ma:index="19" nillable="true" ma:taxonomy="true" ma:internalName="of75246aa5264184a22d91a5a39b9c42" ma:taxonomyFieldName="Topic" ma:displayName="Topic" ma:readOnly="false" ma:fieldId="{8f75246a-a526-4184-a22d-91a5a39b9c42}"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d153cb-4e47-45fd-8533-e6eabeb0769a" elementFormDefault="qualified">
    <xsd:import namespace="http://schemas.microsoft.com/office/2006/documentManagement/types"/>
    <xsd:import namespace="http://schemas.microsoft.com/office/infopath/2007/PartnerControls"/>
    <xsd:element name="b82dd3b4a12346558ba0ed9bb6c93f8e" ma:index="21" nillable="true" ma:taxonomy="true" ma:internalName="b82dd3b4a12346558ba0ed9bb6c93f8e" ma:taxonomyFieldName="Project" ma:displayName="Project" ma:readOnly="false" ma:fieldId="{b82dd3b4-a123-4655-8ba0-ed9bb6c93f8e}" ma:sspId="fde11242-6e73-49c6-980c-6919cde2f27c" ma:termSetId="cadaa6d5-6ee2-4fe7-aba7-6003e95852fd" ma:anchorId="00000000-0000-0000-0000-000000000000" ma:open="false" ma:isKeyword="false">
      <xsd:complexType>
        <xsd:sequence>
          <xsd:element ref="pc:Terms" minOccurs="0" maxOccurs="1"/>
        </xsd:sequence>
      </xsd:complexType>
    </xsd:element>
    <xsd:element name="eb0e1c89c7ae420991499bfb6c8f1631" ma:index="23" nillable="true" ma:taxonomy="true" ma:internalName="eb0e1c89c7ae420991499bfb6c8f1631" ma:taxonomyFieldName="Publications" ma:displayName="Publications" ma:readOnly="false" ma:fieldId="{eb0e1c89-c7ae-4209-9149-9bfb6c8f1631}" ma:sspId="fde11242-6e73-49c6-980c-6919cde2f27c" ma:termSetId="f2c61dc8-a8bc-4968-a129-68579bb94493" ma:anchorId="00000000-0000-0000-0000-000000000000" ma:open="false" ma:isKeyword="false">
      <xsd:complexType>
        <xsd:sequence>
          <xsd:element ref="pc:Terms" minOccurs="0" maxOccurs="1"/>
        </xsd:sequence>
      </xsd:complexType>
    </xsd:element>
    <xsd:element name="c4560009f26649f7b8e6ff5e4a159974" ma:index="25" nillable="true" ma:taxonomy="true" ma:internalName="c4560009f26649f7b8e6ff5e4a159974" ma:taxonomyFieldName="Media" ma:displayName="Media" ma:readOnly="false" ma:fieldId="{c4560009-f266-49f7-b8e6-ff5e4a159974}" ma:sspId="fde11242-6e73-49c6-980c-6919cde2f27c" ma:termSetId="ba46485e-f658-406e-81c3-6b458c15a022" ma:anchorId="00000000-0000-0000-0000-000000000000" ma:open="false" ma:isKeyword="false">
      <xsd:complexType>
        <xsd:sequence>
          <xsd:element ref="pc:Terms" minOccurs="0" maxOccurs="1"/>
        </xsd:sequence>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3a4e94d8490444ab719721a12493d23" ma:index="30" nillable="true" ma:taxonomy="true" ma:internalName="m3a4e94d8490444ab719721a12493d23" ma:taxonomyFieldName="Audience" ma:displayName="Audience" ma:default="" ma:fieldId="{63a4e94d-8490-444a-b719-721a12493d23}" ma:sspId="fde11242-6e73-49c6-980c-6919cde2f27c" ma:termSetId="15ecb46e-cdad-4686-9561-2f18eb5c5aca" ma:anchorId="00000000-0000-0000-0000-000000000000" ma:open="false" ma:isKeyword="false">
      <xsd:complexType>
        <xsd:sequence>
          <xsd:element ref="pc:Terms" minOccurs="0" maxOccurs="1"/>
        </xsd:sequence>
      </xsd:complex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82dd3b4a12346558ba0ed9bb6c93f8e xmlns="12d153cb-4e47-45fd-8533-e6eabeb0769a">
      <Terms xmlns="http://schemas.microsoft.com/office/infopath/2007/PartnerControls">
        <TermInfo xmlns="http://schemas.microsoft.com/office/infopath/2007/PartnerControls">
          <TermName xmlns="http://schemas.microsoft.com/office/infopath/2007/PartnerControls">State Election campaign</TermName>
          <TermId xmlns="http://schemas.microsoft.com/office/infopath/2007/PartnerControls">807da8cf-33bc-488e-9fc4-acd18cb2a769</TermId>
        </TermInfo>
      </Terms>
    </b82dd3b4a12346558ba0ed9bb6c93f8e>
    <of75246aa5264184a22d91a5a39b9c42 xmlns="598c73d0-6bbc-4c43-bf71-bdd6a3679256">
      <Terms xmlns="http://schemas.microsoft.com/office/infopath/2007/PartnerControls"/>
    </of75246aa5264184a22d91a5a39b9c42>
    <Document_x0020_Description xmlns="598c73d0-6bbc-4c43-bf71-bdd6a3679256" xsi:nil="true"/>
    <m3a4e94d8490444ab719721a12493d23 xmlns="12d153cb-4e47-45fd-8533-e6eabeb0769a">
      <Terms xmlns="http://schemas.microsoft.com/office/infopath/2007/PartnerControls"/>
    </m3a4e94d8490444ab719721a12493d23>
    <TaxCatchAll xmlns="598c73d0-6bbc-4c43-bf71-bdd6a3679256">
      <Value>160</Value>
      <Value>9</Value>
      <Value>2</Value>
      <Value>735</Value>
    </TaxCatchAll>
    <c4560009f26649f7b8e6ff5e4a159974 xmlns="12d153cb-4e47-45fd-8533-e6eabeb0769a">
      <Terms xmlns="http://schemas.microsoft.com/office/infopath/2007/PartnerControls"/>
    </c4560009f26649f7b8e6ff5e4a159974>
    <oa5242ed00c84b23ab236249401998e7 xmlns="598c73d0-6bbc-4c43-bf71-bdd6a3679256">
      <Terms xmlns="http://schemas.microsoft.com/office/infopath/2007/PartnerControls"/>
    </oa5242ed00c84b23ab236249401998e7>
    <nbae4009b3bd443780077d15070df07d xmlns="598c73d0-6bbc-4c43-bf71-bdd6a3679256">
      <Terms xmlns="http://schemas.microsoft.com/office/infopath/2007/PartnerControls">
        <TermInfo xmlns="http://schemas.microsoft.com/office/infopath/2007/PartnerControls">
          <TermName xmlns="http://schemas.microsoft.com/office/infopath/2007/PartnerControls">Notes</TermName>
          <TermId xmlns="http://schemas.microsoft.com/office/infopath/2007/PartnerControls">e4b4b3c6-c47d-4a6a-9e59-b35ae3810dee</TermId>
        </TermInfo>
      </Terms>
    </nbae4009b3bd443780077d15070df07d>
    <p785a836cfd24c2da2e01141ad3ebf8b xmlns="598c73d0-6bbc-4c43-bf71-bdd6a3679256">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67b62c87-625b-453b-a9f9-310eaaab7116</TermId>
        </TermInfo>
      </Terms>
    </p785a836cfd24c2da2e01141ad3ebf8b>
    <d7f85e0859c44e7d817c264aeba39ef1 xmlns="598c73d0-6bbc-4c43-bf71-bdd6a3679256">
      <Terms xmlns="http://schemas.microsoft.com/office/infopath/2007/PartnerControls">
        <TermInfo xmlns="http://schemas.microsoft.com/office/infopath/2007/PartnerControls">
          <TermName xmlns="http://schemas.microsoft.com/office/infopath/2007/PartnerControls">08. August</TermName>
          <TermId xmlns="http://schemas.microsoft.com/office/infopath/2007/PartnerControls">0ee7e083-2d14-431c-8ed5-a452f1cf9fc4</TermId>
        </TermInfo>
      </Terms>
    </d7f85e0859c44e7d817c264aeba39ef1>
    <eb0e1c89c7ae420991499bfb6c8f1631 xmlns="12d153cb-4e47-45fd-8533-e6eabeb0769a">
      <Terms xmlns="http://schemas.microsoft.com/office/infopath/2007/PartnerControls"/>
    </eb0e1c89c7ae420991499bfb6c8f1631>
  </documentManagement>
</p:properties>
</file>

<file path=customXml/itemProps1.xml><?xml version="1.0" encoding="utf-8"?>
<ds:datastoreItem xmlns:ds="http://schemas.openxmlformats.org/officeDocument/2006/customXml" ds:itemID="{18F82DB3-34C4-45F8-88CE-2286F0F64C19}"/>
</file>

<file path=customXml/itemProps2.xml><?xml version="1.0" encoding="utf-8"?>
<ds:datastoreItem xmlns:ds="http://schemas.openxmlformats.org/officeDocument/2006/customXml" ds:itemID="{545C27CC-7FBE-44A1-A3C5-F2A49F30C16B}"/>
</file>

<file path=customXml/itemProps3.xml><?xml version="1.0" encoding="utf-8"?>
<ds:datastoreItem xmlns:ds="http://schemas.openxmlformats.org/officeDocument/2006/customXml" ds:itemID="{83771C5A-2CC6-4F01-BA12-22A0CE709CF0}"/>
</file>

<file path=customXml/itemProps4.xml><?xml version="1.0" encoding="utf-8"?>
<ds:datastoreItem xmlns:ds="http://schemas.openxmlformats.org/officeDocument/2006/customXml" ds:itemID="{E661928F-C94E-417D-9ABA-0EB41F0FAB7F}"/>
</file>

<file path=docProps/app.xml><?xml version="1.0" encoding="utf-8"?>
<Properties xmlns="http://schemas.openxmlformats.org/officeDocument/2006/extended-properties" xmlns:vt="http://schemas.openxmlformats.org/officeDocument/2006/docPropsVTypes">
  <Template>Normal</Template>
  <TotalTime>9</TotalTime>
  <Pages>4</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Hinschen</dc:creator>
  <cp:keywords/>
  <dc:description/>
  <cp:lastModifiedBy>Katrina Hinschen</cp:lastModifiedBy>
  <cp:revision>1</cp:revision>
  <dcterms:created xsi:type="dcterms:W3CDTF">2022-08-16T04:54:00Z</dcterms:created>
  <dcterms:modified xsi:type="dcterms:W3CDTF">2022-08-16T05:03:00Z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0x0101001B5DB325EA0B6E41A34A20CA05C762A900F82BD3F289293C4EA9FB67E8E16F41A3</vt:lpwstr>
  </property>
  <property fmtid="{D5CDD505-2E9C-101B-9397-08002B2CF9AE}" pid="3" name="Project">
    <vt:lpwstr>160;#State Election campaign|807da8cf-33bc-488e-9fc4-acd18cb2a769</vt:lpwstr>
  </property>
  <property fmtid="{D5CDD505-2E9C-101B-9397-08002B2CF9AE}" pid="4" name="Media">
    <vt:lpwstr/>
  </property>
  <property fmtid="{D5CDD505-2E9C-101B-9397-08002B2CF9AE}" pid="5" name="Topic">
    <vt:lpwstr/>
  </property>
  <property fmtid="{D5CDD505-2E9C-101B-9397-08002B2CF9AE}" pid="6" name="Year">
    <vt:lpwstr>735;#2022|67b62c87-625b-453b-a9f9-310eaaab7116</vt:lpwstr>
  </property>
  <property fmtid="{D5CDD505-2E9C-101B-9397-08002B2CF9AE}" pid="7" name="Month">
    <vt:lpwstr>2;#08. August|0ee7e083-2d14-431c-8ed5-a452f1cf9fc4</vt:lpwstr>
  </property>
  <property fmtid="{D5CDD505-2E9C-101B-9397-08002B2CF9AE}" pid="8" name="Publications">
    <vt:lpwstr/>
  </property>
  <property fmtid="{D5CDD505-2E9C-101B-9397-08002B2CF9AE}" pid="9" name="Stakeholders">
    <vt:lpwstr/>
  </property>
  <property fmtid="{D5CDD505-2E9C-101B-9397-08002B2CF9AE}" pid="10" name="Audience">
    <vt:lpwstr/>
  </property>
  <property fmtid="{D5CDD505-2E9C-101B-9397-08002B2CF9AE}" pid="11" name="Doc Type">
    <vt:lpwstr>9;#Notes|e4b4b3c6-c47d-4a6a-9e59-b35ae3810dee</vt:lpwstr>
  </property>
</Properties>
</file>