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2ED406" w14:textId="77777777" w:rsidR="00C05912" w:rsidRDefault="00C05912" w:rsidP="00C05912">
      <w:pPr>
        <w:pStyle w:val="Header"/>
        <w:tabs>
          <w:tab w:val="clear" w:pos="4320"/>
          <w:tab w:val="clear" w:pos="8640"/>
        </w:tabs>
      </w:pPr>
      <w:bookmarkStart w:id="0" w:name="_Toc8718434"/>
      <w:bookmarkStart w:id="1" w:name="_Toc8718597"/>
    </w:p>
    <w:p w14:paraId="4088B7E1" w14:textId="77777777" w:rsidR="00C05912" w:rsidRDefault="00C05912" w:rsidP="00C05912">
      <w:pPr>
        <w:pStyle w:val="Header"/>
        <w:tabs>
          <w:tab w:val="clear" w:pos="4320"/>
          <w:tab w:val="clear" w:pos="8640"/>
        </w:tabs>
      </w:pPr>
    </w:p>
    <w:p w14:paraId="58031A70" w14:textId="77777777" w:rsidR="00C05912" w:rsidRDefault="00371D42" w:rsidP="00C05912">
      <w:pPr>
        <w:ind w:right="-216"/>
        <w:jc w:val="right"/>
        <w:rPr>
          <w:rFonts w:cs="Arial"/>
        </w:rPr>
      </w:pPr>
      <w:r>
        <w:rPr>
          <w:rFonts w:cs="Arial"/>
          <w:noProof/>
          <w:lang w:eastAsia="en-AU"/>
        </w:rPr>
        <w:drawing>
          <wp:inline distT="0" distB="0" distL="0" distR="0" wp14:anchorId="274E07D4" wp14:editId="7EAF1D54">
            <wp:extent cx="3464743" cy="1285574"/>
            <wp:effectExtent l="0" t="0" r="2540" b="0"/>
            <wp:docPr id="5" name="Picture 5" title="Municipal Association of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V JPEG colour logo for web and low res print.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468860" cy="1287102"/>
                    </a:xfrm>
                    <a:prstGeom prst="rect">
                      <a:avLst/>
                    </a:prstGeom>
                  </pic:spPr>
                </pic:pic>
              </a:graphicData>
            </a:graphic>
          </wp:inline>
        </w:drawing>
      </w:r>
    </w:p>
    <w:p w14:paraId="0A1A2384" w14:textId="77777777" w:rsidR="00C05912" w:rsidRDefault="00C05912" w:rsidP="00C05912">
      <w:pPr>
        <w:rPr>
          <w:rFonts w:cs="Arial"/>
        </w:rPr>
      </w:pPr>
      <w:r>
        <w:rPr>
          <w:rFonts w:cs="Arial"/>
          <w:noProof/>
          <w:lang w:eastAsia="en-AU"/>
        </w:rPr>
        <mc:AlternateContent>
          <mc:Choice Requires="wps">
            <w:drawing>
              <wp:anchor distT="0" distB="0" distL="114300" distR="114300" simplePos="0" relativeHeight="251658240" behindDoc="0" locked="0" layoutInCell="1" allowOverlap="1" wp14:anchorId="4A59A753" wp14:editId="6C74FE21">
                <wp:simplePos x="0" y="0"/>
                <wp:positionH relativeFrom="column">
                  <wp:posOffset>941070</wp:posOffset>
                </wp:positionH>
                <wp:positionV relativeFrom="paragraph">
                  <wp:posOffset>49530</wp:posOffset>
                </wp:positionV>
                <wp:extent cx="0" cy="6859905"/>
                <wp:effectExtent l="24765" t="27940" r="22860" b="2730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9905"/>
                        </a:xfrm>
                        <a:prstGeom prst="line">
                          <a:avLst/>
                        </a:prstGeom>
                        <a:noFill/>
                        <a:ln w="38100">
                          <a:solidFill>
                            <a:srgbClr val="FCB51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1pt,3.9pt" to="74.1pt,5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" strokecolor="#fcb514" strokeweight="3pt"/>
            </w:pict>
          </mc:Fallback>
        </mc:AlternateContent>
      </w:r>
    </w:p>
    <w:p w14:paraId="27D136DA" w14:textId="77777777" w:rsidR="00C05912" w:rsidRDefault="00C05912" w:rsidP="00C05912">
      <w:pPr>
        <w:rPr>
          <w:rFonts w:cs="Arial"/>
        </w:rPr>
      </w:pPr>
    </w:p>
    <w:p w14:paraId="20321001" w14:textId="77777777" w:rsidR="00C05912" w:rsidRDefault="00C05912" w:rsidP="00C05912">
      <w:pPr>
        <w:pStyle w:val="Header"/>
        <w:tabs>
          <w:tab w:val="clear" w:pos="4320"/>
          <w:tab w:val="clear" w:pos="8640"/>
        </w:tabs>
      </w:pPr>
    </w:p>
    <w:p w14:paraId="3B9CC2CA" w14:textId="77777777" w:rsidR="00C05912" w:rsidRDefault="00C05912" w:rsidP="00C05912">
      <w:pPr>
        <w:pStyle w:val="Header"/>
        <w:tabs>
          <w:tab w:val="clear" w:pos="4320"/>
          <w:tab w:val="clear" w:pos="8640"/>
        </w:tabs>
      </w:pPr>
    </w:p>
    <w:p w14:paraId="07E9A3B7" w14:textId="77777777" w:rsidR="00C05912" w:rsidRDefault="00C05912" w:rsidP="00C05912">
      <w:pPr>
        <w:pStyle w:val="Header"/>
        <w:tabs>
          <w:tab w:val="clear" w:pos="4320"/>
          <w:tab w:val="clear" w:pos="8640"/>
        </w:tabs>
      </w:pPr>
    </w:p>
    <w:p w14:paraId="293A5F46" w14:textId="77777777" w:rsidR="00C05912" w:rsidRDefault="00C05912" w:rsidP="00C05912">
      <w:pPr>
        <w:pStyle w:val="Header"/>
        <w:tabs>
          <w:tab w:val="clear" w:pos="4320"/>
          <w:tab w:val="clear" w:pos="8640"/>
        </w:tabs>
      </w:pPr>
    </w:p>
    <w:p w14:paraId="3F65D852" w14:textId="77777777" w:rsidR="00C05912" w:rsidRDefault="00C05912" w:rsidP="00C05912">
      <w:pPr>
        <w:pStyle w:val="Header"/>
        <w:tabs>
          <w:tab w:val="clear" w:pos="4320"/>
          <w:tab w:val="clear" w:pos="8640"/>
        </w:tabs>
      </w:pPr>
    </w:p>
    <w:p w14:paraId="41289E1A" w14:textId="77777777" w:rsidR="00825303" w:rsidRDefault="00825303" w:rsidP="00C05912">
      <w:pPr>
        <w:pStyle w:val="Header"/>
        <w:tabs>
          <w:tab w:val="clear" w:pos="4320"/>
          <w:tab w:val="clear" w:pos="8640"/>
        </w:tabs>
      </w:pPr>
    </w:p>
    <w:p w14:paraId="4E461CE4" w14:textId="77777777" w:rsidR="00825303" w:rsidRDefault="00825303" w:rsidP="00C05912">
      <w:pPr>
        <w:pStyle w:val="Header"/>
        <w:tabs>
          <w:tab w:val="clear" w:pos="4320"/>
          <w:tab w:val="clear" w:pos="8640"/>
        </w:tabs>
      </w:pPr>
    </w:p>
    <w:p w14:paraId="72CF41AC" w14:textId="77777777" w:rsidR="00C05912" w:rsidRDefault="00C05912" w:rsidP="00C05912">
      <w:pPr>
        <w:pStyle w:val="Header"/>
        <w:tabs>
          <w:tab w:val="clear" w:pos="4320"/>
          <w:tab w:val="clear" w:pos="8640"/>
        </w:tabs>
      </w:pPr>
    </w:p>
    <w:p w14:paraId="14176470" w14:textId="09FE1C53" w:rsidR="00C05912" w:rsidRPr="00B448BC" w:rsidRDefault="00AB10DC" w:rsidP="00B448BC">
      <w:pPr>
        <w:pStyle w:val="Title"/>
      </w:pPr>
      <w:r w:rsidRPr="00B448BC">
        <w:t>Submission to the Parliamentary</w:t>
      </w:r>
    </w:p>
    <w:p w14:paraId="44861961" w14:textId="77777777" w:rsidR="00AB10DC" w:rsidRPr="00B448BC" w:rsidRDefault="00AB10DC" w:rsidP="00B448BC">
      <w:pPr>
        <w:pStyle w:val="Title"/>
      </w:pPr>
      <w:r w:rsidRPr="00B448BC">
        <w:t xml:space="preserve">Inquiry into Rural and Regional </w:t>
      </w:r>
    </w:p>
    <w:p w14:paraId="398D3BC2" w14:textId="67886FAF" w:rsidR="00AB10DC" w:rsidRDefault="00AB10DC" w:rsidP="00B448BC">
      <w:pPr>
        <w:pStyle w:val="Title"/>
      </w:pPr>
      <w:r w:rsidRPr="00B448BC">
        <w:t>Councils</w:t>
      </w:r>
    </w:p>
    <w:p w14:paraId="6074E764" w14:textId="77777777" w:rsidR="00C05912" w:rsidRDefault="00C05912" w:rsidP="00BB2DE5">
      <w:pPr>
        <w:pStyle w:val="Header"/>
        <w:tabs>
          <w:tab w:val="clear" w:pos="4320"/>
          <w:tab w:val="clear" w:pos="8640"/>
        </w:tabs>
        <w:jc w:val="right"/>
      </w:pPr>
    </w:p>
    <w:p w14:paraId="7FDDC4D6" w14:textId="77777777" w:rsidR="00825303" w:rsidRDefault="00825303" w:rsidP="00BB2DE5">
      <w:pPr>
        <w:pStyle w:val="Header"/>
        <w:tabs>
          <w:tab w:val="clear" w:pos="4320"/>
          <w:tab w:val="clear" w:pos="8640"/>
        </w:tabs>
        <w:jc w:val="right"/>
      </w:pPr>
    </w:p>
    <w:p w14:paraId="79D539F4" w14:textId="77777777" w:rsidR="00825303" w:rsidRDefault="00825303" w:rsidP="00BB2DE5">
      <w:pPr>
        <w:pStyle w:val="Header"/>
        <w:tabs>
          <w:tab w:val="clear" w:pos="4320"/>
          <w:tab w:val="clear" w:pos="8640"/>
        </w:tabs>
        <w:jc w:val="right"/>
      </w:pPr>
    </w:p>
    <w:p w14:paraId="1AE2E653" w14:textId="77777777" w:rsidR="00BB2DE5" w:rsidRDefault="00BB2DE5" w:rsidP="00C05912">
      <w:pPr>
        <w:pStyle w:val="Header"/>
        <w:tabs>
          <w:tab w:val="clear" w:pos="4320"/>
          <w:tab w:val="clear" w:pos="8640"/>
        </w:tabs>
      </w:pPr>
    </w:p>
    <w:p w14:paraId="0DAAC497" w14:textId="77777777" w:rsidR="00825303" w:rsidRDefault="00825303" w:rsidP="00C05912">
      <w:pPr>
        <w:pStyle w:val="Header"/>
        <w:tabs>
          <w:tab w:val="clear" w:pos="4320"/>
          <w:tab w:val="clear" w:pos="8640"/>
        </w:tabs>
      </w:pPr>
    </w:p>
    <w:p w14:paraId="6B447E70" w14:textId="77777777" w:rsidR="00825303" w:rsidRDefault="00825303" w:rsidP="00C05912">
      <w:pPr>
        <w:pStyle w:val="Header"/>
        <w:tabs>
          <w:tab w:val="clear" w:pos="4320"/>
          <w:tab w:val="clear" w:pos="8640"/>
        </w:tabs>
      </w:pPr>
    </w:p>
    <w:p w14:paraId="3DB3879F" w14:textId="77777777" w:rsidR="00BB2DE5" w:rsidRDefault="00BB2DE5" w:rsidP="00C05912">
      <w:pPr>
        <w:pStyle w:val="Header"/>
        <w:tabs>
          <w:tab w:val="clear" w:pos="4320"/>
          <w:tab w:val="clear" w:pos="8640"/>
        </w:tabs>
      </w:pPr>
    </w:p>
    <w:p w14:paraId="2B66BF0C" w14:textId="77777777" w:rsidR="00BB2DE5" w:rsidRDefault="00BB2DE5" w:rsidP="00C05912">
      <w:pPr>
        <w:pStyle w:val="Header"/>
        <w:tabs>
          <w:tab w:val="clear" w:pos="4320"/>
          <w:tab w:val="clear" w:pos="8640"/>
        </w:tabs>
      </w:pPr>
    </w:p>
    <w:p w14:paraId="1FBBF27F" w14:textId="77777777" w:rsidR="00BB2DE5" w:rsidRDefault="00BB2DE5" w:rsidP="00C05912">
      <w:pPr>
        <w:pStyle w:val="Header"/>
        <w:tabs>
          <w:tab w:val="clear" w:pos="4320"/>
          <w:tab w:val="clear" w:pos="8640"/>
        </w:tabs>
      </w:pPr>
    </w:p>
    <w:p w14:paraId="0852C263" w14:textId="142A7738" w:rsidR="00BB2DE5" w:rsidRDefault="00AB10DC" w:rsidP="00BB2DE5">
      <w:pPr>
        <w:pBdr>
          <w:top w:val="single" w:sz="6" w:space="1" w:color="FFFFFF"/>
          <w:left w:val="single" w:sz="6" w:space="1" w:color="FFFFFF"/>
          <w:bottom w:val="single" w:sz="6" w:space="1" w:color="FFFFFF"/>
          <w:right w:val="single" w:sz="6" w:space="0" w:color="FFFFFF"/>
        </w:pBdr>
        <w:jc w:val="right"/>
        <w:rPr>
          <w:rFonts w:cs="Arial"/>
          <w:b/>
          <w:szCs w:val="24"/>
        </w:rPr>
      </w:pPr>
      <w:r>
        <w:rPr>
          <w:rFonts w:cs="Arial"/>
          <w:b/>
          <w:szCs w:val="24"/>
        </w:rPr>
        <w:t>September 2016</w:t>
      </w:r>
    </w:p>
    <w:p w14:paraId="69F8180B" w14:textId="77777777" w:rsidR="00C05912" w:rsidRDefault="00C05912" w:rsidP="00C05912">
      <w:pPr>
        <w:pStyle w:val="Header"/>
        <w:tabs>
          <w:tab w:val="clear" w:pos="4320"/>
          <w:tab w:val="clear" w:pos="8640"/>
        </w:tabs>
      </w:pPr>
    </w:p>
    <w:p w14:paraId="6DBF5428" w14:textId="77777777" w:rsidR="00C05912" w:rsidRDefault="00C05912" w:rsidP="00C05912">
      <w:pPr>
        <w:pStyle w:val="Header"/>
        <w:tabs>
          <w:tab w:val="clear" w:pos="4320"/>
          <w:tab w:val="clear" w:pos="8640"/>
        </w:tabs>
      </w:pPr>
    </w:p>
    <w:p w14:paraId="600C6D87" w14:textId="77777777" w:rsidR="00C05912" w:rsidRDefault="00C05912" w:rsidP="00C05912">
      <w:pPr>
        <w:pStyle w:val="Header"/>
        <w:tabs>
          <w:tab w:val="clear" w:pos="4320"/>
          <w:tab w:val="clear" w:pos="8640"/>
        </w:tabs>
      </w:pPr>
    </w:p>
    <w:p w14:paraId="57D2BC91" w14:textId="77777777" w:rsidR="00C05912" w:rsidRDefault="00C05912" w:rsidP="00C05912">
      <w:pPr>
        <w:pStyle w:val="Header"/>
        <w:tabs>
          <w:tab w:val="clear" w:pos="4320"/>
          <w:tab w:val="clear" w:pos="8640"/>
        </w:tabs>
      </w:pPr>
    </w:p>
    <w:p w14:paraId="4A98EF6D" w14:textId="77777777" w:rsidR="00C05912" w:rsidRDefault="00C05912" w:rsidP="00C05912">
      <w:pPr>
        <w:pStyle w:val="Header"/>
        <w:tabs>
          <w:tab w:val="clear" w:pos="4320"/>
          <w:tab w:val="clear" w:pos="8640"/>
        </w:tabs>
      </w:pPr>
    </w:p>
    <w:p w14:paraId="6825FFE3" w14:textId="77777777" w:rsidR="00C05912" w:rsidRDefault="00C05912" w:rsidP="00C05912">
      <w:pPr>
        <w:pStyle w:val="Header"/>
        <w:tabs>
          <w:tab w:val="clear" w:pos="4320"/>
          <w:tab w:val="clear" w:pos="8640"/>
        </w:tabs>
      </w:pPr>
    </w:p>
    <w:p w14:paraId="14D698C2" w14:textId="77777777" w:rsidR="00C05912" w:rsidRDefault="00C05912" w:rsidP="00C05912">
      <w:pPr>
        <w:pStyle w:val="Header"/>
        <w:tabs>
          <w:tab w:val="clear" w:pos="4320"/>
          <w:tab w:val="clear" w:pos="8640"/>
        </w:tabs>
      </w:pPr>
    </w:p>
    <w:p w14:paraId="07AF1688" w14:textId="77777777" w:rsidR="00C05912" w:rsidRDefault="00C05912" w:rsidP="00C05912">
      <w:pPr>
        <w:pStyle w:val="Header"/>
        <w:tabs>
          <w:tab w:val="clear" w:pos="4320"/>
          <w:tab w:val="clear" w:pos="8640"/>
        </w:tabs>
      </w:pPr>
    </w:p>
    <w:p w14:paraId="630020E4" w14:textId="77777777" w:rsidR="00C05912" w:rsidRDefault="00C05912" w:rsidP="00C05912">
      <w:pPr>
        <w:pStyle w:val="Header"/>
        <w:tabs>
          <w:tab w:val="clear" w:pos="4320"/>
          <w:tab w:val="clear" w:pos="8640"/>
        </w:tabs>
      </w:pPr>
    </w:p>
    <w:p w14:paraId="16FAC198" w14:textId="77777777" w:rsidR="00C05912" w:rsidRDefault="00C05912" w:rsidP="00C05912">
      <w:pPr>
        <w:pStyle w:val="Header"/>
        <w:tabs>
          <w:tab w:val="clear" w:pos="4320"/>
          <w:tab w:val="clear" w:pos="8640"/>
        </w:tabs>
      </w:pPr>
    </w:p>
    <w:p w14:paraId="2CE193E0" w14:textId="77777777" w:rsidR="00C05912" w:rsidRDefault="00C05912" w:rsidP="00C05912">
      <w:pPr>
        <w:pStyle w:val="Header"/>
        <w:tabs>
          <w:tab w:val="clear" w:pos="4320"/>
          <w:tab w:val="clear" w:pos="8640"/>
        </w:tabs>
      </w:pPr>
    </w:p>
    <w:p w14:paraId="64F2BFEE" w14:textId="77777777" w:rsidR="00C05912" w:rsidRDefault="00C05912" w:rsidP="00C05912">
      <w:pPr>
        <w:pStyle w:val="Header"/>
        <w:tabs>
          <w:tab w:val="clear" w:pos="4320"/>
          <w:tab w:val="clear" w:pos="8640"/>
        </w:tabs>
      </w:pPr>
    </w:p>
    <w:p w14:paraId="4FB9F935" w14:textId="77777777" w:rsidR="00C05912" w:rsidRDefault="00C05912" w:rsidP="00C05912">
      <w:pPr>
        <w:pStyle w:val="Header"/>
        <w:tabs>
          <w:tab w:val="clear" w:pos="4320"/>
          <w:tab w:val="clear" w:pos="8640"/>
        </w:tabs>
      </w:pPr>
    </w:p>
    <w:p w14:paraId="2C9A47BD" w14:textId="77777777" w:rsidR="00C05912" w:rsidRDefault="00C05912" w:rsidP="00C05912">
      <w:pPr>
        <w:pStyle w:val="Header"/>
        <w:tabs>
          <w:tab w:val="clear" w:pos="4320"/>
          <w:tab w:val="clear" w:pos="8640"/>
        </w:tabs>
      </w:pPr>
    </w:p>
    <w:p w14:paraId="35BEDD33" w14:textId="77777777" w:rsidR="00C05912" w:rsidRDefault="00C05912" w:rsidP="00C05912">
      <w:pPr>
        <w:pStyle w:val="Header"/>
        <w:tabs>
          <w:tab w:val="clear" w:pos="4320"/>
          <w:tab w:val="clear" w:pos="8640"/>
        </w:tabs>
      </w:pPr>
    </w:p>
    <w:p w14:paraId="7638C890" w14:textId="77777777" w:rsidR="00C05912" w:rsidRDefault="00C05912" w:rsidP="00C05912">
      <w:pPr>
        <w:pStyle w:val="Header"/>
        <w:tabs>
          <w:tab w:val="clear" w:pos="4320"/>
          <w:tab w:val="clear" w:pos="8640"/>
        </w:tabs>
      </w:pPr>
    </w:p>
    <w:p w14:paraId="7B7330BF" w14:textId="77777777" w:rsidR="00C05912" w:rsidRDefault="00C05912" w:rsidP="00C05912">
      <w:pPr>
        <w:pStyle w:val="Header"/>
        <w:tabs>
          <w:tab w:val="clear" w:pos="4320"/>
          <w:tab w:val="clear" w:pos="8640"/>
        </w:tabs>
      </w:pPr>
    </w:p>
    <w:p w14:paraId="0D2219EF" w14:textId="77777777" w:rsidR="00C05912" w:rsidRDefault="00C05912" w:rsidP="00C05912">
      <w:pPr>
        <w:pStyle w:val="Header"/>
        <w:tabs>
          <w:tab w:val="clear" w:pos="4320"/>
          <w:tab w:val="clear" w:pos="8640"/>
        </w:tabs>
      </w:pPr>
    </w:p>
    <w:p w14:paraId="704993C1" w14:textId="77777777" w:rsidR="00C05912" w:rsidRDefault="00C05912" w:rsidP="00C05912">
      <w:pPr>
        <w:sectPr w:rsidR="00C05912">
          <w:headerReference w:type="even" r:id="rId16"/>
          <w:headerReference w:type="default" r:id="rId17"/>
          <w:footerReference w:type="even" r:id="rId18"/>
          <w:footerReference w:type="default" r:id="rId19"/>
          <w:pgSz w:w="11909" w:h="16834" w:code="9"/>
          <w:pgMar w:top="1440" w:right="1797" w:bottom="1440" w:left="1797" w:header="720" w:footer="720" w:gutter="0"/>
          <w:pgNumType w:start="1"/>
          <w:cols w:space="720"/>
          <w:docGrid w:linePitch="254"/>
        </w:sectPr>
      </w:pPr>
    </w:p>
    <w:p w14:paraId="51B63A37" w14:textId="77777777" w:rsidR="00C05912" w:rsidRDefault="00C05912" w:rsidP="00C05912"/>
    <w:p w14:paraId="56E4276C" w14:textId="77777777" w:rsidR="00C05912" w:rsidRDefault="00C05912" w:rsidP="00C05912"/>
    <w:p w14:paraId="09C9331A" w14:textId="77777777" w:rsidR="00C05912" w:rsidRDefault="00C05912" w:rsidP="00C05912"/>
    <w:p w14:paraId="06BA3042" w14:textId="77777777" w:rsidR="00C05912" w:rsidRDefault="00C05912" w:rsidP="00C05912"/>
    <w:p w14:paraId="2FDA1637" w14:textId="77777777" w:rsidR="00C05912" w:rsidRDefault="00C05912" w:rsidP="00C05912"/>
    <w:p w14:paraId="5C930555" w14:textId="77777777" w:rsidR="00C05912" w:rsidRDefault="00C05912" w:rsidP="00C05912"/>
    <w:p w14:paraId="0F40876A" w14:textId="77777777" w:rsidR="00C05912" w:rsidRDefault="00C05912" w:rsidP="00C05912"/>
    <w:p w14:paraId="3997B8D0" w14:textId="77777777" w:rsidR="00C05912" w:rsidRDefault="00C05912" w:rsidP="00C05912"/>
    <w:p w14:paraId="0C99CC19" w14:textId="77777777" w:rsidR="00C05912" w:rsidRDefault="00C05912" w:rsidP="00C05912"/>
    <w:p w14:paraId="033787F8" w14:textId="77777777" w:rsidR="00C05912" w:rsidRDefault="00C05912" w:rsidP="00C05912"/>
    <w:p w14:paraId="0467E101" w14:textId="77777777" w:rsidR="00C05912" w:rsidRDefault="00C05912" w:rsidP="00C05912"/>
    <w:p w14:paraId="202FA7C7" w14:textId="77777777" w:rsidR="00C05912" w:rsidRDefault="00C05912" w:rsidP="00C05912"/>
    <w:p w14:paraId="5F44418C" w14:textId="77777777" w:rsidR="00C05912" w:rsidRDefault="00C05912" w:rsidP="00C05912"/>
    <w:p w14:paraId="58937C43" w14:textId="77777777" w:rsidR="00C05912" w:rsidRDefault="00C05912" w:rsidP="00C05912"/>
    <w:p w14:paraId="2D12FF77" w14:textId="77777777" w:rsidR="00C05912" w:rsidRDefault="00C05912" w:rsidP="00C05912"/>
    <w:p w14:paraId="4CDF4C00" w14:textId="77777777" w:rsidR="00C05912" w:rsidRDefault="00C05912" w:rsidP="00C05912"/>
    <w:p w14:paraId="2D7378B0" w14:textId="77777777" w:rsidR="00C05912" w:rsidRDefault="00C05912" w:rsidP="00C05912"/>
    <w:p w14:paraId="41E9C5DD" w14:textId="74531EB9" w:rsidR="00C05912" w:rsidRDefault="00C05912" w:rsidP="00C05912">
      <w:pPr>
        <w:pStyle w:val="DisclaimerBold"/>
      </w:pPr>
      <w:r>
        <w:t>© Copyright Municipal Association of Victoria,</w:t>
      </w:r>
      <w:r w:rsidR="00B37A23">
        <w:t xml:space="preserve"> </w:t>
      </w:r>
      <w:r w:rsidR="00AB10DC">
        <w:t>2016</w:t>
      </w:r>
      <w:r>
        <w:t xml:space="preserve">. </w:t>
      </w:r>
    </w:p>
    <w:p w14:paraId="40588587" w14:textId="77777777" w:rsidR="00C05912" w:rsidRDefault="00C05912" w:rsidP="00C05912">
      <w:pPr>
        <w:pStyle w:val="Disclaimer"/>
      </w:pPr>
    </w:p>
    <w:p w14:paraId="1F076882" w14:textId="2636FE23" w:rsidR="00C05912" w:rsidRDefault="00C05912" w:rsidP="00C05912">
      <w:pPr>
        <w:pStyle w:val="Disclaimer"/>
      </w:pPr>
      <w:r>
        <w:t>The Municipal Association of Victoria</w:t>
      </w:r>
      <w:r w:rsidR="00EB53E6">
        <w:t xml:space="preserve"> (MAV)</w:t>
      </w:r>
      <w:r>
        <w:t xml:space="preserve"> is the owner of the copyright in the publication</w:t>
      </w:r>
      <w:r w:rsidR="0030496D">
        <w:t xml:space="preserve"> </w:t>
      </w:r>
      <w:sdt>
        <w:sdtPr>
          <w:alias w:val="Title"/>
          <w:tag w:val=""/>
          <w:id w:val="-428655969"/>
          <w:placeholder>
            <w:docPart w:val="D282F075E1734423A9784497A8A7965C"/>
          </w:placeholder>
          <w:dataBinding w:prefixMappings="xmlns:ns0='http://purl.org/dc/elements/1.1/' xmlns:ns1='http://schemas.openxmlformats.org/package/2006/metadata/core-properties' " w:xpath="/ns1:coreProperties[1]/ns0:title[1]" w:storeItemID="{6C3C8BC8-F283-45AE-878A-BAB7291924A1}"/>
          <w:text/>
        </w:sdtPr>
        <w:sdtEndPr/>
        <w:sdtContent>
          <w:r w:rsidR="004365E9">
            <w:t>Parliamentary Inquiry into Rural and Regional Councils</w:t>
          </w:r>
        </w:sdtContent>
      </w:sdt>
      <w:r>
        <w:t xml:space="preserve">. </w:t>
      </w:r>
    </w:p>
    <w:p w14:paraId="7A40FC3E" w14:textId="77777777" w:rsidR="00C05912" w:rsidRDefault="00C05912" w:rsidP="00C05912">
      <w:pPr>
        <w:pStyle w:val="Disclaimer"/>
      </w:pPr>
    </w:p>
    <w:p w14:paraId="2A19DF7E" w14:textId="77777777" w:rsidR="00C05912" w:rsidRDefault="00C05912" w:rsidP="00C05912">
      <w:pPr>
        <w:pStyle w:val="Disclaimer"/>
      </w:pPr>
      <w:r>
        <w:t xml:space="preserve">No part of this publication may be reproduced, stored or transmitted in any form or by any means without the prior permission in writing from the Municipal Association of </w:t>
      </w:r>
      <w:smartTag w:uri="urn:schemas-microsoft-com:office:smarttags" w:element="State">
        <w:smartTag w:uri="urn:schemas-microsoft-com:office:smarttags" w:element="place">
          <w:r>
            <w:t>Victoria</w:t>
          </w:r>
        </w:smartTag>
      </w:smartTag>
      <w:r>
        <w:t xml:space="preserve">. </w:t>
      </w:r>
    </w:p>
    <w:p w14:paraId="3D9FC01D" w14:textId="77777777" w:rsidR="00C05912" w:rsidRDefault="00C05912" w:rsidP="00C05912">
      <w:pPr>
        <w:pStyle w:val="Disclaimer"/>
      </w:pPr>
    </w:p>
    <w:p w14:paraId="3499DC1F" w14:textId="41EAEB09" w:rsidR="00C05912" w:rsidRDefault="00C05912" w:rsidP="00C05912">
      <w:pPr>
        <w:pStyle w:val="Disclaimer"/>
      </w:pPr>
      <w:r>
        <w:t xml:space="preserve">All requests to reproduce, store or transmit material contained in the publication should be addressed to </w:t>
      </w:r>
      <w:r w:rsidR="009F49E1">
        <w:t>MAV</w:t>
      </w:r>
      <w:r>
        <w:t xml:space="preserve"> on </w:t>
      </w:r>
      <w:r w:rsidR="009F49E1">
        <w:t>03 9667 5555</w:t>
      </w:r>
      <w:r>
        <w:t xml:space="preserve"> </w:t>
      </w:r>
    </w:p>
    <w:p w14:paraId="0D9E64F6" w14:textId="77777777" w:rsidR="00EB53E6" w:rsidRDefault="00EB53E6" w:rsidP="00C05912">
      <w:pPr>
        <w:pStyle w:val="Disclaimer"/>
      </w:pPr>
    </w:p>
    <w:p w14:paraId="1093E0BA" w14:textId="77777777" w:rsidR="00EB53E6" w:rsidRPr="00EB53E6" w:rsidRDefault="00EB53E6" w:rsidP="00C05912">
      <w:pPr>
        <w:pStyle w:val="Disclaimer"/>
        <w:rPr>
          <w:i w:val="0"/>
          <w:color w:val="auto"/>
        </w:rPr>
      </w:pPr>
      <w:r w:rsidRPr="00EB53E6">
        <w:rPr>
          <w:rStyle w:val="Emphasis"/>
          <w:i/>
          <w:color w:val="auto"/>
        </w:rPr>
        <w:t>T</w:t>
      </w:r>
      <w:r w:rsidR="00A14ADF">
        <w:rPr>
          <w:rStyle w:val="Emphasis"/>
          <w:i/>
          <w:color w:val="auto"/>
        </w:rPr>
        <w:t xml:space="preserve">he MAV </w:t>
      </w:r>
      <w:r w:rsidRPr="00EB53E6">
        <w:rPr>
          <w:rStyle w:val="Emphasis"/>
          <w:i/>
          <w:color w:val="auto"/>
        </w:rPr>
        <w:t>does not guarantee the accuracy of this document's contents if retrieved from sources other than its official websites or directly from a MAV employee.</w:t>
      </w:r>
    </w:p>
    <w:p w14:paraId="1420EB42" w14:textId="77777777" w:rsidR="00C05912" w:rsidRDefault="00C05912" w:rsidP="00C05912">
      <w:pPr>
        <w:pStyle w:val="Disclaimer"/>
      </w:pPr>
    </w:p>
    <w:p w14:paraId="06F698D9" w14:textId="43D7E2D8" w:rsidR="00C05912" w:rsidRDefault="00C05912" w:rsidP="004365E9">
      <w:pPr>
        <w:pStyle w:val="Disclaimer"/>
        <w:rPr>
          <w:szCs w:val="22"/>
        </w:rPr>
      </w:pPr>
      <w:r w:rsidRPr="003A2EDB">
        <w:rPr>
          <w:szCs w:val="22"/>
        </w:rPr>
        <w:t>The MAV can provide this publication in an alternative format upon request, including l</w:t>
      </w:r>
      <w:r w:rsidR="004365E9">
        <w:rPr>
          <w:szCs w:val="22"/>
        </w:rPr>
        <w:t xml:space="preserve">arge print, Braille and audio. </w:t>
      </w:r>
      <w:r>
        <w:rPr>
          <w:szCs w:val="22"/>
        </w:rPr>
        <w:t xml:space="preserve"> </w:t>
      </w:r>
    </w:p>
    <w:p w14:paraId="3D52745B" w14:textId="77777777" w:rsidR="00C05912" w:rsidRDefault="00C05912" w:rsidP="00C05912">
      <w:pPr>
        <w:pStyle w:val="Disclaimer"/>
        <w:rPr>
          <w:szCs w:val="22"/>
        </w:rPr>
      </w:pPr>
    </w:p>
    <w:p w14:paraId="1F469164" w14:textId="54B89D82" w:rsidR="00C05912" w:rsidRPr="003A2EDB" w:rsidRDefault="007B7335" w:rsidP="00C05912">
      <w:pPr>
        <w:pStyle w:val="Disclaimer"/>
        <w:rPr>
          <w:szCs w:val="22"/>
        </w:rPr>
      </w:pPr>
      <w:sdt>
        <w:sdtPr>
          <w:rPr>
            <w:szCs w:val="22"/>
          </w:rPr>
          <w:alias w:val="Title"/>
          <w:tag w:val=""/>
          <w:id w:val="1825464946"/>
          <w:placeholder>
            <w:docPart w:val="61D7CA02FD154D2386C4D47812ABE9FE"/>
          </w:placeholder>
          <w:dataBinding w:prefixMappings="xmlns:ns0='http://purl.org/dc/elements/1.1/' xmlns:ns1='http://schemas.openxmlformats.org/package/2006/metadata/core-properties' " w:xpath="/ns1:coreProperties[1]/ns0:title[1]" w:storeItemID="{6C3C8BC8-F283-45AE-878A-BAB7291924A1}"/>
          <w:text/>
        </w:sdtPr>
        <w:sdtEndPr/>
        <w:sdtContent>
          <w:r w:rsidR="004365E9">
            <w:rPr>
              <w:szCs w:val="22"/>
            </w:rPr>
            <w:t>Parliamentary Inquiry into Rural and Regional Councils</w:t>
          </w:r>
        </w:sdtContent>
      </w:sdt>
      <w:r w:rsidR="0030496D">
        <w:rPr>
          <w:szCs w:val="22"/>
        </w:rPr>
        <w:t xml:space="preserve"> </w:t>
      </w:r>
      <w:r w:rsidR="00C05912" w:rsidRPr="003A2EDB">
        <w:rPr>
          <w:szCs w:val="22"/>
        </w:rPr>
        <w:t xml:space="preserve">has been prepared by the </w:t>
      </w:r>
      <w:r w:rsidR="00CE28B5">
        <w:rPr>
          <w:szCs w:val="22"/>
        </w:rPr>
        <w:t>MAV</w:t>
      </w:r>
      <w:r w:rsidR="00C05912" w:rsidRPr="003A2EDB">
        <w:rPr>
          <w:szCs w:val="22"/>
        </w:rPr>
        <w:t xml:space="preserve"> for d</w:t>
      </w:r>
      <w:r w:rsidR="009F49E1">
        <w:rPr>
          <w:szCs w:val="22"/>
        </w:rPr>
        <w:t>iscussion with member councils and</w:t>
      </w:r>
      <w:r w:rsidR="00C05912" w:rsidRPr="003A2EDB">
        <w:rPr>
          <w:szCs w:val="22"/>
        </w:rPr>
        <w:t xml:space="preserve"> the State Government on the </w:t>
      </w:r>
      <w:r w:rsidR="009F49E1">
        <w:rPr>
          <w:szCs w:val="22"/>
        </w:rPr>
        <w:t>financial challenges facing rural and regional councils</w:t>
      </w:r>
      <w:r w:rsidR="00C05912" w:rsidRPr="003A2EDB">
        <w:rPr>
          <w:szCs w:val="22"/>
        </w:rPr>
        <w:t xml:space="preserve"> </w:t>
      </w:r>
    </w:p>
    <w:p w14:paraId="714463FF" w14:textId="77777777" w:rsidR="00C05912" w:rsidRPr="003A2EDB" w:rsidRDefault="00C05912" w:rsidP="00C05912">
      <w:pPr>
        <w:pStyle w:val="Disclaimer"/>
        <w:rPr>
          <w:szCs w:val="22"/>
        </w:rPr>
      </w:pPr>
    </w:p>
    <w:p w14:paraId="67BD1017" w14:textId="497F75BE" w:rsidR="00C05912" w:rsidRPr="003A2EDB" w:rsidRDefault="00C05912" w:rsidP="00C05912">
      <w:pPr>
        <w:pStyle w:val="Disclaimer"/>
        <w:rPr>
          <w:szCs w:val="22"/>
        </w:rPr>
      </w:pPr>
      <w:r w:rsidRPr="003A2EDB">
        <w:rPr>
          <w:szCs w:val="22"/>
        </w:rPr>
        <w:t xml:space="preserve">The MAV is the statutory peak body for local government in Victoria. </w:t>
      </w:r>
    </w:p>
    <w:p w14:paraId="5B1F361E" w14:textId="77777777" w:rsidR="00C05912" w:rsidRPr="003A2EDB" w:rsidRDefault="00C05912" w:rsidP="00C05912">
      <w:pPr>
        <w:pStyle w:val="Disclaimer"/>
        <w:rPr>
          <w:szCs w:val="22"/>
        </w:rPr>
      </w:pPr>
    </w:p>
    <w:p w14:paraId="576C0F17" w14:textId="18439781" w:rsidR="00C05912" w:rsidRPr="003A2EDB" w:rsidRDefault="00C05912" w:rsidP="00C05912">
      <w:pPr>
        <w:pStyle w:val="Disclaimer"/>
        <w:rPr>
          <w:szCs w:val="22"/>
        </w:rPr>
      </w:pPr>
      <w:r w:rsidRPr="003A2EDB">
        <w:rPr>
          <w:szCs w:val="22"/>
        </w:rPr>
        <w:t xml:space="preserve">While this paper aims to broadly reflect the views of local government in Victoria, it does not purport to reflect the exact views </w:t>
      </w:r>
      <w:r w:rsidR="009F49E1">
        <w:rPr>
          <w:szCs w:val="22"/>
        </w:rPr>
        <w:t xml:space="preserve">of individual councils. </w:t>
      </w:r>
    </w:p>
    <w:p w14:paraId="678BB84D" w14:textId="77777777" w:rsidR="00C05912" w:rsidRDefault="00C05912" w:rsidP="00C05912"/>
    <w:p w14:paraId="762A3EBB" w14:textId="77777777" w:rsidR="00C05912" w:rsidRDefault="00C05912" w:rsidP="00C05912">
      <w:r>
        <w:br w:type="page"/>
      </w:r>
    </w:p>
    <w:p w14:paraId="4DB58731" w14:textId="77777777" w:rsidR="00C05912" w:rsidRDefault="00C05912" w:rsidP="00C05912"/>
    <w:p w14:paraId="481034FF" w14:textId="77777777" w:rsidR="00C05912" w:rsidRDefault="00C05912" w:rsidP="00C05912"/>
    <w:p w14:paraId="30CDFE71" w14:textId="77777777" w:rsidR="00C05912" w:rsidRPr="00C74F4B" w:rsidRDefault="00424A4B" w:rsidP="00624E7A">
      <w:pPr>
        <w:rPr>
          <w:rStyle w:val="StyleBold"/>
        </w:rPr>
      </w:pPr>
      <w:r>
        <w:rPr>
          <w:rStyle w:val="StyleBold"/>
        </w:rPr>
        <w:t>Table of c</w:t>
      </w:r>
      <w:r w:rsidR="00C05912" w:rsidRPr="00C74F4B">
        <w:rPr>
          <w:rStyle w:val="StyleBold"/>
        </w:rPr>
        <w:t>ontents</w:t>
      </w:r>
    </w:p>
    <w:p w14:paraId="69A70CCA" w14:textId="77777777" w:rsidR="00C05912" w:rsidRDefault="00C05912" w:rsidP="00C05912"/>
    <w:p w14:paraId="2EF5F15E" w14:textId="0B9F5317" w:rsidR="00984C7B" w:rsidRDefault="00C05912">
      <w:pPr>
        <w:pStyle w:val="TOC1"/>
        <w:rPr>
          <w:rFonts w:asciiTheme="minorHAnsi" w:eastAsiaTheme="minorEastAsia" w:hAnsiTheme="minorHAnsi" w:cstheme="minorBidi"/>
          <w:bCs w:val="0"/>
          <w:i w:val="0"/>
          <w:iCs w:val="0"/>
          <w:noProof/>
          <w:szCs w:val="22"/>
          <w:lang w:eastAsia="en-AU"/>
        </w:rPr>
      </w:pPr>
      <w:r>
        <w:fldChar w:fldCharType="begin"/>
      </w:r>
      <w:r>
        <w:instrText xml:space="preserve"> TOC \o "1-2" \h \z \u </w:instrText>
      </w:r>
      <w:r>
        <w:fldChar w:fldCharType="separate"/>
      </w:r>
      <w:hyperlink w:anchor="_Toc462066804" w:history="1">
        <w:r w:rsidR="00984C7B" w:rsidRPr="00EC4F5B">
          <w:rPr>
            <w:rStyle w:val="Hyperlink"/>
            <w:noProof/>
          </w:rPr>
          <w:t>1</w:t>
        </w:r>
        <w:r w:rsidR="00984C7B">
          <w:rPr>
            <w:rFonts w:asciiTheme="minorHAnsi" w:eastAsiaTheme="minorEastAsia" w:hAnsiTheme="minorHAnsi" w:cstheme="minorBidi"/>
            <w:bCs w:val="0"/>
            <w:i w:val="0"/>
            <w:iCs w:val="0"/>
            <w:noProof/>
            <w:szCs w:val="22"/>
            <w:lang w:eastAsia="en-AU"/>
          </w:rPr>
          <w:tab/>
        </w:r>
        <w:r w:rsidR="00984C7B" w:rsidRPr="00EC4F5B">
          <w:rPr>
            <w:rStyle w:val="Hyperlink"/>
            <w:noProof/>
          </w:rPr>
          <w:t>Introduction</w:t>
        </w:r>
        <w:r w:rsidR="00984C7B">
          <w:rPr>
            <w:noProof/>
            <w:webHidden/>
          </w:rPr>
          <w:tab/>
        </w:r>
        <w:r w:rsidR="00984C7B">
          <w:rPr>
            <w:noProof/>
            <w:webHidden/>
          </w:rPr>
          <w:fldChar w:fldCharType="begin"/>
        </w:r>
        <w:r w:rsidR="00984C7B">
          <w:rPr>
            <w:noProof/>
            <w:webHidden/>
          </w:rPr>
          <w:instrText xml:space="preserve"> PAGEREF _Toc462066804 \h </w:instrText>
        </w:r>
        <w:r w:rsidR="00984C7B">
          <w:rPr>
            <w:noProof/>
            <w:webHidden/>
          </w:rPr>
        </w:r>
        <w:r w:rsidR="00984C7B">
          <w:rPr>
            <w:noProof/>
            <w:webHidden/>
          </w:rPr>
          <w:fldChar w:fldCharType="separate"/>
        </w:r>
        <w:r w:rsidR="00984C7B">
          <w:rPr>
            <w:noProof/>
            <w:webHidden/>
          </w:rPr>
          <w:t>3</w:t>
        </w:r>
        <w:r w:rsidR="00984C7B">
          <w:rPr>
            <w:noProof/>
            <w:webHidden/>
          </w:rPr>
          <w:fldChar w:fldCharType="end"/>
        </w:r>
      </w:hyperlink>
    </w:p>
    <w:p w14:paraId="2C396217" w14:textId="7A4343C3" w:rsidR="00984C7B" w:rsidRDefault="007B7335">
      <w:pPr>
        <w:pStyle w:val="TOC1"/>
        <w:rPr>
          <w:rFonts w:asciiTheme="minorHAnsi" w:eastAsiaTheme="minorEastAsia" w:hAnsiTheme="minorHAnsi" w:cstheme="minorBidi"/>
          <w:bCs w:val="0"/>
          <w:i w:val="0"/>
          <w:iCs w:val="0"/>
          <w:noProof/>
          <w:szCs w:val="22"/>
          <w:lang w:eastAsia="en-AU"/>
        </w:rPr>
      </w:pPr>
      <w:hyperlink w:anchor="_Toc462066805" w:history="1">
        <w:r w:rsidR="00984C7B" w:rsidRPr="00EC4F5B">
          <w:rPr>
            <w:rStyle w:val="Hyperlink"/>
            <w:noProof/>
          </w:rPr>
          <w:t>2</w:t>
        </w:r>
        <w:r w:rsidR="00984C7B">
          <w:rPr>
            <w:rFonts w:asciiTheme="minorHAnsi" w:eastAsiaTheme="minorEastAsia" w:hAnsiTheme="minorHAnsi" w:cstheme="minorBidi"/>
            <w:bCs w:val="0"/>
            <w:i w:val="0"/>
            <w:iCs w:val="0"/>
            <w:noProof/>
            <w:szCs w:val="22"/>
            <w:lang w:eastAsia="en-AU"/>
          </w:rPr>
          <w:tab/>
        </w:r>
        <w:r w:rsidR="00984C7B" w:rsidRPr="00EC4F5B">
          <w:rPr>
            <w:rStyle w:val="Hyperlink"/>
            <w:noProof/>
          </w:rPr>
          <w:t>Local Government Funding and Budgetary Pressures</w:t>
        </w:r>
        <w:r w:rsidR="00984C7B">
          <w:rPr>
            <w:noProof/>
            <w:webHidden/>
          </w:rPr>
          <w:tab/>
        </w:r>
        <w:r w:rsidR="00984C7B">
          <w:rPr>
            <w:noProof/>
            <w:webHidden/>
          </w:rPr>
          <w:fldChar w:fldCharType="begin"/>
        </w:r>
        <w:r w:rsidR="00984C7B">
          <w:rPr>
            <w:noProof/>
            <w:webHidden/>
          </w:rPr>
          <w:instrText xml:space="preserve"> PAGEREF _Toc462066805 \h </w:instrText>
        </w:r>
        <w:r w:rsidR="00984C7B">
          <w:rPr>
            <w:noProof/>
            <w:webHidden/>
          </w:rPr>
        </w:r>
        <w:r w:rsidR="00984C7B">
          <w:rPr>
            <w:noProof/>
            <w:webHidden/>
          </w:rPr>
          <w:fldChar w:fldCharType="separate"/>
        </w:r>
        <w:r w:rsidR="00984C7B">
          <w:rPr>
            <w:noProof/>
            <w:webHidden/>
          </w:rPr>
          <w:t>4</w:t>
        </w:r>
        <w:r w:rsidR="00984C7B">
          <w:rPr>
            <w:noProof/>
            <w:webHidden/>
          </w:rPr>
          <w:fldChar w:fldCharType="end"/>
        </w:r>
      </w:hyperlink>
    </w:p>
    <w:p w14:paraId="3074D603" w14:textId="018B88B4" w:rsidR="00984C7B" w:rsidRDefault="007B7335">
      <w:pPr>
        <w:pStyle w:val="TOC2"/>
        <w:rPr>
          <w:rFonts w:asciiTheme="minorHAnsi" w:eastAsiaTheme="minorEastAsia" w:hAnsiTheme="minorHAnsi" w:cstheme="minorBidi"/>
          <w:i w:val="0"/>
          <w:szCs w:val="22"/>
          <w:lang w:eastAsia="en-AU"/>
        </w:rPr>
      </w:pPr>
      <w:hyperlink w:anchor="_Toc462066806" w:history="1">
        <w:r w:rsidR="00984C7B" w:rsidRPr="00EC4F5B">
          <w:rPr>
            <w:rStyle w:val="Hyperlink"/>
          </w:rPr>
          <w:t>2.1</w:t>
        </w:r>
        <w:r w:rsidR="00984C7B">
          <w:rPr>
            <w:rFonts w:asciiTheme="minorHAnsi" w:eastAsiaTheme="minorEastAsia" w:hAnsiTheme="minorHAnsi" w:cstheme="minorBidi"/>
            <w:i w:val="0"/>
            <w:szCs w:val="22"/>
            <w:lang w:eastAsia="en-AU"/>
          </w:rPr>
          <w:tab/>
        </w:r>
        <w:r w:rsidR="00984C7B" w:rsidRPr="00EC4F5B">
          <w:rPr>
            <w:rStyle w:val="Hyperlink"/>
          </w:rPr>
          <w:t>Financial Assistance Grants</w:t>
        </w:r>
        <w:r w:rsidR="00984C7B">
          <w:rPr>
            <w:webHidden/>
          </w:rPr>
          <w:tab/>
        </w:r>
        <w:r w:rsidR="00984C7B">
          <w:rPr>
            <w:webHidden/>
          </w:rPr>
          <w:fldChar w:fldCharType="begin"/>
        </w:r>
        <w:r w:rsidR="00984C7B">
          <w:rPr>
            <w:webHidden/>
          </w:rPr>
          <w:instrText xml:space="preserve"> PAGEREF _Toc462066806 \h </w:instrText>
        </w:r>
        <w:r w:rsidR="00984C7B">
          <w:rPr>
            <w:webHidden/>
          </w:rPr>
        </w:r>
        <w:r w:rsidR="00984C7B">
          <w:rPr>
            <w:webHidden/>
          </w:rPr>
          <w:fldChar w:fldCharType="separate"/>
        </w:r>
        <w:r w:rsidR="00984C7B">
          <w:rPr>
            <w:webHidden/>
          </w:rPr>
          <w:t>4</w:t>
        </w:r>
        <w:r w:rsidR="00984C7B">
          <w:rPr>
            <w:webHidden/>
          </w:rPr>
          <w:fldChar w:fldCharType="end"/>
        </w:r>
      </w:hyperlink>
    </w:p>
    <w:p w14:paraId="0D42F9C6" w14:textId="6108146A" w:rsidR="00984C7B" w:rsidRDefault="007B7335">
      <w:pPr>
        <w:pStyle w:val="TOC2"/>
        <w:rPr>
          <w:rFonts w:asciiTheme="minorHAnsi" w:eastAsiaTheme="minorEastAsia" w:hAnsiTheme="minorHAnsi" w:cstheme="minorBidi"/>
          <w:i w:val="0"/>
          <w:szCs w:val="22"/>
          <w:lang w:eastAsia="en-AU"/>
        </w:rPr>
      </w:pPr>
      <w:hyperlink w:anchor="_Toc462066807" w:history="1">
        <w:r w:rsidR="00984C7B" w:rsidRPr="00EC4F5B">
          <w:rPr>
            <w:rStyle w:val="Hyperlink"/>
          </w:rPr>
          <w:t>2.2</w:t>
        </w:r>
        <w:r w:rsidR="00984C7B">
          <w:rPr>
            <w:rFonts w:asciiTheme="minorHAnsi" w:eastAsiaTheme="minorEastAsia" w:hAnsiTheme="minorHAnsi" w:cstheme="minorBidi"/>
            <w:i w:val="0"/>
            <w:szCs w:val="22"/>
            <w:lang w:eastAsia="en-AU"/>
          </w:rPr>
          <w:tab/>
        </w:r>
        <w:r w:rsidR="00984C7B" w:rsidRPr="00EC4F5B">
          <w:rPr>
            <w:rStyle w:val="Hyperlink"/>
          </w:rPr>
          <w:t>Defined Benefits Superannuation</w:t>
        </w:r>
        <w:r w:rsidR="00984C7B">
          <w:rPr>
            <w:webHidden/>
          </w:rPr>
          <w:tab/>
        </w:r>
        <w:r w:rsidR="00984C7B">
          <w:rPr>
            <w:webHidden/>
          </w:rPr>
          <w:fldChar w:fldCharType="begin"/>
        </w:r>
        <w:r w:rsidR="00984C7B">
          <w:rPr>
            <w:webHidden/>
          </w:rPr>
          <w:instrText xml:space="preserve"> PAGEREF _Toc462066807 \h </w:instrText>
        </w:r>
        <w:r w:rsidR="00984C7B">
          <w:rPr>
            <w:webHidden/>
          </w:rPr>
        </w:r>
        <w:r w:rsidR="00984C7B">
          <w:rPr>
            <w:webHidden/>
          </w:rPr>
          <w:fldChar w:fldCharType="separate"/>
        </w:r>
        <w:r w:rsidR="00984C7B">
          <w:rPr>
            <w:webHidden/>
          </w:rPr>
          <w:t>27</w:t>
        </w:r>
        <w:r w:rsidR="00984C7B">
          <w:rPr>
            <w:webHidden/>
          </w:rPr>
          <w:fldChar w:fldCharType="end"/>
        </w:r>
      </w:hyperlink>
    </w:p>
    <w:p w14:paraId="5D74DBBF" w14:textId="0E041B1A" w:rsidR="00984C7B" w:rsidRDefault="007B7335">
      <w:pPr>
        <w:pStyle w:val="TOC2"/>
        <w:rPr>
          <w:rFonts w:asciiTheme="minorHAnsi" w:eastAsiaTheme="minorEastAsia" w:hAnsiTheme="minorHAnsi" w:cstheme="minorBidi"/>
          <w:i w:val="0"/>
          <w:szCs w:val="22"/>
          <w:lang w:eastAsia="en-AU"/>
        </w:rPr>
      </w:pPr>
      <w:hyperlink w:anchor="_Toc462066808" w:history="1">
        <w:r w:rsidR="00984C7B" w:rsidRPr="00EC4F5B">
          <w:rPr>
            <w:rStyle w:val="Hyperlink"/>
          </w:rPr>
          <w:t>2.3</w:t>
        </w:r>
        <w:r w:rsidR="00984C7B">
          <w:rPr>
            <w:rFonts w:asciiTheme="minorHAnsi" w:eastAsiaTheme="minorEastAsia" w:hAnsiTheme="minorHAnsi" w:cstheme="minorBidi"/>
            <w:i w:val="0"/>
            <w:szCs w:val="22"/>
            <w:lang w:eastAsia="en-AU"/>
          </w:rPr>
          <w:tab/>
        </w:r>
        <w:r w:rsidR="00984C7B" w:rsidRPr="00EC4F5B">
          <w:rPr>
            <w:rStyle w:val="Hyperlink"/>
          </w:rPr>
          <w:t>Capital Renewal Requirements</w:t>
        </w:r>
        <w:r w:rsidR="00984C7B">
          <w:rPr>
            <w:webHidden/>
          </w:rPr>
          <w:tab/>
        </w:r>
        <w:r w:rsidR="00984C7B">
          <w:rPr>
            <w:webHidden/>
          </w:rPr>
          <w:fldChar w:fldCharType="begin"/>
        </w:r>
        <w:r w:rsidR="00984C7B">
          <w:rPr>
            <w:webHidden/>
          </w:rPr>
          <w:instrText xml:space="preserve"> PAGEREF _Toc462066808 \h </w:instrText>
        </w:r>
        <w:r w:rsidR="00984C7B">
          <w:rPr>
            <w:webHidden/>
          </w:rPr>
        </w:r>
        <w:r w:rsidR="00984C7B">
          <w:rPr>
            <w:webHidden/>
          </w:rPr>
          <w:fldChar w:fldCharType="separate"/>
        </w:r>
        <w:r w:rsidR="00984C7B">
          <w:rPr>
            <w:webHidden/>
          </w:rPr>
          <w:t>29</w:t>
        </w:r>
        <w:r w:rsidR="00984C7B">
          <w:rPr>
            <w:webHidden/>
          </w:rPr>
          <w:fldChar w:fldCharType="end"/>
        </w:r>
      </w:hyperlink>
    </w:p>
    <w:p w14:paraId="671F1EC7" w14:textId="4E90654C" w:rsidR="00984C7B" w:rsidRDefault="007B7335">
      <w:pPr>
        <w:pStyle w:val="TOC2"/>
        <w:rPr>
          <w:rFonts w:asciiTheme="minorHAnsi" w:eastAsiaTheme="minorEastAsia" w:hAnsiTheme="minorHAnsi" w:cstheme="minorBidi"/>
          <w:i w:val="0"/>
          <w:szCs w:val="22"/>
          <w:lang w:eastAsia="en-AU"/>
        </w:rPr>
      </w:pPr>
      <w:hyperlink w:anchor="_Toc462066809" w:history="1">
        <w:r w:rsidR="00984C7B" w:rsidRPr="00EC4F5B">
          <w:rPr>
            <w:rStyle w:val="Hyperlink"/>
          </w:rPr>
          <w:t>2.4</w:t>
        </w:r>
        <w:r w:rsidR="00984C7B">
          <w:rPr>
            <w:rFonts w:asciiTheme="minorHAnsi" w:eastAsiaTheme="minorEastAsia" w:hAnsiTheme="minorHAnsi" w:cstheme="minorBidi"/>
            <w:i w:val="0"/>
            <w:szCs w:val="22"/>
            <w:lang w:eastAsia="en-AU"/>
          </w:rPr>
          <w:tab/>
        </w:r>
        <w:r w:rsidR="00984C7B" w:rsidRPr="00EC4F5B">
          <w:rPr>
            <w:rStyle w:val="Hyperlink"/>
          </w:rPr>
          <w:t>Cumulative Effect of State Decisions</w:t>
        </w:r>
        <w:r w:rsidR="00984C7B">
          <w:rPr>
            <w:webHidden/>
          </w:rPr>
          <w:tab/>
        </w:r>
        <w:r w:rsidR="00984C7B">
          <w:rPr>
            <w:webHidden/>
          </w:rPr>
          <w:fldChar w:fldCharType="begin"/>
        </w:r>
        <w:r w:rsidR="00984C7B">
          <w:rPr>
            <w:webHidden/>
          </w:rPr>
          <w:instrText xml:space="preserve"> PAGEREF _Toc462066809 \h </w:instrText>
        </w:r>
        <w:r w:rsidR="00984C7B">
          <w:rPr>
            <w:webHidden/>
          </w:rPr>
        </w:r>
        <w:r w:rsidR="00984C7B">
          <w:rPr>
            <w:webHidden/>
          </w:rPr>
          <w:fldChar w:fldCharType="separate"/>
        </w:r>
        <w:r w:rsidR="00984C7B">
          <w:rPr>
            <w:webHidden/>
          </w:rPr>
          <w:t>34</w:t>
        </w:r>
        <w:r w:rsidR="00984C7B">
          <w:rPr>
            <w:webHidden/>
          </w:rPr>
          <w:fldChar w:fldCharType="end"/>
        </w:r>
      </w:hyperlink>
    </w:p>
    <w:p w14:paraId="2FECA3D1" w14:textId="148AFEF0" w:rsidR="00984C7B" w:rsidRDefault="007B7335">
      <w:pPr>
        <w:pStyle w:val="TOC2"/>
        <w:rPr>
          <w:rFonts w:asciiTheme="minorHAnsi" w:eastAsiaTheme="minorEastAsia" w:hAnsiTheme="minorHAnsi" w:cstheme="minorBidi"/>
          <w:i w:val="0"/>
          <w:szCs w:val="22"/>
          <w:lang w:eastAsia="en-AU"/>
        </w:rPr>
      </w:pPr>
      <w:hyperlink w:anchor="_Toc462066810" w:history="1">
        <w:r w:rsidR="00984C7B" w:rsidRPr="00EC4F5B">
          <w:rPr>
            <w:rStyle w:val="Hyperlink"/>
          </w:rPr>
          <w:t>2.5</w:t>
        </w:r>
        <w:r w:rsidR="00984C7B">
          <w:rPr>
            <w:rFonts w:asciiTheme="minorHAnsi" w:eastAsiaTheme="minorEastAsia" w:hAnsiTheme="minorHAnsi" w:cstheme="minorBidi"/>
            <w:i w:val="0"/>
            <w:szCs w:val="22"/>
            <w:lang w:eastAsia="en-AU"/>
          </w:rPr>
          <w:tab/>
        </w:r>
        <w:r w:rsidR="00984C7B" w:rsidRPr="00EC4F5B">
          <w:rPr>
            <w:rStyle w:val="Hyperlink"/>
          </w:rPr>
          <w:t>Implications for Rates</w:t>
        </w:r>
        <w:bookmarkStart w:id="2" w:name="_GoBack"/>
        <w:bookmarkEnd w:id="2"/>
        <w:r w:rsidR="00984C7B">
          <w:rPr>
            <w:webHidden/>
          </w:rPr>
          <w:tab/>
        </w:r>
        <w:r w:rsidR="00984C7B">
          <w:rPr>
            <w:webHidden/>
          </w:rPr>
          <w:fldChar w:fldCharType="begin"/>
        </w:r>
        <w:r w:rsidR="00984C7B">
          <w:rPr>
            <w:webHidden/>
          </w:rPr>
          <w:instrText xml:space="preserve"> PAGEREF _Toc462066810 \h </w:instrText>
        </w:r>
        <w:r w:rsidR="00984C7B">
          <w:rPr>
            <w:webHidden/>
          </w:rPr>
        </w:r>
        <w:r w:rsidR="00984C7B">
          <w:rPr>
            <w:webHidden/>
          </w:rPr>
          <w:fldChar w:fldCharType="separate"/>
        </w:r>
        <w:r w:rsidR="00984C7B">
          <w:rPr>
            <w:webHidden/>
          </w:rPr>
          <w:t>38</w:t>
        </w:r>
        <w:r w:rsidR="00984C7B">
          <w:rPr>
            <w:webHidden/>
          </w:rPr>
          <w:fldChar w:fldCharType="end"/>
        </w:r>
      </w:hyperlink>
    </w:p>
    <w:p w14:paraId="24555581" w14:textId="3362E700" w:rsidR="00984C7B" w:rsidRDefault="007B7335">
      <w:pPr>
        <w:pStyle w:val="TOC1"/>
        <w:rPr>
          <w:rFonts w:asciiTheme="minorHAnsi" w:eastAsiaTheme="minorEastAsia" w:hAnsiTheme="minorHAnsi" w:cstheme="minorBidi"/>
          <w:bCs w:val="0"/>
          <w:i w:val="0"/>
          <w:iCs w:val="0"/>
          <w:noProof/>
          <w:szCs w:val="22"/>
          <w:lang w:eastAsia="en-AU"/>
        </w:rPr>
      </w:pPr>
      <w:hyperlink w:anchor="_Toc462066811" w:history="1">
        <w:r w:rsidR="00984C7B" w:rsidRPr="00EC4F5B">
          <w:rPr>
            <w:rStyle w:val="Hyperlink"/>
            <w:noProof/>
          </w:rPr>
          <w:t>3</w:t>
        </w:r>
        <w:r w:rsidR="00984C7B">
          <w:rPr>
            <w:rFonts w:asciiTheme="minorHAnsi" w:eastAsiaTheme="minorEastAsia" w:hAnsiTheme="minorHAnsi" w:cstheme="minorBidi"/>
            <w:bCs w:val="0"/>
            <w:i w:val="0"/>
            <w:iCs w:val="0"/>
            <w:noProof/>
            <w:szCs w:val="22"/>
            <w:lang w:eastAsia="en-AU"/>
          </w:rPr>
          <w:tab/>
        </w:r>
        <w:r w:rsidR="00984C7B" w:rsidRPr="00EC4F5B">
          <w:rPr>
            <w:rStyle w:val="Hyperlink"/>
            <w:noProof/>
          </w:rPr>
          <w:t>Proposed Changes to the Local Government Act</w:t>
        </w:r>
        <w:r w:rsidR="00984C7B">
          <w:rPr>
            <w:noProof/>
            <w:webHidden/>
          </w:rPr>
          <w:tab/>
        </w:r>
        <w:r w:rsidR="00984C7B">
          <w:rPr>
            <w:noProof/>
            <w:webHidden/>
          </w:rPr>
          <w:fldChar w:fldCharType="begin"/>
        </w:r>
        <w:r w:rsidR="00984C7B">
          <w:rPr>
            <w:noProof/>
            <w:webHidden/>
          </w:rPr>
          <w:instrText xml:space="preserve"> PAGEREF _Toc462066811 \h </w:instrText>
        </w:r>
        <w:r w:rsidR="00984C7B">
          <w:rPr>
            <w:noProof/>
            <w:webHidden/>
          </w:rPr>
        </w:r>
        <w:r w:rsidR="00984C7B">
          <w:rPr>
            <w:noProof/>
            <w:webHidden/>
          </w:rPr>
          <w:fldChar w:fldCharType="separate"/>
        </w:r>
        <w:r w:rsidR="00984C7B">
          <w:rPr>
            <w:noProof/>
            <w:webHidden/>
          </w:rPr>
          <w:t>38</w:t>
        </w:r>
        <w:r w:rsidR="00984C7B">
          <w:rPr>
            <w:noProof/>
            <w:webHidden/>
          </w:rPr>
          <w:fldChar w:fldCharType="end"/>
        </w:r>
      </w:hyperlink>
    </w:p>
    <w:p w14:paraId="78BE01C3" w14:textId="7444AC1C" w:rsidR="00984C7B" w:rsidRDefault="007B7335">
      <w:pPr>
        <w:pStyle w:val="TOC1"/>
        <w:rPr>
          <w:rFonts w:asciiTheme="minorHAnsi" w:eastAsiaTheme="minorEastAsia" w:hAnsiTheme="minorHAnsi" w:cstheme="minorBidi"/>
          <w:bCs w:val="0"/>
          <w:i w:val="0"/>
          <w:iCs w:val="0"/>
          <w:noProof/>
          <w:szCs w:val="22"/>
          <w:lang w:eastAsia="en-AU"/>
        </w:rPr>
      </w:pPr>
      <w:hyperlink w:anchor="_Toc462066812" w:history="1">
        <w:r w:rsidR="00984C7B" w:rsidRPr="00EC4F5B">
          <w:rPr>
            <w:rStyle w:val="Hyperlink"/>
            <w:noProof/>
          </w:rPr>
          <w:t>4</w:t>
        </w:r>
        <w:r w:rsidR="00984C7B">
          <w:rPr>
            <w:rFonts w:asciiTheme="minorHAnsi" w:eastAsiaTheme="minorEastAsia" w:hAnsiTheme="minorHAnsi" w:cstheme="minorBidi"/>
            <w:bCs w:val="0"/>
            <w:i w:val="0"/>
            <w:iCs w:val="0"/>
            <w:noProof/>
            <w:szCs w:val="22"/>
            <w:lang w:eastAsia="en-AU"/>
          </w:rPr>
          <w:tab/>
        </w:r>
        <w:r w:rsidR="00984C7B" w:rsidRPr="00EC4F5B">
          <w:rPr>
            <w:rStyle w:val="Hyperlink"/>
            <w:noProof/>
          </w:rPr>
          <w:t>Rating Fairness</w:t>
        </w:r>
        <w:r w:rsidR="00984C7B">
          <w:rPr>
            <w:noProof/>
            <w:webHidden/>
          </w:rPr>
          <w:tab/>
        </w:r>
        <w:r w:rsidR="00984C7B">
          <w:rPr>
            <w:noProof/>
            <w:webHidden/>
          </w:rPr>
          <w:fldChar w:fldCharType="begin"/>
        </w:r>
        <w:r w:rsidR="00984C7B">
          <w:rPr>
            <w:noProof/>
            <w:webHidden/>
          </w:rPr>
          <w:instrText xml:space="preserve"> PAGEREF _Toc462066812 \h </w:instrText>
        </w:r>
        <w:r w:rsidR="00984C7B">
          <w:rPr>
            <w:noProof/>
            <w:webHidden/>
          </w:rPr>
        </w:r>
        <w:r w:rsidR="00984C7B">
          <w:rPr>
            <w:noProof/>
            <w:webHidden/>
          </w:rPr>
          <w:fldChar w:fldCharType="separate"/>
        </w:r>
        <w:r w:rsidR="00984C7B">
          <w:rPr>
            <w:noProof/>
            <w:webHidden/>
          </w:rPr>
          <w:t>38</w:t>
        </w:r>
        <w:r w:rsidR="00984C7B">
          <w:rPr>
            <w:noProof/>
            <w:webHidden/>
          </w:rPr>
          <w:fldChar w:fldCharType="end"/>
        </w:r>
      </w:hyperlink>
    </w:p>
    <w:p w14:paraId="2C56961E" w14:textId="098BA875" w:rsidR="00984C7B" w:rsidRDefault="007B7335">
      <w:pPr>
        <w:pStyle w:val="TOC1"/>
        <w:rPr>
          <w:rFonts w:asciiTheme="minorHAnsi" w:eastAsiaTheme="minorEastAsia" w:hAnsiTheme="minorHAnsi" w:cstheme="minorBidi"/>
          <w:bCs w:val="0"/>
          <w:i w:val="0"/>
          <w:iCs w:val="0"/>
          <w:noProof/>
          <w:szCs w:val="22"/>
          <w:lang w:eastAsia="en-AU"/>
        </w:rPr>
      </w:pPr>
      <w:hyperlink w:anchor="_Toc462066813" w:history="1">
        <w:r w:rsidR="00984C7B" w:rsidRPr="00EC4F5B">
          <w:rPr>
            <w:rStyle w:val="Hyperlink"/>
            <w:noProof/>
          </w:rPr>
          <w:t>5</w:t>
        </w:r>
        <w:r w:rsidR="00984C7B">
          <w:rPr>
            <w:rFonts w:asciiTheme="minorHAnsi" w:eastAsiaTheme="minorEastAsia" w:hAnsiTheme="minorHAnsi" w:cstheme="minorBidi"/>
            <w:bCs w:val="0"/>
            <w:i w:val="0"/>
            <w:iCs w:val="0"/>
            <w:noProof/>
            <w:szCs w:val="22"/>
            <w:lang w:eastAsia="en-AU"/>
          </w:rPr>
          <w:tab/>
        </w:r>
        <w:r w:rsidR="00984C7B" w:rsidRPr="00EC4F5B">
          <w:rPr>
            <w:rStyle w:val="Hyperlink"/>
            <w:noProof/>
          </w:rPr>
          <w:t>Rate capping</w:t>
        </w:r>
        <w:r w:rsidR="00984C7B">
          <w:rPr>
            <w:noProof/>
            <w:webHidden/>
          </w:rPr>
          <w:tab/>
        </w:r>
        <w:r w:rsidR="00984C7B">
          <w:rPr>
            <w:noProof/>
            <w:webHidden/>
          </w:rPr>
          <w:fldChar w:fldCharType="begin"/>
        </w:r>
        <w:r w:rsidR="00984C7B">
          <w:rPr>
            <w:noProof/>
            <w:webHidden/>
          </w:rPr>
          <w:instrText xml:space="preserve"> PAGEREF _Toc462066813 \h </w:instrText>
        </w:r>
        <w:r w:rsidR="00984C7B">
          <w:rPr>
            <w:noProof/>
            <w:webHidden/>
          </w:rPr>
        </w:r>
        <w:r w:rsidR="00984C7B">
          <w:rPr>
            <w:noProof/>
            <w:webHidden/>
          </w:rPr>
          <w:fldChar w:fldCharType="separate"/>
        </w:r>
        <w:r w:rsidR="00984C7B">
          <w:rPr>
            <w:noProof/>
            <w:webHidden/>
          </w:rPr>
          <w:t>39</w:t>
        </w:r>
        <w:r w:rsidR="00984C7B">
          <w:rPr>
            <w:noProof/>
            <w:webHidden/>
          </w:rPr>
          <w:fldChar w:fldCharType="end"/>
        </w:r>
      </w:hyperlink>
    </w:p>
    <w:p w14:paraId="10C9D58B" w14:textId="4DCA54C3" w:rsidR="00984C7B" w:rsidRDefault="007B7335">
      <w:pPr>
        <w:pStyle w:val="TOC1"/>
        <w:rPr>
          <w:rFonts w:asciiTheme="minorHAnsi" w:eastAsiaTheme="minorEastAsia" w:hAnsiTheme="minorHAnsi" w:cstheme="minorBidi"/>
          <w:bCs w:val="0"/>
          <w:i w:val="0"/>
          <w:iCs w:val="0"/>
          <w:noProof/>
          <w:szCs w:val="22"/>
          <w:lang w:eastAsia="en-AU"/>
        </w:rPr>
      </w:pPr>
      <w:hyperlink w:anchor="_Toc462066814" w:history="1">
        <w:r w:rsidR="00984C7B" w:rsidRPr="00EC4F5B">
          <w:rPr>
            <w:rStyle w:val="Hyperlink"/>
            <w:noProof/>
            <w:lang w:val="en-GB"/>
          </w:rPr>
          <w:t>6</w:t>
        </w:r>
        <w:r w:rsidR="00984C7B">
          <w:rPr>
            <w:rFonts w:asciiTheme="minorHAnsi" w:eastAsiaTheme="minorEastAsia" w:hAnsiTheme="minorHAnsi" w:cstheme="minorBidi"/>
            <w:bCs w:val="0"/>
            <w:i w:val="0"/>
            <w:iCs w:val="0"/>
            <w:noProof/>
            <w:szCs w:val="22"/>
            <w:lang w:eastAsia="en-AU"/>
          </w:rPr>
          <w:tab/>
        </w:r>
        <w:r w:rsidR="00984C7B" w:rsidRPr="00EC4F5B">
          <w:rPr>
            <w:rStyle w:val="Hyperlink"/>
            <w:noProof/>
            <w:lang w:val="en-GB"/>
          </w:rPr>
          <w:t>Flood planning and preparation</w:t>
        </w:r>
        <w:r w:rsidR="00984C7B">
          <w:rPr>
            <w:noProof/>
            <w:webHidden/>
          </w:rPr>
          <w:tab/>
        </w:r>
        <w:r w:rsidR="00984C7B">
          <w:rPr>
            <w:noProof/>
            <w:webHidden/>
          </w:rPr>
          <w:fldChar w:fldCharType="begin"/>
        </w:r>
        <w:r w:rsidR="00984C7B">
          <w:rPr>
            <w:noProof/>
            <w:webHidden/>
          </w:rPr>
          <w:instrText xml:space="preserve"> PAGEREF _Toc462066814 \h </w:instrText>
        </w:r>
        <w:r w:rsidR="00984C7B">
          <w:rPr>
            <w:noProof/>
            <w:webHidden/>
          </w:rPr>
        </w:r>
        <w:r w:rsidR="00984C7B">
          <w:rPr>
            <w:noProof/>
            <w:webHidden/>
          </w:rPr>
          <w:fldChar w:fldCharType="separate"/>
        </w:r>
        <w:r w:rsidR="00984C7B">
          <w:rPr>
            <w:noProof/>
            <w:webHidden/>
          </w:rPr>
          <w:t>40</w:t>
        </w:r>
        <w:r w:rsidR="00984C7B">
          <w:rPr>
            <w:noProof/>
            <w:webHidden/>
          </w:rPr>
          <w:fldChar w:fldCharType="end"/>
        </w:r>
      </w:hyperlink>
    </w:p>
    <w:p w14:paraId="2A11E467" w14:textId="6622A8E2" w:rsidR="00984C7B" w:rsidRDefault="007B7335">
      <w:pPr>
        <w:pStyle w:val="TOC2"/>
        <w:rPr>
          <w:rFonts w:asciiTheme="minorHAnsi" w:eastAsiaTheme="minorEastAsia" w:hAnsiTheme="minorHAnsi" w:cstheme="minorBidi"/>
          <w:i w:val="0"/>
          <w:szCs w:val="22"/>
          <w:lang w:eastAsia="en-AU"/>
        </w:rPr>
      </w:pPr>
      <w:hyperlink w:anchor="_Toc462066815" w:history="1">
        <w:r w:rsidR="00984C7B" w:rsidRPr="00EC4F5B">
          <w:rPr>
            <w:rStyle w:val="Hyperlink"/>
          </w:rPr>
          <w:t>6.1</w:t>
        </w:r>
        <w:r w:rsidR="00984C7B">
          <w:rPr>
            <w:rFonts w:asciiTheme="minorHAnsi" w:eastAsiaTheme="minorEastAsia" w:hAnsiTheme="minorHAnsi" w:cstheme="minorBidi"/>
            <w:i w:val="0"/>
            <w:szCs w:val="22"/>
            <w:lang w:eastAsia="en-AU"/>
          </w:rPr>
          <w:tab/>
        </w:r>
        <w:r w:rsidR="00984C7B" w:rsidRPr="00EC4F5B">
          <w:rPr>
            <w:rStyle w:val="Hyperlink"/>
          </w:rPr>
          <w:t>Statutory land use planning system, local government and catchment management authorities</w:t>
        </w:r>
        <w:r w:rsidR="00984C7B">
          <w:rPr>
            <w:webHidden/>
          </w:rPr>
          <w:tab/>
        </w:r>
        <w:r w:rsidR="00984C7B">
          <w:rPr>
            <w:webHidden/>
          </w:rPr>
          <w:fldChar w:fldCharType="begin"/>
        </w:r>
        <w:r w:rsidR="00984C7B">
          <w:rPr>
            <w:webHidden/>
          </w:rPr>
          <w:instrText xml:space="preserve"> PAGEREF _Toc462066815 \h </w:instrText>
        </w:r>
        <w:r w:rsidR="00984C7B">
          <w:rPr>
            <w:webHidden/>
          </w:rPr>
        </w:r>
        <w:r w:rsidR="00984C7B">
          <w:rPr>
            <w:webHidden/>
          </w:rPr>
          <w:fldChar w:fldCharType="separate"/>
        </w:r>
        <w:r w:rsidR="00984C7B">
          <w:rPr>
            <w:webHidden/>
          </w:rPr>
          <w:t>40</w:t>
        </w:r>
        <w:r w:rsidR="00984C7B">
          <w:rPr>
            <w:webHidden/>
          </w:rPr>
          <w:fldChar w:fldCharType="end"/>
        </w:r>
      </w:hyperlink>
    </w:p>
    <w:p w14:paraId="0B741205" w14:textId="5AB5E375" w:rsidR="00984C7B" w:rsidRDefault="007B7335">
      <w:pPr>
        <w:pStyle w:val="TOC2"/>
        <w:rPr>
          <w:rFonts w:asciiTheme="minorHAnsi" w:eastAsiaTheme="minorEastAsia" w:hAnsiTheme="minorHAnsi" w:cstheme="minorBidi"/>
          <w:i w:val="0"/>
          <w:szCs w:val="22"/>
          <w:lang w:eastAsia="en-AU"/>
        </w:rPr>
      </w:pPr>
      <w:hyperlink w:anchor="_Toc462066816" w:history="1">
        <w:r w:rsidR="00984C7B" w:rsidRPr="00EC4F5B">
          <w:rPr>
            <w:rStyle w:val="Hyperlink"/>
            <w:lang w:eastAsia="en-AU"/>
          </w:rPr>
          <w:t>6.2</w:t>
        </w:r>
        <w:r w:rsidR="00984C7B">
          <w:rPr>
            <w:rFonts w:asciiTheme="minorHAnsi" w:eastAsiaTheme="minorEastAsia" w:hAnsiTheme="minorHAnsi" w:cstheme="minorBidi"/>
            <w:i w:val="0"/>
            <w:szCs w:val="22"/>
            <w:lang w:eastAsia="en-AU"/>
          </w:rPr>
          <w:tab/>
        </w:r>
        <w:r w:rsidR="00984C7B" w:rsidRPr="00EC4F5B">
          <w:rPr>
            <w:rStyle w:val="Hyperlink"/>
          </w:rPr>
          <w:t>Flood</w:t>
        </w:r>
        <w:r w:rsidR="00984C7B" w:rsidRPr="00EC4F5B">
          <w:rPr>
            <w:rStyle w:val="Hyperlink"/>
            <w:lang w:eastAsia="en-AU"/>
          </w:rPr>
          <w:t xml:space="preserve"> studies and the role of Catchment Management Authorities</w:t>
        </w:r>
        <w:r w:rsidR="00984C7B">
          <w:rPr>
            <w:webHidden/>
          </w:rPr>
          <w:tab/>
        </w:r>
        <w:r w:rsidR="00984C7B">
          <w:rPr>
            <w:webHidden/>
          </w:rPr>
          <w:fldChar w:fldCharType="begin"/>
        </w:r>
        <w:r w:rsidR="00984C7B">
          <w:rPr>
            <w:webHidden/>
          </w:rPr>
          <w:instrText xml:space="preserve"> PAGEREF _Toc462066816 \h </w:instrText>
        </w:r>
        <w:r w:rsidR="00984C7B">
          <w:rPr>
            <w:webHidden/>
          </w:rPr>
        </w:r>
        <w:r w:rsidR="00984C7B">
          <w:rPr>
            <w:webHidden/>
          </w:rPr>
          <w:fldChar w:fldCharType="separate"/>
        </w:r>
        <w:r w:rsidR="00984C7B">
          <w:rPr>
            <w:webHidden/>
          </w:rPr>
          <w:t>40</w:t>
        </w:r>
        <w:r w:rsidR="00984C7B">
          <w:rPr>
            <w:webHidden/>
          </w:rPr>
          <w:fldChar w:fldCharType="end"/>
        </w:r>
      </w:hyperlink>
    </w:p>
    <w:p w14:paraId="7EE4120B" w14:textId="0EE3D4ED" w:rsidR="00984C7B" w:rsidRDefault="007B7335">
      <w:pPr>
        <w:pStyle w:val="TOC2"/>
        <w:rPr>
          <w:rFonts w:asciiTheme="minorHAnsi" w:eastAsiaTheme="minorEastAsia" w:hAnsiTheme="minorHAnsi" w:cstheme="minorBidi"/>
          <w:i w:val="0"/>
          <w:szCs w:val="22"/>
          <w:lang w:eastAsia="en-AU"/>
        </w:rPr>
      </w:pPr>
      <w:hyperlink w:anchor="_Toc462066817" w:history="1">
        <w:r w:rsidR="00984C7B" w:rsidRPr="00EC4F5B">
          <w:rPr>
            <w:rStyle w:val="Hyperlink"/>
            <w:lang w:eastAsia="en-AU"/>
          </w:rPr>
          <w:t>6.3</w:t>
        </w:r>
        <w:r w:rsidR="00984C7B">
          <w:rPr>
            <w:rFonts w:asciiTheme="minorHAnsi" w:eastAsiaTheme="minorEastAsia" w:hAnsiTheme="minorHAnsi" w:cstheme="minorBidi"/>
            <w:i w:val="0"/>
            <w:szCs w:val="22"/>
            <w:lang w:eastAsia="en-AU"/>
          </w:rPr>
          <w:tab/>
        </w:r>
        <w:r w:rsidR="00984C7B" w:rsidRPr="00EC4F5B">
          <w:rPr>
            <w:rStyle w:val="Hyperlink"/>
            <w:lang w:eastAsia="en-AU"/>
          </w:rPr>
          <w:t>Coastal flooding, coastal hazard assessments and mitigation responses</w:t>
        </w:r>
        <w:r w:rsidR="00984C7B">
          <w:rPr>
            <w:webHidden/>
          </w:rPr>
          <w:tab/>
        </w:r>
        <w:r w:rsidR="00984C7B">
          <w:rPr>
            <w:webHidden/>
          </w:rPr>
          <w:fldChar w:fldCharType="begin"/>
        </w:r>
        <w:r w:rsidR="00984C7B">
          <w:rPr>
            <w:webHidden/>
          </w:rPr>
          <w:instrText xml:space="preserve"> PAGEREF _Toc462066817 \h </w:instrText>
        </w:r>
        <w:r w:rsidR="00984C7B">
          <w:rPr>
            <w:webHidden/>
          </w:rPr>
        </w:r>
        <w:r w:rsidR="00984C7B">
          <w:rPr>
            <w:webHidden/>
          </w:rPr>
          <w:fldChar w:fldCharType="separate"/>
        </w:r>
        <w:r w:rsidR="00984C7B">
          <w:rPr>
            <w:webHidden/>
          </w:rPr>
          <w:t>41</w:t>
        </w:r>
        <w:r w:rsidR="00984C7B">
          <w:rPr>
            <w:webHidden/>
          </w:rPr>
          <w:fldChar w:fldCharType="end"/>
        </w:r>
      </w:hyperlink>
    </w:p>
    <w:p w14:paraId="0E953419" w14:textId="556C3E45" w:rsidR="00984C7B" w:rsidRDefault="007B7335">
      <w:pPr>
        <w:pStyle w:val="TOC2"/>
        <w:rPr>
          <w:rFonts w:asciiTheme="minorHAnsi" w:eastAsiaTheme="minorEastAsia" w:hAnsiTheme="minorHAnsi" w:cstheme="minorBidi"/>
          <w:i w:val="0"/>
          <w:szCs w:val="22"/>
          <w:lang w:eastAsia="en-AU"/>
        </w:rPr>
      </w:pPr>
      <w:hyperlink w:anchor="_Toc462066818" w:history="1">
        <w:r w:rsidR="00984C7B" w:rsidRPr="00EC4F5B">
          <w:rPr>
            <w:rStyle w:val="Hyperlink"/>
            <w:lang w:val="en-GB"/>
          </w:rPr>
          <w:t>6.4</w:t>
        </w:r>
        <w:r w:rsidR="00984C7B">
          <w:rPr>
            <w:rFonts w:asciiTheme="minorHAnsi" w:eastAsiaTheme="minorEastAsia" w:hAnsiTheme="minorHAnsi" w:cstheme="minorBidi"/>
            <w:i w:val="0"/>
            <w:szCs w:val="22"/>
            <w:lang w:eastAsia="en-AU"/>
          </w:rPr>
          <w:tab/>
        </w:r>
        <w:r w:rsidR="00984C7B" w:rsidRPr="00EC4F5B">
          <w:rPr>
            <w:rStyle w:val="Hyperlink"/>
            <w:lang w:val="en-GB"/>
          </w:rPr>
          <w:t>Capacity for rural and regional councils to meet responsibilities for flood planning and preparation, and maintenance of flood mitigation infrastructure</w:t>
        </w:r>
        <w:r w:rsidR="00984C7B">
          <w:rPr>
            <w:webHidden/>
          </w:rPr>
          <w:tab/>
        </w:r>
        <w:r w:rsidR="00984C7B">
          <w:rPr>
            <w:webHidden/>
          </w:rPr>
          <w:fldChar w:fldCharType="begin"/>
        </w:r>
        <w:r w:rsidR="00984C7B">
          <w:rPr>
            <w:webHidden/>
          </w:rPr>
          <w:instrText xml:space="preserve"> PAGEREF _Toc462066818 \h </w:instrText>
        </w:r>
        <w:r w:rsidR="00984C7B">
          <w:rPr>
            <w:webHidden/>
          </w:rPr>
        </w:r>
        <w:r w:rsidR="00984C7B">
          <w:rPr>
            <w:webHidden/>
          </w:rPr>
          <w:fldChar w:fldCharType="separate"/>
        </w:r>
        <w:r w:rsidR="00984C7B">
          <w:rPr>
            <w:webHidden/>
          </w:rPr>
          <w:t>41</w:t>
        </w:r>
        <w:r w:rsidR="00984C7B">
          <w:rPr>
            <w:webHidden/>
          </w:rPr>
          <w:fldChar w:fldCharType="end"/>
        </w:r>
      </w:hyperlink>
    </w:p>
    <w:p w14:paraId="0CFC5F8D" w14:textId="349DC36B" w:rsidR="00984C7B" w:rsidRDefault="007B7335">
      <w:pPr>
        <w:pStyle w:val="TOC2"/>
        <w:rPr>
          <w:rFonts w:asciiTheme="minorHAnsi" w:eastAsiaTheme="minorEastAsia" w:hAnsiTheme="minorHAnsi" w:cstheme="minorBidi"/>
          <w:i w:val="0"/>
          <w:szCs w:val="22"/>
          <w:lang w:eastAsia="en-AU"/>
        </w:rPr>
      </w:pPr>
      <w:hyperlink w:anchor="_Toc462066819" w:history="1">
        <w:r w:rsidR="00984C7B" w:rsidRPr="00EC4F5B">
          <w:rPr>
            <w:rStyle w:val="Hyperlink"/>
          </w:rPr>
          <w:t>6.5</w:t>
        </w:r>
        <w:r w:rsidR="00984C7B">
          <w:rPr>
            <w:rFonts w:asciiTheme="minorHAnsi" w:eastAsiaTheme="minorEastAsia" w:hAnsiTheme="minorHAnsi" w:cstheme="minorBidi"/>
            <w:i w:val="0"/>
            <w:szCs w:val="22"/>
            <w:lang w:eastAsia="en-AU"/>
          </w:rPr>
          <w:tab/>
        </w:r>
        <w:r w:rsidR="00984C7B" w:rsidRPr="00EC4F5B">
          <w:rPr>
            <w:rStyle w:val="Hyperlink"/>
          </w:rPr>
          <w:t>Flood mitigation infrastructure</w:t>
        </w:r>
        <w:r w:rsidR="00984C7B">
          <w:rPr>
            <w:webHidden/>
          </w:rPr>
          <w:tab/>
        </w:r>
        <w:r w:rsidR="00984C7B">
          <w:rPr>
            <w:webHidden/>
          </w:rPr>
          <w:fldChar w:fldCharType="begin"/>
        </w:r>
        <w:r w:rsidR="00984C7B">
          <w:rPr>
            <w:webHidden/>
          </w:rPr>
          <w:instrText xml:space="preserve"> PAGEREF _Toc462066819 \h </w:instrText>
        </w:r>
        <w:r w:rsidR="00984C7B">
          <w:rPr>
            <w:webHidden/>
          </w:rPr>
        </w:r>
        <w:r w:rsidR="00984C7B">
          <w:rPr>
            <w:webHidden/>
          </w:rPr>
          <w:fldChar w:fldCharType="separate"/>
        </w:r>
        <w:r w:rsidR="00984C7B">
          <w:rPr>
            <w:webHidden/>
          </w:rPr>
          <w:t>42</w:t>
        </w:r>
        <w:r w:rsidR="00984C7B">
          <w:rPr>
            <w:webHidden/>
          </w:rPr>
          <w:fldChar w:fldCharType="end"/>
        </w:r>
      </w:hyperlink>
    </w:p>
    <w:p w14:paraId="48EA6E1A" w14:textId="235EBE5C" w:rsidR="00984C7B" w:rsidRDefault="007B7335">
      <w:pPr>
        <w:pStyle w:val="TOC2"/>
        <w:rPr>
          <w:rFonts w:asciiTheme="minorHAnsi" w:eastAsiaTheme="minorEastAsia" w:hAnsiTheme="minorHAnsi" w:cstheme="minorBidi"/>
          <w:i w:val="0"/>
          <w:szCs w:val="22"/>
          <w:lang w:eastAsia="en-AU"/>
        </w:rPr>
      </w:pPr>
      <w:hyperlink w:anchor="_Toc462066820" w:history="1">
        <w:r w:rsidR="00984C7B" w:rsidRPr="00EC4F5B">
          <w:rPr>
            <w:rStyle w:val="Hyperlink"/>
          </w:rPr>
          <w:t>6.6</w:t>
        </w:r>
        <w:r w:rsidR="00984C7B">
          <w:rPr>
            <w:rFonts w:asciiTheme="minorHAnsi" w:eastAsiaTheme="minorEastAsia" w:hAnsiTheme="minorHAnsi" w:cstheme="minorBidi"/>
            <w:i w:val="0"/>
            <w:szCs w:val="22"/>
            <w:lang w:eastAsia="en-AU"/>
          </w:rPr>
          <w:tab/>
        </w:r>
        <w:r w:rsidR="00984C7B" w:rsidRPr="00EC4F5B">
          <w:rPr>
            <w:rStyle w:val="Hyperlink"/>
          </w:rPr>
          <w:t>Stream gauges</w:t>
        </w:r>
        <w:r w:rsidR="00984C7B">
          <w:rPr>
            <w:webHidden/>
          </w:rPr>
          <w:tab/>
        </w:r>
        <w:r w:rsidR="00984C7B">
          <w:rPr>
            <w:webHidden/>
          </w:rPr>
          <w:fldChar w:fldCharType="begin"/>
        </w:r>
        <w:r w:rsidR="00984C7B">
          <w:rPr>
            <w:webHidden/>
          </w:rPr>
          <w:instrText xml:space="preserve"> PAGEREF _Toc462066820 \h </w:instrText>
        </w:r>
        <w:r w:rsidR="00984C7B">
          <w:rPr>
            <w:webHidden/>
          </w:rPr>
        </w:r>
        <w:r w:rsidR="00984C7B">
          <w:rPr>
            <w:webHidden/>
          </w:rPr>
          <w:fldChar w:fldCharType="separate"/>
        </w:r>
        <w:r w:rsidR="00984C7B">
          <w:rPr>
            <w:webHidden/>
          </w:rPr>
          <w:t>46</w:t>
        </w:r>
        <w:r w:rsidR="00984C7B">
          <w:rPr>
            <w:webHidden/>
          </w:rPr>
          <w:fldChar w:fldCharType="end"/>
        </w:r>
      </w:hyperlink>
    </w:p>
    <w:p w14:paraId="648EB907" w14:textId="04B984C6" w:rsidR="00984C7B" w:rsidRDefault="007B7335">
      <w:pPr>
        <w:pStyle w:val="TOC1"/>
        <w:rPr>
          <w:rFonts w:asciiTheme="minorHAnsi" w:eastAsiaTheme="minorEastAsia" w:hAnsiTheme="minorHAnsi" w:cstheme="minorBidi"/>
          <w:bCs w:val="0"/>
          <w:i w:val="0"/>
          <w:iCs w:val="0"/>
          <w:noProof/>
          <w:szCs w:val="22"/>
          <w:lang w:eastAsia="en-AU"/>
        </w:rPr>
      </w:pPr>
      <w:hyperlink w:anchor="_Toc462066821" w:history="1">
        <w:r w:rsidR="00984C7B" w:rsidRPr="00EC4F5B">
          <w:rPr>
            <w:rStyle w:val="Hyperlink"/>
            <w:noProof/>
            <w:lang w:val="en-GB"/>
          </w:rPr>
          <w:t>7</w:t>
        </w:r>
        <w:r w:rsidR="00984C7B">
          <w:rPr>
            <w:rFonts w:asciiTheme="minorHAnsi" w:eastAsiaTheme="minorEastAsia" w:hAnsiTheme="minorHAnsi" w:cstheme="minorBidi"/>
            <w:bCs w:val="0"/>
            <w:i w:val="0"/>
            <w:iCs w:val="0"/>
            <w:noProof/>
            <w:szCs w:val="22"/>
            <w:lang w:eastAsia="en-AU"/>
          </w:rPr>
          <w:tab/>
        </w:r>
        <w:r w:rsidR="00984C7B" w:rsidRPr="00EC4F5B">
          <w:rPr>
            <w:rStyle w:val="Hyperlink"/>
            <w:noProof/>
            <w:lang w:val="en-GB"/>
          </w:rPr>
          <w:t>Maintenance of local road and bridge networks</w:t>
        </w:r>
        <w:r w:rsidR="00984C7B">
          <w:rPr>
            <w:noProof/>
            <w:webHidden/>
          </w:rPr>
          <w:tab/>
        </w:r>
        <w:r w:rsidR="00984C7B">
          <w:rPr>
            <w:noProof/>
            <w:webHidden/>
          </w:rPr>
          <w:fldChar w:fldCharType="begin"/>
        </w:r>
        <w:r w:rsidR="00984C7B">
          <w:rPr>
            <w:noProof/>
            <w:webHidden/>
          </w:rPr>
          <w:instrText xml:space="preserve"> PAGEREF _Toc462066821 \h </w:instrText>
        </w:r>
        <w:r w:rsidR="00984C7B">
          <w:rPr>
            <w:noProof/>
            <w:webHidden/>
          </w:rPr>
        </w:r>
        <w:r w:rsidR="00984C7B">
          <w:rPr>
            <w:noProof/>
            <w:webHidden/>
          </w:rPr>
          <w:fldChar w:fldCharType="separate"/>
        </w:r>
        <w:r w:rsidR="00984C7B">
          <w:rPr>
            <w:noProof/>
            <w:webHidden/>
          </w:rPr>
          <w:t>46</w:t>
        </w:r>
        <w:r w:rsidR="00984C7B">
          <w:rPr>
            <w:noProof/>
            <w:webHidden/>
          </w:rPr>
          <w:fldChar w:fldCharType="end"/>
        </w:r>
      </w:hyperlink>
    </w:p>
    <w:p w14:paraId="525D3CB9" w14:textId="5C275FFE" w:rsidR="00984C7B" w:rsidRDefault="007B7335">
      <w:pPr>
        <w:pStyle w:val="TOC1"/>
        <w:rPr>
          <w:rFonts w:asciiTheme="minorHAnsi" w:eastAsiaTheme="minorEastAsia" w:hAnsiTheme="minorHAnsi" w:cstheme="minorBidi"/>
          <w:bCs w:val="0"/>
          <w:i w:val="0"/>
          <w:iCs w:val="0"/>
          <w:noProof/>
          <w:szCs w:val="22"/>
          <w:lang w:eastAsia="en-AU"/>
        </w:rPr>
      </w:pPr>
      <w:hyperlink w:anchor="_Toc462066822" w:history="1">
        <w:r w:rsidR="00984C7B" w:rsidRPr="00EC4F5B">
          <w:rPr>
            <w:rStyle w:val="Hyperlink"/>
            <w:noProof/>
          </w:rPr>
          <w:t>8</w:t>
        </w:r>
        <w:r w:rsidR="00984C7B">
          <w:rPr>
            <w:rFonts w:asciiTheme="minorHAnsi" w:eastAsiaTheme="minorEastAsia" w:hAnsiTheme="minorHAnsi" w:cstheme="minorBidi"/>
            <w:bCs w:val="0"/>
            <w:i w:val="0"/>
            <w:iCs w:val="0"/>
            <w:noProof/>
            <w:szCs w:val="22"/>
            <w:lang w:eastAsia="en-AU"/>
          </w:rPr>
          <w:tab/>
        </w:r>
        <w:r w:rsidR="00984C7B" w:rsidRPr="00EC4F5B">
          <w:rPr>
            <w:rStyle w:val="Hyperlink"/>
            <w:noProof/>
          </w:rPr>
          <w:t>Roadside weeds and pests</w:t>
        </w:r>
        <w:r w:rsidR="00984C7B">
          <w:rPr>
            <w:noProof/>
            <w:webHidden/>
          </w:rPr>
          <w:tab/>
        </w:r>
        <w:r w:rsidR="00984C7B">
          <w:rPr>
            <w:noProof/>
            <w:webHidden/>
          </w:rPr>
          <w:fldChar w:fldCharType="begin"/>
        </w:r>
        <w:r w:rsidR="00984C7B">
          <w:rPr>
            <w:noProof/>
            <w:webHidden/>
          </w:rPr>
          <w:instrText xml:space="preserve"> PAGEREF _Toc462066822 \h </w:instrText>
        </w:r>
        <w:r w:rsidR="00984C7B">
          <w:rPr>
            <w:noProof/>
            <w:webHidden/>
          </w:rPr>
        </w:r>
        <w:r w:rsidR="00984C7B">
          <w:rPr>
            <w:noProof/>
            <w:webHidden/>
          </w:rPr>
          <w:fldChar w:fldCharType="separate"/>
        </w:r>
        <w:r w:rsidR="00984C7B">
          <w:rPr>
            <w:noProof/>
            <w:webHidden/>
          </w:rPr>
          <w:t>50</w:t>
        </w:r>
        <w:r w:rsidR="00984C7B">
          <w:rPr>
            <w:noProof/>
            <w:webHidden/>
          </w:rPr>
          <w:fldChar w:fldCharType="end"/>
        </w:r>
      </w:hyperlink>
    </w:p>
    <w:p w14:paraId="5DEF76B9" w14:textId="6D9A78B9" w:rsidR="00984C7B" w:rsidRDefault="007B7335">
      <w:pPr>
        <w:pStyle w:val="TOC1"/>
        <w:rPr>
          <w:rFonts w:asciiTheme="minorHAnsi" w:eastAsiaTheme="minorEastAsia" w:hAnsiTheme="minorHAnsi" w:cstheme="minorBidi"/>
          <w:bCs w:val="0"/>
          <w:i w:val="0"/>
          <w:iCs w:val="0"/>
          <w:noProof/>
          <w:szCs w:val="22"/>
          <w:lang w:eastAsia="en-AU"/>
        </w:rPr>
      </w:pPr>
      <w:hyperlink w:anchor="_Toc462066823" w:history="1">
        <w:r w:rsidR="00984C7B" w:rsidRPr="00EC4F5B">
          <w:rPr>
            <w:rStyle w:val="Hyperlink"/>
            <w:noProof/>
          </w:rPr>
          <w:t>9</w:t>
        </w:r>
        <w:r w:rsidR="00984C7B">
          <w:rPr>
            <w:rFonts w:asciiTheme="minorHAnsi" w:eastAsiaTheme="minorEastAsia" w:hAnsiTheme="minorHAnsi" w:cstheme="minorBidi"/>
            <w:bCs w:val="0"/>
            <w:i w:val="0"/>
            <w:iCs w:val="0"/>
            <w:noProof/>
            <w:szCs w:val="22"/>
            <w:lang w:eastAsia="en-AU"/>
          </w:rPr>
          <w:tab/>
        </w:r>
        <w:r w:rsidR="00984C7B" w:rsidRPr="00EC4F5B">
          <w:rPr>
            <w:rStyle w:val="Hyperlink"/>
            <w:noProof/>
          </w:rPr>
          <w:t>Conclusions</w:t>
        </w:r>
        <w:r w:rsidR="00984C7B">
          <w:rPr>
            <w:noProof/>
            <w:webHidden/>
          </w:rPr>
          <w:tab/>
        </w:r>
        <w:r w:rsidR="00984C7B">
          <w:rPr>
            <w:noProof/>
            <w:webHidden/>
          </w:rPr>
          <w:fldChar w:fldCharType="begin"/>
        </w:r>
        <w:r w:rsidR="00984C7B">
          <w:rPr>
            <w:noProof/>
            <w:webHidden/>
          </w:rPr>
          <w:instrText xml:space="preserve"> PAGEREF _Toc462066823 \h </w:instrText>
        </w:r>
        <w:r w:rsidR="00984C7B">
          <w:rPr>
            <w:noProof/>
            <w:webHidden/>
          </w:rPr>
        </w:r>
        <w:r w:rsidR="00984C7B">
          <w:rPr>
            <w:noProof/>
            <w:webHidden/>
          </w:rPr>
          <w:fldChar w:fldCharType="separate"/>
        </w:r>
        <w:r w:rsidR="00984C7B">
          <w:rPr>
            <w:noProof/>
            <w:webHidden/>
          </w:rPr>
          <w:t>50</w:t>
        </w:r>
        <w:r w:rsidR="00984C7B">
          <w:rPr>
            <w:noProof/>
            <w:webHidden/>
          </w:rPr>
          <w:fldChar w:fldCharType="end"/>
        </w:r>
      </w:hyperlink>
    </w:p>
    <w:p w14:paraId="46AA782A" w14:textId="5A164F29" w:rsidR="00984C7B" w:rsidRDefault="007B7335">
      <w:pPr>
        <w:pStyle w:val="TOC1"/>
        <w:rPr>
          <w:rFonts w:asciiTheme="minorHAnsi" w:eastAsiaTheme="minorEastAsia" w:hAnsiTheme="minorHAnsi" w:cstheme="minorBidi"/>
          <w:bCs w:val="0"/>
          <w:i w:val="0"/>
          <w:iCs w:val="0"/>
          <w:noProof/>
          <w:szCs w:val="22"/>
          <w:lang w:eastAsia="en-AU"/>
        </w:rPr>
      </w:pPr>
      <w:hyperlink w:anchor="_Toc462066824" w:history="1">
        <w:r w:rsidR="00984C7B" w:rsidRPr="00EC4F5B">
          <w:rPr>
            <w:rStyle w:val="Hyperlink"/>
            <w:noProof/>
          </w:rPr>
          <w:t>10</w:t>
        </w:r>
        <w:r w:rsidR="00984C7B">
          <w:rPr>
            <w:rFonts w:asciiTheme="minorHAnsi" w:eastAsiaTheme="minorEastAsia" w:hAnsiTheme="minorHAnsi" w:cstheme="minorBidi"/>
            <w:bCs w:val="0"/>
            <w:i w:val="0"/>
            <w:iCs w:val="0"/>
            <w:noProof/>
            <w:szCs w:val="22"/>
            <w:lang w:eastAsia="en-AU"/>
          </w:rPr>
          <w:tab/>
        </w:r>
        <w:r w:rsidR="00984C7B" w:rsidRPr="00EC4F5B">
          <w:rPr>
            <w:rStyle w:val="Hyperlink"/>
            <w:noProof/>
          </w:rPr>
          <w:t>Appendix 1: Rating Fairness</w:t>
        </w:r>
        <w:r w:rsidR="00984C7B">
          <w:rPr>
            <w:noProof/>
            <w:webHidden/>
          </w:rPr>
          <w:tab/>
        </w:r>
        <w:r w:rsidR="00984C7B">
          <w:rPr>
            <w:noProof/>
            <w:webHidden/>
          </w:rPr>
          <w:fldChar w:fldCharType="begin"/>
        </w:r>
        <w:r w:rsidR="00984C7B">
          <w:rPr>
            <w:noProof/>
            <w:webHidden/>
          </w:rPr>
          <w:instrText xml:space="preserve"> PAGEREF _Toc462066824 \h </w:instrText>
        </w:r>
        <w:r w:rsidR="00984C7B">
          <w:rPr>
            <w:noProof/>
            <w:webHidden/>
          </w:rPr>
        </w:r>
        <w:r w:rsidR="00984C7B">
          <w:rPr>
            <w:noProof/>
            <w:webHidden/>
          </w:rPr>
          <w:fldChar w:fldCharType="separate"/>
        </w:r>
        <w:r w:rsidR="00984C7B">
          <w:rPr>
            <w:noProof/>
            <w:webHidden/>
          </w:rPr>
          <w:t>51</w:t>
        </w:r>
        <w:r w:rsidR="00984C7B">
          <w:rPr>
            <w:noProof/>
            <w:webHidden/>
          </w:rPr>
          <w:fldChar w:fldCharType="end"/>
        </w:r>
      </w:hyperlink>
    </w:p>
    <w:p w14:paraId="14D0BEC0" w14:textId="24E7BEC6" w:rsidR="00984C7B" w:rsidRDefault="007B7335">
      <w:pPr>
        <w:pStyle w:val="TOC2"/>
        <w:tabs>
          <w:tab w:val="left" w:pos="880"/>
        </w:tabs>
        <w:rPr>
          <w:rFonts w:asciiTheme="minorHAnsi" w:eastAsiaTheme="minorEastAsia" w:hAnsiTheme="minorHAnsi" w:cstheme="minorBidi"/>
          <w:i w:val="0"/>
          <w:szCs w:val="22"/>
          <w:lang w:eastAsia="en-AU"/>
        </w:rPr>
      </w:pPr>
      <w:hyperlink w:anchor="_Toc462066825" w:history="1">
        <w:r w:rsidR="00984C7B" w:rsidRPr="00EC4F5B">
          <w:rPr>
            <w:rStyle w:val="Hyperlink"/>
          </w:rPr>
          <w:t>10.1</w:t>
        </w:r>
        <w:r w:rsidR="00984C7B">
          <w:rPr>
            <w:rFonts w:asciiTheme="minorHAnsi" w:eastAsiaTheme="minorEastAsia" w:hAnsiTheme="minorHAnsi" w:cstheme="minorBidi"/>
            <w:i w:val="0"/>
            <w:szCs w:val="22"/>
            <w:lang w:eastAsia="en-AU"/>
          </w:rPr>
          <w:tab/>
        </w:r>
        <w:r w:rsidR="00984C7B" w:rsidRPr="00EC4F5B">
          <w:rPr>
            <w:rStyle w:val="Hyperlink"/>
          </w:rPr>
          <w:t>Fairness, Equity and Adequacy of Rating Systems</w:t>
        </w:r>
        <w:r w:rsidR="00984C7B">
          <w:rPr>
            <w:webHidden/>
          </w:rPr>
          <w:tab/>
        </w:r>
        <w:r w:rsidR="00984C7B">
          <w:rPr>
            <w:webHidden/>
          </w:rPr>
          <w:fldChar w:fldCharType="begin"/>
        </w:r>
        <w:r w:rsidR="00984C7B">
          <w:rPr>
            <w:webHidden/>
          </w:rPr>
          <w:instrText xml:space="preserve"> PAGEREF _Toc462066825 \h </w:instrText>
        </w:r>
        <w:r w:rsidR="00984C7B">
          <w:rPr>
            <w:webHidden/>
          </w:rPr>
        </w:r>
        <w:r w:rsidR="00984C7B">
          <w:rPr>
            <w:webHidden/>
          </w:rPr>
          <w:fldChar w:fldCharType="separate"/>
        </w:r>
        <w:r w:rsidR="00984C7B">
          <w:rPr>
            <w:webHidden/>
          </w:rPr>
          <w:t>51</w:t>
        </w:r>
        <w:r w:rsidR="00984C7B">
          <w:rPr>
            <w:webHidden/>
          </w:rPr>
          <w:fldChar w:fldCharType="end"/>
        </w:r>
      </w:hyperlink>
    </w:p>
    <w:p w14:paraId="273276E9" w14:textId="698E7477" w:rsidR="00984C7B" w:rsidRDefault="007B7335">
      <w:pPr>
        <w:pStyle w:val="TOC2"/>
        <w:tabs>
          <w:tab w:val="left" w:pos="880"/>
        </w:tabs>
        <w:rPr>
          <w:rFonts w:asciiTheme="minorHAnsi" w:eastAsiaTheme="minorEastAsia" w:hAnsiTheme="minorHAnsi" w:cstheme="minorBidi"/>
          <w:i w:val="0"/>
          <w:szCs w:val="22"/>
          <w:lang w:eastAsia="en-AU"/>
        </w:rPr>
      </w:pPr>
      <w:hyperlink w:anchor="_Toc462066826" w:history="1">
        <w:r w:rsidR="00984C7B" w:rsidRPr="00EC4F5B">
          <w:rPr>
            <w:rStyle w:val="Hyperlink"/>
          </w:rPr>
          <w:t>10.2</w:t>
        </w:r>
        <w:r w:rsidR="00984C7B">
          <w:rPr>
            <w:rFonts w:asciiTheme="minorHAnsi" w:eastAsiaTheme="minorEastAsia" w:hAnsiTheme="minorHAnsi" w:cstheme="minorBidi"/>
            <w:i w:val="0"/>
            <w:szCs w:val="22"/>
            <w:lang w:eastAsia="en-AU"/>
          </w:rPr>
          <w:tab/>
        </w:r>
        <w:r w:rsidR="00984C7B" w:rsidRPr="00EC4F5B">
          <w:rPr>
            <w:rStyle w:val="Hyperlink"/>
          </w:rPr>
          <w:t>Importance of Rates</w:t>
        </w:r>
        <w:r w:rsidR="00984C7B">
          <w:rPr>
            <w:webHidden/>
          </w:rPr>
          <w:tab/>
        </w:r>
        <w:r w:rsidR="00984C7B">
          <w:rPr>
            <w:webHidden/>
          </w:rPr>
          <w:fldChar w:fldCharType="begin"/>
        </w:r>
        <w:r w:rsidR="00984C7B">
          <w:rPr>
            <w:webHidden/>
          </w:rPr>
          <w:instrText xml:space="preserve"> PAGEREF _Toc462066826 \h </w:instrText>
        </w:r>
        <w:r w:rsidR="00984C7B">
          <w:rPr>
            <w:webHidden/>
          </w:rPr>
        </w:r>
        <w:r w:rsidR="00984C7B">
          <w:rPr>
            <w:webHidden/>
          </w:rPr>
          <w:fldChar w:fldCharType="separate"/>
        </w:r>
        <w:r w:rsidR="00984C7B">
          <w:rPr>
            <w:webHidden/>
          </w:rPr>
          <w:t>51</w:t>
        </w:r>
        <w:r w:rsidR="00984C7B">
          <w:rPr>
            <w:webHidden/>
          </w:rPr>
          <w:fldChar w:fldCharType="end"/>
        </w:r>
      </w:hyperlink>
    </w:p>
    <w:p w14:paraId="56089419" w14:textId="1916DE76" w:rsidR="00984C7B" w:rsidRDefault="007B7335">
      <w:pPr>
        <w:pStyle w:val="TOC2"/>
        <w:tabs>
          <w:tab w:val="left" w:pos="880"/>
        </w:tabs>
        <w:rPr>
          <w:rFonts w:asciiTheme="minorHAnsi" w:eastAsiaTheme="minorEastAsia" w:hAnsiTheme="minorHAnsi" w:cstheme="minorBidi"/>
          <w:i w:val="0"/>
          <w:szCs w:val="22"/>
          <w:lang w:eastAsia="en-AU"/>
        </w:rPr>
      </w:pPr>
      <w:hyperlink w:anchor="_Toc462066827" w:history="1">
        <w:r w:rsidR="00984C7B" w:rsidRPr="00EC4F5B">
          <w:rPr>
            <w:rStyle w:val="Hyperlink"/>
          </w:rPr>
          <w:t>10.3</w:t>
        </w:r>
        <w:r w:rsidR="00984C7B">
          <w:rPr>
            <w:rFonts w:asciiTheme="minorHAnsi" w:eastAsiaTheme="minorEastAsia" w:hAnsiTheme="minorHAnsi" w:cstheme="minorBidi"/>
            <w:i w:val="0"/>
            <w:szCs w:val="22"/>
            <w:lang w:eastAsia="en-AU"/>
          </w:rPr>
          <w:tab/>
        </w:r>
        <w:r w:rsidR="00984C7B" w:rsidRPr="00EC4F5B">
          <w:rPr>
            <w:rStyle w:val="Hyperlink"/>
          </w:rPr>
          <w:t>Community Perceptions of Rates – A Public Attitude Bias</w:t>
        </w:r>
        <w:r w:rsidR="00984C7B">
          <w:rPr>
            <w:webHidden/>
          </w:rPr>
          <w:tab/>
        </w:r>
        <w:r w:rsidR="00984C7B">
          <w:rPr>
            <w:webHidden/>
          </w:rPr>
          <w:fldChar w:fldCharType="begin"/>
        </w:r>
        <w:r w:rsidR="00984C7B">
          <w:rPr>
            <w:webHidden/>
          </w:rPr>
          <w:instrText xml:space="preserve"> PAGEREF _Toc462066827 \h </w:instrText>
        </w:r>
        <w:r w:rsidR="00984C7B">
          <w:rPr>
            <w:webHidden/>
          </w:rPr>
        </w:r>
        <w:r w:rsidR="00984C7B">
          <w:rPr>
            <w:webHidden/>
          </w:rPr>
          <w:fldChar w:fldCharType="separate"/>
        </w:r>
        <w:r w:rsidR="00984C7B">
          <w:rPr>
            <w:webHidden/>
          </w:rPr>
          <w:t>52</w:t>
        </w:r>
        <w:r w:rsidR="00984C7B">
          <w:rPr>
            <w:webHidden/>
          </w:rPr>
          <w:fldChar w:fldCharType="end"/>
        </w:r>
      </w:hyperlink>
    </w:p>
    <w:p w14:paraId="2226598D" w14:textId="1D61178E" w:rsidR="00984C7B" w:rsidRDefault="007B7335">
      <w:pPr>
        <w:pStyle w:val="TOC2"/>
        <w:tabs>
          <w:tab w:val="left" w:pos="880"/>
        </w:tabs>
        <w:rPr>
          <w:rFonts w:asciiTheme="minorHAnsi" w:eastAsiaTheme="minorEastAsia" w:hAnsiTheme="minorHAnsi" w:cstheme="minorBidi"/>
          <w:i w:val="0"/>
          <w:szCs w:val="22"/>
          <w:lang w:eastAsia="en-AU"/>
        </w:rPr>
      </w:pPr>
      <w:hyperlink w:anchor="_Toc462066828" w:history="1">
        <w:r w:rsidR="00984C7B" w:rsidRPr="00EC4F5B">
          <w:rPr>
            <w:rStyle w:val="Hyperlink"/>
          </w:rPr>
          <w:t>10.4</w:t>
        </w:r>
        <w:r w:rsidR="00984C7B">
          <w:rPr>
            <w:rFonts w:asciiTheme="minorHAnsi" w:eastAsiaTheme="minorEastAsia" w:hAnsiTheme="minorHAnsi" w:cstheme="minorBidi"/>
            <w:i w:val="0"/>
            <w:szCs w:val="22"/>
            <w:lang w:eastAsia="en-AU"/>
          </w:rPr>
          <w:tab/>
        </w:r>
        <w:r w:rsidR="00984C7B" w:rsidRPr="00EC4F5B">
          <w:rPr>
            <w:rStyle w:val="Hyperlink"/>
          </w:rPr>
          <w:t>Equity and Using Land Taxes to Achieve Equity Objectives</w:t>
        </w:r>
        <w:r w:rsidR="00984C7B">
          <w:rPr>
            <w:webHidden/>
          </w:rPr>
          <w:tab/>
        </w:r>
        <w:r w:rsidR="00984C7B">
          <w:rPr>
            <w:webHidden/>
          </w:rPr>
          <w:fldChar w:fldCharType="begin"/>
        </w:r>
        <w:r w:rsidR="00984C7B">
          <w:rPr>
            <w:webHidden/>
          </w:rPr>
          <w:instrText xml:space="preserve"> PAGEREF _Toc462066828 \h </w:instrText>
        </w:r>
        <w:r w:rsidR="00984C7B">
          <w:rPr>
            <w:webHidden/>
          </w:rPr>
        </w:r>
        <w:r w:rsidR="00984C7B">
          <w:rPr>
            <w:webHidden/>
          </w:rPr>
          <w:fldChar w:fldCharType="separate"/>
        </w:r>
        <w:r w:rsidR="00984C7B">
          <w:rPr>
            <w:webHidden/>
          </w:rPr>
          <w:t>53</w:t>
        </w:r>
        <w:r w:rsidR="00984C7B">
          <w:rPr>
            <w:webHidden/>
          </w:rPr>
          <w:fldChar w:fldCharType="end"/>
        </w:r>
      </w:hyperlink>
    </w:p>
    <w:p w14:paraId="3446413A" w14:textId="30D16F64" w:rsidR="00984C7B" w:rsidRDefault="007B7335">
      <w:pPr>
        <w:pStyle w:val="TOC2"/>
        <w:tabs>
          <w:tab w:val="left" w:pos="880"/>
        </w:tabs>
        <w:rPr>
          <w:rFonts w:asciiTheme="minorHAnsi" w:eastAsiaTheme="minorEastAsia" w:hAnsiTheme="minorHAnsi" w:cstheme="minorBidi"/>
          <w:i w:val="0"/>
          <w:szCs w:val="22"/>
          <w:lang w:eastAsia="en-AU"/>
        </w:rPr>
      </w:pPr>
      <w:hyperlink w:anchor="_Toc462066829" w:history="1">
        <w:r w:rsidR="00984C7B" w:rsidRPr="00EC4F5B">
          <w:rPr>
            <w:rStyle w:val="Hyperlink"/>
          </w:rPr>
          <w:t>10.5</w:t>
        </w:r>
        <w:r w:rsidR="00984C7B">
          <w:rPr>
            <w:rFonts w:asciiTheme="minorHAnsi" w:eastAsiaTheme="minorEastAsia" w:hAnsiTheme="minorHAnsi" w:cstheme="minorBidi"/>
            <w:i w:val="0"/>
            <w:szCs w:val="22"/>
            <w:lang w:eastAsia="en-AU"/>
          </w:rPr>
          <w:tab/>
        </w:r>
        <w:r w:rsidR="00984C7B" w:rsidRPr="00EC4F5B">
          <w:rPr>
            <w:rStyle w:val="Hyperlink"/>
          </w:rPr>
          <w:t>The Rating Framework</w:t>
        </w:r>
        <w:r w:rsidR="00984C7B">
          <w:rPr>
            <w:webHidden/>
          </w:rPr>
          <w:tab/>
        </w:r>
        <w:r w:rsidR="00984C7B">
          <w:rPr>
            <w:webHidden/>
          </w:rPr>
          <w:fldChar w:fldCharType="begin"/>
        </w:r>
        <w:r w:rsidR="00984C7B">
          <w:rPr>
            <w:webHidden/>
          </w:rPr>
          <w:instrText xml:space="preserve"> PAGEREF _Toc462066829 \h </w:instrText>
        </w:r>
        <w:r w:rsidR="00984C7B">
          <w:rPr>
            <w:webHidden/>
          </w:rPr>
        </w:r>
        <w:r w:rsidR="00984C7B">
          <w:rPr>
            <w:webHidden/>
          </w:rPr>
          <w:fldChar w:fldCharType="separate"/>
        </w:r>
        <w:r w:rsidR="00984C7B">
          <w:rPr>
            <w:webHidden/>
          </w:rPr>
          <w:t>60</w:t>
        </w:r>
        <w:r w:rsidR="00984C7B">
          <w:rPr>
            <w:webHidden/>
          </w:rPr>
          <w:fldChar w:fldCharType="end"/>
        </w:r>
      </w:hyperlink>
    </w:p>
    <w:p w14:paraId="06412118" w14:textId="6DAB09C5" w:rsidR="00984C7B" w:rsidRDefault="007B7335">
      <w:pPr>
        <w:pStyle w:val="TOC2"/>
        <w:tabs>
          <w:tab w:val="left" w:pos="880"/>
        </w:tabs>
        <w:rPr>
          <w:rFonts w:asciiTheme="minorHAnsi" w:eastAsiaTheme="minorEastAsia" w:hAnsiTheme="minorHAnsi" w:cstheme="minorBidi"/>
          <w:i w:val="0"/>
          <w:szCs w:val="22"/>
          <w:lang w:eastAsia="en-AU"/>
        </w:rPr>
      </w:pPr>
      <w:hyperlink w:anchor="_Toc462066830" w:history="1">
        <w:r w:rsidR="00984C7B" w:rsidRPr="00EC4F5B">
          <w:rPr>
            <w:rStyle w:val="Hyperlink"/>
          </w:rPr>
          <w:t>10.6</w:t>
        </w:r>
        <w:r w:rsidR="00984C7B">
          <w:rPr>
            <w:rFonts w:asciiTheme="minorHAnsi" w:eastAsiaTheme="minorEastAsia" w:hAnsiTheme="minorHAnsi" w:cstheme="minorBidi"/>
            <w:i w:val="0"/>
            <w:szCs w:val="22"/>
            <w:lang w:eastAsia="en-AU"/>
          </w:rPr>
          <w:tab/>
        </w:r>
        <w:r w:rsidR="00984C7B" w:rsidRPr="00EC4F5B">
          <w:rPr>
            <w:rStyle w:val="Hyperlink"/>
          </w:rPr>
          <w:t>Summary</w:t>
        </w:r>
        <w:r w:rsidR="00984C7B">
          <w:rPr>
            <w:webHidden/>
          </w:rPr>
          <w:tab/>
        </w:r>
        <w:r w:rsidR="00984C7B">
          <w:rPr>
            <w:webHidden/>
          </w:rPr>
          <w:fldChar w:fldCharType="begin"/>
        </w:r>
        <w:r w:rsidR="00984C7B">
          <w:rPr>
            <w:webHidden/>
          </w:rPr>
          <w:instrText xml:space="preserve"> PAGEREF _Toc462066830 \h </w:instrText>
        </w:r>
        <w:r w:rsidR="00984C7B">
          <w:rPr>
            <w:webHidden/>
          </w:rPr>
        </w:r>
        <w:r w:rsidR="00984C7B">
          <w:rPr>
            <w:webHidden/>
          </w:rPr>
          <w:fldChar w:fldCharType="separate"/>
        </w:r>
        <w:r w:rsidR="00984C7B">
          <w:rPr>
            <w:webHidden/>
          </w:rPr>
          <w:t>72</w:t>
        </w:r>
        <w:r w:rsidR="00984C7B">
          <w:rPr>
            <w:webHidden/>
          </w:rPr>
          <w:fldChar w:fldCharType="end"/>
        </w:r>
      </w:hyperlink>
    </w:p>
    <w:p w14:paraId="436A61B7" w14:textId="77777777" w:rsidR="00C05912" w:rsidRDefault="00C05912" w:rsidP="00C05912">
      <w:r>
        <w:rPr>
          <w:bCs/>
          <w:i/>
          <w:iCs/>
          <w:szCs w:val="28"/>
        </w:rPr>
        <w:fldChar w:fldCharType="end"/>
      </w:r>
    </w:p>
    <w:p w14:paraId="63337741" w14:textId="77777777" w:rsidR="00C05912" w:rsidRDefault="00C05912" w:rsidP="00C05912"/>
    <w:p w14:paraId="4872E748" w14:textId="77777777" w:rsidR="00C05912" w:rsidRDefault="00C05912" w:rsidP="00C05912">
      <w:r>
        <w:br w:type="page"/>
      </w:r>
      <w:bookmarkStart w:id="3" w:name="_Toc176668084"/>
    </w:p>
    <w:p w14:paraId="13EB8BDB" w14:textId="76DCE060" w:rsidR="00C05912" w:rsidRPr="00547165" w:rsidRDefault="00C05912" w:rsidP="00C05912">
      <w:pPr>
        <w:pStyle w:val="Heading1"/>
        <w:rPr>
          <w:szCs w:val="28"/>
        </w:rPr>
      </w:pPr>
      <w:bookmarkStart w:id="4" w:name="_Toc462060565"/>
      <w:bookmarkStart w:id="5" w:name="_Toc462066804"/>
      <w:bookmarkStart w:id="6" w:name="_Toc8718439"/>
      <w:bookmarkStart w:id="7" w:name="_Toc8718602"/>
      <w:bookmarkStart w:id="8" w:name="_Toc176668085"/>
      <w:bookmarkEnd w:id="0"/>
      <w:bookmarkEnd w:id="1"/>
      <w:bookmarkEnd w:id="3"/>
      <w:r>
        <w:lastRenderedPageBreak/>
        <w:t>Introduction</w:t>
      </w:r>
      <w:bookmarkEnd w:id="4"/>
      <w:bookmarkEnd w:id="5"/>
    </w:p>
    <w:bookmarkEnd w:id="6"/>
    <w:bookmarkEnd w:id="7"/>
    <w:bookmarkEnd w:id="8"/>
    <w:p w14:paraId="4E610C47" w14:textId="77777777" w:rsidR="00C05912" w:rsidRDefault="00C05912" w:rsidP="00C05912">
      <w:pPr>
        <w:rPr>
          <w:rFonts w:cs="Arial"/>
          <w:szCs w:val="22"/>
        </w:rPr>
      </w:pPr>
    </w:p>
    <w:p w14:paraId="7C20D0B6" w14:textId="2AEEDA37" w:rsidR="00700B72" w:rsidRDefault="00700B72" w:rsidP="00700B72">
      <w:pPr>
        <w:rPr>
          <w:szCs w:val="22"/>
        </w:rPr>
      </w:pPr>
      <w:r>
        <w:rPr>
          <w:szCs w:val="22"/>
        </w:rPr>
        <w:t xml:space="preserve">The Municipal Association of Victoria (MAV) welcomes the opportunity to provide a submission to </w:t>
      </w:r>
      <w:r w:rsidRPr="00700B72">
        <w:rPr>
          <w:szCs w:val="22"/>
        </w:rPr>
        <w:t xml:space="preserve">the </w:t>
      </w:r>
      <w:r>
        <w:t>Environment, Natural Resources and Regional D</w:t>
      </w:r>
      <w:r w:rsidRPr="00700B72">
        <w:t>evelopmen</w:t>
      </w:r>
      <w:r>
        <w:t>t</w:t>
      </w:r>
      <w:r>
        <w:rPr>
          <w:spacing w:val="30"/>
          <w:szCs w:val="22"/>
          <w:lang w:val="en-GB"/>
        </w:rPr>
        <w:t xml:space="preserve">’s </w:t>
      </w:r>
      <w:r>
        <w:rPr>
          <w:szCs w:val="22"/>
        </w:rPr>
        <w:t xml:space="preserve">inquiry into </w:t>
      </w:r>
      <w:r w:rsidR="00A10461">
        <w:rPr>
          <w:szCs w:val="22"/>
        </w:rPr>
        <w:t xml:space="preserve">the sustainability and operational challenges of </w:t>
      </w:r>
      <w:r>
        <w:rPr>
          <w:szCs w:val="22"/>
        </w:rPr>
        <w:t xml:space="preserve">rural and regional councils. </w:t>
      </w:r>
    </w:p>
    <w:p w14:paraId="11F3DCEB" w14:textId="77777777" w:rsidR="00700B72" w:rsidRDefault="00700B72" w:rsidP="00700B72">
      <w:pPr>
        <w:rPr>
          <w:szCs w:val="22"/>
        </w:rPr>
      </w:pPr>
    </w:p>
    <w:p w14:paraId="536ECE27" w14:textId="77777777" w:rsidR="00700B72" w:rsidRDefault="00700B72" w:rsidP="00700B72">
      <w:pPr>
        <w:rPr>
          <w:szCs w:val="22"/>
        </w:rPr>
      </w:pPr>
      <w:r>
        <w:rPr>
          <w:szCs w:val="22"/>
        </w:rPr>
        <w:t xml:space="preserve">The terms of reference for the inquiry are broad and the Association’s submission will be focused on key issues relating to the capacity of these councils to provide effective services to their communities. </w:t>
      </w:r>
    </w:p>
    <w:p w14:paraId="5CE7A381" w14:textId="77777777" w:rsidR="00D569B4" w:rsidRDefault="00D569B4" w:rsidP="00700B72">
      <w:pPr>
        <w:rPr>
          <w:szCs w:val="22"/>
        </w:rPr>
      </w:pPr>
    </w:p>
    <w:p w14:paraId="3D7876F0" w14:textId="68ECB128" w:rsidR="00D569B4" w:rsidRDefault="00D569B4" w:rsidP="00700B72">
      <w:pPr>
        <w:rPr>
          <w:szCs w:val="22"/>
        </w:rPr>
      </w:pPr>
      <w:r>
        <w:rPr>
          <w:szCs w:val="22"/>
        </w:rPr>
        <w:t>The structure of this submission follows the terms of reference</w:t>
      </w:r>
      <w:r w:rsidR="00AB10DC">
        <w:rPr>
          <w:szCs w:val="22"/>
        </w:rPr>
        <w:t>, namely</w:t>
      </w:r>
      <w:r w:rsidR="00C13939">
        <w:rPr>
          <w:szCs w:val="22"/>
        </w:rPr>
        <w:t xml:space="preserve"> it considers the following matters</w:t>
      </w:r>
      <w:r w:rsidR="00AB10DC">
        <w:rPr>
          <w:szCs w:val="22"/>
        </w:rPr>
        <w:t>:</w:t>
      </w:r>
    </w:p>
    <w:p w14:paraId="51779E51" w14:textId="77777777" w:rsidR="00700B72" w:rsidRDefault="00700B72" w:rsidP="00700B72">
      <w:pPr>
        <w:rPr>
          <w:szCs w:val="22"/>
        </w:rPr>
      </w:pPr>
    </w:p>
    <w:p w14:paraId="6155F436" w14:textId="6CAF6625" w:rsidR="00357AC2" w:rsidRPr="00357AC2" w:rsidRDefault="00357AC2" w:rsidP="00357AC2">
      <w:pPr>
        <w:pStyle w:val="ListParagraph"/>
        <w:numPr>
          <w:ilvl w:val="0"/>
          <w:numId w:val="34"/>
        </w:numPr>
        <w:rPr>
          <w:szCs w:val="22"/>
        </w:rPr>
      </w:pPr>
      <w:r w:rsidRPr="00357AC2">
        <w:rPr>
          <w:szCs w:val="22"/>
        </w:rPr>
        <w:t>local government funding and budgetary pressures;</w:t>
      </w:r>
    </w:p>
    <w:p w14:paraId="39869E13" w14:textId="136AE02D" w:rsidR="00357AC2" w:rsidRPr="00357AC2" w:rsidRDefault="00357AC2" w:rsidP="00357AC2">
      <w:pPr>
        <w:pStyle w:val="ListParagraph"/>
        <w:numPr>
          <w:ilvl w:val="0"/>
          <w:numId w:val="34"/>
        </w:numPr>
        <w:rPr>
          <w:szCs w:val="22"/>
        </w:rPr>
      </w:pPr>
      <w:r w:rsidRPr="00357AC2">
        <w:rPr>
          <w:szCs w:val="22"/>
        </w:rPr>
        <w:t>fairness, equity and adequacy of rating systems;</w:t>
      </w:r>
    </w:p>
    <w:p w14:paraId="7C6B0C4D" w14:textId="574228A5" w:rsidR="00357AC2" w:rsidRPr="00357AC2" w:rsidRDefault="00357AC2" w:rsidP="00357AC2">
      <w:pPr>
        <w:pStyle w:val="ListParagraph"/>
        <w:numPr>
          <w:ilvl w:val="0"/>
          <w:numId w:val="34"/>
        </w:numPr>
        <w:rPr>
          <w:szCs w:val="22"/>
        </w:rPr>
      </w:pPr>
      <w:r w:rsidRPr="00357AC2">
        <w:rPr>
          <w:szCs w:val="22"/>
        </w:rPr>
        <w:t xml:space="preserve">impact of rate-capping policies; </w:t>
      </w:r>
    </w:p>
    <w:p w14:paraId="31C3D82A" w14:textId="034FA155" w:rsidR="00357AC2" w:rsidRPr="00357AC2" w:rsidRDefault="00357AC2" w:rsidP="00357AC2">
      <w:pPr>
        <w:pStyle w:val="ListParagraph"/>
        <w:numPr>
          <w:ilvl w:val="0"/>
          <w:numId w:val="34"/>
        </w:numPr>
        <w:rPr>
          <w:szCs w:val="22"/>
        </w:rPr>
      </w:pPr>
      <w:r w:rsidRPr="00357AC2">
        <w:rPr>
          <w:szCs w:val="22"/>
        </w:rPr>
        <w:t>capacity for rural and regional councils to meet responsibilities for flood planning and preparation, and maintenance of flood mitigation infrastructure;</w:t>
      </w:r>
    </w:p>
    <w:p w14:paraId="41489634" w14:textId="6805E5BB" w:rsidR="00357AC2" w:rsidRPr="00357AC2" w:rsidRDefault="00357AC2" w:rsidP="00357AC2">
      <w:pPr>
        <w:pStyle w:val="ListParagraph"/>
        <w:numPr>
          <w:ilvl w:val="0"/>
          <w:numId w:val="34"/>
        </w:numPr>
        <w:rPr>
          <w:szCs w:val="22"/>
        </w:rPr>
      </w:pPr>
      <w:r w:rsidRPr="00357AC2">
        <w:rPr>
          <w:szCs w:val="22"/>
        </w:rPr>
        <w:t>maintenance of local road and bridge networks; and</w:t>
      </w:r>
    </w:p>
    <w:p w14:paraId="2D71F668" w14:textId="570ED753" w:rsidR="00357AC2" w:rsidRPr="00357AC2" w:rsidRDefault="00357AC2" w:rsidP="00357AC2">
      <w:pPr>
        <w:pStyle w:val="ListParagraph"/>
        <w:numPr>
          <w:ilvl w:val="0"/>
          <w:numId w:val="34"/>
        </w:numPr>
        <w:rPr>
          <w:szCs w:val="22"/>
        </w:rPr>
      </w:pPr>
      <w:r>
        <w:rPr>
          <w:szCs w:val="22"/>
        </w:rPr>
        <w:t>weed and pest animal control.</w:t>
      </w:r>
    </w:p>
    <w:p w14:paraId="46AED6AA" w14:textId="77777777" w:rsidR="009F49E1" w:rsidRDefault="009F49E1" w:rsidP="009F49E1">
      <w:pPr>
        <w:rPr>
          <w:rFonts w:cs="Arial"/>
          <w:szCs w:val="22"/>
        </w:rPr>
      </w:pPr>
    </w:p>
    <w:p w14:paraId="3C6E2527" w14:textId="64124A41" w:rsidR="009F49E1" w:rsidRDefault="009F49E1" w:rsidP="009F49E1">
      <w:pPr>
        <w:rPr>
          <w:rFonts w:cs="Arial"/>
          <w:szCs w:val="22"/>
        </w:rPr>
      </w:pPr>
      <w:r>
        <w:rPr>
          <w:rFonts w:cs="Arial"/>
          <w:szCs w:val="22"/>
        </w:rPr>
        <w:t xml:space="preserve">The purpose of this submission is to highlight the myriad of structural and operational challenges facing Victoria’s rural and regional councils and their responses. It also seeks to highlight policy settings, regulatory frameworks and other factors that assist or worsen the </w:t>
      </w:r>
      <w:r w:rsidR="00C13939">
        <w:rPr>
          <w:rFonts w:cs="Arial"/>
          <w:szCs w:val="22"/>
        </w:rPr>
        <w:t>operational challenges facing</w:t>
      </w:r>
      <w:r>
        <w:rPr>
          <w:rFonts w:cs="Arial"/>
          <w:szCs w:val="22"/>
        </w:rPr>
        <w:t xml:space="preserve"> these councils. </w:t>
      </w:r>
    </w:p>
    <w:p w14:paraId="379D1021" w14:textId="77777777" w:rsidR="00700B72" w:rsidRDefault="00700B72" w:rsidP="00C05912">
      <w:pPr>
        <w:rPr>
          <w:rFonts w:cs="Arial"/>
          <w:szCs w:val="22"/>
        </w:rPr>
      </w:pPr>
    </w:p>
    <w:p w14:paraId="3E53F3A8" w14:textId="16EE650A" w:rsidR="009F49E1" w:rsidRDefault="009F49E1" w:rsidP="00C05912">
      <w:pPr>
        <w:rPr>
          <w:rFonts w:cs="Arial"/>
          <w:szCs w:val="22"/>
        </w:rPr>
      </w:pPr>
      <w:r>
        <w:rPr>
          <w:rFonts w:cs="Arial"/>
          <w:szCs w:val="22"/>
        </w:rPr>
        <w:t xml:space="preserve">Given the breadth of potential issues, the MAV has focused on what it believes are the major ongoing </w:t>
      </w:r>
      <w:r w:rsidR="000E21C3">
        <w:rPr>
          <w:rFonts w:cs="Arial"/>
          <w:szCs w:val="22"/>
        </w:rPr>
        <w:t>difficulties</w:t>
      </w:r>
      <w:r>
        <w:rPr>
          <w:rFonts w:cs="Arial"/>
          <w:szCs w:val="22"/>
        </w:rPr>
        <w:t xml:space="preserve"> for rural and regional councils. There are many other challenges that face these municipalities and the MAV would welcome the opportunity to expand on any further issue of interest to the Committee</w:t>
      </w:r>
      <w:r w:rsidR="00C13939">
        <w:rPr>
          <w:rFonts w:cs="Arial"/>
          <w:szCs w:val="22"/>
        </w:rPr>
        <w:t>, either through supplementary submissions or presentations</w:t>
      </w:r>
      <w:r>
        <w:rPr>
          <w:rFonts w:cs="Arial"/>
          <w:szCs w:val="22"/>
        </w:rPr>
        <w:t xml:space="preserve">. </w:t>
      </w:r>
    </w:p>
    <w:p w14:paraId="2290D514" w14:textId="77777777" w:rsidR="00700B72" w:rsidRDefault="00700B72" w:rsidP="00C05912">
      <w:pPr>
        <w:rPr>
          <w:rFonts w:cs="Arial"/>
          <w:szCs w:val="22"/>
        </w:rPr>
      </w:pPr>
    </w:p>
    <w:p w14:paraId="6F6773F9" w14:textId="77777777" w:rsidR="00357AC2" w:rsidRDefault="00357AC2" w:rsidP="00357AC2">
      <w:bookmarkStart w:id="9" w:name="_Toc8718445"/>
      <w:bookmarkStart w:id="10" w:name="_Toc8718608"/>
    </w:p>
    <w:p w14:paraId="1A171870" w14:textId="77777777" w:rsidR="00357AC2" w:rsidRDefault="00C05912" w:rsidP="00357AC2">
      <w:r>
        <w:br w:type="page"/>
      </w:r>
      <w:bookmarkEnd w:id="9"/>
      <w:bookmarkEnd w:id="10"/>
    </w:p>
    <w:p w14:paraId="294B3157" w14:textId="03114D31" w:rsidR="00C05912" w:rsidRDefault="00B121D0" w:rsidP="00357AC2">
      <w:pPr>
        <w:pStyle w:val="Heading1"/>
      </w:pPr>
      <w:bookmarkStart w:id="11" w:name="_Toc462060566"/>
      <w:bookmarkStart w:id="12" w:name="_Toc462066805"/>
      <w:r>
        <w:lastRenderedPageBreak/>
        <w:t>Local Government Funding and Budgetary Pressures</w:t>
      </w:r>
      <w:bookmarkEnd w:id="11"/>
      <w:bookmarkEnd w:id="12"/>
    </w:p>
    <w:p w14:paraId="44B09E9D" w14:textId="77777777" w:rsidR="00C05912" w:rsidRDefault="00C05912" w:rsidP="00C05912"/>
    <w:p w14:paraId="79BEECFB" w14:textId="2A32F552" w:rsidR="009A356E" w:rsidRDefault="009A356E" w:rsidP="009A356E">
      <w:bookmarkStart w:id="13" w:name="_Toc8718446"/>
      <w:bookmarkStart w:id="14" w:name="_Toc8718609"/>
      <w:r w:rsidRPr="00AB190A">
        <w:t xml:space="preserve">There is considerable diversity across </w:t>
      </w:r>
      <w:r w:rsidR="00370D38">
        <w:t>Victoria’s regional and rural</w:t>
      </w:r>
      <w:r w:rsidRPr="00AB190A">
        <w:t xml:space="preserve"> councils</w:t>
      </w:r>
      <w:r>
        <w:t xml:space="preserve">. They vary in budget by a factor of more than eighteen times, in population by a factor of more than fifty-nine times and in density by a factor of more than ninety-six times. In fact on some counts regional councils have more in common with metropolitan councils than small rural councils, for example the ability to generate own source incomes from user charges, which tend to be related to critical mass. </w:t>
      </w:r>
    </w:p>
    <w:p w14:paraId="3DFB6A9B" w14:textId="77777777" w:rsidR="00370D38" w:rsidRDefault="00370D38" w:rsidP="009A356E"/>
    <w:p w14:paraId="2C9650B2" w14:textId="77777777" w:rsidR="009A356E" w:rsidRDefault="009A356E" w:rsidP="009A356E">
      <w:r>
        <w:t xml:space="preserve">The issues around </w:t>
      </w:r>
      <w:r w:rsidRPr="00AB190A">
        <w:t xml:space="preserve">funding and budgetary pressures </w:t>
      </w:r>
      <w:r>
        <w:t>affecting individual councils tend to have common threads although the areas of emphasis may vary. There are however a number of factors that subject regional and more particularly rural councils to greater financial pressures than many of their metropolitan counterparts.  These factors are physical (LGA size, the extent of road assets, climate and geology), demographic (population size, growth and ageing); structural (breadth of the economic base) and administrative (the ability to comply with regulatory requirements and implement reforms and best practice).  These factors make regional and rural councils generally more reliant on government grants and therefore highly susceptible to changes in grant outcomes, cost-shifting and measures such as rate-capping.</w:t>
      </w:r>
    </w:p>
    <w:p w14:paraId="380968F9" w14:textId="77777777" w:rsidR="006F774E" w:rsidRDefault="006F774E" w:rsidP="009A356E"/>
    <w:p w14:paraId="1DA28BB7" w14:textId="77777777" w:rsidR="009A356E" w:rsidRDefault="009A356E" w:rsidP="009A356E">
      <w:r>
        <w:t xml:space="preserve">The major factors impacting council budgets and rate requirements include: </w:t>
      </w:r>
    </w:p>
    <w:p w14:paraId="7FD6B728" w14:textId="77777777" w:rsidR="009A356E" w:rsidRDefault="009A356E" w:rsidP="009A356E">
      <w:pPr>
        <w:pStyle w:val="ListParagraph"/>
        <w:numPr>
          <w:ilvl w:val="0"/>
          <w:numId w:val="38"/>
        </w:numPr>
        <w:spacing w:after="200" w:line="276" w:lineRule="auto"/>
      </w:pPr>
      <w:r>
        <w:t>real reductions in Financial Assistance Grants (FAG)s;</w:t>
      </w:r>
    </w:p>
    <w:p w14:paraId="6B3D64E7" w14:textId="77777777" w:rsidR="009A356E" w:rsidRDefault="009A356E" w:rsidP="009A356E">
      <w:pPr>
        <w:pStyle w:val="ListParagraph"/>
        <w:numPr>
          <w:ilvl w:val="0"/>
          <w:numId w:val="38"/>
        </w:numPr>
        <w:spacing w:after="200" w:line="276" w:lineRule="auto"/>
      </w:pPr>
      <w:r>
        <w:t xml:space="preserve">cost-shifting; </w:t>
      </w:r>
    </w:p>
    <w:p w14:paraId="2D54D6FF" w14:textId="77777777" w:rsidR="009A356E" w:rsidRDefault="009A356E" w:rsidP="009A356E">
      <w:pPr>
        <w:pStyle w:val="ListParagraph"/>
        <w:numPr>
          <w:ilvl w:val="0"/>
          <w:numId w:val="38"/>
        </w:numPr>
        <w:spacing w:after="200" w:line="276" w:lineRule="auto"/>
      </w:pPr>
      <w:r>
        <w:t>defined benefits calls; and</w:t>
      </w:r>
    </w:p>
    <w:p w14:paraId="2AC8CFD3" w14:textId="77777777" w:rsidR="009A356E" w:rsidRDefault="009A356E" w:rsidP="009A356E">
      <w:pPr>
        <w:pStyle w:val="ListParagraph"/>
        <w:numPr>
          <w:ilvl w:val="0"/>
          <w:numId w:val="38"/>
        </w:numPr>
        <w:spacing w:after="200" w:line="276" w:lineRule="auto"/>
      </w:pPr>
      <w:r>
        <w:t>capital renewal requirements.</w:t>
      </w:r>
    </w:p>
    <w:p w14:paraId="74D9ADA9" w14:textId="77777777" w:rsidR="009A356E" w:rsidRDefault="009A356E" w:rsidP="009A356E">
      <w:pPr>
        <w:rPr>
          <w:b/>
        </w:rPr>
      </w:pPr>
    </w:p>
    <w:p w14:paraId="5DE82EB1" w14:textId="5EB963E4" w:rsidR="009A356E" w:rsidRDefault="009A356E" w:rsidP="00370D38">
      <w:pPr>
        <w:pStyle w:val="Heading2"/>
        <w:rPr>
          <w:b w:val="0"/>
        </w:rPr>
      </w:pPr>
      <w:bookmarkStart w:id="15" w:name="_Toc462060567"/>
      <w:bookmarkStart w:id="16" w:name="_Toc462066806"/>
      <w:r w:rsidRPr="004D7AB4">
        <w:t>Financial Assistance Grants</w:t>
      </w:r>
      <w:bookmarkEnd w:id="15"/>
      <w:bookmarkEnd w:id="16"/>
    </w:p>
    <w:p w14:paraId="093A11B3" w14:textId="77777777" w:rsidR="00370D38" w:rsidRDefault="00370D38" w:rsidP="009A356E"/>
    <w:p w14:paraId="2F5437B6" w14:textId="77777777" w:rsidR="009A356E" w:rsidRDefault="009A356E" w:rsidP="009A356E">
      <w:r>
        <w:t>Commonwealth Financial Assistance Grants (FAGs) are distributed to councils by the VGC in line with prescribed principles.  They are comprised of General Revenue (73%) and Local Roads Funding (27%) components and are untied with respect to spending purpose.  They are a significant revenue source for most councils accounting for a higher proportion of the recurrent revenues of rural councils than regional councils, which in turn account for a higher proportion than in metropolitan councils.</w:t>
      </w:r>
    </w:p>
    <w:p w14:paraId="0C81D98F" w14:textId="77777777" w:rsidR="00370D38" w:rsidRDefault="00370D38" w:rsidP="009A356E"/>
    <w:p w14:paraId="4CE9FAD0" w14:textId="0CA3395C" w:rsidR="009A356E" w:rsidRPr="00536F48" w:rsidRDefault="009A356E" w:rsidP="009A356E">
      <w:pPr>
        <w:rPr>
          <w:b/>
          <w:sz w:val="20"/>
        </w:rPr>
      </w:pPr>
      <w:r w:rsidRPr="00536F48">
        <w:rPr>
          <w:b/>
          <w:sz w:val="20"/>
        </w:rPr>
        <w:t>Table 1: FAGs as Percentage of Recurrent Revenues by Council Type 2014-15</w:t>
      </w:r>
    </w:p>
    <w:tbl>
      <w:tblPr>
        <w:tblW w:w="5000" w:type="pct"/>
        <w:tblLook w:val="04A0" w:firstRow="1" w:lastRow="0" w:firstColumn="1" w:lastColumn="0" w:noHBand="0" w:noVBand="1"/>
      </w:tblPr>
      <w:tblGrid>
        <w:gridCol w:w="4237"/>
        <w:gridCol w:w="1510"/>
        <w:gridCol w:w="1392"/>
        <w:gridCol w:w="1390"/>
      </w:tblGrid>
      <w:tr w:rsidR="009A356E" w:rsidRPr="00D603EB" w14:paraId="320AB6F6" w14:textId="77777777" w:rsidTr="009A356E">
        <w:trPr>
          <w:trHeight w:val="720"/>
        </w:trPr>
        <w:tc>
          <w:tcPr>
            <w:tcW w:w="2484" w:type="pct"/>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14:paraId="4747D228" w14:textId="77777777" w:rsidR="009A356E" w:rsidRPr="00C10545" w:rsidRDefault="009A356E" w:rsidP="009A356E">
            <w:pPr>
              <w:rPr>
                <w:b/>
                <w:bCs/>
                <w:sz w:val="18"/>
                <w:szCs w:val="18"/>
                <w:lang w:eastAsia="en-AU"/>
              </w:rPr>
            </w:pPr>
          </w:p>
        </w:tc>
        <w:tc>
          <w:tcPr>
            <w:tcW w:w="885" w:type="pct"/>
            <w:tcBorders>
              <w:top w:val="single" w:sz="4" w:space="0" w:color="auto"/>
              <w:left w:val="nil"/>
              <w:bottom w:val="single" w:sz="4" w:space="0" w:color="auto"/>
              <w:right w:val="single" w:sz="4" w:space="0" w:color="auto"/>
            </w:tcBorders>
            <w:shd w:val="clear" w:color="auto" w:fill="auto"/>
            <w:vAlign w:val="bottom"/>
            <w:hideMark/>
          </w:tcPr>
          <w:p w14:paraId="29562525" w14:textId="77777777" w:rsidR="009A356E" w:rsidRPr="00C10545" w:rsidRDefault="009A356E" w:rsidP="009A356E">
            <w:pPr>
              <w:jc w:val="center"/>
              <w:rPr>
                <w:b/>
                <w:bCs/>
                <w:sz w:val="18"/>
                <w:szCs w:val="18"/>
                <w:lang w:eastAsia="en-AU"/>
              </w:rPr>
            </w:pPr>
            <w:r w:rsidRPr="00C10545">
              <w:rPr>
                <w:b/>
                <w:bCs/>
                <w:sz w:val="18"/>
                <w:szCs w:val="18"/>
                <w:lang w:eastAsia="en-AU"/>
              </w:rPr>
              <w:t>FAGs as % Recurrent Revenue</w:t>
            </w:r>
          </w:p>
        </w:tc>
        <w:tc>
          <w:tcPr>
            <w:tcW w:w="816" w:type="pct"/>
            <w:tcBorders>
              <w:top w:val="single" w:sz="4" w:space="0" w:color="auto"/>
              <w:left w:val="nil"/>
              <w:bottom w:val="single" w:sz="4" w:space="0" w:color="auto"/>
              <w:right w:val="single" w:sz="4" w:space="0" w:color="auto"/>
            </w:tcBorders>
            <w:shd w:val="clear" w:color="auto" w:fill="auto"/>
            <w:vAlign w:val="bottom"/>
            <w:hideMark/>
          </w:tcPr>
          <w:p w14:paraId="68DBC365" w14:textId="77777777" w:rsidR="009A356E" w:rsidRPr="00C10545" w:rsidRDefault="009A356E" w:rsidP="009A356E">
            <w:pPr>
              <w:jc w:val="center"/>
              <w:rPr>
                <w:b/>
                <w:bCs/>
                <w:sz w:val="18"/>
                <w:szCs w:val="18"/>
                <w:lang w:eastAsia="en-AU"/>
              </w:rPr>
            </w:pPr>
            <w:r w:rsidRPr="00C10545">
              <w:rPr>
                <w:b/>
                <w:bCs/>
                <w:sz w:val="18"/>
                <w:szCs w:val="18"/>
                <w:lang w:eastAsia="en-AU"/>
              </w:rPr>
              <w:t>Max %</w:t>
            </w:r>
          </w:p>
        </w:tc>
        <w:tc>
          <w:tcPr>
            <w:tcW w:w="816" w:type="pct"/>
            <w:tcBorders>
              <w:top w:val="single" w:sz="4" w:space="0" w:color="auto"/>
              <w:left w:val="nil"/>
              <w:bottom w:val="single" w:sz="4" w:space="0" w:color="auto"/>
              <w:right w:val="single" w:sz="4" w:space="0" w:color="auto"/>
            </w:tcBorders>
            <w:shd w:val="clear" w:color="auto" w:fill="auto"/>
            <w:vAlign w:val="bottom"/>
            <w:hideMark/>
          </w:tcPr>
          <w:p w14:paraId="51E3FA6B" w14:textId="77777777" w:rsidR="009A356E" w:rsidRPr="00C10545" w:rsidRDefault="009A356E" w:rsidP="009A356E">
            <w:pPr>
              <w:jc w:val="center"/>
              <w:rPr>
                <w:b/>
                <w:bCs/>
                <w:sz w:val="18"/>
                <w:szCs w:val="18"/>
                <w:lang w:eastAsia="en-AU"/>
              </w:rPr>
            </w:pPr>
            <w:r w:rsidRPr="00C10545">
              <w:rPr>
                <w:b/>
                <w:bCs/>
                <w:sz w:val="18"/>
                <w:szCs w:val="18"/>
                <w:lang w:eastAsia="en-AU"/>
              </w:rPr>
              <w:t>Min %</w:t>
            </w:r>
          </w:p>
        </w:tc>
      </w:tr>
      <w:tr w:rsidR="009A356E" w:rsidRPr="00D603EB" w14:paraId="13AAC0B1" w14:textId="77777777" w:rsidTr="009A356E">
        <w:trPr>
          <w:trHeight w:val="240"/>
        </w:trPr>
        <w:tc>
          <w:tcPr>
            <w:tcW w:w="2484" w:type="pct"/>
            <w:tcBorders>
              <w:top w:val="nil"/>
              <w:left w:val="single" w:sz="4" w:space="0" w:color="auto"/>
              <w:bottom w:val="single" w:sz="4" w:space="0" w:color="auto"/>
              <w:right w:val="single" w:sz="4" w:space="0" w:color="auto"/>
            </w:tcBorders>
            <w:shd w:val="clear" w:color="000000" w:fill="000000"/>
            <w:noWrap/>
            <w:vAlign w:val="bottom"/>
            <w:hideMark/>
          </w:tcPr>
          <w:p w14:paraId="6019B7E8" w14:textId="77777777" w:rsidR="009A356E" w:rsidRPr="00C10545" w:rsidRDefault="009A356E" w:rsidP="009A356E">
            <w:pPr>
              <w:rPr>
                <w:sz w:val="18"/>
                <w:szCs w:val="18"/>
                <w:lang w:eastAsia="en-AU"/>
              </w:rPr>
            </w:pPr>
            <w:r w:rsidRPr="00C10545">
              <w:rPr>
                <w:sz w:val="18"/>
                <w:szCs w:val="18"/>
                <w:lang w:eastAsia="en-AU"/>
              </w:rPr>
              <w:t> </w:t>
            </w:r>
          </w:p>
        </w:tc>
        <w:tc>
          <w:tcPr>
            <w:tcW w:w="885" w:type="pct"/>
            <w:tcBorders>
              <w:top w:val="nil"/>
              <w:left w:val="nil"/>
              <w:bottom w:val="single" w:sz="4" w:space="0" w:color="auto"/>
              <w:right w:val="single" w:sz="4" w:space="0" w:color="auto"/>
            </w:tcBorders>
            <w:shd w:val="clear" w:color="000000" w:fill="000000"/>
            <w:noWrap/>
            <w:vAlign w:val="bottom"/>
            <w:hideMark/>
          </w:tcPr>
          <w:p w14:paraId="55B1367E" w14:textId="77777777" w:rsidR="009A356E" w:rsidRPr="00C10545" w:rsidRDefault="009A356E" w:rsidP="009A356E">
            <w:pPr>
              <w:rPr>
                <w:color w:val="000000"/>
                <w:sz w:val="18"/>
                <w:szCs w:val="18"/>
                <w:lang w:eastAsia="en-AU"/>
              </w:rPr>
            </w:pPr>
            <w:r w:rsidRPr="00C10545">
              <w:rPr>
                <w:color w:val="000000"/>
                <w:sz w:val="18"/>
                <w:szCs w:val="18"/>
                <w:lang w:eastAsia="en-AU"/>
              </w:rPr>
              <w:t> </w:t>
            </w:r>
          </w:p>
        </w:tc>
        <w:tc>
          <w:tcPr>
            <w:tcW w:w="816" w:type="pct"/>
            <w:tcBorders>
              <w:top w:val="nil"/>
              <w:left w:val="nil"/>
              <w:bottom w:val="single" w:sz="4" w:space="0" w:color="auto"/>
              <w:right w:val="single" w:sz="4" w:space="0" w:color="auto"/>
            </w:tcBorders>
            <w:shd w:val="clear" w:color="000000" w:fill="000000"/>
            <w:noWrap/>
            <w:vAlign w:val="bottom"/>
            <w:hideMark/>
          </w:tcPr>
          <w:p w14:paraId="0A84593E" w14:textId="77777777" w:rsidR="009A356E" w:rsidRPr="00C10545" w:rsidRDefault="009A356E" w:rsidP="009A356E">
            <w:pPr>
              <w:rPr>
                <w:color w:val="000000"/>
                <w:sz w:val="18"/>
                <w:szCs w:val="18"/>
                <w:lang w:eastAsia="en-AU"/>
              </w:rPr>
            </w:pPr>
            <w:r w:rsidRPr="00C10545">
              <w:rPr>
                <w:color w:val="000000"/>
                <w:sz w:val="18"/>
                <w:szCs w:val="18"/>
                <w:lang w:eastAsia="en-AU"/>
              </w:rPr>
              <w:t> </w:t>
            </w:r>
          </w:p>
        </w:tc>
        <w:tc>
          <w:tcPr>
            <w:tcW w:w="816" w:type="pct"/>
            <w:tcBorders>
              <w:top w:val="nil"/>
              <w:left w:val="nil"/>
              <w:bottom w:val="single" w:sz="4" w:space="0" w:color="auto"/>
              <w:right w:val="single" w:sz="4" w:space="0" w:color="auto"/>
            </w:tcBorders>
            <w:shd w:val="clear" w:color="000000" w:fill="000000"/>
            <w:noWrap/>
            <w:vAlign w:val="bottom"/>
            <w:hideMark/>
          </w:tcPr>
          <w:p w14:paraId="12604E5B" w14:textId="77777777" w:rsidR="009A356E" w:rsidRPr="00C10545" w:rsidRDefault="009A356E" w:rsidP="009A356E">
            <w:pPr>
              <w:rPr>
                <w:color w:val="000000"/>
                <w:sz w:val="18"/>
                <w:szCs w:val="18"/>
                <w:lang w:eastAsia="en-AU"/>
              </w:rPr>
            </w:pPr>
            <w:r w:rsidRPr="00C10545">
              <w:rPr>
                <w:color w:val="000000"/>
                <w:sz w:val="18"/>
                <w:szCs w:val="18"/>
                <w:lang w:eastAsia="en-AU"/>
              </w:rPr>
              <w:t> </w:t>
            </w:r>
          </w:p>
        </w:tc>
      </w:tr>
      <w:tr w:rsidR="009A356E" w:rsidRPr="00D603EB" w14:paraId="0AA499AC" w14:textId="77777777" w:rsidTr="009A356E">
        <w:trPr>
          <w:trHeight w:val="240"/>
        </w:trPr>
        <w:tc>
          <w:tcPr>
            <w:tcW w:w="2484" w:type="pct"/>
            <w:tcBorders>
              <w:top w:val="nil"/>
              <w:left w:val="single" w:sz="4" w:space="0" w:color="auto"/>
              <w:bottom w:val="single" w:sz="4" w:space="0" w:color="auto"/>
              <w:right w:val="single" w:sz="4" w:space="0" w:color="auto"/>
            </w:tcBorders>
            <w:shd w:val="clear" w:color="auto" w:fill="auto"/>
            <w:noWrap/>
            <w:vAlign w:val="bottom"/>
            <w:hideMark/>
          </w:tcPr>
          <w:p w14:paraId="18AF12A8" w14:textId="77777777" w:rsidR="009A356E" w:rsidRPr="00C10545" w:rsidRDefault="009A356E" w:rsidP="009A356E">
            <w:pPr>
              <w:rPr>
                <w:sz w:val="18"/>
                <w:szCs w:val="18"/>
                <w:lang w:eastAsia="en-AU"/>
              </w:rPr>
            </w:pPr>
            <w:r w:rsidRPr="00C10545">
              <w:rPr>
                <w:sz w:val="18"/>
                <w:szCs w:val="18"/>
                <w:lang w:eastAsia="en-AU"/>
              </w:rPr>
              <w:t>All Councils</w:t>
            </w:r>
          </w:p>
        </w:tc>
        <w:tc>
          <w:tcPr>
            <w:tcW w:w="885" w:type="pct"/>
            <w:tcBorders>
              <w:top w:val="nil"/>
              <w:left w:val="nil"/>
              <w:bottom w:val="single" w:sz="4" w:space="0" w:color="auto"/>
              <w:right w:val="single" w:sz="4" w:space="0" w:color="auto"/>
            </w:tcBorders>
            <w:shd w:val="clear" w:color="auto" w:fill="auto"/>
            <w:noWrap/>
            <w:vAlign w:val="center"/>
            <w:hideMark/>
          </w:tcPr>
          <w:p w14:paraId="0F6B6E08" w14:textId="77777777" w:rsidR="009A356E" w:rsidRPr="00C10545" w:rsidRDefault="009A356E" w:rsidP="009A356E">
            <w:pPr>
              <w:jc w:val="center"/>
              <w:rPr>
                <w:color w:val="000000"/>
                <w:sz w:val="18"/>
                <w:szCs w:val="18"/>
                <w:lang w:eastAsia="en-AU"/>
              </w:rPr>
            </w:pPr>
            <w:r w:rsidRPr="00C10545">
              <w:rPr>
                <w:color w:val="000000"/>
                <w:sz w:val="18"/>
                <w:szCs w:val="18"/>
                <w:lang w:eastAsia="en-AU"/>
              </w:rPr>
              <w:t>6.8%</w:t>
            </w:r>
          </w:p>
        </w:tc>
        <w:tc>
          <w:tcPr>
            <w:tcW w:w="816" w:type="pct"/>
            <w:tcBorders>
              <w:top w:val="nil"/>
              <w:left w:val="nil"/>
              <w:bottom w:val="single" w:sz="4" w:space="0" w:color="auto"/>
              <w:right w:val="single" w:sz="4" w:space="0" w:color="auto"/>
            </w:tcBorders>
            <w:shd w:val="clear" w:color="auto" w:fill="auto"/>
            <w:noWrap/>
            <w:vAlign w:val="center"/>
            <w:hideMark/>
          </w:tcPr>
          <w:p w14:paraId="2768E8D2" w14:textId="77777777" w:rsidR="009A356E" w:rsidRPr="00C10545" w:rsidRDefault="009A356E" w:rsidP="009A356E">
            <w:pPr>
              <w:jc w:val="center"/>
              <w:rPr>
                <w:sz w:val="18"/>
                <w:szCs w:val="18"/>
                <w:lang w:eastAsia="en-AU"/>
              </w:rPr>
            </w:pPr>
            <w:r w:rsidRPr="00C10545">
              <w:rPr>
                <w:sz w:val="18"/>
                <w:szCs w:val="18"/>
                <w:lang w:eastAsia="en-AU"/>
              </w:rPr>
              <w:t>27.2%</w:t>
            </w:r>
          </w:p>
        </w:tc>
        <w:tc>
          <w:tcPr>
            <w:tcW w:w="816" w:type="pct"/>
            <w:tcBorders>
              <w:top w:val="nil"/>
              <w:left w:val="nil"/>
              <w:bottom w:val="single" w:sz="4" w:space="0" w:color="auto"/>
              <w:right w:val="single" w:sz="4" w:space="0" w:color="auto"/>
            </w:tcBorders>
            <w:shd w:val="clear" w:color="auto" w:fill="auto"/>
            <w:noWrap/>
            <w:vAlign w:val="center"/>
            <w:hideMark/>
          </w:tcPr>
          <w:p w14:paraId="7EB897CD" w14:textId="77777777" w:rsidR="009A356E" w:rsidRPr="00C10545" w:rsidRDefault="009A356E" w:rsidP="009A356E">
            <w:pPr>
              <w:jc w:val="center"/>
              <w:rPr>
                <w:color w:val="000000"/>
                <w:sz w:val="18"/>
                <w:szCs w:val="18"/>
                <w:lang w:eastAsia="en-AU"/>
              </w:rPr>
            </w:pPr>
            <w:r w:rsidRPr="00C10545">
              <w:rPr>
                <w:color w:val="000000"/>
                <w:sz w:val="18"/>
                <w:szCs w:val="18"/>
                <w:lang w:eastAsia="en-AU"/>
              </w:rPr>
              <w:t>0.80%</w:t>
            </w:r>
          </w:p>
        </w:tc>
      </w:tr>
      <w:tr w:rsidR="009A356E" w:rsidRPr="00D603EB" w14:paraId="0757780E" w14:textId="77777777" w:rsidTr="009A356E">
        <w:trPr>
          <w:trHeight w:val="240"/>
        </w:trPr>
        <w:tc>
          <w:tcPr>
            <w:tcW w:w="2484" w:type="pct"/>
            <w:tcBorders>
              <w:top w:val="nil"/>
              <w:left w:val="single" w:sz="4" w:space="0" w:color="auto"/>
              <w:bottom w:val="single" w:sz="4" w:space="0" w:color="auto"/>
              <w:right w:val="single" w:sz="4" w:space="0" w:color="auto"/>
            </w:tcBorders>
            <w:shd w:val="clear" w:color="000000" w:fill="000000"/>
            <w:noWrap/>
            <w:vAlign w:val="bottom"/>
            <w:hideMark/>
          </w:tcPr>
          <w:p w14:paraId="67A81B3F" w14:textId="77777777" w:rsidR="009A356E" w:rsidRPr="00C10545" w:rsidRDefault="009A356E" w:rsidP="009A356E">
            <w:pPr>
              <w:rPr>
                <w:sz w:val="18"/>
                <w:szCs w:val="18"/>
                <w:lang w:eastAsia="en-AU"/>
              </w:rPr>
            </w:pPr>
            <w:r w:rsidRPr="00C10545">
              <w:rPr>
                <w:sz w:val="18"/>
                <w:szCs w:val="18"/>
                <w:lang w:eastAsia="en-AU"/>
              </w:rPr>
              <w:t> </w:t>
            </w:r>
          </w:p>
        </w:tc>
        <w:tc>
          <w:tcPr>
            <w:tcW w:w="885" w:type="pct"/>
            <w:tcBorders>
              <w:top w:val="nil"/>
              <w:left w:val="nil"/>
              <w:bottom w:val="single" w:sz="4" w:space="0" w:color="auto"/>
              <w:right w:val="single" w:sz="4" w:space="0" w:color="auto"/>
            </w:tcBorders>
            <w:shd w:val="clear" w:color="000000" w:fill="000000"/>
            <w:noWrap/>
            <w:vAlign w:val="center"/>
            <w:hideMark/>
          </w:tcPr>
          <w:p w14:paraId="372A2FD5" w14:textId="77777777" w:rsidR="009A356E" w:rsidRPr="00C10545" w:rsidRDefault="009A356E" w:rsidP="009A356E">
            <w:pPr>
              <w:jc w:val="center"/>
              <w:rPr>
                <w:color w:val="000000"/>
                <w:sz w:val="18"/>
                <w:szCs w:val="18"/>
                <w:lang w:eastAsia="en-AU"/>
              </w:rPr>
            </w:pPr>
          </w:p>
        </w:tc>
        <w:tc>
          <w:tcPr>
            <w:tcW w:w="816" w:type="pct"/>
            <w:tcBorders>
              <w:top w:val="nil"/>
              <w:left w:val="nil"/>
              <w:bottom w:val="single" w:sz="4" w:space="0" w:color="auto"/>
              <w:right w:val="single" w:sz="4" w:space="0" w:color="auto"/>
            </w:tcBorders>
            <w:shd w:val="clear" w:color="000000" w:fill="000000"/>
            <w:noWrap/>
            <w:vAlign w:val="center"/>
            <w:hideMark/>
          </w:tcPr>
          <w:p w14:paraId="6879C017" w14:textId="77777777" w:rsidR="009A356E" w:rsidRPr="00C10545" w:rsidRDefault="009A356E" w:rsidP="009A356E">
            <w:pPr>
              <w:jc w:val="center"/>
              <w:rPr>
                <w:color w:val="000000"/>
                <w:sz w:val="18"/>
                <w:szCs w:val="18"/>
                <w:lang w:eastAsia="en-AU"/>
              </w:rPr>
            </w:pPr>
          </w:p>
        </w:tc>
        <w:tc>
          <w:tcPr>
            <w:tcW w:w="816" w:type="pct"/>
            <w:tcBorders>
              <w:top w:val="nil"/>
              <w:left w:val="nil"/>
              <w:bottom w:val="single" w:sz="4" w:space="0" w:color="auto"/>
              <w:right w:val="single" w:sz="4" w:space="0" w:color="auto"/>
            </w:tcBorders>
            <w:shd w:val="clear" w:color="000000" w:fill="000000"/>
            <w:noWrap/>
            <w:vAlign w:val="center"/>
            <w:hideMark/>
          </w:tcPr>
          <w:p w14:paraId="21CB17A9" w14:textId="77777777" w:rsidR="009A356E" w:rsidRPr="00C10545" w:rsidRDefault="009A356E" w:rsidP="009A356E">
            <w:pPr>
              <w:jc w:val="center"/>
              <w:rPr>
                <w:color w:val="000000"/>
                <w:sz w:val="18"/>
                <w:szCs w:val="18"/>
                <w:lang w:eastAsia="en-AU"/>
              </w:rPr>
            </w:pPr>
          </w:p>
        </w:tc>
      </w:tr>
      <w:tr w:rsidR="009A356E" w:rsidRPr="00D603EB" w14:paraId="2FF0B0C3" w14:textId="77777777" w:rsidTr="009A356E">
        <w:trPr>
          <w:trHeight w:val="240"/>
        </w:trPr>
        <w:tc>
          <w:tcPr>
            <w:tcW w:w="2484" w:type="pct"/>
            <w:tcBorders>
              <w:top w:val="nil"/>
              <w:left w:val="single" w:sz="4" w:space="0" w:color="auto"/>
              <w:bottom w:val="single" w:sz="4" w:space="0" w:color="auto"/>
              <w:right w:val="single" w:sz="4" w:space="0" w:color="auto"/>
            </w:tcBorders>
            <w:shd w:val="clear" w:color="auto" w:fill="auto"/>
            <w:noWrap/>
            <w:vAlign w:val="bottom"/>
            <w:hideMark/>
          </w:tcPr>
          <w:p w14:paraId="41A55367" w14:textId="77777777" w:rsidR="009A356E" w:rsidRPr="00C10545" w:rsidRDefault="009A356E" w:rsidP="009A356E">
            <w:pPr>
              <w:rPr>
                <w:sz w:val="18"/>
                <w:szCs w:val="18"/>
                <w:lang w:eastAsia="en-AU"/>
              </w:rPr>
            </w:pPr>
            <w:r w:rsidRPr="00C10545">
              <w:rPr>
                <w:sz w:val="18"/>
                <w:szCs w:val="18"/>
                <w:lang w:eastAsia="en-AU"/>
              </w:rPr>
              <w:t>Inner Metro</w:t>
            </w:r>
          </w:p>
        </w:tc>
        <w:tc>
          <w:tcPr>
            <w:tcW w:w="885" w:type="pct"/>
            <w:tcBorders>
              <w:top w:val="nil"/>
              <w:left w:val="nil"/>
              <w:bottom w:val="single" w:sz="4" w:space="0" w:color="auto"/>
              <w:right w:val="single" w:sz="4" w:space="0" w:color="auto"/>
            </w:tcBorders>
            <w:shd w:val="clear" w:color="auto" w:fill="auto"/>
            <w:noWrap/>
            <w:vAlign w:val="center"/>
            <w:hideMark/>
          </w:tcPr>
          <w:p w14:paraId="7E7D7799" w14:textId="77777777" w:rsidR="009A356E" w:rsidRPr="00C10545" w:rsidRDefault="009A356E" w:rsidP="009A356E">
            <w:pPr>
              <w:jc w:val="center"/>
              <w:rPr>
                <w:color w:val="000000"/>
                <w:sz w:val="18"/>
                <w:szCs w:val="18"/>
                <w:lang w:eastAsia="en-AU"/>
              </w:rPr>
            </w:pPr>
            <w:r w:rsidRPr="00C10545">
              <w:rPr>
                <w:color w:val="000000"/>
                <w:sz w:val="18"/>
                <w:szCs w:val="18"/>
                <w:lang w:eastAsia="en-AU"/>
              </w:rPr>
              <w:t>2.3%</w:t>
            </w:r>
          </w:p>
        </w:tc>
        <w:tc>
          <w:tcPr>
            <w:tcW w:w="816" w:type="pct"/>
            <w:tcBorders>
              <w:top w:val="nil"/>
              <w:left w:val="nil"/>
              <w:bottom w:val="single" w:sz="4" w:space="0" w:color="auto"/>
              <w:right w:val="single" w:sz="4" w:space="0" w:color="auto"/>
            </w:tcBorders>
            <w:shd w:val="clear" w:color="auto" w:fill="auto"/>
            <w:noWrap/>
            <w:vAlign w:val="center"/>
            <w:hideMark/>
          </w:tcPr>
          <w:p w14:paraId="2E6218FA" w14:textId="77777777" w:rsidR="009A356E" w:rsidRPr="00C10545" w:rsidRDefault="009A356E" w:rsidP="009A356E">
            <w:pPr>
              <w:jc w:val="center"/>
              <w:rPr>
                <w:color w:val="000000"/>
                <w:sz w:val="18"/>
                <w:szCs w:val="18"/>
                <w:lang w:eastAsia="en-AU"/>
              </w:rPr>
            </w:pPr>
            <w:r w:rsidRPr="00C10545">
              <w:rPr>
                <w:color w:val="000000"/>
                <w:sz w:val="18"/>
                <w:szCs w:val="18"/>
                <w:lang w:eastAsia="en-AU"/>
              </w:rPr>
              <w:t>4.90%</w:t>
            </w:r>
          </w:p>
        </w:tc>
        <w:tc>
          <w:tcPr>
            <w:tcW w:w="816" w:type="pct"/>
            <w:tcBorders>
              <w:top w:val="nil"/>
              <w:left w:val="nil"/>
              <w:bottom w:val="single" w:sz="4" w:space="0" w:color="auto"/>
              <w:right w:val="single" w:sz="4" w:space="0" w:color="auto"/>
            </w:tcBorders>
            <w:shd w:val="clear" w:color="auto" w:fill="auto"/>
            <w:noWrap/>
            <w:vAlign w:val="center"/>
            <w:hideMark/>
          </w:tcPr>
          <w:p w14:paraId="0464F3FC" w14:textId="77777777" w:rsidR="009A356E" w:rsidRPr="00C10545" w:rsidRDefault="009A356E" w:rsidP="009A356E">
            <w:pPr>
              <w:jc w:val="center"/>
              <w:rPr>
                <w:color w:val="000000"/>
                <w:sz w:val="18"/>
                <w:szCs w:val="18"/>
                <w:lang w:eastAsia="en-AU"/>
              </w:rPr>
            </w:pPr>
            <w:r w:rsidRPr="00C10545">
              <w:rPr>
                <w:color w:val="000000"/>
                <w:sz w:val="18"/>
                <w:szCs w:val="18"/>
                <w:lang w:eastAsia="en-AU"/>
              </w:rPr>
              <w:t>0.80%</w:t>
            </w:r>
          </w:p>
        </w:tc>
      </w:tr>
      <w:tr w:rsidR="009A356E" w:rsidRPr="00D603EB" w14:paraId="2A28061F" w14:textId="77777777" w:rsidTr="009A356E">
        <w:trPr>
          <w:trHeight w:val="240"/>
        </w:trPr>
        <w:tc>
          <w:tcPr>
            <w:tcW w:w="2484" w:type="pct"/>
            <w:tcBorders>
              <w:top w:val="nil"/>
              <w:left w:val="single" w:sz="4" w:space="0" w:color="auto"/>
              <w:bottom w:val="single" w:sz="4" w:space="0" w:color="auto"/>
              <w:right w:val="single" w:sz="4" w:space="0" w:color="auto"/>
            </w:tcBorders>
            <w:shd w:val="clear" w:color="auto" w:fill="auto"/>
            <w:noWrap/>
            <w:vAlign w:val="bottom"/>
            <w:hideMark/>
          </w:tcPr>
          <w:p w14:paraId="3FB9F4BE" w14:textId="77777777" w:rsidR="009A356E" w:rsidRPr="00C10545" w:rsidRDefault="009A356E" w:rsidP="009A356E">
            <w:pPr>
              <w:rPr>
                <w:sz w:val="18"/>
                <w:szCs w:val="18"/>
                <w:lang w:eastAsia="en-AU"/>
              </w:rPr>
            </w:pPr>
            <w:r w:rsidRPr="00C10545">
              <w:rPr>
                <w:sz w:val="18"/>
                <w:szCs w:val="18"/>
                <w:lang w:eastAsia="en-AU"/>
              </w:rPr>
              <w:t>Large Shires</w:t>
            </w:r>
          </w:p>
        </w:tc>
        <w:tc>
          <w:tcPr>
            <w:tcW w:w="885" w:type="pct"/>
            <w:tcBorders>
              <w:top w:val="nil"/>
              <w:left w:val="nil"/>
              <w:bottom w:val="single" w:sz="4" w:space="0" w:color="auto"/>
              <w:right w:val="single" w:sz="4" w:space="0" w:color="auto"/>
            </w:tcBorders>
            <w:shd w:val="clear" w:color="auto" w:fill="auto"/>
            <w:noWrap/>
            <w:vAlign w:val="center"/>
            <w:hideMark/>
          </w:tcPr>
          <w:p w14:paraId="5BEEF6F0" w14:textId="77777777" w:rsidR="009A356E" w:rsidRPr="00C10545" w:rsidRDefault="009A356E" w:rsidP="009A356E">
            <w:pPr>
              <w:jc w:val="center"/>
              <w:rPr>
                <w:color w:val="000000"/>
                <w:sz w:val="18"/>
                <w:szCs w:val="18"/>
                <w:lang w:eastAsia="en-AU"/>
              </w:rPr>
            </w:pPr>
            <w:r w:rsidRPr="00C10545">
              <w:rPr>
                <w:color w:val="000000"/>
                <w:sz w:val="18"/>
                <w:szCs w:val="18"/>
                <w:lang w:eastAsia="en-AU"/>
              </w:rPr>
              <w:t>13.7%</w:t>
            </w:r>
          </w:p>
        </w:tc>
        <w:tc>
          <w:tcPr>
            <w:tcW w:w="816" w:type="pct"/>
            <w:tcBorders>
              <w:top w:val="nil"/>
              <w:left w:val="nil"/>
              <w:bottom w:val="single" w:sz="4" w:space="0" w:color="auto"/>
              <w:right w:val="single" w:sz="4" w:space="0" w:color="auto"/>
            </w:tcBorders>
            <w:shd w:val="clear" w:color="auto" w:fill="auto"/>
            <w:noWrap/>
            <w:vAlign w:val="center"/>
            <w:hideMark/>
          </w:tcPr>
          <w:p w14:paraId="79842DD3" w14:textId="77777777" w:rsidR="009A356E" w:rsidRPr="00C10545" w:rsidRDefault="009A356E" w:rsidP="009A356E">
            <w:pPr>
              <w:jc w:val="center"/>
              <w:rPr>
                <w:color w:val="000000"/>
                <w:sz w:val="18"/>
                <w:szCs w:val="18"/>
                <w:lang w:eastAsia="en-AU"/>
              </w:rPr>
            </w:pPr>
            <w:r w:rsidRPr="00C10545">
              <w:rPr>
                <w:color w:val="000000"/>
                <w:sz w:val="18"/>
                <w:szCs w:val="18"/>
                <w:lang w:eastAsia="en-AU"/>
              </w:rPr>
              <w:t>18.10%</w:t>
            </w:r>
          </w:p>
        </w:tc>
        <w:tc>
          <w:tcPr>
            <w:tcW w:w="816" w:type="pct"/>
            <w:tcBorders>
              <w:top w:val="nil"/>
              <w:left w:val="nil"/>
              <w:bottom w:val="single" w:sz="4" w:space="0" w:color="auto"/>
              <w:right w:val="single" w:sz="4" w:space="0" w:color="auto"/>
            </w:tcBorders>
            <w:shd w:val="clear" w:color="auto" w:fill="auto"/>
            <w:noWrap/>
            <w:vAlign w:val="center"/>
            <w:hideMark/>
          </w:tcPr>
          <w:p w14:paraId="5EDEF348" w14:textId="77777777" w:rsidR="009A356E" w:rsidRPr="00C10545" w:rsidRDefault="009A356E" w:rsidP="009A356E">
            <w:pPr>
              <w:jc w:val="center"/>
              <w:rPr>
                <w:color w:val="000000"/>
                <w:sz w:val="18"/>
                <w:szCs w:val="18"/>
                <w:lang w:eastAsia="en-AU"/>
              </w:rPr>
            </w:pPr>
            <w:r w:rsidRPr="00C10545">
              <w:rPr>
                <w:color w:val="000000"/>
                <w:sz w:val="18"/>
                <w:szCs w:val="18"/>
                <w:lang w:eastAsia="en-AU"/>
              </w:rPr>
              <w:t>6.00%</w:t>
            </w:r>
          </w:p>
        </w:tc>
      </w:tr>
      <w:tr w:rsidR="009A356E" w:rsidRPr="00D603EB" w14:paraId="0DD06337" w14:textId="77777777" w:rsidTr="009A356E">
        <w:trPr>
          <w:trHeight w:val="240"/>
        </w:trPr>
        <w:tc>
          <w:tcPr>
            <w:tcW w:w="2484" w:type="pct"/>
            <w:tcBorders>
              <w:top w:val="nil"/>
              <w:left w:val="single" w:sz="4" w:space="0" w:color="auto"/>
              <w:bottom w:val="single" w:sz="4" w:space="0" w:color="auto"/>
              <w:right w:val="single" w:sz="4" w:space="0" w:color="auto"/>
            </w:tcBorders>
            <w:shd w:val="clear" w:color="auto" w:fill="auto"/>
            <w:noWrap/>
            <w:vAlign w:val="bottom"/>
            <w:hideMark/>
          </w:tcPr>
          <w:p w14:paraId="5C7F9B7E" w14:textId="77777777" w:rsidR="009A356E" w:rsidRPr="00C10545" w:rsidRDefault="009A356E" w:rsidP="009A356E">
            <w:pPr>
              <w:rPr>
                <w:sz w:val="18"/>
                <w:szCs w:val="18"/>
                <w:lang w:eastAsia="en-AU"/>
              </w:rPr>
            </w:pPr>
            <w:r w:rsidRPr="00C10545">
              <w:rPr>
                <w:sz w:val="18"/>
                <w:szCs w:val="18"/>
                <w:lang w:eastAsia="en-AU"/>
              </w:rPr>
              <w:t>Outer Metro</w:t>
            </w:r>
          </w:p>
        </w:tc>
        <w:tc>
          <w:tcPr>
            <w:tcW w:w="885" w:type="pct"/>
            <w:tcBorders>
              <w:top w:val="nil"/>
              <w:left w:val="nil"/>
              <w:bottom w:val="single" w:sz="4" w:space="0" w:color="auto"/>
              <w:right w:val="single" w:sz="4" w:space="0" w:color="auto"/>
            </w:tcBorders>
            <w:shd w:val="clear" w:color="auto" w:fill="auto"/>
            <w:noWrap/>
            <w:vAlign w:val="center"/>
            <w:hideMark/>
          </w:tcPr>
          <w:p w14:paraId="267D0E83" w14:textId="77777777" w:rsidR="009A356E" w:rsidRPr="00C10545" w:rsidRDefault="009A356E" w:rsidP="009A356E">
            <w:pPr>
              <w:jc w:val="center"/>
              <w:rPr>
                <w:color w:val="000000"/>
                <w:sz w:val="18"/>
                <w:szCs w:val="18"/>
                <w:lang w:eastAsia="en-AU"/>
              </w:rPr>
            </w:pPr>
            <w:r w:rsidRPr="00C10545">
              <w:rPr>
                <w:color w:val="000000"/>
                <w:sz w:val="18"/>
                <w:szCs w:val="18"/>
                <w:lang w:eastAsia="en-AU"/>
              </w:rPr>
              <w:t>6.1%</w:t>
            </w:r>
          </w:p>
        </w:tc>
        <w:tc>
          <w:tcPr>
            <w:tcW w:w="816" w:type="pct"/>
            <w:tcBorders>
              <w:top w:val="nil"/>
              <w:left w:val="nil"/>
              <w:bottom w:val="single" w:sz="4" w:space="0" w:color="auto"/>
              <w:right w:val="single" w:sz="4" w:space="0" w:color="auto"/>
            </w:tcBorders>
            <w:shd w:val="clear" w:color="auto" w:fill="auto"/>
            <w:noWrap/>
            <w:vAlign w:val="center"/>
            <w:hideMark/>
          </w:tcPr>
          <w:p w14:paraId="26A273FC" w14:textId="77777777" w:rsidR="009A356E" w:rsidRPr="00C10545" w:rsidRDefault="009A356E" w:rsidP="009A356E">
            <w:pPr>
              <w:jc w:val="center"/>
              <w:rPr>
                <w:color w:val="000000"/>
                <w:sz w:val="18"/>
                <w:szCs w:val="18"/>
                <w:lang w:eastAsia="en-AU"/>
              </w:rPr>
            </w:pPr>
            <w:r w:rsidRPr="00C10545">
              <w:rPr>
                <w:color w:val="000000"/>
                <w:sz w:val="18"/>
                <w:szCs w:val="18"/>
                <w:lang w:eastAsia="en-AU"/>
              </w:rPr>
              <w:t>9.80%</w:t>
            </w:r>
          </w:p>
        </w:tc>
        <w:tc>
          <w:tcPr>
            <w:tcW w:w="816" w:type="pct"/>
            <w:tcBorders>
              <w:top w:val="nil"/>
              <w:left w:val="nil"/>
              <w:bottom w:val="single" w:sz="4" w:space="0" w:color="auto"/>
              <w:right w:val="single" w:sz="4" w:space="0" w:color="auto"/>
            </w:tcBorders>
            <w:shd w:val="clear" w:color="auto" w:fill="auto"/>
            <w:noWrap/>
            <w:vAlign w:val="center"/>
            <w:hideMark/>
          </w:tcPr>
          <w:p w14:paraId="41484D75" w14:textId="77777777" w:rsidR="009A356E" w:rsidRPr="00C10545" w:rsidRDefault="009A356E" w:rsidP="009A356E">
            <w:pPr>
              <w:jc w:val="center"/>
              <w:rPr>
                <w:color w:val="000000"/>
                <w:sz w:val="18"/>
                <w:szCs w:val="18"/>
                <w:lang w:eastAsia="en-AU"/>
              </w:rPr>
            </w:pPr>
            <w:r w:rsidRPr="00C10545">
              <w:rPr>
                <w:color w:val="000000"/>
                <w:sz w:val="18"/>
                <w:szCs w:val="18"/>
                <w:lang w:eastAsia="en-AU"/>
              </w:rPr>
              <w:t>3.10%</w:t>
            </w:r>
          </w:p>
        </w:tc>
      </w:tr>
      <w:tr w:rsidR="009A356E" w:rsidRPr="00D603EB" w14:paraId="4A1696A6" w14:textId="77777777" w:rsidTr="009A356E">
        <w:trPr>
          <w:trHeight w:val="240"/>
        </w:trPr>
        <w:tc>
          <w:tcPr>
            <w:tcW w:w="2484" w:type="pct"/>
            <w:tcBorders>
              <w:top w:val="nil"/>
              <w:left w:val="single" w:sz="4" w:space="0" w:color="auto"/>
              <w:bottom w:val="single" w:sz="4" w:space="0" w:color="auto"/>
              <w:right w:val="single" w:sz="4" w:space="0" w:color="auto"/>
            </w:tcBorders>
            <w:shd w:val="clear" w:color="auto" w:fill="auto"/>
            <w:noWrap/>
            <w:vAlign w:val="bottom"/>
            <w:hideMark/>
          </w:tcPr>
          <w:p w14:paraId="0E7AE311" w14:textId="77777777" w:rsidR="009A356E" w:rsidRPr="00C10545" w:rsidRDefault="009A356E" w:rsidP="009A356E">
            <w:pPr>
              <w:rPr>
                <w:sz w:val="18"/>
                <w:szCs w:val="18"/>
                <w:lang w:eastAsia="en-AU"/>
              </w:rPr>
            </w:pPr>
            <w:r w:rsidRPr="00C10545">
              <w:rPr>
                <w:sz w:val="18"/>
                <w:szCs w:val="18"/>
                <w:lang w:eastAsia="en-AU"/>
              </w:rPr>
              <w:t xml:space="preserve">Regional Cities </w:t>
            </w:r>
          </w:p>
        </w:tc>
        <w:tc>
          <w:tcPr>
            <w:tcW w:w="885" w:type="pct"/>
            <w:tcBorders>
              <w:top w:val="nil"/>
              <w:left w:val="nil"/>
              <w:bottom w:val="single" w:sz="4" w:space="0" w:color="auto"/>
              <w:right w:val="single" w:sz="4" w:space="0" w:color="auto"/>
            </w:tcBorders>
            <w:shd w:val="clear" w:color="auto" w:fill="auto"/>
            <w:noWrap/>
            <w:vAlign w:val="center"/>
            <w:hideMark/>
          </w:tcPr>
          <w:p w14:paraId="1B65AB7D" w14:textId="77777777" w:rsidR="009A356E" w:rsidRPr="00C10545" w:rsidRDefault="009A356E" w:rsidP="009A356E">
            <w:pPr>
              <w:jc w:val="center"/>
              <w:rPr>
                <w:color w:val="000000"/>
                <w:sz w:val="18"/>
                <w:szCs w:val="18"/>
                <w:lang w:eastAsia="en-AU"/>
              </w:rPr>
            </w:pPr>
            <w:r w:rsidRPr="00C10545">
              <w:rPr>
                <w:color w:val="000000"/>
                <w:sz w:val="18"/>
                <w:szCs w:val="18"/>
                <w:lang w:eastAsia="en-AU"/>
              </w:rPr>
              <w:t>8.9%</w:t>
            </w:r>
          </w:p>
        </w:tc>
        <w:tc>
          <w:tcPr>
            <w:tcW w:w="816" w:type="pct"/>
            <w:tcBorders>
              <w:top w:val="nil"/>
              <w:left w:val="nil"/>
              <w:bottom w:val="single" w:sz="4" w:space="0" w:color="auto"/>
              <w:right w:val="single" w:sz="4" w:space="0" w:color="auto"/>
            </w:tcBorders>
            <w:shd w:val="clear" w:color="auto" w:fill="auto"/>
            <w:noWrap/>
            <w:vAlign w:val="center"/>
            <w:hideMark/>
          </w:tcPr>
          <w:p w14:paraId="2670A99C" w14:textId="77777777" w:rsidR="009A356E" w:rsidRPr="00C10545" w:rsidRDefault="009A356E" w:rsidP="009A356E">
            <w:pPr>
              <w:jc w:val="center"/>
              <w:rPr>
                <w:color w:val="000000"/>
                <w:sz w:val="18"/>
                <w:szCs w:val="18"/>
                <w:lang w:eastAsia="en-AU"/>
              </w:rPr>
            </w:pPr>
            <w:r w:rsidRPr="00C10545">
              <w:rPr>
                <w:color w:val="000000"/>
                <w:sz w:val="18"/>
                <w:szCs w:val="18"/>
                <w:lang w:eastAsia="en-AU"/>
              </w:rPr>
              <w:t>13.50%</w:t>
            </w:r>
          </w:p>
        </w:tc>
        <w:tc>
          <w:tcPr>
            <w:tcW w:w="816" w:type="pct"/>
            <w:tcBorders>
              <w:top w:val="nil"/>
              <w:left w:val="nil"/>
              <w:bottom w:val="single" w:sz="4" w:space="0" w:color="auto"/>
              <w:right w:val="single" w:sz="4" w:space="0" w:color="auto"/>
            </w:tcBorders>
            <w:shd w:val="clear" w:color="auto" w:fill="auto"/>
            <w:noWrap/>
            <w:vAlign w:val="center"/>
            <w:hideMark/>
          </w:tcPr>
          <w:p w14:paraId="4B279F49" w14:textId="77777777" w:rsidR="009A356E" w:rsidRPr="00C10545" w:rsidRDefault="009A356E" w:rsidP="009A356E">
            <w:pPr>
              <w:jc w:val="center"/>
              <w:rPr>
                <w:color w:val="000000"/>
                <w:sz w:val="18"/>
                <w:szCs w:val="18"/>
                <w:lang w:eastAsia="en-AU"/>
              </w:rPr>
            </w:pPr>
            <w:r w:rsidRPr="00C10545">
              <w:rPr>
                <w:color w:val="000000"/>
                <w:sz w:val="18"/>
                <w:szCs w:val="18"/>
                <w:lang w:eastAsia="en-AU"/>
              </w:rPr>
              <w:t>5.40%</w:t>
            </w:r>
          </w:p>
        </w:tc>
      </w:tr>
      <w:tr w:rsidR="009A356E" w:rsidRPr="00D603EB" w14:paraId="061CCB94" w14:textId="77777777" w:rsidTr="009A356E">
        <w:trPr>
          <w:trHeight w:val="240"/>
        </w:trPr>
        <w:tc>
          <w:tcPr>
            <w:tcW w:w="2484" w:type="pct"/>
            <w:tcBorders>
              <w:top w:val="nil"/>
              <w:left w:val="single" w:sz="4" w:space="0" w:color="auto"/>
              <w:bottom w:val="single" w:sz="4" w:space="0" w:color="auto"/>
              <w:right w:val="single" w:sz="4" w:space="0" w:color="auto"/>
            </w:tcBorders>
            <w:shd w:val="clear" w:color="auto" w:fill="auto"/>
            <w:noWrap/>
            <w:vAlign w:val="bottom"/>
            <w:hideMark/>
          </w:tcPr>
          <w:p w14:paraId="5F9E440E" w14:textId="77777777" w:rsidR="009A356E" w:rsidRPr="00C10545" w:rsidRDefault="009A356E" w:rsidP="009A356E">
            <w:pPr>
              <w:rPr>
                <w:sz w:val="18"/>
                <w:szCs w:val="18"/>
                <w:lang w:eastAsia="en-AU"/>
              </w:rPr>
            </w:pPr>
            <w:r w:rsidRPr="00C10545">
              <w:rPr>
                <w:sz w:val="18"/>
                <w:szCs w:val="18"/>
                <w:lang w:eastAsia="en-AU"/>
              </w:rPr>
              <w:t>Small Shires</w:t>
            </w:r>
          </w:p>
        </w:tc>
        <w:tc>
          <w:tcPr>
            <w:tcW w:w="885" w:type="pct"/>
            <w:tcBorders>
              <w:top w:val="nil"/>
              <w:left w:val="nil"/>
              <w:bottom w:val="single" w:sz="4" w:space="0" w:color="auto"/>
              <w:right w:val="single" w:sz="4" w:space="0" w:color="auto"/>
            </w:tcBorders>
            <w:shd w:val="clear" w:color="auto" w:fill="auto"/>
            <w:noWrap/>
            <w:vAlign w:val="center"/>
            <w:hideMark/>
          </w:tcPr>
          <w:p w14:paraId="55A5C08D" w14:textId="77777777" w:rsidR="009A356E" w:rsidRPr="00C10545" w:rsidRDefault="009A356E" w:rsidP="009A356E">
            <w:pPr>
              <w:jc w:val="center"/>
              <w:rPr>
                <w:color w:val="000000"/>
                <w:sz w:val="18"/>
                <w:szCs w:val="18"/>
                <w:lang w:eastAsia="en-AU"/>
              </w:rPr>
            </w:pPr>
            <w:r w:rsidRPr="00C10545">
              <w:rPr>
                <w:color w:val="000000"/>
                <w:sz w:val="18"/>
                <w:szCs w:val="18"/>
                <w:lang w:eastAsia="en-AU"/>
              </w:rPr>
              <w:t>17.1%</w:t>
            </w:r>
          </w:p>
        </w:tc>
        <w:tc>
          <w:tcPr>
            <w:tcW w:w="816" w:type="pct"/>
            <w:tcBorders>
              <w:top w:val="nil"/>
              <w:left w:val="nil"/>
              <w:bottom w:val="single" w:sz="4" w:space="0" w:color="auto"/>
              <w:right w:val="single" w:sz="4" w:space="0" w:color="auto"/>
            </w:tcBorders>
            <w:shd w:val="clear" w:color="auto" w:fill="auto"/>
            <w:noWrap/>
            <w:vAlign w:val="center"/>
            <w:hideMark/>
          </w:tcPr>
          <w:p w14:paraId="52D8B78A" w14:textId="77777777" w:rsidR="009A356E" w:rsidRPr="00C10545" w:rsidRDefault="009A356E" w:rsidP="009A356E">
            <w:pPr>
              <w:jc w:val="center"/>
              <w:rPr>
                <w:color w:val="000000"/>
                <w:sz w:val="18"/>
                <w:szCs w:val="18"/>
                <w:lang w:eastAsia="en-AU"/>
              </w:rPr>
            </w:pPr>
            <w:r w:rsidRPr="00C10545">
              <w:rPr>
                <w:color w:val="000000"/>
                <w:sz w:val="18"/>
                <w:szCs w:val="18"/>
                <w:lang w:eastAsia="en-AU"/>
              </w:rPr>
              <w:t>27.20%</w:t>
            </w:r>
          </w:p>
        </w:tc>
        <w:tc>
          <w:tcPr>
            <w:tcW w:w="816" w:type="pct"/>
            <w:tcBorders>
              <w:top w:val="nil"/>
              <w:left w:val="nil"/>
              <w:bottom w:val="single" w:sz="4" w:space="0" w:color="auto"/>
              <w:right w:val="single" w:sz="4" w:space="0" w:color="auto"/>
            </w:tcBorders>
            <w:shd w:val="clear" w:color="auto" w:fill="auto"/>
            <w:noWrap/>
            <w:vAlign w:val="center"/>
            <w:hideMark/>
          </w:tcPr>
          <w:p w14:paraId="5F060C90" w14:textId="77777777" w:rsidR="009A356E" w:rsidRPr="00C10545" w:rsidRDefault="009A356E" w:rsidP="009A356E">
            <w:pPr>
              <w:jc w:val="center"/>
              <w:rPr>
                <w:color w:val="000000"/>
                <w:sz w:val="18"/>
                <w:szCs w:val="18"/>
                <w:lang w:eastAsia="en-AU"/>
              </w:rPr>
            </w:pPr>
            <w:r w:rsidRPr="00C10545">
              <w:rPr>
                <w:color w:val="000000"/>
                <w:sz w:val="18"/>
                <w:szCs w:val="18"/>
                <w:lang w:eastAsia="en-AU"/>
              </w:rPr>
              <w:t>2.70%</w:t>
            </w:r>
          </w:p>
        </w:tc>
      </w:tr>
      <w:tr w:rsidR="009A356E" w:rsidRPr="00D603EB" w14:paraId="5790B655" w14:textId="77777777" w:rsidTr="009A356E">
        <w:trPr>
          <w:trHeight w:val="240"/>
        </w:trPr>
        <w:tc>
          <w:tcPr>
            <w:tcW w:w="2484" w:type="pct"/>
            <w:tcBorders>
              <w:top w:val="nil"/>
              <w:left w:val="single" w:sz="4" w:space="0" w:color="auto"/>
              <w:bottom w:val="single" w:sz="4" w:space="0" w:color="auto"/>
              <w:right w:val="single" w:sz="4" w:space="0" w:color="auto"/>
            </w:tcBorders>
            <w:shd w:val="clear" w:color="000000" w:fill="000000"/>
            <w:noWrap/>
            <w:vAlign w:val="bottom"/>
            <w:hideMark/>
          </w:tcPr>
          <w:p w14:paraId="19BAA963" w14:textId="77777777" w:rsidR="009A356E" w:rsidRPr="00C10545" w:rsidRDefault="009A356E" w:rsidP="009A356E">
            <w:pPr>
              <w:rPr>
                <w:sz w:val="18"/>
                <w:szCs w:val="18"/>
                <w:lang w:eastAsia="en-AU"/>
              </w:rPr>
            </w:pPr>
            <w:r w:rsidRPr="00C10545">
              <w:rPr>
                <w:sz w:val="18"/>
                <w:szCs w:val="18"/>
                <w:lang w:eastAsia="en-AU"/>
              </w:rPr>
              <w:t> </w:t>
            </w:r>
          </w:p>
        </w:tc>
        <w:tc>
          <w:tcPr>
            <w:tcW w:w="885" w:type="pct"/>
            <w:tcBorders>
              <w:top w:val="nil"/>
              <w:left w:val="nil"/>
              <w:bottom w:val="single" w:sz="4" w:space="0" w:color="auto"/>
              <w:right w:val="single" w:sz="4" w:space="0" w:color="auto"/>
            </w:tcBorders>
            <w:shd w:val="clear" w:color="000000" w:fill="000000"/>
            <w:noWrap/>
            <w:vAlign w:val="center"/>
            <w:hideMark/>
          </w:tcPr>
          <w:p w14:paraId="2900EC6B" w14:textId="77777777" w:rsidR="009A356E" w:rsidRPr="00C10545" w:rsidRDefault="009A356E" w:rsidP="009A356E">
            <w:pPr>
              <w:jc w:val="center"/>
              <w:rPr>
                <w:color w:val="000000"/>
                <w:sz w:val="18"/>
                <w:szCs w:val="18"/>
                <w:lang w:eastAsia="en-AU"/>
              </w:rPr>
            </w:pPr>
          </w:p>
        </w:tc>
        <w:tc>
          <w:tcPr>
            <w:tcW w:w="816" w:type="pct"/>
            <w:tcBorders>
              <w:top w:val="nil"/>
              <w:left w:val="nil"/>
              <w:bottom w:val="single" w:sz="4" w:space="0" w:color="auto"/>
              <w:right w:val="single" w:sz="4" w:space="0" w:color="auto"/>
            </w:tcBorders>
            <w:shd w:val="clear" w:color="000000" w:fill="000000"/>
            <w:noWrap/>
            <w:vAlign w:val="center"/>
            <w:hideMark/>
          </w:tcPr>
          <w:p w14:paraId="237A9A37" w14:textId="77777777" w:rsidR="009A356E" w:rsidRPr="00C10545" w:rsidRDefault="009A356E" w:rsidP="009A356E">
            <w:pPr>
              <w:jc w:val="center"/>
              <w:rPr>
                <w:color w:val="000000"/>
                <w:sz w:val="18"/>
                <w:szCs w:val="18"/>
                <w:lang w:eastAsia="en-AU"/>
              </w:rPr>
            </w:pPr>
          </w:p>
        </w:tc>
        <w:tc>
          <w:tcPr>
            <w:tcW w:w="816" w:type="pct"/>
            <w:tcBorders>
              <w:top w:val="nil"/>
              <w:left w:val="nil"/>
              <w:bottom w:val="single" w:sz="4" w:space="0" w:color="auto"/>
              <w:right w:val="single" w:sz="4" w:space="0" w:color="auto"/>
            </w:tcBorders>
            <w:shd w:val="clear" w:color="000000" w:fill="000000"/>
            <w:noWrap/>
            <w:vAlign w:val="center"/>
            <w:hideMark/>
          </w:tcPr>
          <w:p w14:paraId="317B058D" w14:textId="77777777" w:rsidR="009A356E" w:rsidRPr="00C10545" w:rsidRDefault="009A356E" w:rsidP="009A356E">
            <w:pPr>
              <w:jc w:val="center"/>
              <w:rPr>
                <w:color w:val="000000"/>
                <w:sz w:val="18"/>
                <w:szCs w:val="18"/>
                <w:lang w:eastAsia="en-AU"/>
              </w:rPr>
            </w:pPr>
          </w:p>
        </w:tc>
      </w:tr>
      <w:tr w:rsidR="009A356E" w:rsidRPr="00D603EB" w14:paraId="034CD4F4" w14:textId="77777777" w:rsidTr="009A356E">
        <w:trPr>
          <w:trHeight w:val="240"/>
        </w:trPr>
        <w:tc>
          <w:tcPr>
            <w:tcW w:w="2484" w:type="pct"/>
            <w:tcBorders>
              <w:top w:val="nil"/>
              <w:left w:val="single" w:sz="4" w:space="0" w:color="auto"/>
              <w:bottom w:val="single" w:sz="4" w:space="0" w:color="auto"/>
              <w:right w:val="single" w:sz="4" w:space="0" w:color="auto"/>
            </w:tcBorders>
            <w:shd w:val="clear" w:color="000000" w:fill="92D050"/>
            <w:noWrap/>
            <w:vAlign w:val="bottom"/>
            <w:hideMark/>
          </w:tcPr>
          <w:p w14:paraId="65AFB8FD" w14:textId="77777777" w:rsidR="009A356E" w:rsidRPr="00C10545" w:rsidRDefault="009A356E" w:rsidP="009A356E">
            <w:pPr>
              <w:rPr>
                <w:sz w:val="18"/>
                <w:szCs w:val="18"/>
                <w:lang w:eastAsia="en-AU"/>
              </w:rPr>
            </w:pPr>
            <w:r w:rsidRPr="00C10545">
              <w:rPr>
                <w:sz w:val="18"/>
                <w:szCs w:val="18"/>
                <w:lang w:eastAsia="en-AU"/>
              </w:rPr>
              <w:t>Rural &amp; Regional</w:t>
            </w:r>
          </w:p>
        </w:tc>
        <w:tc>
          <w:tcPr>
            <w:tcW w:w="885" w:type="pct"/>
            <w:tcBorders>
              <w:top w:val="nil"/>
              <w:left w:val="nil"/>
              <w:bottom w:val="single" w:sz="4" w:space="0" w:color="auto"/>
              <w:right w:val="single" w:sz="4" w:space="0" w:color="auto"/>
            </w:tcBorders>
            <w:shd w:val="clear" w:color="auto" w:fill="auto"/>
            <w:noWrap/>
            <w:vAlign w:val="center"/>
            <w:hideMark/>
          </w:tcPr>
          <w:p w14:paraId="2158A125" w14:textId="77777777" w:rsidR="009A356E" w:rsidRPr="00C10545" w:rsidRDefault="009A356E" w:rsidP="009A356E">
            <w:pPr>
              <w:jc w:val="center"/>
              <w:rPr>
                <w:color w:val="000000"/>
                <w:sz w:val="18"/>
                <w:szCs w:val="18"/>
                <w:lang w:eastAsia="en-AU"/>
              </w:rPr>
            </w:pPr>
            <w:r w:rsidRPr="00C10545">
              <w:rPr>
                <w:color w:val="000000"/>
                <w:sz w:val="18"/>
                <w:szCs w:val="18"/>
                <w:lang w:eastAsia="en-AU"/>
              </w:rPr>
              <w:t>12.2%</w:t>
            </w:r>
          </w:p>
        </w:tc>
        <w:tc>
          <w:tcPr>
            <w:tcW w:w="816" w:type="pct"/>
            <w:tcBorders>
              <w:top w:val="nil"/>
              <w:left w:val="nil"/>
              <w:bottom w:val="single" w:sz="4" w:space="0" w:color="auto"/>
              <w:right w:val="single" w:sz="4" w:space="0" w:color="auto"/>
            </w:tcBorders>
            <w:shd w:val="clear" w:color="auto" w:fill="auto"/>
            <w:noWrap/>
            <w:vAlign w:val="center"/>
            <w:hideMark/>
          </w:tcPr>
          <w:p w14:paraId="602ADD1C" w14:textId="77777777" w:rsidR="009A356E" w:rsidRPr="00C10545" w:rsidRDefault="009A356E" w:rsidP="009A356E">
            <w:pPr>
              <w:jc w:val="center"/>
              <w:rPr>
                <w:color w:val="000000"/>
                <w:sz w:val="18"/>
                <w:szCs w:val="18"/>
                <w:lang w:eastAsia="en-AU"/>
              </w:rPr>
            </w:pPr>
            <w:r w:rsidRPr="00C10545">
              <w:rPr>
                <w:color w:val="000000"/>
                <w:sz w:val="18"/>
                <w:szCs w:val="18"/>
                <w:lang w:eastAsia="en-AU"/>
              </w:rPr>
              <w:t>27.20%</w:t>
            </w:r>
          </w:p>
        </w:tc>
        <w:tc>
          <w:tcPr>
            <w:tcW w:w="816" w:type="pct"/>
            <w:tcBorders>
              <w:top w:val="nil"/>
              <w:left w:val="nil"/>
              <w:bottom w:val="single" w:sz="4" w:space="0" w:color="auto"/>
              <w:right w:val="single" w:sz="4" w:space="0" w:color="auto"/>
            </w:tcBorders>
            <w:shd w:val="clear" w:color="auto" w:fill="auto"/>
            <w:noWrap/>
            <w:vAlign w:val="center"/>
            <w:hideMark/>
          </w:tcPr>
          <w:p w14:paraId="67715EC0" w14:textId="77777777" w:rsidR="009A356E" w:rsidRPr="00C10545" w:rsidRDefault="009A356E" w:rsidP="009A356E">
            <w:pPr>
              <w:jc w:val="center"/>
              <w:rPr>
                <w:color w:val="000000"/>
                <w:sz w:val="18"/>
                <w:szCs w:val="18"/>
                <w:lang w:eastAsia="en-AU"/>
              </w:rPr>
            </w:pPr>
            <w:r w:rsidRPr="00C10545">
              <w:rPr>
                <w:color w:val="000000"/>
                <w:sz w:val="18"/>
                <w:szCs w:val="18"/>
                <w:lang w:eastAsia="en-AU"/>
              </w:rPr>
              <w:t>2.70%</w:t>
            </w:r>
          </w:p>
        </w:tc>
      </w:tr>
    </w:tbl>
    <w:p w14:paraId="6EE19304" w14:textId="77777777" w:rsidR="00370D38" w:rsidRDefault="00370D38" w:rsidP="009A356E"/>
    <w:p w14:paraId="35924904" w14:textId="77777777" w:rsidR="009A356E" w:rsidRDefault="009A356E" w:rsidP="009A356E">
      <w:r>
        <w:lastRenderedPageBreak/>
        <w:t xml:space="preserve">FAGs </w:t>
      </w:r>
      <w:r w:rsidRPr="00C03DF9">
        <w:t>are allocated to councils, as far as practicable, on ful</w:t>
      </w:r>
      <w:r>
        <w:t xml:space="preserve">l horizontal equalisation basis which aims to </w:t>
      </w:r>
      <w:r w:rsidRPr="00C03DF9">
        <w:t xml:space="preserve">ensure that each council is able to function, by reasonable effort, at a standard not lower than the average standard of other </w:t>
      </w:r>
      <w:r>
        <w:t xml:space="preserve">councils – taking into account the need to provide minimum grants and the specific purpose funding received by councils. </w:t>
      </w:r>
    </w:p>
    <w:p w14:paraId="151AA7FA" w14:textId="77777777" w:rsidR="00370D38" w:rsidRDefault="00370D38" w:rsidP="009A356E"/>
    <w:p w14:paraId="4807F705" w14:textId="77777777" w:rsidR="009A356E" w:rsidRDefault="009A356E" w:rsidP="009A356E">
      <w:r>
        <w:t xml:space="preserve">An historical review of allocations shows that overall growth in FAGs more than compensated general price increases in the decade from 2000, however recent below CPI increases (including a nominal decline in 2015-16) are of concern.  Any argument that greater recent parsimony could be supported on the basis of a clawback of earlier largesse is bad public policy – previous levels of funding have fed into the decisions of councils with respect to services and asset investment.  There should be a reasonable expectation that there be no significant reductions on previous years, particularly given the FAGs quantum is insufficient to equalise council expenditures.  </w:t>
      </w:r>
    </w:p>
    <w:p w14:paraId="75CA2883" w14:textId="77777777" w:rsidR="00370D38" w:rsidRDefault="00370D38" w:rsidP="009A356E"/>
    <w:p w14:paraId="749C601E" w14:textId="77777777" w:rsidR="009A356E" w:rsidRPr="00536F48" w:rsidRDefault="009A356E" w:rsidP="009A356E">
      <w:pPr>
        <w:rPr>
          <w:b/>
          <w:sz w:val="20"/>
        </w:rPr>
      </w:pPr>
      <w:r w:rsidRPr="00536F48">
        <w:rPr>
          <w:b/>
          <w:sz w:val="20"/>
        </w:rPr>
        <w:t xml:space="preserve">Table 2:  FAGs </w:t>
      </w:r>
      <w:r>
        <w:rPr>
          <w:b/>
          <w:sz w:val="20"/>
        </w:rPr>
        <w:t xml:space="preserve">Total </w:t>
      </w:r>
      <w:r w:rsidRPr="00536F48">
        <w:rPr>
          <w:b/>
          <w:sz w:val="20"/>
        </w:rPr>
        <w:t>Allocations</w:t>
      </w:r>
      <w:r>
        <w:rPr>
          <w:b/>
          <w:sz w:val="20"/>
        </w:rPr>
        <w:t xml:space="preserve"> </w:t>
      </w:r>
      <w:r w:rsidRPr="00536F48">
        <w:rPr>
          <w:b/>
          <w:sz w:val="20"/>
        </w:rPr>
        <w:t>and Changes</w:t>
      </w:r>
    </w:p>
    <w:tbl>
      <w:tblPr>
        <w:tblW w:w="5000" w:type="pct"/>
        <w:tblLook w:val="04A0" w:firstRow="1" w:lastRow="0" w:firstColumn="1" w:lastColumn="0" w:noHBand="0" w:noVBand="1"/>
      </w:tblPr>
      <w:tblGrid>
        <w:gridCol w:w="900"/>
        <w:gridCol w:w="574"/>
        <w:gridCol w:w="574"/>
        <w:gridCol w:w="574"/>
        <w:gridCol w:w="668"/>
        <w:gridCol w:w="574"/>
        <w:gridCol w:w="668"/>
        <w:gridCol w:w="812"/>
        <w:gridCol w:w="701"/>
        <w:gridCol w:w="574"/>
        <w:gridCol w:w="668"/>
        <w:gridCol w:w="621"/>
        <w:gridCol w:w="621"/>
      </w:tblGrid>
      <w:tr w:rsidR="009A356E" w:rsidRPr="00C96EAB" w14:paraId="61178425" w14:textId="77777777" w:rsidTr="009A356E">
        <w:trPr>
          <w:trHeight w:val="1620"/>
          <w:tblHeader/>
        </w:trPr>
        <w:tc>
          <w:tcPr>
            <w:tcW w:w="523" w:type="pct"/>
            <w:tcBorders>
              <w:top w:val="single" w:sz="8" w:space="0" w:color="auto"/>
              <w:left w:val="single" w:sz="8" w:space="0" w:color="auto"/>
              <w:bottom w:val="single" w:sz="4" w:space="0" w:color="auto"/>
              <w:right w:val="nil"/>
            </w:tcBorders>
            <w:shd w:val="clear" w:color="000000" w:fill="000000"/>
            <w:noWrap/>
            <w:vAlign w:val="bottom"/>
            <w:hideMark/>
          </w:tcPr>
          <w:p w14:paraId="2E204EEB" w14:textId="77777777" w:rsidR="009A356E" w:rsidRPr="00C10545" w:rsidRDefault="009A356E" w:rsidP="009A356E">
            <w:pPr>
              <w:rPr>
                <w:color w:val="000000"/>
                <w:sz w:val="16"/>
                <w:szCs w:val="16"/>
                <w:lang w:eastAsia="en-AU"/>
              </w:rPr>
            </w:pPr>
            <w:r w:rsidRPr="00C10545">
              <w:rPr>
                <w:color w:val="000000"/>
                <w:sz w:val="16"/>
                <w:szCs w:val="16"/>
                <w:lang w:eastAsia="en-AU"/>
              </w:rPr>
              <w:t> </w:t>
            </w:r>
          </w:p>
        </w:tc>
        <w:tc>
          <w:tcPr>
            <w:tcW w:w="342" w:type="pct"/>
            <w:tcBorders>
              <w:top w:val="single" w:sz="8" w:space="0" w:color="auto"/>
              <w:left w:val="single" w:sz="8" w:space="0" w:color="auto"/>
              <w:bottom w:val="single" w:sz="4" w:space="0" w:color="auto"/>
              <w:right w:val="single" w:sz="4" w:space="0" w:color="auto"/>
            </w:tcBorders>
            <w:shd w:val="clear" w:color="000000" w:fill="F2F2F2"/>
            <w:textDirection w:val="tbRl"/>
            <w:vAlign w:val="bottom"/>
            <w:hideMark/>
          </w:tcPr>
          <w:p w14:paraId="28805621" w14:textId="77777777" w:rsidR="009A356E" w:rsidRPr="00C10545" w:rsidRDefault="009A356E" w:rsidP="009A356E">
            <w:pPr>
              <w:jc w:val="center"/>
              <w:rPr>
                <w:b/>
                <w:bCs/>
                <w:color w:val="000000"/>
                <w:sz w:val="16"/>
                <w:szCs w:val="16"/>
                <w:lang w:eastAsia="en-AU"/>
              </w:rPr>
            </w:pPr>
            <w:r w:rsidRPr="00C10545">
              <w:rPr>
                <w:b/>
                <w:bCs/>
                <w:color w:val="000000"/>
                <w:sz w:val="16"/>
                <w:szCs w:val="16"/>
                <w:lang w:eastAsia="en-AU"/>
              </w:rPr>
              <w:t>Total GPG ($m)</w:t>
            </w:r>
          </w:p>
        </w:tc>
        <w:tc>
          <w:tcPr>
            <w:tcW w:w="342" w:type="pct"/>
            <w:tcBorders>
              <w:top w:val="single" w:sz="8" w:space="0" w:color="auto"/>
              <w:left w:val="nil"/>
              <w:bottom w:val="single" w:sz="4" w:space="0" w:color="auto"/>
              <w:right w:val="single" w:sz="4" w:space="0" w:color="auto"/>
            </w:tcBorders>
            <w:shd w:val="clear" w:color="000000" w:fill="D9D9D9"/>
            <w:textDirection w:val="tbRl"/>
            <w:vAlign w:val="bottom"/>
            <w:hideMark/>
          </w:tcPr>
          <w:p w14:paraId="5E74F1C6" w14:textId="77777777" w:rsidR="009A356E" w:rsidRPr="00C10545" w:rsidRDefault="009A356E" w:rsidP="009A356E">
            <w:pPr>
              <w:jc w:val="center"/>
              <w:rPr>
                <w:b/>
                <w:bCs/>
                <w:color w:val="000000"/>
                <w:sz w:val="16"/>
                <w:szCs w:val="16"/>
                <w:lang w:eastAsia="en-AU"/>
              </w:rPr>
            </w:pPr>
            <w:r w:rsidRPr="00C10545">
              <w:rPr>
                <w:b/>
                <w:bCs/>
                <w:color w:val="000000"/>
                <w:sz w:val="16"/>
                <w:szCs w:val="16"/>
                <w:lang w:eastAsia="en-AU"/>
              </w:rPr>
              <w:t>Total LRF ($m)</w:t>
            </w:r>
          </w:p>
        </w:tc>
        <w:tc>
          <w:tcPr>
            <w:tcW w:w="342" w:type="pct"/>
            <w:tcBorders>
              <w:top w:val="single" w:sz="8" w:space="0" w:color="auto"/>
              <w:left w:val="nil"/>
              <w:bottom w:val="single" w:sz="4" w:space="0" w:color="auto"/>
              <w:right w:val="single" w:sz="4" w:space="0" w:color="auto"/>
            </w:tcBorders>
            <w:shd w:val="clear" w:color="000000" w:fill="BFBFBF"/>
            <w:textDirection w:val="tbRl"/>
            <w:vAlign w:val="bottom"/>
            <w:hideMark/>
          </w:tcPr>
          <w:p w14:paraId="476C2533" w14:textId="77777777" w:rsidR="009A356E" w:rsidRPr="00C10545" w:rsidRDefault="009A356E" w:rsidP="009A356E">
            <w:pPr>
              <w:jc w:val="center"/>
              <w:rPr>
                <w:b/>
                <w:bCs/>
                <w:color w:val="000000"/>
                <w:sz w:val="16"/>
                <w:szCs w:val="16"/>
                <w:lang w:eastAsia="en-AU"/>
              </w:rPr>
            </w:pPr>
            <w:r w:rsidRPr="00C10545">
              <w:rPr>
                <w:b/>
                <w:bCs/>
                <w:color w:val="000000"/>
                <w:sz w:val="16"/>
                <w:szCs w:val="16"/>
                <w:lang w:eastAsia="en-AU"/>
              </w:rPr>
              <w:t>Total FAGs ($m)</w:t>
            </w:r>
          </w:p>
        </w:tc>
        <w:tc>
          <w:tcPr>
            <w:tcW w:w="374" w:type="pct"/>
            <w:tcBorders>
              <w:top w:val="single" w:sz="8" w:space="0" w:color="auto"/>
              <w:left w:val="nil"/>
              <w:bottom w:val="single" w:sz="4" w:space="0" w:color="auto"/>
              <w:right w:val="single" w:sz="8" w:space="0" w:color="auto"/>
            </w:tcBorders>
            <w:shd w:val="clear" w:color="000000" w:fill="BFBFBF"/>
            <w:textDirection w:val="tbRl"/>
            <w:vAlign w:val="center"/>
            <w:hideMark/>
          </w:tcPr>
          <w:p w14:paraId="1ADC016D" w14:textId="77777777" w:rsidR="009A356E" w:rsidRPr="00C10545" w:rsidRDefault="009A356E" w:rsidP="009A356E">
            <w:pPr>
              <w:jc w:val="center"/>
              <w:rPr>
                <w:b/>
                <w:bCs/>
                <w:color w:val="000000"/>
                <w:sz w:val="16"/>
                <w:szCs w:val="16"/>
                <w:lang w:eastAsia="en-AU"/>
              </w:rPr>
            </w:pPr>
            <w:r w:rsidRPr="00C10545">
              <w:rPr>
                <w:b/>
                <w:bCs/>
                <w:color w:val="000000"/>
                <w:sz w:val="16"/>
                <w:szCs w:val="16"/>
                <w:lang w:eastAsia="en-AU"/>
              </w:rPr>
              <w:t>% Change</w:t>
            </w:r>
          </w:p>
        </w:tc>
        <w:tc>
          <w:tcPr>
            <w:tcW w:w="342" w:type="pct"/>
            <w:tcBorders>
              <w:top w:val="single" w:sz="8" w:space="0" w:color="auto"/>
              <w:left w:val="nil"/>
              <w:bottom w:val="single" w:sz="4" w:space="0" w:color="auto"/>
              <w:right w:val="single" w:sz="4" w:space="0" w:color="auto"/>
            </w:tcBorders>
            <w:shd w:val="clear" w:color="000000" w:fill="F2F2F2"/>
            <w:textDirection w:val="tbRl"/>
            <w:vAlign w:val="bottom"/>
            <w:hideMark/>
          </w:tcPr>
          <w:p w14:paraId="052F7BA8" w14:textId="77777777" w:rsidR="009A356E" w:rsidRPr="00C10545" w:rsidRDefault="009A356E" w:rsidP="009A356E">
            <w:pPr>
              <w:jc w:val="center"/>
              <w:rPr>
                <w:b/>
                <w:bCs/>
                <w:color w:val="000000"/>
                <w:sz w:val="16"/>
                <w:szCs w:val="16"/>
                <w:lang w:eastAsia="en-AU"/>
              </w:rPr>
            </w:pPr>
            <w:r w:rsidRPr="00C10545">
              <w:rPr>
                <w:b/>
                <w:bCs/>
                <w:color w:val="000000"/>
                <w:sz w:val="16"/>
                <w:szCs w:val="16"/>
                <w:lang w:eastAsia="en-AU"/>
              </w:rPr>
              <w:t>GPG per Head ($)</w:t>
            </w:r>
          </w:p>
        </w:tc>
        <w:tc>
          <w:tcPr>
            <w:tcW w:w="374" w:type="pct"/>
            <w:tcBorders>
              <w:top w:val="single" w:sz="8" w:space="0" w:color="auto"/>
              <w:left w:val="nil"/>
              <w:bottom w:val="single" w:sz="4" w:space="0" w:color="auto"/>
              <w:right w:val="single" w:sz="8" w:space="0" w:color="auto"/>
            </w:tcBorders>
            <w:shd w:val="clear" w:color="000000" w:fill="F2F2F2"/>
            <w:textDirection w:val="tbRl"/>
            <w:vAlign w:val="center"/>
            <w:hideMark/>
          </w:tcPr>
          <w:p w14:paraId="09A79355" w14:textId="77777777" w:rsidR="009A356E" w:rsidRPr="00C10545" w:rsidRDefault="009A356E" w:rsidP="009A356E">
            <w:pPr>
              <w:jc w:val="center"/>
              <w:rPr>
                <w:b/>
                <w:bCs/>
                <w:color w:val="000000"/>
                <w:sz w:val="16"/>
                <w:szCs w:val="16"/>
                <w:lang w:eastAsia="en-AU"/>
              </w:rPr>
            </w:pPr>
            <w:r w:rsidRPr="00C10545">
              <w:rPr>
                <w:b/>
                <w:bCs/>
                <w:color w:val="000000"/>
                <w:sz w:val="16"/>
                <w:szCs w:val="16"/>
                <w:lang w:eastAsia="en-AU"/>
              </w:rPr>
              <w:t>% Change</w:t>
            </w:r>
          </w:p>
        </w:tc>
        <w:tc>
          <w:tcPr>
            <w:tcW w:w="475" w:type="pct"/>
            <w:tcBorders>
              <w:top w:val="single" w:sz="8" w:space="0" w:color="auto"/>
              <w:left w:val="nil"/>
              <w:bottom w:val="single" w:sz="4" w:space="0" w:color="auto"/>
              <w:right w:val="single" w:sz="4" w:space="0" w:color="auto"/>
            </w:tcBorders>
            <w:shd w:val="clear" w:color="000000" w:fill="D9D9D9"/>
            <w:textDirection w:val="tbRl"/>
            <w:vAlign w:val="bottom"/>
            <w:hideMark/>
          </w:tcPr>
          <w:p w14:paraId="7CCBD94D" w14:textId="77777777" w:rsidR="009A356E" w:rsidRPr="00C10545" w:rsidRDefault="009A356E" w:rsidP="009A356E">
            <w:pPr>
              <w:jc w:val="center"/>
              <w:rPr>
                <w:b/>
                <w:bCs/>
                <w:color w:val="000000"/>
                <w:sz w:val="16"/>
                <w:szCs w:val="16"/>
                <w:lang w:eastAsia="en-AU"/>
              </w:rPr>
            </w:pPr>
            <w:r w:rsidRPr="00C10545">
              <w:rPr>
                <w:b/>
                <w:bCs/>
                <w:color w:val="000000"/>
                <w:sz w:val="16"/>
                <w:szCs w:val="16"/>
                <w:lang w:eastAsia="en-AU"/>
              </w:rPr>
              <w:t>LRF Per Km ($)</w:t>
            </w:r>
          </w:p>
        </w:tc>
        <w:tc>
          <w:tcPr>
            <w:tcW w:w="422" w:type="pct"/>
            <w:tcBorders>
              <w:top w:val="single" w:sz="8" w:space="0" w:color="auto"/>
              <w:left w:val="nil"/>
              <w:bottom w:val="single" w:sz="4" w:space="0" w:color="auto"/>
              <w:right w:val="single" w:sz="8" w:space="0" w:color="auto"/>
            </w:tcBorders>
            <w:shd w:val="clear" w:color="000000" w:fill="D9D9D9"/>
            <w:textDirection w:val="tbRl"/>
            <w:vAlign w:val="center"/>
            <w:hideMark/>
          </w:tcPr>
          <w:p w14:paraId="335C4C5E" w14:textId="77777777" w:rsidR="009A356E" w:rsidRPr="00C10545" w:rsidRDefault="009A356E" w:rsidP="009A356E">
            <w:pPr>
              <w:jc w:val="center"/>
              <w:rPr>
                <w:b/>
                <w:bCs/>
                <w:color w:val="000000"/>
                <w:sz w:val="16"/>
                <w:szCs w:val="16"/>
                <w:lang w:eastAsia="en-AU"/>
              </w:rPr>
            </w:pPr>
            <w:r w:rsidRPr="00C10545">
              <w:rPr>
                <w:b/>
                <w:bCs/>
                <w:color w:val="000000"/>
                <w:sz w:val="16"/>
                <w:szCs w:val="16"/>
                <w:lang w:eastAsia="en-AU"/>
              </w:rPr>
              <w:t>% Change</w:t>
            </w:r>
          </w:p>
        </w:tc>
        <w:tc>
          <w:tcPr>
            <w:tcW w:w="342" w:type="pct"/>
            <w:tcBorders>
              <w:top w:val="single" w:sz="8" w:space="0" w:color="auto"/>
              <w:left w:val="nil"/>
              <w:bottom w:val="single" w:sz="4" w:space="0" w:color="auto"/>
              <w:right w:val="single" w:sz="4" w:space="0" w:color="auto"/>
            </w:tcBorders>
            <w:shd w:val="clear" w:color="000000" w:fill="BFBFBF"/>
            <w:textDirection w:val="tbRl"/>
            <w:vAlign w:val="bottom"/>
            <w:hideMark/>
          </w:tcPr>
          <w:p w14:paraId="76EA937A" w14:textId="77777777" w:rsidR="009A356E" w:rsidRPr="00C10545" w:rsidRDefault="009A356E" w:rsidP="009A356E">
            <w:pPr>
              <w:jc w:val="center"/>
              <w:rPr>
                <w:b/>
                <w:bCs/>
                <w:color w:val="000000"/>
                <w:sz w:val="16"/>
                <w:szCs w:val="16"/>
                <w:lang w:eastAsia="en-AU"/>
              </w:rPr>
            </w:pPr>
            <w:r w:rsidRPr="00C10545">
              <w:rPr>
                <w:b/>
                <w:bCs/>
                <w:color w:val="000000"/>
                <w:sz w:val="16"/>
                <w:szCs w:val="16"/>
                <w:lang w:eastAsia="en-AU"/>
              </w:rPr>
              <w:t>FAGs per Head ($)</w:t>
            </w:r>
          </w:p>
        </w:tc>
        <w:tc>
          <w:tcPr>
            <w:tcW w:w="374" w:type="pct"/>
            <w:tcBorders>
              <w:top w:val="single" w:sz="8" w:space="0" w:color="auto"/>
              <w:left w:val="nil"/>
              <w:bottom w:val="single" w:sz="4" w:space="0" w:color="auto"/>
              <w:right w:val="single" w:sz="8" w:space="0" w:color="auto"/>
            </w:tcBorders>
            <w:shd w:val="clear" w:color="000000" w:fill="BFBFBF"/>
            <w:textDirection w:val="tbRl"/>
            <w:vAlign w:val="center"/>
            <w:hideMark/>
          </w:tcPr>
          <w:p w14:paraId="2028ADA7" w14:textId="77777777" w:rsidR="009A356E" w:rsidRPr="00C10545" w:rsidRDefault="009A356E" w:rsidP="009A356E">
            <w:pPr>
              <w:jc w:val="center"/>
              <w:rPr>
                <w:b/>
                <w:bCs/>
                <w:color w:val="000000"/>
                <w:sz w:val="16"/>
                <w:szCs w:val="16"/>
                <w:lang w:eastAsia="en-AU"/>
              </w:rPr>
            </w:pPr>
            <w:r w:rsidRPr="00C10545">
              <w:rPr>
                <w:b/>
                <w:bCs/>
                <w:color w:val="000000"/>
                <w:sz w:val="16"/>
                <w:szCs w:val="16"/>
                <w:lang w:eastAsia="en-AU"/>
              </w:rPr>
              <w:t>% Change</w:t>
            </w:r>
          </w:p>
        </w:tc>
        <w:tc>
          <w:tcPr>
            <w:tcW w:w="374" w:type="pct"/>
            <w:tcBorders>
              <w:top w:val="single" w:sz="8" w:space="0" w:color="auto"/>
              <w:left w:val="nil"/>
              <w:bottom w:val="single" w:sz="4" w:space="0" w:color="auto"/>
              <w:right w:val="single" w:sz="4" w:space="0" w:color="auto"/>
            </w:tcBorders>
            <w:shd w:val="clear" w:color="000000" w:fill="95B3D7"/>
            <w:noWrap/>
            <w:textDirection w:val="tbRl"/>
            <w:vAlign w:val="center"/>
            <w:hideMark/>
          </w:tcPr>
          <w:p w14:paraId="539A9C95" w14:textId="77777777" w:rsidR="009A356E" w:rsidRPr="00C10545" w:rsidRDefault="009A356E" w:rsidP="009A356E">
            <w:pPr>
              <w:jc w:val="center"/>
              <w:rPr>
                <w:b/>
                <w:bCs/>
                <w:color w:val="000000"/>
                <w:sz w:val="16"/>
                <w:szCs w:val="16"/>
                <w:lang w:eastAsia="en-AU"/>
              </w:rPr>
            </w:pPr>
            <w:r w:rsidRPr="00C10545">
              <w:rPr>
                <w:b/>
                <w:bCs/>
                <w:color w:val="000000"/>
                <w:sz w:val="16"/>
                <w:szCs w:val="16"/>
                <w:lang w:eastAsia="en-AU"/>
              </w:rPr>
              <w:t>CPI</w:t>
            </w:r>
          </w:p>
        </w:tc>
        <w:tc>
          <w:tcPr>
            <w:tcW w:w="374" w:type="pct"/>
            <w:tcBorders>
              <w:top w:val="single" w:sz="8" w:space="0" w:color="auto"/>
              <w:left w:val="nil"/>
              <w:bottom w:val="nil"/>
              <w:right w:val="single" w:sz="8" w:space="0" w:color="auto"/>
            </w:tcBorders>
            <w:shd w:val="clear" w:color="000000" w:fill="00B0F0"/>
            <w:noWrap/>
            <w:textDirection w:val="tbRl"/>
            <w:vAlign w:val="center"/>
            <w:hideMark/>
          </w:tcPr>
          <w:p w14:paraId="6D75F3D1" w14:textId="77777777" w:rsidR="009A356E" w:rsidRPr="00C10545" w:rsidRDefault="009A356E" w:rsidP="009A356E">
            <w:pPr>
              <w:jc w:val="center"/>
              <w:rPr>
                <w:b/>
                <w:bCs/>
                <w:color w:val="000000"/>
                <w:sz w:val="16"/>
                <w:szCs w:val="16"/>
                <w:lang w:eastAsia="en-AU"/>
              </w:rPr>
            </w:pPr>
            <w:r w:rsidRPr="00C10545">
              <w:rPr>
                <w:b/>
                <w:bCs/>
                <w:color w:val="000000"/>
                <w:sz w:val="16"/>
                <w:szCs w:val="16"/>
                <w:lang w:eastAsia="en-AU"/>
              </w:rPr>
              <w:t>60% CPI/40% WPI</w:t>
            </w:r>
          </w:p>
        </w:tc>
      </w:tr>
      <w:tr w:rsidR="009A356E" w:rsidRPr="00C96EAB" w14:paraId="2D7C0434" w14:textId="77777777" w:rsidTr="009A356E">
        <w:trPr>
          <w:trHeight w:val="645"/>
        </w:trPr>
        <w:tc>
          <w:tcPr>
            <w:tcW w:w="523" w:type="pct"/>
            <w:tcBorders>
              <w:top w:val="nil"/>
              <w:left w:val="single" w:sz="8" w:space="0" w:color="auto"/>
              <w:bottom w:val="single" w:sz="4" w:space="0" w:color="auto"/>
              <w:right w:val="nil"/>
            </w:tcBorders>
            <w:shd w:val="clear" w:color="000000" w:fill="DAEEF3"/>
            <w:vAlign w:val="bottom"/>
            <w:hideMark/>
          </w:tcPr>
          <w:p w14:paraId="5E357CF2" w14:textId="77777777" w:rsidR="009A356E" w:rsidRPr="00C10545" w:rsidRDefault="009A356E" w:rsidP="009A356E">
            <w:pPr>
              <w:rPr>
                <w:b/>
                <w:bCs/>
                <w:color w:val="000000"/>
                <w:sz w:val="16"/>
                <w:szCs w:val="16"/>
                <w:lang w:eastAsia="en-AU"/>
              </w:rPr>
            </w:pPr>
            <w:r w:rsidRPr="00C10545">
              <w:rPr>
                <w:b/>
                <w:bCs/>
                <w:color w:val="000000"/>
                <w:sz w:val="16"/>
                <w:szCs w:val="16"/>
                <w:lang w:eastAsia="en-AU"/>
              </w:rPr>
              <w:t>All Councils</w:t>
            </w:r>
          </w:p>
        </w:tc>
        <w:tc>
          <w:tcPr>
            <w:tcW w:w="342" w:type="pct"/>
            <w:tcBorders>
              <w:top w:val="nil"/>
              <w:left w:val="single" w:sz="8" w:space="0" w:color="auto"/>
              <w:bottom w:val="single" w:sz="4" w:space="0" w:color="auto"/>
              <w:right w:val="single" w:sz="4" w:space="0" w:color="auto"/>
            </w:tcBorders>
            <w:shd w:val="clear" w:color="000000" w:fill="000000"/>
            <w:noWrap/>
            <w:vAlign w:val="bottom"/>
            <w:hideMark/>
          </w:tcPr>
          <w:p w14:paraId="45073345" w14:textId="77777777" w:rsidR="009A356E" w:rsidRPr="00C10545" w:rsidRDefault="009A356E" w:rsidP="009A356E">
            <w:pPr>
              <w:rPr>
                <w:color w:val="000000"/>
                <w:sz w:val="16"/>
                <w:szCs w:val="16"/>
                <w:lang w:eastAsia="en-AU"/>
              </w:rPr>
            </w:pPr>
            <w:r w:rsidRPr="00C10545">
              <w:rPr>
                <w:color w:val="000000"/>
                <w:sz w:val="16"/>
                <w:szCs w:val="16"/>
                <w:lang w:eastAsia="en-AU"/>
              </w:rPr>
              <w:t> </w:t>
            </w:r>
          </w:p>
        </w:tc>
        <w:tc>
          <w:tcPr>
            <w:tcW w:w="342" w:type="pct"/>
            <w:tcBorders>
              <w:top w:val="nil"/>
              <w:left w:val="nil"/>
              <w:bottom w:val="single" w:sz="4" w:space="0" w:color="auto"/>
              <w:right w:val="single" w:sz="4" w:space="0" w:color="auto"/>
            </w:tcBorders>
            <w:shd w:val="clear" w:color="000000" w:fill="000000"/>
            <w:noWrap/>
            <w:vAlign w:val="bottom"/>
            <w:hideMark/>
          </w:tcPr>
          <w:p w14:paraId="4046B25C" w14:textId="77777777" w:rsidR="009A356E" w:rsidRPr="00C10545" w:rsidRDefault="009A356E" w:rsidP="009A356E">
            <w:pPr>
              <w:rPr>
                <w:color w:val="000000"/>
                <w:sz w:val="16"/>
                <w:szCs w:val="16"/>
                <w:lang w:eastAsia="en-AU"/>
              </w:rPr>
            </w:pPr>
            <w:r w:rsidRPr="00C10545">
              <w:rPr>
                <w:color w:val="000000"/>
                <w:sz w:val="16"/>
                <w:szCs w:val="16"/>
                <w:lang w:eastAsia="en-AU"/>
              </w:rPr>
              <w:t> </w:t>
            </w:r>
          </w:p>
        </w:tc>
        <w:tc>
          <w:tcPr>
            <w:tcW w:w="342" w:type="pct"/>
            <w:tcBorders>
              <w:top w:val="nil"/>
              <w:left w:val="nil"/>
              <w:bottom w:val="single" w:sz="4" w:space="0" w:color="auto"/>
              <w:right w:val="single" w:sz="4" w:space="0" w:color="auto"/>
            </w:tcBorders>
            <w:shd w:val="clear" w:color="000000" w:fill="000000"/>
            <w:noWrap/>
            <w:vAlign w:val="bottom"/>
            <w:hideMark/>
          </w:tcPr>
          <w:p w14:paraId="73355A85" w14:textId="77777777" w:rsidR="009A356E" w:rsidRPr="00C10545" w:rsidRDefault="009A356E" w:rsidP="009A356E">
            <w:pPr>
              <w:rPr>
                <w:color w:val="000000"/>
                <w:sz w:val="16"/>
                <w:szCs w:val="16"/>
                <w:lang w:eastAsia="en-AU"/>
              </w:rPr>
            </w:pPr>
            <w:r w:rsidRPr="00C10545">
              <w:rPr>
                <w:color w:val="000000"/>
                <w:sz w:val="16"/>
                <w:szCs w:val="16"/>
                <w:lang w:eastAsia="en-AU"/>
              </w:rPr>
              <w:t> </w:t>
            </w:r>
          </w:p>
        </w:tc>
        <w:tc>
          <w:tcPr>
            <w:tcW w:w="374" w:type="pct"/>
            <w:tcBorders>
              <w:top w:val="nil"/>
              <w:left w:val="nil"/>
              <w:bottom w:val="single" w:sz="4" w:space="0" w:color="auto"/>
              <w:right w:val="single" w:sz="8" w:space="0" w:color="auto"/>
            </w:tcBorders>
            <w:shd w:val="clear" w:color="000000" w:fill="000000"/>
            <w:noWrap/>
            <w:vAlign w:val="bottom"/>
            <w:hideMark/>
          </w:tcPr>
          <w:p w14:paraId="60DE9E1F" w14:textId="77777777" w:rsidR="009A356E" w:rsidRPr="00C10545" w:rsidRDefault="009A356E" w:rsidP="009A356E">
            <w:pPr>
              <w:rPr>
                <w:color w:val="000000"/>
                <w:sz w:val="16"/>
                <w:szCs w:val="16"/>
                <w:lang w:eastAsia="en-AU"/>
              </w:rPr>
            </w:pPr>
            <w:r w:rsidRPr="00C10545">
              <w:rPr>
                <w:color w:val="000000"/>
                <w:sz w:val="16"/>
                <w:szCs w:val="16"/>
                <w:lang w:eastAsia="en-AU"/>
              </w:rPr>
              <w:t> </w:t>
            </w:r>
          </w:p>
        </w:tc>
        <w:tc>
          <w:tcPr>
            <w:tcW w:w="342" w:type="pct"/>
            <w:tcBorders>
              <w:top w:val="nil"/>
              <w:left w:val="nil"/>
              <w:bottom w:val="single" w:sz="4" w:space="0" w:color="auto"/>
              <w:right w:val="single" w:sz="4" w:space="0" w:color="auto"/>
            </w:tcBorders>
            <w:shd w:val="clear" w:color="000000" w:fill="000000"/>
            <w:noWrap/>
            <w:vAlign w:val="bottom"/>
            <w:hideMark/>
          </w:tcPr>
          <w:p w14:paraId="5764E433" w14:textId="77777777" w:rsidR="009A356E" w:rsidRPr="00C10545" w:rsidRDefault="009A356E" w:rsidP="009A356E">
            <w:pPr>
              <w:rPr>
                <w:color w:val="000000"/>
                <w:sz w:val="16"/>
                <w:szCs w:val="16"/>
                <w:lang w:eastAsia="en-AU"/>
              </w:rPr>
            </w:pPr>
            <w:r w:rsidRPr="00C10545">
              <w:rPr>
                <w:color w:val="000000"/>
                <w:sz w:val="16"/>
                <w:szCs w:val="16"/>
                <w:lang w:eastAsia="en-AU"/>
              </w:rPr>
              <w:t> </w:t>
            </w:r>
          </w:p>
        </w:tc>
        <w:tc>
          <w:tcPr>
            <w:tcW w:w="374" w:type="pct"/>
            <w:tcBorders>
              <w:top w:val="nil"/>
              <w:left w:val="nil"/>
              <w:bottom w:val="single" w:sz="4" w:space="0" w:color="auto"/>
              <w:right w:val="single" w:sz="8" w:space="0" w:color="auto"/>
            </w:tcBorders>
            <w:shd w:val="clear" w:color="000000" w:fill="000000"/>
            <w:noWrap/>
            <w:vAlign w:val="bottom"/>
            <w:hideMark/>
          </w:tcPr>
          <w:p w14:paraId="549369AB" w14:textId="77777777" w:rsidR="009A356E" w:rsidRPr="00C10545" w:rsidRDefault="009A356E" w:rsidP="009A356E">
            <w:pPr>
              <w:rPr>
                <w:color w:val="000000"/>
                <w:sz w:val="16"/>
                <w:szCs w:val="16"/>
                <w:lang w:eastAsia="en-AU"/>
              </w:rPr>
            </w:pPr>
            <w:r w:rsidRPr="00C10545">
              <w:rPr>
                <w:color w:val="000000"/>
                <w:sz w:val="16"/>
                <w:szCs w:val="16"/>
                <w:lang w:eastAsia="en-AU"/>
              </w:rPr>
              <w:t> </w:t>
            </w:r>
          </w:p>
        </w:tc>
        <w:tc>
          <w:tcPr>
            <w:tcW w:w="475" w:type="pct"/>
            <w:tcBorders>
              <w:top w:val="nil"/>
              <w:left w:val="nil"/>
              <w:bottom w:val="single" w:sz="4" w:space="0" w:color="auto"/>
              <w:right w:val="single" w:sz="4" w:space="0" w:color="auto"/>
            </w:tcBorders>
            <w:shd w:val="clear" w:color="000000" w:fill="000000"/>
            <w:noWrap/>
            <w:vAlign w:val="bottom"/>
            <w:hideMark/>
          </w:tcPr>
          <w:p w14:paraId="3649A99A" w14:textId="77777777" w:rsidR="009A356E" w:rsidRPr="00C10545" w:rsidRDefault="009A356E" w:rsidP="009A356E">
            <w:pPr>
              <w:rPr>
                <w:color w:val="000000"/>
                <w:sz w:val="16"/>
                <w:szCs w:val="16"/>
                <w:lang w:eastAsia="en-AU"/>
              </w:rPr>
            </w:pPr>
            <w:r w:rsidRPr="00C10545">
              <w:rPr>
                <w:color w:val="000000"/>
                <w:sz w:val="16"/>
                <w:szCs w:val="16"/>
                <w:lang w:eastAsia="en-AU"/>
              </w:rPr>
              <w:t> </w:t>
            </w:r>
          </w:p>
        </w:tc>
        <w:tc>
          <w:tcPr>
            <w:tcW w:w="422" w:type="pct"/>
            <w:tcBorders>
              <w:top w:val="nil"/>
              <w:left w:val="nil"/>
              <w:bottom w:val="single" w:sz="4" w:space="0" w:color="auto"/>
              <w:right w:val="single" w:sz="8" w:space="0" w:color="auto"/>
            </w:tcBorders>
            <w:shd w:val="clear" w:color="000000" w:fill="000000"/>
            <w:noWrap/>
            <w:vAlign w:val="bottom"/>
            <w:hideMark/>
          </w:tcPr>
          <w:p w14:paraId="42FC42AD" w14:textId="77777777" w:rsidR="009A356E" w:rsidRPr="00C10545" w:rsidRDefault="009A356E" w:rsidP="009A356E">
            <w:pPr>
              <w:rPr>
                <w:color w:val="000000"/>
                <w:sz w:val="16"/>
                <w:szCs w:val="16"/>
                <w:lang w:eastAsia="en-AU"/>
              </w:rPr>
            </w:pPr>
            <w:r w:rsidRPr="00C10545">
              <w:rPr>
                <w:color w:val="000000"/>
                <w:sz w:val="16"/>
                <w:szCs w:val="16"/>
                <w:lang w:eastAsia="en-AU"/>
              </w:rPr>
              <w:t> </w:t>
            </w:r>
          </w:p>
        </w:tc>
        <w:tc>
          <w:tcPr>
            <w:tcW w:w="342" w:type="pct"/>
            <w:tcBorders>
              <w:top w:val="nil"/>
              <w:left w:val="nil"/>
              <w:bottom w:val="single" w:sz="4" w:space="0" w:color="auto"/>
              <w:right w:val="single" w:sz="4" w:space="0" w:color="auto"/>
            </w:tcBorders>
            <w:shd w:val="clear" w:color="000000" w:fill="000000"/>
            <w:noWrap/>
            <w:vAlign w:val="bottom"/>
            <w:hideMark/>
          </w:tcPr>
          <w:p w14:paraId="6296B67F" w14:textId="77777777" w:rsidR="009A356E" w:rsidRPr="00C10545" w:rsidRDefault="009A356E" w:rsidP="009A356E">
            <w:pPr>
              <w:rPr>
                <w:color w:val="000000"/>
                <w:sz w:val="16"/>
                <w:szCs w:val="16"/>
                <w:lang w:eastAsia="en-AU"/>
              </w:rPr>
            </w:pPr>
            <w:r w:rsidRPr="00C10545">
              <w:rPr>
                <w:color w:val="000000"/>
                <w:sz w:val="16"/>
                <w:szCs w:val="16"/>
                <w:lang w:eastAsia="en-AU"/>
              </w:rPr>
              <w:t> </w:t>
            </w:r>
          </w:p>
        </w:tc>
        <w:tc>
          <w:tcPr>
            <w:tcW w:w="374" w:type="pct"/>
            <w:tcBorders>
              <w:top w:val="nil"/>
              <w:left w:val="nil"/>
              <w:bottom w:val="single" w:sz="4" w:space="0" w:color="auto"/>
              <w:right w:val="single" w:sz="8" w:space="0" w:color="auto"/>
            </w:tcBorders>
            <w:shd w:val="clear" w:color="000000" w:fill="000000"/>
            <w:noWrap/>
            <w:vAlign w:val="bottom"/>
            <w:hideMark/>
          </w:tcPr>
          <w:p w14:paraId="4AE40333" w14:textId="77777777" w:rsidR="009A356E" w:rsidRPr="00C10545" w:rsidRDefault="009A356E" w:rsidP="009A356E">
            <w:pPr>
              <w:rPr>
                <w:color w:val="000000"/>
                <w:sz w:val="16"/>
                <w:szCs w:val="16"/>
                <w:lang w:eastAsia="en-AU"/>
              </w:rPr>
            </w:pPr>
            <w:r w:rsidRPr="00C10545">
              <w:rPr>
                <w:color w:val="000000"/>
                <w:sz w:val="16"/>
                <w:szCs w:val="16"/>
                <w:lang w:eastAsia="en-AU"/>
              </w:rPr>
              <w:t> </w:t>
            </w:r>
          </w:p>
        </w:tc>
        <w:tc>
          <w:tcPr>
            <w:tcW w:w="374" w:type="pct"/>
            <w:tcBorders>
              <w:top w:val="nil"/>
              <w:left w:val="nil"/>
              <w:bottom w:val="single" w:sz="4" w:space="0" w:color="auto"/>
              <w:right w:val="single" w:sz="4" w:space="0" w:color="auto"/>
            </w:tcBorders>
            <w:shd w:val="clear" w:color="000000" w:fill="000000"/>
            <w:noWrap/>
            <w:vAlign w:val="bottom"/>
            <w:hideMark/>
          </w:tcPr>
          <w:p w14:paraId="285B85EF" w14:textId="77777777" w:rsidR="009A356E" w:rsidRPr="00C10545" w:rsidRDefault="009A356E" w:rsidP="009A356E">
            <w:pPr>
              <w:rPr>
                <w:color w:val="000000"/>
                <w:sz w:val="16"/>
                <w:szCs w:val="16"/>
                <w:lang w:eastAsia="en-AU"/>
              </w:rPr>
            </w:pPr>
            <w:r w:rsidRPr="00C10545">
              <w:rPr>
                <w:color w:val="000000"/>
                <w:sz w:val="16"/>
                <w:szCs w:val="16"/>
                <w:lang w:eastAsia="en-AU"/>
              </w:rPr>
              <w:t> </w:t>
            </w:r>
          </w:p>
        </w:tc>
        <w:tc>
          <w:tcPr>
            <w:tcW w:w="374" w:type="pct"/>
            <w:tcBorders>
              <w:top w:val="nil"/>
              <w:left w:val="nil"/>
              <w:bottom w:val="nil"/>
              <w:right w:val="single" w:sz="8" w:space="0" w:color="auto"/>
            </w:tcBorders>
            <w:shd w:val="clear" w:color="000000" w:fill="000000"/>
            <w:noWrap/>
            <w:vAlign w:val="bottom"/>
            <w:hideMark/>
          </w:tcPr>
          <w:p w14:paraId="5A2DE376" w14:textId="77777777" w:rsidR="009A356E" w:rsidRPr="00C10545" w:rsidRDefault="009A356E" w:rsidP="009A356E">
            <w:pPr>
              <w:rPr>
                <w:color w:val="000000"/>
                <w:sz w:val="16"/>
                <w:szCs w:val="16"/>
                <w:lang w:eastAsia="en-AU"/>
              </w:rPr>
            </w:pPr>
            <w:r w:rsidRPr="00C10545">
              <w:rPr>
                <w:color w:val="000000"/>
                <w:sz w:val="16"/>
                <w:szCs w:val="16"/>
                <w:lang w:eastAsia="en-AU"/>
              </w:rPr>
              <w:t> </w:t>
            </w:r>
          </w:p>
        </w:tc>
      </w:tr>
      <w:tr w:rsidR="009A356E" w:rsidRPr="00C96EAB" w14:paraId="728F21BE" w14:textId="77777777" w:rsidTr="009A356E">
        <w:trPr>
          <w:trHeight w:val="225"/>
        </w:trPr>
        <w:tc>
          <w:tcPr>
            <w:tcW w:w="523" w:type="pct"/>
            <w:tcBorders>
              <w:top w:val="nil"/>
              <w:left w:val="single" w:sz="8" w:space="0" w:color="auto"/>
              <w:bottom w:val="single" w:sz="4" w:space="0" w:color="auto"/>
              <w:right w:val="nil"/>
            </w:tcBorders>
            <w:shd w:val="clear" w:color="auto" w:fill="auto"/>
            <w:noWrap/>
            <w:vAlign w:val="bottom"/>
            <w:hideMark/>
          </w:tcPr>
          <w:p w14:paraId="09BA0CAB" w14:textId="77777777" w:rsidR="009A356E" w:rsidRPr="00C10545" w:rsidRDefault="009A356E" w:rsidP="009A356E">
            <w:pPr>
              <w:rPr>
                <w:color w:val="000000"/>
                <w:sz w:val="16"/>
                <w:szCs w:val="16"/>
                <w:lang w:eastAsia="en-AU"/>
              </w:rPr>
            </w:pPr>
            <w:r w:rsidRPr="00C10545">
              <w:rPr>
                <w:color w:val="000000"/>
                <w:sz w:val="16"/>
                <w:szCs w:val="16"/>
                <w:lang w:eastAsia="en-AU"/>
              </w:rPr>
              <w:t>2000</w:t>
            </w:r>
          </w:p>
        </w:tc>
        <w:tc>
          <w:tcPr>
            <w:tcW w:w="342" w:type="pct"/>
            <w:tcBorders>
              <w:top w:val="nil"/>
              <w:left w:val="single" w:sz="8" w:space="0" w:color="auto"/>
              <w:bottom w:val="single" w:sz="4" w:space="0" w:color="auto"/>
              <w:right w:val="single" w:sz="4" w:space="0" w:color="auto"/>
            </w:tcBorders>
            <w:shd w:val="clear" w:color="000000" w:fill="F2F2F2"/>
            <w:noWrap/>
            <w:vAlign w:val="bottom"/>
            <w:hideMark/>
          </w:tcPr>
          <w:p w14:paraId="4184C46D" w14:textId="77777777" w:rsidR="009A356E" w:rsidRPr="00C10545" w:rsidRDefault="009A356E" w:rsidP="009A356E">
            <w:pPr>
              <w:jc w:val="right"/>
              <w:rPr>
                <w:color w:val="000000"/>
                <w:sz w:val="16"/>
                <w:szCs w:val="16"/>
                <w:lang w:eastAsia="en-AU"/>
              </w:rPr>
            </w:pPr>
            <w:r w:rsidRPr="00C10545">
              <w:rPr>
                <w:color w:val="000000"/>
                <w:sz w:val="16"/>
                <w:szCs w:val="16"/>
                <w:lang w:eastAsia="en-AU"/>
              </w:rPr>
              <w:t>217.9</w:t>
            </w:r>
          </w:p>
        </w:tc>
        <w:tc>
          <w:tcPr>
            <w:tcW w:w="342" w:type="pct"/>
            <w:tcBorders>
              <w:top w:val="nil"/>
              <w:left w:val="nil"/>
              <w:bottom w:val="single" w:sz="4" w:space="0" w:color="auto"/>
              <w:right w:val="single" w:sz="4" w:space="0" w:color="auto"/>
            </w:tcBorders>
            <w:shd w:val="clear" w:color="000000" w:fill="D9D9D9"/>
            <w:noWrap/>
            <w:vAlign w:val="bottom"/>
            <w:hideMark/>
          </w:tcPr>
          <w:p w14:paraId="1D706E4E" w14:textId="77777777" w:rsidR="009A356E" w:rsidRPr="00C10545" w:rsidRDefault="009A356E" w:rsidP="009A356E">
            <w:pPr>
              <w:jc w:val="right"/>
              <w:rPr>
                <w:color w:val="000000"/>
                <w:sz w:val="16"/>
                <w:szCs w:val="16"/>
                <w:lang w:eastAsia="en-AU"/>
              </w:rPr>
            </w:pPr>
            <w:r w:rsidRPr="00C10545">
              <w:rPr>
                <w:color w:val="000000"/>
                <w:sz w:val="16"/>
                <w:szCs w:val="16"/>
                <w:lang w:eastAsia="en-AU"/>
              </w:rPr>
              <w:t>80.1</w:t>
            </w:r>
          </w:p>
        </w:tc>
        <w:tc>
          <w:tcPr>
            <w:tcW w:w="342" w:type="pct"/>
            <w:tcBorders>
              <w:top w:val="nil"/>
              <w:left w:val="nil"/>
              <w:bottom w:val="single" w:sz="4" w:space="0" w:color="auto"/>
              <w:right w:val="single" w:sz="4" w:space="0" w:color="auto"/>
            </w:tcBorders>
            <w:shd w:val="clear" w:color="000000" w:fill="BFBFBF"/>
            <w:noWrap/>
            <w:vAlign w:val="bottom"/>
            <w:hideMark/>
          </w:tcPr>
          <w:p w14:paraId="7D445E9B" w14:textId="77777777" w:rsidR="009A356E" w:rsidRPr="00C10545" w:rsidRDefault="009A356E" w:rsidP="009A356E">
            <w:pPr>
              <w:jc w:val="right"/>
              <w:rPr>
                <w:color w:val="000000"/>
                <w:sz w:val="16"/>
                <w:szCs w:val="16"/>
                <w:lang w:eastAsia="en-AU"/>
              </w:rPr>
            </w:pPr>
            <w:r w:rsidRPr="00C10545">
              <w:rPr>
                <w:color w:val="000000"/>
                <w:sz w:val="16"/>
                <w:szCs w:val="16"/>
                <w:lang w:eastAsia="en-AU"/>
              </w:rPr>
              <w:t>298.0</w:t>
            </w:r>
          </w:p>
        </w:tc>
        <w:tc>
          <w:tcPr>
            <w:tcW w:w="374" w:type="pct"/>
            <w:tcBorders>
              <w:top w:val="nil"/>
              <w:left w:val="nil"/>
              <w:bottom w:val="single" w:sz="4" w:space="0" w:color="auto"/>
              <w:right w:val="single" w:sz="8" w:space="0" w:color="auto"/>
            </w:tcBorders>
            <w:shd w:val="clear" w:color="000000" w:fill="000000"/>
            <w:noWrap/>
            <w:vAlign w:val="bottom"/>
            <w:hideMark/>
          </w:tcPr>
          <w:p w14:paraId="42EE49F5" w14:textId="77777777" w:rsidR="009A356E" w:rsidRPr="00C10545" w:rsidRDefault="009A356E" w:rsidP="009A356E">
            <w:pPr>
              <w:rPr>
                <w:color w:val="000000"/>
                <w:sz w:val="16"/>
                <w:szCs w:val="16"/>
                <w:lang w:eastAsia="en-AU"/>
              </w:rPr>
            </w:pPr>
            <w:r w:rsidRPr="00C10545">
              <w:rPr>
                <w:color w:val="000000"/>
                <w:sz w:val="16"/>
                <w:szCs w:val="16"/>
                <w:lang w:eastAsia="en-AU"/>
              </w:rPr>
              <w:t> </w:t>
            </w:r>
          </w:p>
        </w:tc>
        <w:tc>
          <w:tcPr>
            <w:tcW w:w="342" w:type="pct"/>
            <w:tcBorders>
              <w:top w:val="nil"/>
              <w:left w:val="nil"/>
              <w:bottom w:val="single" w:sz="4" w:space="0" w:color="auto"/>
              <w:right w:val="single" w:sz="4" w:space="0" w:color="auto"/>
            </w:tcBorders>
            <w:shd w:val="clear" w:color="000000" w:fill="F2F2F2"/>
            <w:noWrap/>
            <w:vAlign w:val="bottom"/>
            <w:hideMark/>
          </w:tcPr>
          <w:p w14:paraId="4A981A30" w14:textId="77777777" w:rsidR="009A356E" w:rsidRPr="00C10545" w:rsidRDefault="009A356E" w:rsidP="009A356E">
            <w:pPr>
              <w:jc w:val="right"/>
              <w:rPr>
                <w:color w:val="000000"/>
                <w:sz w:val="16"/>
                <w:szCs w:val="16"/>
                <w:lang w:eastAsia="en-AU"/>
              </w:rPr>
            </w:pPr>
            <w:r w:rsidRPr="00C10545">
              <w:rPr>
                <w:color w:val="000000"/>
                <w:sz w:val="16"/>
                <w:szCs w:val="16"/>
                <w:lang w:eastAsia="en-AU"/>
              </w:rPr>
              <w:t>46.0</w:t>
            </w:r>
          </w:p>
        </w:tc>
        <w:tc>
          <w:tcPr>
            <w:tcW w:w="374" w:type="pct"/>
            <w:tcBorders>
              <w:top w:val="nil"/>
              <w:left w:val="nil"/>
              <w:bottom w:val="single" w:sz="4" w:space="0" w:color="auto"/>
              <w:right w:val="single" w:sz="8" w:space="0" w:color="auto"/>
            </w:tcBorders>
            <w:shd w:val="clear" w:color="000000" w:fill="000000"/>
            <w:noWrap/>
            <w:vAlign w:val="bottom"/>
            <w:hideMark/>
          </w:tcPr>
          <w:p w14:paraId="483189A4" w14:textId="77777777" w:rsidR="009A356E" w:rsidRPr="00C10545" w:rsidRDefault="009A356E" w:rsidP="009A356E">
            <w:pPr>
              <w:rPr>
                <w:color w:val="000000"/>
                <w:sz w:val="16"/>
                <w:szCs w:val="16"/>
                <w:lang w:eastAsia="en-AU"/>
              </w:rPr>
            </w:pPr>
            <w:r w:rsidRPr="00C10545">
              <w:rPr>
                <w:color w:val="000000"/>
                <w:sz w:val="16"/>
                <w:szCs w:val="16"/>
                <w:lang w:eastAsia="en-AU"/>
              </w:rPr>
              <w:t> </w:t>
            </w:r>
          </w:p>
        </w:tc>
        <w:tc>
          <w:tcPr>
            <w:tcW w:w="475" w:type="pct"/>
            <w:tcBorders>
              <w:top w:val="nil"/>
              <w:left w:val="nil"/>
              <w:bottom w:val="single" w:sz="4" w:space="0" w:color="auto"/>
              <w:right w:val="single" w:sz="4" w:space="0" w:color="auto"/>
            </w:tcBorders>
            <w:shd w:val="clear" w:color="000000" w:fill="D9D9D9"/>
            <w:noWrap/>
            <w:vAlign w:val="bottom"/>
            <w:hideMark/>
          </w:tcPr>
          <w:p w14:paraId="2F7A2921" w14:textId="77777777" w:rsidR="009A356E" w:rsidRPr="00C10545" w:rsidRDefault="009A356E" w:rsidP="009A356E">
            <w:pPr>
              <w:rPr>
                <w:color w:val="000000"/>
                <w:sz w:val="16"/>
                <w:szCs w:val="16"/>
                <w:lang w:eastAsia="en-AU"/>
              </w:rPr>
            </w:pPr>
            <w:r w:rsidRPr="00C10545">
              <w:rPr>
                <w:color w:val="000000"/>
                <w:sz w:val="16"/>
                <w:szCs w:val="16"/>
                <w:lang w:eastAsia="en-AU"/>
              </w:rPr>
              <w:t xml:space="preserve">      631.3 </w:t>
            </w:r>
          </w:p>
        </w:tc>
        <w:tc>
          <w:tcPr>
            <w:tcW w:w="422" w:type="pct"/>
            <w:tcBorders>
              <w:top w:val="nil"/>
              <w:left w:val="nil"/>
              <w:bottom w:val="single" w:sz="4" w:space="0" w:color="auto"/>
              <w:right w:val="single" w:sz="8" w:space="0" w:color="auto"/>
            </w:tcBorders>
            <w:shd w:val="clear" w:color="000000" w:fill="000000"/>
            <w:noWrap/>
            <w:vAlign w:val="bottom"/>
            <w:hideMark/>
          </w:tcPr>
          <w:p w14:paraId="7C889493" w14:textId="77777777" w:rsidR="009A356E" w:rsidRPr="00C10545" w:rsidRDefault="009A356E" w:rsidP="009A356E">
            <w:pPr>
              <w:rPr>
                <w:color w:val="000000"/>
                <w:sz w:val="16"/>
                <w:szCs w:val="16"/>
                <w:lang w:eastAsia="en-AU"/>
              </w:rPr>
            </w:pPr>
            <w:r w:rsidRPr="00C10545">
              <w:rPr>
                <w:color w:val="000000"/>
                <w:sz w:val="16"/>
                <w:szCs w:val="16"/>
                <w:lang w:eastAsia="en-AU"/>
              </w:rPr>
              <w:t> </w:t>
            </w:r>
          </w:p>
        </w:tc>
        <w:tc>
          <w:tcPr>
            <w:tcW w:w="342" w:type="pct"/>
            <w:tcBorders>
              <w:top w:val="nil"/>
              <w:left w:val="nil"/>
              <w:bottom w:val="single" w:sz="4" w:space="0" w:color="auto"/>
              <w:right w:val="single" w:sz="4" w:space="0" w:color="auto"/>
            </w:tcBorders>
            <w:shd w:val="clear" w:color="000000" w:fill="BFBFBF"/>
            <w:noWrap/>
            <w:vAlign w:val="bottom"/>
            <w:hideMark/>
          </w:tcPr>
          <w:p w14:paraId="1EB8D772" w14:textId="77777777" w:rsidR="009A356E" w:rsidRPr="00C10545" w:rsidRDefault="009A356E" w:rsidP="009A356E">
            <w:pPr>
              <w:jc w:val="right"/>
              <w:rPr>
                <w:color w:val="000000"/>
                <w:sz w:val="16"/>
                <w:szCs w:val="16"/>
                <w:lang w:eastAsia="en-AU"/>
              </w:rPr>
            </w:pPr>
            <w:r w:rsidRPr="00C10545">
              <w:rPr>
                <w:color w:val="000000"/>
                <w:sz w:val="16"/>
                <w:szCs w:val="16"/>
                <w:lang w:eastAsia="en-AU"/>
              </w:rPr>
              <w:t>62.9</w:t>
            </w:r>
          </w:p>
        </w:tc>
        <w:tc>
          <w:tcPr>
            <w:tcW w:w="374" w:type="pct"/>
            <w:tcBorders>
              <w:top w:val="nil"/>
              <w:left w:val="nil"/>
              <w:bottom w:val="single" w:sz="4" w:space="0" w:color="auto"/>
              <w:right w:val="single" w:sz="8" w:space="0" w:color="auto"/>
            </w:tcBorders>
            <w:shd w:val="clear" w:color="000000" w:fill="000000"/>
            <w:noWrap/>
            <w:vAlign w:val="bottom"/>
            <w:hideMark/>
          </w:tcPr>
          <w:p w14:paraId="342DF69F" w14:textId="77777777" w:rsidR="009A356E" w:rsidRPr="00C10545" w:rsidRDefault="009A356E" w:rsidP="009A356E">
            <w:pPr>
              <w:rPr>
                <w:color w:val="000000"/>
                <w:sz w:val="16"/>
                <w:szCs w:val="16"/>
                <w:lang w:eastAsia="en-AU"/>
              </w:rPr>
            </w:pPr>
            <w:r w:rsidRPr="00C10545">
              <w:rPr>
                <w:color w:val="000000"/>
                <w:sz w:val="16"/>
                <w:szCs w:val="16"/>
                <w:lang w:eastAsia="en-AU"/>
              </w:rPr>
              <w:t> </w:t>
            </w:r>
          </w:p>
        </w:tc>
        <w:tc>
          <w:tcPr>
            <w:tcW w:w="374" w:type="pct"/>
            <w:tcBorders>
              <w:top w:val="nil"/>
              <w:left w:val="nil"/>
              <w:bottom w:val="single" w:sz="4" w:space="0" w:color="auto"/>
              <w:right w:val="single" w:sz="4" w:space="0" w:color="auto"/>
            </w:tcBorders>
            <w:shd w:val="clear" w:color="000000" w:fill="000000"/>
            <w:noWrap/>
            <w:vAlign w:val="bottom"/>
            <w:hideMark/>
          </w:tcPr>
          <w:p w14:paraId="625B132B" w14:textId="77777777" w:rsidR="009A356E" w:rsidRPr="00C10545" w:rsidRDefault="009A356E" w:rsidP="009A356E">
            <w:pPr>
              <w:rPr>
                <w:color w:val="000000"/>
                <w:sz w:val="16"/>
                <w:szCs w:val="16"/>
                <w:lang w:eastAsia="en-AU"/>
              </w:rPr>
            </w:pPr>
            <w:r w:rsidRPr="00C10545">
              <w:rPr>
                <w:color w:val="000000"/>
                <w:sz w:val="16"/>
                <w:szCs w:val="16"/>
                <w:lang w:eastAsia="en-AU"/>
              </w:rPr>
              <w:t> </w:t>
            </w:r>
          </w:p>
        </w:tc>
        <w:tc>
          <w:tcPr>
            <w:tcW w:w="374" w:type="pct"/>
            <w:tcBorders>
              <w:top w:val="nil"/>
              <w:left w:val="nil"/>
              <w:bottom w:val="nil"/>
              <w:right w:val="single" w:sz="8" w:space="0" w:color="auto"/>
            </w:tcBorders>
            <w:shd w:val="clear" w:color="000000" w:fill="000000"/>
            <w:noWrap/>
            <w:vAlign w:val="bottom"/>
            <w:hideMark/>
          </w:tcPr>
          <w:p w14:paraId="5AFB378E" w14:textId="77777777" w:rsidR="009A356E" w:rsidRPr="00C10545" w:rsidRDefault="009A356E" w:rsidP="009A356E">
            <w:pPr>
              <w:rPr>
                <w:color w:val="000000"/>
                <w:sz w:val="16"/>
                <w:szCs w:val="16"/>
                <w:lang w:eastAsia="en-AU"/>
              </w:rPr>
            </w:pPr>
            <w:r w:rsidRPr="00C10545">
              <w:rPr>
                <w:color w:val="000000"/>
                <w:sz w:val="16"/>
                <w:szCs w:val="16"/>
                <w:lang w:eastAsia="en-AU"/>
              </w:rPr>
              <w:t> </w:t>
            </w:r>
          </w:p>
        </w:tc>
      </w:tr>
      <w:tr w:rsidR="009A356E" w:rsidRPr="00C96EAB" w14:paraId="6219E103" w14:textId="77777777" w:rsidTr="009A356E">
        <w:trPr>
          <w:trHeight w:val="225"/>
        </w:trPr>
        <w:tc>
          <w:tcPr>
            <w:tcW w:w="523" w:type="pct"/>
            <w:tcBorders>
              <w:top w:val="nil"/>
              <w:left w:val="single" w:sz="8" w:space="0" w:color="auto"/>
              <w:bottom w:val="single" w:sz="4" w:space="0" w:color="auto"/>
              <w:right w:val="nil"/>
            </w:tcBorders>
            <w:shd w:val="clear" w:color="auto" w:fill="auto"/>
            <w:noWrap/>
            <w:vAlign w:val="bottom"/>
            <w:hideMark/>
          </w:tcPr>
          <w:p w14:paraId="780E6A16" w14:textId="77777777" w:rsidR="009A356E" w:rsidRPr="00C10545" w:rsidRDefault="009A356E" w:rsidP="009A356E">
            <w:pPr>
              <w:rPr>
                <w:color w:val="000000"/>
                <w:sz w:val="16"/>
                <w:szCs w:val="16"/>
                <w:lang w:eastAsia="en-AU"/>
              </w:rPr>
            </w:pPr>
            <w:r w:rsidRPr="00C10545">
              <w:rPr>
                <w:color w:val="000000"/>
                <w:sz w:val="16"/>
                <w:szCs w:val="16"/>
                <w:lang w:eastAsia="en-AU"/>
              </w:rPr>
              <w:t>2001</w:t>
            </w:r>
          </w:p>
        </w:tc>
        <w:tc>
          <w:tcPr>
            <w:tcW w:w="342" w:type="pct"/>
            <w:tcBorders>
              <w:top w:val="nil"/>
              <w:left w:val="single" w:sz="8" w:space="0" w:color="auto"/>
              <w:bottom w:val="single" w:sz="4" w:space="0" w:color="auto"/>
              <w:right w:val="single" w:sz="4" w:space="0" w:color="auto"/>
            </w:tcBorders>
            <w:shd w:val="clear" w:color="000000" w:fill="F2F2F2"/>
            <w:noWrap/>
            <w:vAlign w:val="bottom"/>
            <w:hideMark/>
          </w:tcPr>
          <w:p w14:paraId="5C08B5C4" w14:textId="77777777" w:rsidR="009A356E" w:rsidRPr="00C10545" w:rsidRDefault="009A356E" w:rsidP="009A356E">
            <w:pPr>
              <w:jc w:val="right"/>
              <w:rPr>
                <w:color w:val="000000"/>
                <w:sz w:val="16"/>
                <w:szCs w:val="16"/>
                <w:lang w:eastAsia="en-AU"/>
              </w:rPr>
            </w:pPr>
            <w:r w:rsidRPr="00C10545">
              <w:rPr>
                <w:color w:val="000000"/>
                <w:sz w:val="16"/>
                <w:szCs w:val="16"/>
                <w:lang w:eastAsia="en-AU"/>
              </w:rPr>
              <w:t>227.6</w:t>
            </w:r>
          </w:p>
        </w:tc>
        <w:tc>
          <w:tcPr>
            <w:tcW w:w="342" w:type="pct"/>
            <w:tcBorders>
              <w:top w:val="nil"/>
              <w:left w:val="nil"/>
              <w:bottom w:val="single" w:sz="4" w:space="0" w:color="auto"/>
              <w:right w:val="single" w:sz="4" w:space="0" w:color="auto"/>
            </w:tcBorders>
            <w:shd w:val="clear" w:color="000000" w:fill="D9D9D9"/>
            <w:noWrap/>
            <w:vAlign w:val="bottom"/>
            <w:hideMark/>
          </w:tcPr>
          <w:p w14:paraId="55321012" w14:textId="77777777" w:rsidR="009A356E" w:rsidRPr="00C10545" w:rsidRDefault="009A356E" w:rsidP="009A356E">
            <w:pPr>
              <w:jc w:val="right"/>
              <w:rPr>
                <w:color w:val="000000"/>
                <w:sz w:val="16"/>
                <w:szCs w:val="16"/>
                <w:lang w:eastAsia="en-AU"/>
              </w:rPr>
            </w:pPr>
            <w:r w:rsidRPr="00C10545">
              <w:rPr>
                <w:color w:val="000000"/>
                <w:sz w:val="16"/>
                <w:szCs w:val="16"/>
                <w:lang w:eastAsia="en-AU"/>
              </w:rPr>
              <w:t>83.8</w:t>
            </w:r>
          </w:p>
        </w:tc>
        <w:tc>
          <w:tcPr>
            <w:tcW w:w="342" w:type="pct"/>
            <w:tcBorders>
              <w:top w:val="nil"/>
              <w:left w:val="nil"/>
              <w:bottom w:val="single" w:sz="4" w:space="0" w:color="auto"/>
              <w:right w:val="single" w:sz="4" w:space="0" w:color="auto"/>
            </w:tcBorders>
            <w:shd w:val="clear" w:color="000000" w:fill="BFBFBF"/>
            <w:noWrap/>
            <w:vAlign w:val="bottom"/>
            <w:hideMark/>
          </w:tcPr>
          <w:p w14:paraId="7C9F63A5" w14:textId="77777777" w:rsidR="009A356E" w:rsidRPr="00C10545" w:rsidRDefault="009A356E" w:rsidP="009A356E">
            <w:pPr>
              <w:jc w:val="right"/>
              <w:rPr>
                <w:color w:val="000000"/>
                <w:sz w:val="16"/>
                <w:szCs w:val="16"/>
                <w:lang w:eastAsia="en-AU"/>
              </w:rPr>
            </w:pPr>
            <w:r w:rsidRPr="00C10545">
              <w:rPr>
                <w:color w:val="000000"/>
                <w:sz w:val="16"/>
                <w:szCs w:val="16"/>
                <w:lang w:eastAsia="en-AU"/>
              </w:rPr>
              <w:t>311.4</w:t>
            </w:r>
          </w:p>
        </w:tc>
        <w:tc>
          <w:tcPr>
            <w:tcW w:w="374" w:type="pct"/>
            <w:tcBorders>
              <w:top w:val="nil"/>
              <w:left w:val="nil"/>
              <w:bottom w:val="single" w:sz="4" w:space="0" w:color="auto"/>
              <w:right w:val="single" w:sz="8" w:space="0" w:color="auto"/>
            </w:tcBorders>
            <w:shd w:val="clear" w:color="000000" w:fill="BFBFBF"/>
            <w:noWrap/>
            <w:vAlign w:val="bottom"/>
            <w:hideMark/>
          </w:tcPr>
          <w:p w14:paraId="09BE9A5F" w14:textId="77777777" w:rsidR="009A356E" w:rsidRPr="00C10545" w:rsidRDefault="009A356E" w:rsidP="009A356E">
            <w:pPr>
              <w:jc w:val="right"/>
              <w:rPr>
                <w:color w:val="000000"/>
                <w:sz w:val="16"/>
                <w:szCs w:val="16"/>
                <w:lang w:eastAsia="en-AU"/>
              </w:rPr>
            </w:pPr>
            <w:r w:rsidRPr="00C10545">
              <w:rPr>
                <w:color w:val="000000"/>
                <w:sz w:val="16"/>
                <w:szCs w:val="16"/>
                <w:lang w:eastAsia="en-AU"/>
              </w:rPr>
              <w:t>4.51%</w:t>
            </w:r>
          </w:p>
        </w:tc>
        <w:tc>
          <w:tcPr>
            <w:tcW w:w="342" w:type="pct"/>
            <w:tcBorders>
              <w:top w:val="nil"/>
              <w:left w:val="nil"/>
              <w:bottom w:val="single" w:sz="4" w:space="0" w:color="auto"/>
              <w:right w:val="single" w:sz="4" w:space="0" w:color="auto"/>
            </w:tcBorders>
            <w:shd w:val="clear" w:color="000000" w:fill="F2F2F2"/>
            <w:noWrap/>
            <w:vAlign w:val="bottom"/>
            <w:hideMark/>
          </w:tcPr>
          <w:p w14:paraId="7034D180" w14:textId="77777777" w:rsidR="009A356E" w:rsidRPr="00C10545" w:rsidRDefault="009A356E" w:rsidP="009A356E">
            <w:pPr>
              <w:jc w:val="right"/>
              <w:rPr>
                <w:color w:val="000000"/>
                <w:sz w:val="16"/>
                <w:szCs w:val="16"/>
                <w:lang w:eastAsia="en-AU"/>
              </w:rPr>
            </w:pPr>
            <w:r w:rsidRPr="00C10545">
              <w:rPr>
                <w:color w:val="000000"/>
                <w:sz w:val="16"/>
                <w:szCs w:val="16"/>
                <w:lang w:eastAsia="en-AU"/>
              </w:rPr>
              <w:t>47.7</w:t>
            </w:r>
          </w:p>
        </w:tc>
        <w:tc>
          <w:tcPr>
            <w:tcW w:w="374" w:type="pct"/>
            <w:tcBorders>
              <w:top w:val="nil"/>
              <w:left w:val="nil"/>
              <w:bottom w:val="single" w:sz="4" w:space="0" w:color="auto"/>
              <w:right w:val="single" w:sz="8" w:space="0" w:color="auto"/>
            </w:tcBorders>
            <w:shd w:val="clear" w:color="000000" w:fill="F2F2F2"/>
            <w:noWrap/>
            <w:vAlign w:val="bottom"/>
            <w:hideMark/>
          </w:tcPr>
          <w:p w14:paraId="35561509" w14:textId="77777777" w:rsidR="009A356E" w:rsidRPr="00C10545" w:rsidRDefault="009A356E" w:rsidP="009A356E">
            <w:pPr>
              <w:jc w:val="right"/>
              <w:rPr>
                <w:color w:val="000000"/>
                <w:sz w:val="16"/>
                <w:szCs w:val="16"/>
                <w:lang w:eastAsia="en-AU"/>
              </w:rPr>
            </w:pPr>
            <w:r w:rsidRPr="00C10545">
              <w:rPr>
                <w:color w:val="000000"/>
                <w:sz w:val="16"/>
                <w:szCs w:val="16"/>
                <w:lang w:eastAsia="en-AU"/>
              </w:rPr>
              <w:t>3.64%</w:t>
            </w:r>
          </w:p>
        </w:tc>
        <w:tc>
          <w:tcPr>
            <w:tcW w:w="475" w:type="pct"/>
            <w:tcBorders>
              <w:top w:val="nil"/>
              <w:left w:val="nil"/>
              <w:bottom w:val="single" w:sz="4" w:space="0" w:color="auto"/>
              <w:right w:val="single" w:sz="4" w:space="0" w:color="auto"/>
            </w:tcBorders>
            <w:shd w:val="clear" w:color="000000" w:fill="D9D9D9"/>
            <w:noWrap/>
            <w:vAlign w:val="bottom"/>
            <w:hideMark/>
          </w:tcPr>
          <w:p w14:paraId="4271C593" w14:textId="77777777" w:rsidR="009A356E" w:rsidRPr="00C10545" w:rsidRDefault="009A356E" w:rsidP="009A356E">
            <w:pPr>
              <w:rPr>
                <w:color w:val="000000"/>
                <w:sz w:val="16"/>
                <w:szCs w:val="16"/>
                <w:lang w:eastAsia="en-AU"/>
              </w:rPr>
            </w:pPr>
            <w:r w:rsidRPr="00C10545">
              <w:rPr>
                <w:color w:val="000000"/>
                <w:sz w:val="16"/>
                <w:szCs w:val="16"/>
                <w:lang w:eastAsia="en-AU"/>
              </w:rPr>
              <w:t xml:space="preserve">      658.7 </w:t>
            </w:r>
          </w:p>
        </w:tc>
        <w:tc>
          <w:tcPr>
            <w:tcW w:w="422" w:type="pct"/>
            <w:tcBorders>
              <w:top w:val="nil"/>
              <w:left w:val="nil"/>
              <w:bottom w:val="single" w:sz="4" w:space="0" w:color="auto"/>
              <w:right w:val="single" w:sz="8" w:space="0" w:color="auto"/>
            </w:tcBorders>
            <w:shd w:val="clear" w:color="000000" w:fill="D9D9D9"/>
            <w:noWrap/>
            <w:vAlign w:val="bottom"/>
            <w:hideMark/>
          </w:tcPr>
          <w:p w14:paraId="21B560EF" w14:textId="77777777" w:rsidR="009A356E" w:rsidRPr="00C10545" w:rsidRDefault="009A356E" w:rsidP="009A356E">
            <w:pPr>
              <w:jc w:val="right"/>
              <w:rPr>
                <w:color w:val="000000"/>
                <w:sz w:val="16"/>
                <w:szCs w:val="16"/>
                <w:lang w:eastAsia="en-AU"/>
              </w:rPr>
            </w:pPr>
            <w:r w:rsidRPr="00C10545">
              <w:rPr>
                <w:color w:val="000000"/>
                <w:sz w:val="16"/>
                <w:szCs w:val="16"/>
                <w:lang w:eastAsia="en-AU"/>
              </w:rPr>
              <w:t>4.35%</w:t>
            </w:r>
          </w:p>
        </w:tc>
        <w:tc>
          <w:tcPr>
            <w:tcW w:w="342" w:type="pct"/>
            <w:tcBorders>
              <w:top w:val="nil"/>
              <w:left w:val="nil"/>
              <w:bottom w:val="single" w:sz="4" w:space="0" w:color="auto"/>
              <w:right w:val="single" w:sz="4" w:space="0" w:color="auto"/>
            </w:tcBorders>
            <w:shd w:val="clear" w:color="000000" w:fill="BFBFBF"/>
            <w:noWrap/>
            <w:vAlign w:val="bottom"/>
            <w:hideMark/>
          </w:tcPr>
          <w:p w14:paraId="46548412" w14:textId="77777777" w:rsidR="009A356E" w:rsidRPr="00C10545" w:rsidRDefault="009A356E" w:rsidP="009A356E">
            <w:pPr>
              <w:jc w:val="right"/>
              <w:rPr>
                <w:color w:val="000000"/>
                <w:sz w:val="16"/>
                <w:szCs w:val="16"/>
                <w:lang w:eastAsia="en-AU"/>
              </w:rPr>
            </w:pPr>
            <w:r w:rsidRPr="00C10545">
              <w:rPr>
                <w:color w:val="000000"/>
                <w:sz w:val="16"/>
                <w:szCs w:val="16"/>
                <w:lang w:eastAsia="en-AU"/>
              </w:rPr>
              <w:t>65.3</w:t>
            </w:r>
          </w:p>
        </w:tc>
        <w:tc>
          <w:tcPr>
            <w:tcW w:w="374" w:type="pct"/>
            <w:tcBorders>
              <w:top w:val="nil"/>
              <w:left w:val="nil"/>
              <w:bottom w:val="single" w:sz="4" w:space="0" w:color="auto"/>
              <w:right w:val="single" w:sz="8" w:space="0" w:color="auto"/>
            </w:tcBorders>
            <w:shd w:val="clear" w:color="000000" w:fill="BFBFBF"/>
            <w:noWrap/>
            <w:vAlign w:val="bottom"/>
            <w:hideMark/>
          </w:tcPr>
          <w:p w14:paraId="335B78D0" w14:textId="77777777" w:rsidR="009A356E" w:rsidRPr="00C10545" w:rsidRDefault="009A356E" w:rsidP="009A356E">
            <w:pPr>
              <w:jc w:val="right"/>
              <w:rPr>
                <w:color w:val="000000"/>
                <w:sz w:val="16"/>
                <w:szCs w:val="16"/>
                <w:lang w:eastAsia="en-AU"/>
              </w:rPr>
            </w:pPr>
            <w:r w:rsidRPr="00C10545">
              <w:rPr>
                <w:color w:val="000000"/>
                <w:sz w:val="16"/>
                <w:szCs w:val="16"/>
                <w:lang w:eastAsia="en-AU"/>
              </w:rPr>
              <w:t>3.66%</w:t>
            </w:r>
          </w:p>
        </w:tc>
        <w:tc>
          <w:tcPr>
            <w:tcW w:w="374" w:type="pct"/>
            <w:tcBorders>
              <w:top w:val="nil"/>
              <w:left w:val="nil"/>
              <w:bottom w:val="single" w:sz="4" w:space="0" w:color="auto"/>
              <w:right w:val="single" w:sz="4" w:space="0" w:color="auto"/>
            </w:tcBorders>
            <w:shd w:val="clear" w:color="000000" w:fill="95B3D7"/>
            <w:noWrap/>
            <w:vAlign w:val="bottom"/>
            <w:hideMark/>
          </w:tcPr>
          <w:p w14:paraId="573687F9" w14:textId="77777777" w:rsidR="009A356E" w:rsidRPr="00C10545" w:rsidRDefault="009A356E" w:rsidP="009A356E">
            <w:pPr>
              <w:jc w:val="right"/>
              <w:rPr>
                <w:color w:val="000000"/>
                <w:sz w:val="16"/>
                <w:szCs w:val="16"/>
                <w:lang w:eastAsia="en-AU"/>
              </w:rPr>
            </w:pPr>
            <w:r w:rsidRPr="00C10545">
              <w:rPr>
                <w:color w:val="000000"/>
                <w:sz w:val="16"/>
                <w:szCs w:val="16"/>
                <w:lang w:eastAsia="en-AU"/>
              </w:rPr>
              <w:t>3.71%</w:t>
            </w:r>
          </w:p>
        </w:tc>
        <w:tc>
          <w:tcPr>
            <w:tcW w:w="374" w:type="pct"/>
            <w:tcBorders>
              <w:top w:val="single" w:sz="4" w:space="0" w:color="auto"/>
              <w:left w:val="nil"/>
              <w:bottom w:val="single" w:sz="4" w:space="0" w:color="auto"/>
              <w:right w:val="single" w:sz="8" w:space="0" w:color="auto"/>
            </w:tcBorders>
            <w:shd w:val="clear" w:color="000000" w:fill="00B0F0"/>
            <w:noWrap/>
            <w:vAlign w:val="bottom"/>
            <w:hideMark/>
          </w:tcPr>
          <w:p w14:paraId="620B2F13" w14:textId="77777777" w:rsidR="009A356E" w:rsidRPr="00C10545" w:rsidRDefault="009A356E" w:rsidP="009A356E">
            <w:pPr>
              <w:jc w:val="right"/>
              <w:rPr>
                <w:color w:val="000000"/>
                <w:sz w:val="16"/>
                <w:szCs w:val="16"/>
                <w:lang w:eastAsia="en-AU"/>
              </w:rPr>
            </w:pPr>
            <w:r w:rsidRPr="00C10545">
              <w:rPr>
                <w:color w:val="000000"/>
                <w:sz w:val="16"/>
                <w:szCs w:val="16"/>
                <w:lang w:eastAsia="en-AU"/>
              </w:rPr>
              <w:t>3.55%</w:t>
            </w:r>
          </w:p>
        </w:tc>
      </w:tr>
      <w:tr w:rsidR="009A356E" w:rsidRPr="00C96EAB" w14:paraId="008537CC" w14:textId="77777777" w:rsidTr="009A356E">
        <w:trPr>
          <w:trHeight w:val="225"/>
        </w:trPr>
        <w:tc>
          <w:tcPr>
            <w:tcW w:w="523" w:type="pct"/>
            <w:tcBorders>
              <w:top w:val="nil"/>
              <w:left w:val="single" w:sz="8" w:space="0" w:color="auto"/>
              <w:bottom w:val="single" w:sz="4" w:space="0" w:color="auto"/>
              <w:right w:val="nil"/>
            </w:tcBorders>
            <w:shd w:val="clear" w:color="auto" w:fill="auto"/>
            <w:noWrap/>
            <w:vAlign w:val="bottom"/>
            <w:hideMark/>
          </w:tcPr>
          <w:p w14:paraId="15DA2CA0" w14:textId="77777777" w:rsidR="009A356E" w:rsidRPr="00C10545" w:rsidRDefault="009A356E" w:rsidP="009A356E">
            <w:pPr>
              <w:rPr>
                <w:color w:val="000000"/>
                <w:sz w:val="16"/>
                <w:szCs w:val="16"/>
                <w:lang w:eastAsia="en-AU"/>
              </w:rPr>
            </w:pPr>
            <w:r w:rsidRPr="00C10545">
              <w:rPr>
                <w:color w:val="000000"/>
                <w:sz w:val="16"/>
                <w:szCs w:val="16"/>
                <w:lang w:eastAsia="en-AU"/>
              </w:rPr>
              <w:t>2002</w:t>
            </w:r>
          </w:p>
        </w:tc>
        <w:tc>
          <w:tcPr>
            <w:tcW w:w="342" w:type="pct"/>
            <w:tcBorders>
              <w:top w:val="nil"/>
              <w:left w:val="single" w:sz="8" w:space="0" w:color="auto"/>
              <w:bottom w:val="single" w:sz="4" w:space="0" w:color="auto"/>
              <w:right w:val="single" w:sz="4" w:space="0" w:color="auto"/>
            </w:tcBorders>
            <w:shd w:val="clear" w:color="000000" w:fill="F2F2F2"/>
            <w:noWrap/>
            <w:vAlign w:val="bottom"/>
            <w:hideMark/>
          </w:tcPr>
          <w:p w14:paraId="6DEEA541" w14:textId="77777777" w:rsidR="009A356E" w:rsidRPr="00C10545" w:rsidRDefault="009A356E" w:rsidP="009A356E">
            <w:pPr>
              <w:jc w:val="right"/>
              <w:rPr>
                <w:color w:val="000000"/>
                <w:sz w:val="16"/>
                <w:szCs w:val="16"/>
                <w:lang w:eastAsia="en-AU"/>
              </w:rPr>
            </w:pPr>
            <w:r w:rsidRPr="00C10545">
              <w:rPr>
                <w:color w:val="000000"/>
                <w:sz w:val="16"/>
                <w:szCs w:val="16"/>
                <w:lang w:eastAsia="en-AU"/>
              </w:rPr>
              <w:t>238.4</w:t>
            </w:r>
          </w:p>
        </w:tc>
        <w:tc>
          <w:tcPr>
            <w:tcW w:w="342" w:type="pct"/>
            <w:tcBorders>
              <w:top w:val="nil"/>
              <w:left w:val="nil"/>
              <w:bottom w:val="single" w:sz="4" w:space="0" w:color="auto"/>
              <w:right w:val="single" w:sz="4" w:space="0" w:color="auto"/>
            </w:tcBorders>
            <w:shd w:val="clear" w:color="000000" w:fill="D9D9D9"/>
            <w:noWrap/>
            <w:vAlign w:val="bottom"/>
            <w:hideMark/>
          </w:tcPr>
          <w:p w14:paraId="7746921D" w14:textId="77777777" w:rsidR="009A356E" w:rsidRPr="00C10545" w:rsidRDefault="009A356E" w:rsidP="009A356E">
            <w:pPr>
              <w:jc w:val="right"/>
              <w:rPr>
                <w:color w:val="000000"/>
                <w:sz w:val="16"/>
                <w:szCs w:val="16"/>
                <w:lang w:eastAsia="en-AU"/>
              </w:rPr>
            </w:pPr>
            <w:r w:rsidRPr="00C10545">
              <w:rPr>
                <w:color w:val="000000"/>
                <w:sz w:val="16"/>
                <w:szCs w:val="16"/>
                <w:lang w:eastAsia="en-AU"/>
              </w:rPr>
              <w:t>87.6</w:t>
            </w:r>
          </w:p>
        </w:tc>
        <w:tc>
          <w:tcPr>
            <w:tcW w:w="342" w:type="pct"/>
            <w:tcBorders>
              <w:top w:val="nil"/>
              <w:left w:val="nil"/>
              <w:bottom w:val="single" w:sz="4" w:space="0" w:color="auto"/>
              <w:right w:val="single" w:sz="4" w:space="0" w:color="auto"/>
            </w:tcBorders>
            <w:shd w:val="clear" w:color="000000" w:fill="BFBFBF"/>
            <w:noWrap/>
            <w:vAlign w:val="bottom"/>
            <w:hideMark/>
          </w:tcPr>
          <w:p w14:paraId="69606B21" w14:textId="77777777" w:rsidR="009A356E" w:rsidRPr="00C10545" w:rsidRDefault="009A356E" w:rsidP="009A356E">
            <w:pPr>
              <w:jc w:val="right"/>
              <w:rPr>
                <w:color w:val="000000"/>
                <w:sz w:val="16"/>
                <w:szCs w:val="16"/>
                <w:lang w:eastAsia="en-AU"/>
              </w:rPr>
            </w:pPr>
            <w:r w:rsidRPr="00C10545">
              <w:rPr>
                <w:color w:val="000000"/>
                <w:sz w:val="16"/>
                <w:szCs w:val="16"/>
                <w:lang w:eastAsia="en-AU"/>
              </w:rPr>
              <w:t>326.0</w:t>
            </w:r>
          </w:p>
        </w:tc>
        <w:tc>
          <w:tcPr>
            <w:tcW w:w="374" w:type="pct"/>
            <w:tcBorders>
              <w:top w:val="nil"/>
              <w:left w:val="nil"/>
              <w:bottom w:val="single" w:sz="4" w:space="0" w:color="auto"/>
              <w:right w:val="single" w:sz="8" w:space="0" w:color="auto"/>
            </w:tcBorders>
            <w:shd w:val="clear" w:color="000000" w:fill="BFBFBF"/>
            <w:noWrap/>
            <w:vAlign w:val="bottom"/>
            <w:hideMark/>
          </w:tcPr>
          <w:p w14:paraId="32FAAFEC" w14:textId="77777777" w:rsidR="009A356E" w:rsidRPr="00C10545" w:rsidRDefault="009A356E" w:rsidP="009A356E">
            <w:pPr>
              <w:jc w:val="right"/>
              <w:rPr>
                <w:color w:val="000000"/>
                <w:sz w:val="16"/>
                <w:szCs w:val="16"/>
                <w:lang w:eastAsia="en-AU"/>
              </w:rPr>
            </w:pPr>
            <w:r w:rsidRPr="00C10545">
              <w:rPr>
                <w:color w:val="000000"/>
                <w:sz w:val="16"/>
                <w:szCs w:val="16"/>
                <w:lang w:eastAsia="en-AU"/>
              </w:rPr>
              <w:t>4.67%</w:t>
            </w:r>
          </w:p>
        </w:tc>
        <w:tc>
          <w:tcPr>
            <w:tcW w:w="342" w:type="pct"/>
            <w:tcBorders>
              <w:top w:val="nil"/>
              <w:left w:val="nil"/>
              <w:bottom w:val="single" w:sz="4" w:space="0" w:color="auto"/>
              <w:right w:val="single" w:sz="4" w:space="0" w:color="auto"/>
            </w:tcBorders>
            <w:shd w:val="clear" w:color="000000" w:fill="F2F2F2"/>
            <w:noWrap/>
            <w:vAlign w:val="bottom"/>
            <w:hideMark/>
          </w:tcPr>
          <w:p w14:paraId="563BCFE4" w14:textId="77777777" w:rsidR="009A356E" w:rsidRPr="00C10545" w:rsidRDefault="009A356E" w:rsidP="009A356E">
            <w:pPr>
              <w:jc w:val="right"/>
              <w:rPr>
                <w:color w:val="000000"/>
                <w:sz w:val="16"/>
                <w:szCs w:val="16"/>
                <w:lang w:eastAsia="en-AU"/>
              </w:rPr>
            </w:pPr>
            <w:r w:rsidRPr="00C10545">
              <w:rPr>
                <w:color w:val="000000"/>
                <w:sz w:val="16"/>
                <w:szCs w:val="16"/>
                <w:lang w:eastAsia="en-AU"/>
              </w:rPr>
              <w:t>49.3</w:t>
            </w:r>
          </w:p>
        </w:tc>
        <w:tc>
          <w:tcPr>
            <w:tcW w:w="374" w:type="pct"/>
            <w:tcBorders>
              <w:top w:val="nil"/>
              <w:left w:val="nil"/>
              <w:bottom w:val="single" w:sz="4" w:space="0" w:color="auto"/>
              <w:right w:val="single" w:sz="8" w:space="0" w:color="auto"/>
            </w:tcBorders>
            <w:shd w:val="clear" w:color="000000" w:fill="F2F2F2"/>
            <w:noWrap/>
            <w:vAlign w:val="bottom"/>
            <w:hideMark/>
          </w:tcPr>
          <w:p w14:paraId="4FA351E4" w14:textId="77777777" w:rsidR="009A356E" w:rsidRPr="00C10545" w:rsidRDefault="009A356E" w:rsidP="009A356E">
            <w:pPr>
              <w:jc w:val="right"/>
              <w:rPr>
                <w:color w:val="000000"/>
                <w:sz w:val="16"/>
                <w:szCs w:val="16"/>
                <w:lang w:eastAsia="en-AU"/>
              </w:rPr>
            </w:pPr>
            <w:r w:rsidRPr="00C10545">
              <w:rPr>
                <w:color w:val="000000"/>
                <w:sz w:val="16"/>
                <w:szCs w:val="16"/>
                <w:lang w:eastAsia="en-AU"/>
              </w:rPr>
              <w:t>3.41%</w:t>
            </w:r>
          </w:p>
        </w:tc>
        <w:tc>
          <w:tcPr>
            <w:tcW w:w="475" w:type="pct"/>
            <w:tcBorders>
              <w:top w:val="nil"/>
              <w:left w:val="nil"/>
              <w:bottom w:val="single" w:sz="4" w:space="0" w:color="auto"/>
              <w:right w:val="single" w:sz="4" w:space="0" w:color="auto"/>
            </w:tcBorders>
            <w:shd w:val="clear" w:color="000000" w:fill="D9D9D9"/>
            <w:noWrap/>
            <w:vAlign w:val="bottom"/>
            <w:hideMark/>
          </w:tcPr>
          <w:p w14:paraId="47897F87" w14:textId="77777777" w:rsidR="009A356E" w:rsidRPr="00C10545" w:rsidRDefault="009A356E" w:rsidP="009A356E">
            <w:pPr>
              <w:rPr>
                <w:color w:val="000000"/>
                <w:sz w:val="16"/>
                <w:szCs w:val="16"/>
                <w:lang w:eastAsia="en-AU"/>
              </w:rPr>
            </w:pPr>
            <w:r w:rsidRPr="00C10545">
              <w:rPr>
                <w:color w:val="000000"/>
                <w:sz w:val="16"/>
                <w:szCs w:val="16"/>
                <w:lang w:eastAsia="en-AU"/>
              </w:rPr>
              <w:t xml:space="preserve">      684.1 </w:t>
            </w:r>
          </w:p>
        </w:tc>
        <w:tc>
          <w:tcPr>
            <w:tcW w:w="422" w:type="pct"/>
            <w:tcBorders>
              <w:top w:val="nil"/>
              <w:left w:val="nil"/>
              <w:bottom w:val="single" w:sz="4" w:space="0" w:color="auto"/>
              <w:right w:val="single" w:sz="8" w:space="0" w:color="auto"/>
            </w:tcBorders>
            <w:shd w:val="clear" w:color="000000" w:fill="D9D9D9"/>
            <w:noWrap/>
            <w:vAlign w:val="bottom"/>
            <w:hideMark/>
          </w:tcPr>
          <w:p w14:paraId="00EE46DF" w14:textId="77777777" w:rsidR="009A356E" w:rsidRPr="00C10545" w:rsidRDefault="009A356E" w:rsidP="009A356E">
            <w:pPr>
              <w:jc w:val="right"/>
              <w:rPr>
                <w:color w:val="000000"/>
                <w:sz w:val="16"/>
                <w:szCs w:val="16"/>
                <w:lang w:eastAsia="en-AU"/>
              </w:rPr>
            </w:pPr>
            <w:r w:rsidRPr="00C10545">
              <w:rPr>
                <w:color w:val="000000"/>
                <w:sz w:val="16"/>
                <w:szCs w:val="16"/>
                <w:lang w:eastAsia="en-AU"/>
              </w:rPr>
              <w:t>3.86%</w:t>
            </w:r>
          </w:p>
        </w:tc>
        <w:tc>
          <w:tcPr>
            <w:tcW w:w="342" w:type="pct"/>
            <w:tcBorders>
              <w:top w:val="nil"/>
              <w:left w:val="nil"/>
              <w:bottom w:val="single" w:sz="4" w:space="0" w:color="auto"/>
              <w:right w:val="single" w:sz="4" w:space="0" w:color="auto"/>
            </w:tcBorders>
            <w:shd w:val="clear" w:color="000000" w:fill="BFBFBF"/>
            <w:noWrap/>
            <w:vAlign w:val="bottom"/>
            <w:hideMark/>
          </w:tcPr>
          <w:p w14:paraId="502190E8" w14:textId="77777777" w:rsidR="009A356E" w:rsidRPr="00C10545" w:rsidRDefault="009A356E" w:rsidP="009A356E">
            <w:pPr>
              <w:jc w:val="right"/>
              <w:rPr>
                <w:color w:val="000000"/>
                <w:sz w:val="16"/>
                <w:szCs w:val="16"/>
                <w:lang w:eastAsia="en-AU"/>
              </w:rPr>
            </w:pPr>
            <w:r w:rsidRPr="00C10545">
              <w:rPr>
                <w:color w:val="000000"/>
                <w:sz w:val="16"/>
                <w:szCs w:val="16"/>
                <w:lang w:eastAsia="en-AU"/>
              </w:rPr>
              <w:t>67.4</w:t>
            </w:r>
          </w:p>
        </w:tc>
        <w:tc>
          <w:tcPr>
            <w:tcW w:w="374" w:type="pct"/>
            <w:tcBorders>
              <w:top w:val="nil"/>
              <w:left w:val="nil"/>
              <w:bottom w:val="single" w:sz="4" w:space="0" w:color="auto"/>
              <w:right w:val="single" w:sz="8" w:space="0" w:color="auto"/>
            </w:tcBorders>
            <w:shd w:val="clear" w:color="000000" w:fill="BFBFBF"/>
            <w:noWrap/>
            <w:vAlign w:val="bottom"/>
            <w:hideMark/>
          </w:tcPr>
          <w:p w14:paraId="32C10174" w14:textId="77777777" w:rsidR="009A356E" w:rsidRPr="00C10545" w:rsidRDefault="009A356E" w:rsidP="009A356E">
            <w:pPr>
              <w:jc w:val="right"/>
              <w:rPr>
                <w:color w:val="000000"/>
                <w:sz w:val="16"/>
                <w:szCs w:val="16"/>
                <w:lang w:eastAsia="en-AU"/>
              </w:rPr>
            </w:pPr>
            <w:r w:rsidRPr="00C10545">
              <w:rPr>
                <w:color w:val="000000"/>
                <w:sz w:val="16"/>
                <w:szCs w:val="16"/>
                <w:lang w:eastAsia="en-AU"/>
              </w:rPr>
              <w:t>3.36%</w:t>
            </w:r>
          </w:p>
        </w:tc>
        <w:tc>
          <w:tcPr>
            <w:tcW w:w="374" w:type="pct"/>
            <w:tcBorders>
              <w:top w:val="nil"/>
              <w:left w:val="nil"/>
              <w:bottom w:val="single" w:sz="4" w:space="0" w:color="auto"/>
              <w:right w:val="single" w:sz="4" w:space="0" w:color="auto"/>
            </w:tcBorders>
            <w:shd w:val="clear" w:color="000000" w:fill="95B3D7"/>
            <w:noWrap/>
            <w:vAlign w:val="bottom"/>
            <w:hideMark/>
          </w:tcPr>
          <w:p w14:paraId="31619708" w14:textId="77777777" w:rsidR="009A356E" w:rsidRPr="00C10545" w:rsidRDefault="009A356E" w:rsidP="009A356E">
            <w:pPr>
              <w:jc w:val="right"/>
              <w:rPr>
                <w:color w:val="000000"/>
                <w:sz w:val="16"/>
                <w:szCs w:val="16"/>
                <w:lang w:eastAsia="en-AU"/>
              </w:rPr>
            </w:pPr>
            <w:r w:rsidRPr="00C10545">
              <w:rPr>
                <w:color w:val="000000"/>
                <w:sz w:val="16"/>
                <w:szCs w:val="16"/>
                <w:lang w:eastAsia="en-AU"/>
              </w:rPr>
              <w:t>2.89%</w:t>
            </w:r>
          </w:p>
        </w:tc>
        <w:tc>
          <w:tcPr>
            <w:tcW w:w="374" w:type="pct"/>
            <w:tcBorders>
              <w:top w:val="nil"/>
              <w:left w:val="nil"/>
              <w:bottom w:val="single" w:sz="4" w:space="0" w:color="auto"/>
              <w:right w:val="single" w:sz="8" w:space="0" w:color="auto"/>
            </w:tcBorders>
            <w:shd w:val="clear" w:color="000000" w:fill="00B0F0"/>
            <w:noWrap/>
            <w:vAlign w:val="bottom"/>
            <w:hideMark/>
          </w:tcPr>
          <w:p w14:paraId="07EBEA39" w14:textId="77777777" w:rsidR="009A356E" w:rsidRPr="00C10545" w:rsidRDefault="009A356E" w:rsidP="009A356E">
            <w:pPr>
              <w:jc w:val="right"/>
              <w:rPr>
                <w:color w:val="000000"/>
                <w:sz w:val="16"/>
                <w:szCs w:val="16"/>
                <w:lang w:eastAsia="en-AU"/>
              </w:rPr>
            </w:pPr>
            <w:r w:rsidRPr="00C10545">
              <w:rPr>
                <w:color w:val="000000"/>
                <w:sz w:val="16"/>
                <w:szCs w:val="16"/>
                <w:lang w:eastAsia="en-AU"/>
              </w:rPr>
              <w:t>3.18%</w:t>
            </w:r>
          </w:p>
        </w:tc>
      </w:tr>
      <w:tr w:rsidR="009A356E" w:rsidRPr="00C96EAB" w14:paraId="0AF73DC5" w14:textId="77777777" w:rsidTr="009A356E">
        <w:trPr>
          <w:trHeight w:val="225"/>
        </w:trPr>
        <w:tc>
          <w:tcPr>
            <w:tcW w:w="523" w:type="pct"/>
            <w:tcBorders>
              <w:top w:val="nil"/>
              <w:left w:val="single" w:sz="8" w:space="0" w:color="auto"/>
              <w:bottom w:val="single" w:sz="4" w:space="0" w:color="auto"/>
              <w:right w:val="nil"/>
            </w:tcBorders>
            <w:shd w:val="clear" w:color="auto" w:fill="auto"/>
            <w:noWrap/>
            <w:vAlign w:val="bottom"/>
            <w:hideMark/>
          </w:tcPr>
          <w:p w14:paraId="11BA2B3C" w14:textId="77777777" w:rsidR="009A356E" w:rsidRPr="00C10545" w:rsidRDefault="009A356E" w:rsidP="009A356E">
            <w:pPr>
              <w:rPr>
                <w:color w:val="000000"/>
                <w:sz w:val="16"/>
                <w:szCs w:val="16"/>
                <w:lang w:eastAsia="en-AU"/>
              </w:rPr>
            </w:pPr>
            <w:r w:rsidRPr="00C10545">
              <w:rPr>
                <w:color w:val="000000"/>
                <w:sz w:val="16"/>
                <w:szCs w:val="16"/>
                <w:lang w:eastAsia="en-AU"/>
              </w:rPr>
              <w:t>2003</w:t>
            </w:r>
          </w:p>
        </w:tc>
        <w:tc>
          <w:tcPr>
            <w:tcW w:w="342" w:type="pct"/>
            <w:tcBorders>
              <w:top w:val="nil"/>
              <w:left w:val="single" w:sz="8" w:space="0" w:color="auto"/>
              <w:bottom w:val="single" w:sz="4" w:space="0" w:color="auto"/>
              <w:right w:val="single" w:sz="4" w:space="0" w:color="auto"/>
            </w:tcBorders>
            <w:shd w:val="clear" w:color="000000" w:fill="F2F2F2"/>
            <w:noWrap/>
            <w:vAlign w:val="bottom"/>
            <w:hideMark/>
          </w:tcPr>
          <w:p w14:paraId="2E195106" w14:textId="77777777" w:rsidR="009A356E" w:rsidRPr="00C10545" w:rsidRDefault="009A356E" w:rsidP="009A356E">
            <w:pPr>
              <w:jc w:val="right"/>
              <w:rPr>
                <w:color w:val="000000"/>
                <w:sz w:val="16"/>
                <w:szCs w:val="16"/>
                <w:lang w:eastAsia="en-AU"/>
              </w:rPr>
            </w:pPr>
            <w:r w:rsidRPr="00C10545">
              <w:rPr>
                <w:color w:val="000000"/>
                <w:sz w:val="16"/>
                <w:szCs w:val="16"/>
                <w:lang w:eastAsia="en-AU"/>
              </w:rPr>
              <w:t>250.6</w:t>
            </w:r>
          </w:p>
        </w:tc>
        <w:tc>
          <w:tcPr>
            <w:tcW w:w="342" w:type="pct"/>
            <w:tcBorders>
              <w:top w:val="nil"/>
              <w:left w:val="nil"/>
              <w:bottom w:val="single" w:sz="4" w:space="0" w:color="auto"/>
              <w:right w:val="single" w:sz="4" w:space="0" w:color="auto"/>
            </w:tcBorders>
            <w:shd w:val="clear" w:color="000000" w:fill="D9D9D9"/>
            <w:noWrap/>
            <w:vAlign w:val="bottom"/>
            <w:hideMark/>
          </w:tcPr>
          <w:p w14:paraId="1C462950" w14:textId="77777777" w:rsidR="009A356E" w:rsidRPr="00C10545" w:rsidRDefault="009A356E" w:rsidP="009A356E">
            <w:pPr>
              <w:jc w:val="right"/>
              <w:rPr>
                <w:color w:val="000000"/>
                <w:sz w:val="16"/>
                <w:szCs w:val="16"/>
                <w:lang w:eastAsia="en-AU"/>
              </w:rPr>
            </w:pPr>
            <w:r w:rsidRPr="00C10545">
              <w:rPr>
                <w:color w:val="000000"/>
                <w:sz w:val="16"/>
                <w:szCs w:val="16"/>
                <w:lang w:eastAsia="en-AU"/>
              </w:rPr>
              <w:t>93.0</w:t>
            </w:r>
          </w:p>
        </w:tc>
        <w:tc>
          <w:tcPr>
            <w:tcW w:w="342" w:type="pct"/>
            <w:tcBorders>
              <w:top w:val="nil"/>
              <w:left w:val="nil"/>
              <w:bottom w:val="single" w:sz="4" w:space="0" w:color="auto"/>
              <w:right w:val="single" w:sz="4" w:space="0" w:color="auto"/>
            </w:tcBorders>
            <w:shd w:val="clear" w:color="000000" w:fill="BFBFBF"/>
            <w:noWrap/>
            <w:vAlign w:val="bottom"/>
            <w:hideMark/>
          </w:tcPr>
          <w:p w14:paraId="4AABA0E4" w14:textId="77777777" w:rsidR="009A356E" w:rsidRPr="00C10545" w:rsidRDefault="009A356E" w:rsidP="009A356E">
            <w:pPr>
              <w:jc w:val="right"/>
              <w:rPr>
                <w:color w:val="000000"/>
                <w:sz w:val="16"/>
                <w:szCs w:val="16"/>
                <w:lang w:eastAsia="en-AU"/>
              </w:rPr>
            </w:pPr>
            <w:r w:rsidRPr="00C10545">
              <w:rPr>
                <w:color w:val="000000"/>
                <w:sz w:val="16"/>
                <w:szCs w:val="16"/>
                <w:lang w:eastAsia="en-AU"/>
              </w:rPr>
              <w:t>343.6</w:t>
            </w:r>
          </w:p>
        </w:tc>
        <w:tc>
          <w:tcPr>
            <w:tcW w:w="374" w:type="pct"/>
            <w:tcBorders>
              <w:top w:val="nil"/>
              <w:left w:val="nil"/>
              <w:bottom w:val="single" w:sz="4" w:space="0" w:color="auto"/>
              <w:right w:val="single" w:sz="8" w:space="0" w:color="auto"/>
            </w:tcBorders>
            <w:shd w:val="clear" w:color="000000" w:fill="BFBFBF"/>
            <w:noWrap/>
            <w:vAlign w:val="bottom"/>
            <w:hideMark/>
          </w:tcPr>
          <w:p w14:paraId="35481D36" w14:textId="77777777" w:rsidR="009A356E" w:rsidRPr="00C10545" w:rsidRDefault="009A356E" w:rsidP="009A356E">
            <w:pPr>
              <w:jc w:val="right"/>
              <w:rPr>
                <w:color w:val="000000"/>
                <w:sz w:val="16"/>
                <w:szCs w:val="16"/>
                <w:lang w:eastAsia="en-AU"/>
              </w:rPr>
            </w:pPr>
            <w:r w:rsidRPr="00C10545">
              <w:rPr>
                <w:color w:val="000000"/>
                <w:sz w:val="16"/>
                <w:szCs w:val="16"/>
                <w:lang w:eastAsia="en-AU"/>
              </w:rPr>
              <w:t>5.42%</w:t>
            </w:r>
          </w:p>
        </w:tc>
        <w:tc>
          <w:tcPr>
            <w:tcW w:w="342" w:type="pct"/>
            <w:tcBorders>
              <w:top w:val="nil"/>
              <w:left w:val="nil"/>
              <w:bottom w:val="single" w:sz="4" w:space="0" w:color="auto"/>
              <w:right w:val="single" w:sz="4" w:space="0" w:color="auto"/>
            </w:tcBorders>
            <w:shd w:val="clear" w:color="000000" w:fill="F2F2F2"/>
            <w:noWrap/>
            <w:vAlign w:val="bottom"/>
            <w:hideMark/>
          </w:tcPr>
          <w:p w14:paraId="2A9582B3" w14:textId="77777777" w:rsidR="009A356E" w:rsidRPr="00C10545" w:rsidRDefault="009A356E" w:rsidP="009A356E">
            <w:pPr>
              <w:jc w:val="right"/>
              <w:rPr>
                <w:color w:val="000000"/>
                <w:sz w:val="16"/>
                <w:szCs w:val="16"/>
                <w:lang w:eastAsia="en-AU"/>
              </w:rPr>
            </w:pPr>
            <w:r w:rsidRPr="00C10545">
              <w:rPr>
                <w:color w:val="000000"/>
                <w:sz w:val="16"/>
                <w:szCs w:val="16"/>
                <w:lang w:eastAsia="en-AU"/>
              </w:rPr>
              <w:t>51.5</w:t>
            </w:r>
          </w:p>
        </w:tc>
        <w:tc>
          <w:tcPr>
            <w:tcW w:w="374" w:type="pct"/>
            <w:tcBorders>
              <w:top w:val="nil"/>
              <w:left w:val="nil"/>
              <w:bottom w:val="single" w:sz="4" w:space="0" w:color="auto"/>
              <w:right w:val="single" w:sz="8" w:space="0" w:color="auto"/>
            </w:tcBorders>
            <w:shd w:val="clear" w:color="000000" w:fill="F2F2F2"/>
            <w:noWrap/>
            <w:vAlign w:val="bottom"/>
            <w:hideMark/>
          </w:tcPr>
          <w:p w14:paraId="44C3DDF3" w14:textId="77777777" w:rsidR="009A356E" w:rsidRPr="00C10545" w:rsidRDefault="009A356E" w:rsidP="009A356E">
            <w:pPr>
              <w:jc w:val="right"/>
              <w:rPr>
                <w:color w:val="000000"/>
                <w:sz w:val="16"/>
                <w:szCs w:val="16"/>
                <w:lang w:eastAsia="en-AU"/>
              </w:rPr>
            </w:pPr>
            <w:r w:rsidRPr="00C10545">
              <w:rPr>
                <w:color w:val="000000"/>
                <w:sz w:val="16"/>
                <w:szCs w:val="16"/>
                <w:lang w:eastAsia="en-AU"/>
              </w:rPr>
              <w:t>4.37%</w:t>
            </w:r>
          </w:p>
        </w:tc>
        <w:tc>
          <w:tcPr>
            <w:tcW w:w="475" w:type="pct"/>
            <w:tcBorders>
              <w:top w:val="nil"/>
              <w:left w:val="nil"/>
              <w:bottom w:val="single" w:sz="4" w:space="0" w:color="auto"/>
              <w:right w:val="single" w:sz="4" w:space="0" w:color="auto"/>
            </w:tcBorders>
            <w:shd w:val="clear" w:color="000000" w:fill="D9D9D9"/>
            <w:noWrap/>
            <w:vAlign w:val="bottom"/>
            <w:hideMark/>
          </w:tcPr>
          <w:p w14:paraId="292693B6" w14:textId="77777777" w:rsidR="009A356E" w:rsidRPr="00C10545" w:rsidRDefault="009A356E" w:rsidP="009A356E">
            <w:pPr>
              <w:rPr>
                <w:color w:val="000000"/>
                <w:sz w:val="16"/>
                <w:szCs w:val="16"/>
                <w:lang w:eastAsia="en-AU"/>
              </w:rPr>
            </w:pPr>
            <w:r w:rsidRPr="00C10545">
              <w:rPr>
                <w:color w:val="000000"/>
                <w:sz w:val="16"/>
                <w:szCs w:val="16"/>
                <w:lang w:eastAsia="en-AU"/>
              </w:rPr>
              <w:t xml:space="preserve">      723.4 </w:t>
            </w:r>
          </w:p>
        </w:tc>
        <w:tc>
          <w:tcPr>
            <w:tcW w:w="422" w:type="pct"/>
            <w:tcBorders>
              <w:top w:val="nil"/>
              <w:left w:val="nil"/>
              <w:bottom w:val="single" w:sz="4" w:space="0" w:color="auto"/>
              <w:right w:val="single" w:sz="8" w:space="0" w:color="auto"/>
            </w:tcBorders>
            <w:shd w:val="clear" w:color="000000" w:fill="D9D9D9"/>
            <w:noWrap/>
            <w:vAlign w:val="bottom"/>
            <w:hideMark/>
          </w:tcPr>
          <w:p w14:paraId="47FD7E30" w14:textId="77777777" w:rsidR="009A356E" w:rsidRPr="00C10545" w:rsidRDefault="009A356E" w:rsidP="009A356E">
            <w:pPr>
              <w:jc w:val="right"/>
              <w:rPr>
                <w:color w:val="000000"/>
                <w:sz w:val="16"/>
                <w:szCs w:val="16"/>
                <w:lang w:eastAsia="en-AU"/>
              </w:rPr>
            </w:pPr>
            <w:r w:rsidRPr="00C10545">
              <w:rPr>
                <w:color w:val="000000"/>
                <w:sz w:val="16"/>
                <w:szCs w:val="16"/>
                <w:lang w:eastAsia="en-AU"/>
              </w:rPr>
              <w:t>5.74%</w:t>
            </w:r>
          </w:p>
        </w:tc>
        <w:tc>
          <w:tcPr>
            <w:tcW w:w="342" w:type="pct"/>
            <w:tcBorders>
              <w:top w:val="nil"/>
              <w:left w:val="nil"/>
              <w:bottom w:val="single" w:sz="4" w:space="0" w:color="auto"/>
              <w:right w:val="single" w:sz="4" w:space="0" w:color="auto"/>
            </w:tcBorders>
            <w:shd w:val="clear" w:color="000000" w:fill="BFBFBF"/>
            <w:noWrap/>
            <w:vAlign w:val="bottom"/>
            <w:hideMark/>
          </w:tcPr>
          <w:p w14:paraId="62DEE5CE" w14:textId="77777777" w:rsidR="009A356E" w:rsidRPr="00C10545" w:rsidRDefault="009A356E" w:rsidP="009A356E">
            <w:pPr>
              <w:jc w:val="right"/>
              <w:rPr>
                <w:color w:val="000000"/>
                <w:sz w:val="16"/>
                <w:szCs w:val="16"/>
                <w:lang w:eastAsia="en-AU"/>
              </w:rPr>
            </w:pPr>
            <w:r w:rsidRPr="00C10545">
              <w:rPr>
                <w:color w:val="000000"/>
                <w:sz w:val="16"/>
                <w:szCs w:val="16"/>
                <w:lang w:eastAsia="en-AU"/>
              </w:rPr>
              <w:t>70.6</w:t>
            </w:r>
          </w:p>
        </w:tc>
        <w:tc>
          <w:tcPr>
            <w:tcW w:w="374" w:type="pct"/>
            <w:tcBorders>
              <w:top w:val="nil"/>
              <w:left w:val="nil"/>
              <w:bottom w:val="single" w:sz="4" w:space="0" w:color="auto"/>
              <w:right w:val="single" w:sz="8" w:space="0" w:color="auto"/>
            </w:tcBorders>
            <w:shd w:val="clear" w:color="000000" w:fill="BFBFBF"/>
            <w:noWrap/>
            <w:vAlign w:val="bottom"/>
            <w:hideMark/>
          </w:tcPr>
          <w:p w14:paraId="1C22FF08" w14:textId="77777777" w:rsidR="009A356E" w:rsidRPr="00C10545" w:rsidRDefault="009A356E" w:rsidP="009A356E">
            <w:pPr>
              <w:jc w:val="right"/>
              <w:rPr>
                <w:color w:val="000000"/>
                <w:sz w:val="16"/>
                <w:szCs w:val="16"/>
                <w:lang w:eastAsia="en-AU"/>
              </w:rPr>
            </w:pPr>
            <w:r w:rsidRPr="00C10545">
              <w:rPr>
                <w:color w:val="000000"/>
                <w:sz w:val="16"/>
                <w:szCs w:val="16"/>
                <w:lang w:eastAsia="en-AU"/>
              </w:rPr>
              <w:t>4.67%</w:t>
            </w:r>
          </w:p>
        </w:tc>
        <w:tc>
          <w:tcPr>
            <w:tcW w:w="374" w:type="pct"/>
            <w:tcBorders>
              <w:top w:val="nil"/>
              <w:left w:val="nil"/>
              <w:bottom w:val="single" w:sz="4" w:space="0" w:color="auto"/>
              <w:right w:val="single" w:sz="4" w:space="0" w:color="auto"/>
            </w:tcBorders>
            <w:shd w:val="clear" w:color="000000" w:fill="95B3D7"/>
            <w:noWrap/>
            <w:vAlign w:val="bottom"/>
            <w:hideMark/>
          </w:tcPr>
          <w:p w14:paraId="059E9EAA" w14:textId="77777777" w:rsidR="009A356E" w:rsidRPr="00C10545" w:rsidRDefault="009A356E" w:rsidP="009A356E">
            <w:pPr>
              <w:jc w:val="right"/>
              <w:rPr>
                <w:color w:val="000000"/>
                <w:sz w:val="16"/>
                <w:szCs w:val="16"/>
                <w:lang w:eastAsia="en-AU"/>
              </w:rPr>
            </w:pPr>
            <w:r w:rsidRPr="00C10545">
              <w:rPr>
                <w:color w:val="000000"/>
                <w:sz w:val="16"/>
                <w:szCs w:val="16"/>
                <w:lang w:eastAsia="en-AU"/>
              </w:rPr>
              <w:t>3.21%</w:t>
            </w:r>
          </w:p>
        </w:tc>
        <w:tc>
          <w:tcPr>
            <w:tcW w:w="374" w:type="pct"/>
            <w:tcBorders>
              <w:top w:val="nil"/>
              <w:left w:val="nil"/>
              <w:bottom w:val="single" w:sz="4" w:space="0" w:color="auto"/>
              <w:right w:val="single" w:sz="8" w:space="0" w:color="auto"/>
            </w:tcBorders>
            <w:shd w:val="clear" w:color="000000" w:fill="00B0F0"/>
            <w:noWrap/>
            <w:vAlign w:val="bottom"/>
            <w:hideMark/>
          </w:tcPr>
          <w:p w14:paraId="3139A18C" w14:textId="77777777" w:rsidR="009A356E" w:rsidRPr="00C10545" w:rsidRDefault="009A356E" w:rsidP="009A356E">
            <w:pPr>
              <w:jc w:val="right"/>
              <w:rPr>
                <w:color w:val="000000"/>
                <w:sz w:val="16"/>
                <w:szCs w:val="16"/>
                <w:lang w:eastAsia="en-AU"/>
              </w:rPr>
            </w:pPr>
            <w:r w:rsidRPr="00C10545">
              <w:rPr>
                <w:color w:val="000000"/>
                <w:sz w:val="16"/>
                <w:szCs w:val="16"/>
                <w:lang w:eastAsia="en-AU"/>
              </w:rPr>
              <w:t>3.32%</w:t>
            </w:r>
          </w:p>
        </w:tc>
      </w:tr>
      <w:tr w:rsidR="009A356E" w:rsidRPr="00C96EAB" w14:paraId="40DEB21B" w14:textId="77777777" w:rsidTr="009A356E">
        <w:trPr>
          <w:trHeight w:val="225"/>
        </w:trPr>
        <w:tc>
          <w:tcPr>
            <w:tcW w:w="523" w:type="pct"/>
            <w:tcBorders>
              <w:top w:val="nil"/>
              <w:left w:val="single" w:sz="8" w:space="0" w:color="auto"/>
              <w:bottom w:val="single" w:sz="4" w:space="0" w:color="auto"/>
              <w:right w:val="nil"/>
            </w:tcBorders>
            <w:shd w:val="clear" w:color="auto" w:fill="auto"/>
            <w:noWrap/>
            <w:vAlign w:val="bottom"/>
            <w:hideMark/>
          </w:tcPr>
          <w:p w14:paraId="4A097419" w14:textId="77777777" w:rsidR="009A356E" w:rsidRPr="00C10545" w:rsidRDefault="009A356E" w:rsidP="009A356E">
            <w:pPr>
              <w:rPr>
                <w:color w:val="000000"/>
                <w:sz w:val="16"/>
                <w:szCs w:val="16"/>
                <w:lang w:eastAsia="en-AU"/>
              </w:rPr>
            </w:pPr>
            <w:r w:rsidRPr="00C10545">
              <w:rPr>
                <w:color w:val="000000"/>
                <w:sz w:val="16"/>
                <w:szCs w:val="16"/>
                <w:lang w:eastAsia="en-AU"/>
              </w:rPr>
              <w:t>2004</w:t>
            </w:r>
          </w:p>
        </w:tc>
        <w:tc>
          <w:tcPr>
            <w:tcW w:w="342" w:type="pct"/>
            <w:tcBorders>
              <w:top w:val="nil"/>
              <w:left w:val="single" w:sz="8" w:space="0" w:color="auto"/>
              <w:bottom w:val="single" w:sz="4" w:space="0" w:color="auto"/>
              <w:right w:val="single" w:sz="4" w:space="0" w:color="auto"/>
            </w:tcBorders>
            <w:shd w:val="clear" w:color="000000" w:fill="F2F2F2"/>
            <w:noWrap/>
            <w:vAlign w:val="bottom"/>
            <w:hideMark/>
          </w:tcPr>
          <w:p w14:paraId="67B7D280" w14:textId="77777777" w:rsidR="009A356E" w:rsidRPr="00C10545" w:rsidRDefault="009A356E" w:rsidP="009A356E">
            <w:pPr>
              <w:jc w:val="right"/>
              <w:rPr>
                <w:color w:val="000000"/>
                <w:sz w:val="16"/>
                <w:szCs w:val="16"/>
                <w:lang w:eastAsia="en-AU"/>
              </w:rPr>
            </w:pPr>
            <w:r w:rsidRPr="00C10545">
              <w:rPr>
                <w:color w:val="000000"/>
                <w:sz w:val="16"/>
                <w:szCs w:val="16"/>
                <w:lang w:eastAsia="en-AU"/>
              </w:rPr>
              <w:t>259.9</w:t>
            </w:r>
          </w:p>
        </w:tc>
        <w:tc>
          <w:tcPr>
            <w:tcW w:w="342" w:type="pct"/>
            <w:tcBorders>
              <w:top w:val="nil"/>
              <w:left w:val="nil"/>
              <w:bottom w:val="single" w:sz="4" w:space="0" w:color="auto"/>
              <w:right w:val="single" w:sz="4" w:space="0" w:color="auto"/>
            </w:tcBorders>
            <w:shd w:val="clear" w:color="000000" w:fill="D9D9D9"/>
            <w:noWrap/>
            <w:vAlign w:val="bottom"/>
            <w:hideMark/>
          </w:tcPr>
          <w:p w14:paraId="1213562A" w14:textId="77777777" w:rsidR="009A356E" w:rsidRPr="00C10545" w:rsidRDefault="009A356E" w:rsidP="009A356E">
            <w:pPr>
              <w:jc w:val="right"/>
              <w:rPr>
                <w:color w:val="000000"/>
                <w:sz w:val="16"/>
                <w:szCs w:val="16"/>
                <w:lang w:eastAsia="en-AU"/>
              </w:rPr>
            </w:pPr>
            <w:r w:rsidRPr="00C10545">
              <w:rPr>
                <w:color w:val="000000"/>
                <w:sz w:val="16"/>
                <w:szCs w:val="16"/>
                <w:lang w:eastAsia="en-AU"/>
              </w:rPr>
              <w:t>96.0</w:t>
            </w:r>
          </w:p>
        </w:tc>
        <w:tc>
          <w:tcPr>
            <w:tcW w:w="342" w:type="pct"/>
            <w:tcBorders>
              <w:top w:val="nil"/>
              <w:left w:val="nil"/>
              <w:bottom w:val="single" w:sz="4" w:space="0" w:color="auto"/>
              <w:right w:val="single" w:sz="4" w:space="0" w:color="auto"/>
            </w:tcBorders>
            <w:shd w:val="clear" w:color="000000" w:fill="BFBFBF"/>
            <w:noWrap/>
            <w:vAlign w:val="bottom"/>
            <w:hideMark/>
          </w:tcPr>
          <w:p w14:paraId="0ADD3EAF" w14:textId="77777777" w:rsidR="009A356E" w:rsidRPr="00C10545" w:rsidRDefault="009A356E" w:rsidP="009A356E">
            <w:pPr>
              <w:jc w:val="right"/>
              <w:rPr>
                <w:color w:val="000000"/>
                <w:sz w:val="16"/>
                <w:szCs w:val="16"/>
                <w:lang w:eastAsia="en-AU"/>
              </w:rPr>
            </w:pPr>
            <w:r w:rsidRPr="00C10545">
              <w:rPr>
                <w:color w:val="000000"/>
                <w:sz w:val="16"/>
                <w:szCs w:val="16"/>
                <w:lang w:eastAsia="en-AU"/>
              </w:rPr>
              <w:t>355.9</w:t>
            </w:r>
          </w:p>
        </w:tc>
        <w:tc>
          <w:tcPr>
            <w:tcW w:w="374" w:type="pct"/>
            <w:tcBorders>
              <w:top w:val="nil"/>
              <w:left w:val="nil"/>
              <w:bottom w:val="single" w:sz="4" w:space="0" w:color="auto"/>
              <w:right w:val="single" w:sz="8" w:space="0" w:color="auto"/>
            </w:tcBorders>
            <w:shd w:val="clear" w:color="000000" w:fill="BFBFBF"/>
            <w:noWrap/>
            <w:vAlign w:val="bottom"/>
            <w:hideMark/>
          </w:tcPr>
          <w:p w14:paraId="64BA869B" w14:textId="77777777" w:rsidR="009A356E" w:rsidRPr="00C10545" w:rsidRDefault="009A356E" w:rsidP="009A356E">
            <w:pPr>
              <w:jc w:val="right"/>
              <w:rPr>
                <w:color w:val="000000"/>
                <w:sz w:val="16"/>
                <w:szCs w:val="16"/>
                <w:lang w:eastAsia="en-AU"/>
              </w:rPr>
            </w:pPr>
            <w:r w:rsidRPr="00C10545">
              <w:rPr>
                <w:color w:val="000000"/>
                <w:sz w:val="16"/>
                <w:szCs w:val="16"/>
                <w:lang w:eastAsia="en-AU"/>
              </w:rPr>
              <w:t>3.57%</w:t>
            </w:r>
          </w:p>
        </w:tc>
        <w:tc>
          <w:tcPr>
            <w:tcW w:w="342" w:type="pct"/>
            <w:tcBorders>
              <w:top w:val="nil"/>
              <w:left w:val="nil"/>
              <w:bottom w:val="single" w:sz="4" w:space="0" w:color="auto"/>
              <w:right w:val="single" w:sz="4" w:space="0" w:color="auto"/>
            </w:tcBorders>
            <w:shd w:val="clear" w:color="000000" w:fill="F2F2F2"/>
            <w:noWrap/>
            <w:vAlign w:val="bottom"/>
            <w:hideMark/>
          </w:tcPr>
          <w:p w14:paraId="62CAC9A3" w14:textId="77777777" w:rsidR="009A356E" w:rsidRPr="00C10545" w:rsidRDefault="009A356E" w:rsidP="009A356E">
            <w:pPr>
              <w:jc w:val="right"/>
              <w:rPr>
                <w:color w:val="000000"/>
                <w:sz w:val="16"/>
                <w:szCs w:val="16"/>
                <w:lang w:eastAsia="en-AU"/>
              </w:rPr>
            </w:pPr>
            <w:r w:rsidRPr="00C10545">
              <w:rPr>
                <w:color w:val="000000"/>
                <w:sz w:val="16"/>
                <w:szCs w:val="16"/>
                <w:lang w:eastAsia="en-AU"/>
              </w:rPr>
              <w:t>53.1</w:t>
            </w:r>
          </w:p>
        </w:tc>
        <w:tc>
          <w:tcPr>
            <w:tcW w:w="374" w:type="pct"/>
            <w:tcBorders>
              <w:top w:val="nil"/>
              <w:left w:val="nil"/>
              <w:bottom w:val="single" w:sz="4" w:space="0" w:color="auto"/>
              <w:right w:val="single" w:sz="8" w:space="0" w:color="auto"/>
            </w:tcBorders>
            <w:shd w:val="clear" w:color="000000" w:fill="F2F2F2"/>
            <w:noWrap/>
            <w:vAlign w:val="bottom"/>
            <w:hideMark/>
          </w:tcPr>
          <w:p w14:paraId="18A6708C" w14:textId="77777777" w:rsidR="009A356E" w:rsidRPr="00C10545" w:rsidRDefault="009A356E" w:rsidP="009A356E">
            <w:pPr>
              <w:jc w:val="right"/>
              <w:rPr>
                <w:color w:val="000000"/>
                <w:sz w:val="16"/>
                <w:szCs w:val="16"/>
                <w:lang w:eastAsia="en-AU"/>
              </w:rPr>
            </w:pPr>
            <w:r w:rsidRPr="00C10545">
              <w:rPr>
                <w:color w:val="000000"/>
                <w:sz w:val="16"/>
                <w:szCs w:val="16"/>
                <w:lang w:eastAsia="en-AU"/>
              </w:rPr>
              <w:t>3.06%</w:t>
            </w:r>
          </w:p>
        </w:tc>
        <w:tc>
          <w:tcPr>
            <w:tcW w:w="475" w:type="pct"/>
            <w:tcBorders>
              <w:top w:val="nil"/>
              <w:left w:val="nil"/>
              <w:bottom w:val="single" w:sz="4" w:space="0" w:color="auto"/>
              <w:right w:val="single" w:sz="4" w:space="0" w:color="auto"/>
            </w:tcBorders>
            <w:shd w:val="clear" w:color="000000" w:fill="D9D9D9"/>
            <w:noWrap/>
            <w:vAlign w:val="bottom"/>
            <w:hideMark/>
          </w:tcPr>
          <w:p w14:paraId="443867C7" w14:textId="77777777" w:rsidR="009A356E" w:rsidRPr="00C10545" w:rsidRDefault="009A356E" w:rsidP="009A356E">
            <w:pPr>
              <w:rPr>
                <w:color w:val="000000"/>
                <w:sz w:val="16"/>
                <w:szCs w:val="16"/>
                <w:lang w:eastAsia="en-AU"/>
              </w:rPr>
            </w:pPr>
            <w:r w:rsidRPr="00C10545">
              <w:rPr>
                <w:color w:val="000000"/>
                <w:sz w:val="16"/>
                <w:szCs w:val="16"/>
                <w:lang w:eastAsia="en-AU"/>
              </w:rPr>
              <w:t xml:space="preserve">      744.4 </w:t>
            </w:r>
          </w:p>
        </w:tc>
        <w:tc>
          <w:tcPr>
            <w:tcW w:w="422" w:type="pct"/>
            <w:tcBorders>
              <w:top w:val="nil"/>
              <w:left w:val="nil"/>
              <w:bottom w:val="single" w:sz="4" w:space="0" w:color="auto"/>
              <w:right w:val="single" w:sz="8" w:space="0" w:color="auto"/>
            </w:tcBorders>
            <w:shd w:val="clear" w:color="000000" w:fill="D9D9D9"/>
            <w:noWrap/>
            <w:vAlign w:val="bottom"/>
            <w:hideMark/>
          </w:tcPr>
          <w:p w14:paraId="42F20A9E" w14:textId="77777777" w:rsidR="009A356E" w:rsidRPr="00C10545" w:rsidRDefault="009A356E" w:rsidP="009A356E">
            <w:pPr>
              <w:jc w:val="right"/>
              <w:rPr>
                <w:color w:val="000000"/>
                <w:sz w:val="16"/>
                <w:szCs w:val="16"/>
                <w:lang w:eastAsia="en-AU"/>
              </w:rPr>
            </w:pPr>
            <w:r w:rsidRPr="00C10545">
              <w:rPr>
                <w:color w:val="000000"/>
                <w:sz w:val="16"/>
                <w:szCs w:val="16"/>
                <w:lang w:eastAsia="en-AU"/>
              </w:rPr>
              <w:t>2.90%</w:t>
            </w:r>
          </w:p>
        </w:tc>
        <w:tc>
          <w:tcPr>
            <w:tcW w:w="342" w:type="pct"/>
            <w:tcBorders>
              <w:top w:val="nil"/>
              <w:left w:val="nil"/>
              <w:bottom w:val="single" w:sz="4" w:space="0" w:color="auto"/>
              <w:right w:val="single" w:sz="4" w:space="0" w:color="auto"/>
            </w:tcBorders>
            <w:shd w:val="clear" w:color="000000" w:fill="BFBFBF"/>
            <w:noWrap/>
            <w:vAlign w:val="bottom"/>
            <w:hideMark/>
          </w:tcPr>
          <w:p w14:paraId="5A8E3A9F" w14:textId="77777777" w:rsidR="009A356E" w:rsidRPr="00C10545" w:rsidRDefault="009A356E" w:rsidP="009A356E">
            <w:pPr>
              <w:jc w:val="right"/>
              <w:rPr>
                <w:color w:val="000000"/>
                <w:sz w:val="16"/>
                <w:szCs w:val="16"/>
                <w:lang w:eastAsia="en-AU"/>
              </w:rPr>
            </w:pPr>
            <w:r w:rsidRPr="00C10545">
              <w:rPr>
                <w:color w:val="000000"/>
                <w:sz w:val="16"/>
                <w:szCs w:val="16"/>
                <w:lang w:eastAsia="en-AU"/>
              </w:rPr>
              <w:t>72.6</w:t>
            </w:r>
          </w:p>
        </w:tc>
        <w:tc>
          <w:tcPr>
            <w:tcW w:w="374" w:type="pct"/>
            <w:tcBorders>
              <w:top w:val="nil"/>
              <w:left w:val="nil"/>
              <w:bottom w:val="single" w:sz="4" w:space="0" w:color="auto"/>
              <w:right w:val="single" w:sz="8" w:space="0" w:color="auto"/>
            </w:tcBorders>
            <w:shd w:val="clear" w:color="000000" w:fill="BFBFBF"/>
            <w:noWrap/>
            <w:vAlign w:val="bottom"/>
            <w:hideMark/>
          </w:tcPr>
          <w:p w14:paraId="1D6BBCD5" w14:textId="77777777" w:rsidR="009A356E" w:rsidRPr="00C10545" w:rsidRDefault="009A356E" w:rsidP="009A356E">
            <w:pPr>
              <w:jc w:val="right"/>
              <w:rPr>
                <w:color w:val="000000"/>
                <w:sz w:val="16"/>
                <w:szCs w:val="16"/>
                <w:lang w:eastAsia="en-AU"/>
              </w:rPr>
            </w:pPr>
            <w:r w:rsidRPr="00C10545">
              <w:rPr>
                <w:color w:val="000000"/>
                <w:sz w:val="16"/>
                <w:szCs w:val="16"/>
                <w:lang w:eastAsia="en-AU"/>
              </w:rPr>
              <w:t>2.90%</w:t>
            </w:r>
          </w:p>
        </w:tc>
        <w:tc>
          <w:tcPr>
            <w:tcW w:w="374" w:type="pct"/>
            <w:tcBorders>
              <w:top w:val="nil"/>
              <w:left w:val="nil"/>
              <w:bottom w:val="single" w:sz="4" w:space="0" w:color="auto"/>
              <w:right w:val="single" w:sz="4" w:space="0" w:color="auto"/>
            </w:tcBorders>
            <w:shd w:val="clear" w:color="000000" w:fill="95B3D7"/>
            <w:noWrap/>
            <w:vAlign w:val="bottom"/>
            <w:hideMark/>
          </w:tcPr>
          <w:p w14:paraId="4937ED67" w14:textId="77777777" w:rsidR="009A356E" w:rsidRPr="00C10545" w:rsidRDefault="009A356E" w:rsidP="009A356E">
            <w:pPr>
              <w:jc w:val="right"/>
              <w:rPr>
                <w:color w:val="000000"/>
                <w:sz w:val="16"/>
                <w:szCs w:val="16"/>
                <w:lang w:eastAsia="en-AU"/>
              </w:rPr>
            </w:pPr>
            <w:r w:rsidRPr="00C10545">
              <w:rPr>
                <w:color w:val="000000"/>
                <w:sz w:val="16"/>
                <w:szCs w:val="16"/>
                <w:lang w:eastAsia="en-AU"/>
              </w:rPr>
              <w:t>2.33%</w:t>
            </w:r>
          </w:p>
        </w:tc>
        <w:tc>
          <w:tcPr>
            <w:tcW w:w="374" w:type="pct"/>
            <w:tcBorders>
              <w:top w:val="nil"/>
              <w:left w:val="nil"/>
              <w:bottom w:val="single" w:sz="4" w:space="0" w:color="auto"/>
              <w:right w:val="single" w:sz="8" w:space="0" w:color="auto"/>
            </w:tcBorders>
            <w:shd w:val="clear" w:color="000000" w:fill="00B0F0"/>
            <w:noWrap/>
            <w:vAlign w:val="bottom"/>
            <w:hideMark/>
          </w:tcPr>
          <w:p w14:paraId="019B60D6" w14:textId="77777777" w:rsidR="009A356E" w:rsidRPr="00C10545" w:rsidRDefault="009A356E" w:rsidP="009A356E">
            <w:pPr>
              <w:jc w:val="right"/>
              <w:rPr>
                <w:color w:val="000000"/>
                <w:sz w:val="16"/>
                <w:szCs w:val="16"/>
                <w:lang w:eastAsia="en-AU"/>
              </w:rPr>
            </w:pPr>
            <w:r w:rsidRPr="00C10545">
              <w:rPr>
                <w:color w:val="000000"/>
                <w:sz w:val="16"/>
                <w:szCs w:val="16"/>
                <w:lang w:eastAsia="en-AU"/>
              </w:rPr>
              <w:t>2.69%</w:t>
            </w:r>
          </w:p>
        </w:tc>
      </w:tr>
      <w:tr w:rsidR="009A356E" w:rsidRPr="00C96EAB" w14:paraId="44BDCC49" w14:textId="77777777" w:rsidTr="009A356E">
        <w:trPr>
          <w:trHeight w:val="225"/>
        </w:trPr>
        <w:tc>
          <w:tcPr>
            <w:tcW w:w="523" w:type="pct"/>
            <w:tcBorders>
              <w:top w:val="nil"/>
              <w:left w:val="single" w:sz="8" w:space="0" w:color="auto"/>
              <w:bottom w:val="single" w:sz="4" w:space="0" w:color="auto"/>
              <w:right w:val="nil"/>
            </w:tcBorders>
            <w:shd w:val="clear" w:color="auto" w:fill="auto"/>
            <w:noWrap/>
            <w:vAlign w:val="bottom"/>
            <w:hideMark/>
          </w:tcPr>
          <w:p w14:paraId="3A6390C6" w14:textId="77777777" w:rsidR="009A356E" w:rsidRPr="00C10545" w:rsidRDefault="009A356E" w:rsidP="009A356E">
            <w:pPr>
              <w:rPr>
                <w:color w:val="000000"/>
                <w:sz w:val="16"/>
                <w:szCs w:val="16"/>
                <w:lang w:eastAsia="en-AU"/>
              </w:rPr>
            </w:pPr>
            <w:r w:rsidRPr="00C10545">
              <w:rPr>
                <w:color w:val="000000"/>
                <w:sz w:val="16"/>
                <w:szCs w:val="16"/>
                <w:lang w:eastAsia="en-AU"/>
              </w:rPr>
              <w:t>2005</w:t>
            </w:r>
          </w:p>
        </w:tc>
        <w:tc>
          <w:tcPr>
            <w:tcW w:w="342" w:type="pct"/>
            <w:tcBorders>
              <w:top w:val="nil"/>
              <w:left w:val="single" w:sz="8" w:space="0" w:color="auto"/>
              <w:bottom w:val="single" w:sz="4" w:space="0" w:color="auto"/>
              <w:right w:val="single" w:sz="4" w:space="0" w:color="auto"/>
            </w:tcBorders>
            <w:shd w:val="clear" w:color="000000" w:fill="F2F2F2"/>
            <w:noWrap/>
            <w:vAlign w:val="bottom"/>
            <w:hideMark/>
          </w:tcPr>
          <w:p w14:paraId="18B5CE81" w14:textId="77777777" w:rsidR="009A356E" w:rsidRPr="00C10545" w:rsidRDefault="009A356E" w:rsidP="009A356E">
            <w:pPr>
              <w:jc w:val="right"/>
              <w:rPr>
                <w:color w:val="000000"/>
                <w:sz w:val="16"/>
                <w:szCs w:val="16"/>
                <w:lang w:eastAsia="en-AU"/>
              </w:rPr>
            </w:pPr>
            <w:r w:rsidRPr="00C10545">
              <w:rPr>
                <w:color w:val="000000"/>
                <w:sz w:val="16"/>
                <w:szCs w:val="16"/>
                <w:lang w:eastAsia="en-AU"/>
              </w:rPr>
              <w:t>263.2</w:t>
            </w:r>
          </w:p>
        </w:tc>
        <w:tc>
          <w:tcPr>
            <w:tcW w:w="342" w:type="pct"/>
            <w:tcBorders>
              <w:top w:val="nil"/>
              <w:left w:val="nil"/>
              <w:bottom w:val="single" w:sz="4" w:space="0" w:color="auto"/>
              <w:right w:val="single" w:sz="4" w:space="0" w:color="auto"/>
            </w:tcBorders>
            <w:shd w:val="clear" w:color="000000" w:fill="D9D9D9"/>
            <w:noWrap/>
            <w:vAlign w:val="bottom"/>
            <w:hideMark/>
          </w:tcPr>
          <w:p w14:paraId="11BFE4C9" w14:textId="77777777" w:rsidR="009A356E" w:rsidRPr="00C10545" w:rsidRDefault="009A356E" w:rsidP="009A356E">
            <w:pPr>
              <w:jc w:val="right"/>
              <w:rPr>
                <w:color w:val="000000"/>
                <w:sz w:val="16"/>
                <w:szCs w:val="16"/>
                <w:lang w:eastAsia="en-AU"/>
              </w:rPr>
            </w:pPr>
            <w:r w:rsidRPr="00C10545">
              <w:rPr>
                <w:color w:val="000000"/>
                <w:sz w:val="16"/>
                <w:szCs w:val="16"/>
                <w:lang w:eastAsia="en-AU"/>
              </w:rPr>
              <w:t>97.6</w:t>
            </w:r>
          </w:p>
        </w:tc>
        <w:tc>
          <w:tcPr>
            <w:tcW w:w="342" w:type="pct"/>
            <w:tcBorders>
              <w:top w:val="nil"/>
              <w:left w:val="nil"/>
              <w:bottom w:val="single" w:sz="4" w:space="0" w:color="auto"/>
              <w:right w:val="single" w:sz="4" w:space="0" w:color="auto"/>
            </w:tcBorders>
            <w:shd w:val="clear" w:color="000000" w:fill="BFBFBF"/>
            <w:noWrap/>
            <w:vAlign w:val="bottom"/>
            <w:hideMark/>
          </w:tcPr>
          <w:p w14:paraId="09B8B629" w14:textId="77777777" w:rsidR="009A356E" w:rsidRPr="00C10545" w:rsidRDefault="009A356E" w:rsidP="009A356E">
            <w:pPr>
              <w:jc w:val="right"/>
              <w:rPr>
                <w:color w:val="000000"/>
                <w:sz w:val="16"/>
                <w:szCs w:val="16"/>
                <w:lang w:eastAsia="en-AU"/>
              </w:rPr>
            </w:pPr>
            <w:r w:rsidRPr="00C10545">
              <w:rPr>
                <w:color w:val="000000"/>
                <w:sz w:val="16"/>
                <w:szCs w:val="16"/>
                <w:lang w:eastAsia="en-AU"/>
              </w:rPr>
              <w:t>360.8</w:t>
            </w:r>
          </w:p>
        </w:tc>
        <w:tc>
          <w:tcPr>
            <w:tcW w:w="374" w:type="pct"/>
            <w:tcBorders>
              <w:top w:val="nil"/>
              <w:left w:val="nil"/>
              <w:bottom w:val="single" w:sz="4" w:space="0" w:color="auto"/>
              <w:right w:val="single" w:sz="8" w:space="0" w:color="auto"/>
            </w:tcBorders>
            <w:shd w:val="clear" w:color="000000" w:fill="BFBFBF"/>
            <w:noWrap/>
            <w:vAlign w:val="bottom"/>
            <w:hideMark/>
          </w:tcPr>
          <w:p w14:paraId="0E30ECC8" w14:textId="77777777" w:rsidR="009A356E" w:rsidRPr="00C10545" w:rsidRDefault="009A356E" w:rsidP="009A356E">
            <w:pPr>
              <w:jc w:val="right"/>
              <w:rPr>
                <w:color w:val="000000"/>
                <w:sz w:val="16"/>
                <w:szCs w:val="16"/>
                <w:lang w:eastAsia="en-AU"/>
              </w:rPr>
            </w:pPr>
            <w:r w:rsidRPr="00C10545">
              <w:rPr>
                <w:color w:val="000000"/>
                <w:sz w:val="16"/>
                <w:szCs w:val="16"/>
                <w:lang w:eastAsia="en-AU"/>
              </w:rPr>
              <w:t>1.38%</w:t>
            </w:r>
          </w:p>
        </w:tc>
        <w:tc>
          <w:tcPr>
            <w:tcW w:w="342" w:type="pct"/>
            <w:tcBorders>
              <w:top w:val="nil"/>
              <w:left w:val="nil"/>
              <w:bottom w:val="single" w:sz="4" w:space="0" w:color="auto"/>
              <w:right w:val="single" w:sz="4" w:space="0" w:color="auto"/>
            </w:tcBorders>
            <w:shd w:val="clear" w:color="000000" w:fill="F2F2F2"/>
            <w:noWrap/>
            <w:vAlign w:val="bottom"/>
            <w:hideMark/>
          </w:tcPr>
          <w:p w14:paraId="05F87CBE" w14:textId="77777777" w:rsidR="009A356E" w:rsidRPr="00C10545" w:rsidRDefault="009A356E" w:rsidP="009A356E">
            <w:pPr>
              <w:jc w:val="right"/>
              <w:rPr>
                <w:color w:val="000000"/>
                <w:sz w:val="16"/>
                <w:szCs w:val="16"/>
                <w:lang w:eastAsia="en-AU"/>
              </w:rPr>
            </w:pPr>
            <w:r w:rsidRPr="00C10545">
              <w:rPr>
                <w:color w:val="000000"/>
                <w:sz w:val="16"/>
                <w:szCs w:val="16"/>
                <w:lang w:eastAsia="en-AU"/>
              </w:rPr>
              <w:t>53.1</w:t>
            </w:r>
          </w:p>
        </w:tc>
        <w:tc>
          <w:tcPr>
            <w:tcW w:w="374" w:type="pct"/>
            <w:tcBorders>
              <w:top w:val="nil"/>
              <w:left w:val="nil"/>
              <w:bottom w:val="single" w:sz="4" w:space="0" w:color="auto"/>
              <w:right w:val="single" w:sz="8" w:space="0" w:color="auto"/>
            </w:tcBorders>
            <w:shd w:val="clear" w:color="000000" w:fill="F2F2F2"/>
            <w:noWrap/>
            <w:vAlign w:val="bottom"/>
            <w:hideMark/>
          </w:tcPr>
          <w:p w14:paraId="28D62E76" w14:textId="77777777" w:rsidR="009A356E" w:rsidRPr="00C10545" w:rsidRDefault="009A356E" w:rsidP="009A356E">
            <w:pPr>
              <w:jc w:val="right"/>
              <w:rPr>
                <w:color w:val="000000"/>
                <w:sz w:val="16"/>
                <w:szCs w:val="16"/>
                <w:lang w:eastAsia="en-AU"/>
              </w:rPr>
            </w:pPr>
            <w:r w:rsidRPr="00C10545">
              <w:rPr>
                <w:color w:val="000000"/>
                <w:sz w:val="16"/>
                <w:szCs w:val="16"/>
                <w:lang w:eastAsia="en-AU"/>
              </w:rPr>
              <w:t>0.09%</w:t>
            </w:r>
          </w:p>
        </w:tc>
        <w:tc>
          <w:tcPr>
            <w:tcW w:w="475" w:type="pct"/>
            <w:tcBorders>
              <w:top w:val="nil"/>
              <w:left w:val="nil"/>
              <w:bottom w:val="single" w:sz="4" w:space="0" w:color="auto"/>
              <w:right w:val="single" w:sz="4" w:space="0" w:color="auto"/>
            </w:tcBorders>
            <w:shd w:val="clear" w:color="000000" w:fill="D9D9D9"/>
            <w:noWrap/>
            <w:vAlign w:val="bottom"/>
            <w:hideMark/>
          </w:tcPr>
          <w:p w14:paraId="3BC12981" w14:textId="77777777" w:rsidR="009A356E" w:rsidRPr="00C10545" w:rsidRDefault="009A356E" w:rsidP="009A356E">
            <w:pPr>
              <w:rPr>
                <w:color w:val="000000"/>
                <w:sz w:val="16"/>
                <w:szCs w:val="16"/>
                <w:lang w:eastAsia="en-AU"/>
              </w:rPr>
            </w:pPr>
            <w:r w:rsidRPr="00C10545">
              <w:rPr>
                <w:color w:val="000000"/>
                <w:sz w:val="16"/>
                <w:szCs w:val="16"/>
                <w:lang w:eastAsia="en-AU"/>
              </w:rPr>
              <w:t xml:space="preserve">      757.5 </w:t>
            </w:r>
          </w:p>
        </w:tc>
        <w:tc>
          <w:tcPr>
            <w:tcW w:w="422" w:type="pct"/>
            <w:tcBorders>
              <w:top w:val="nil"/>
              <w:left w:val="nil"/>
              <w:bottom w:val="single" w:sz="4" w:space="0" w:color="auto"/>
              <w:right w:val="single" w:sz="8" w:space="0" w:color="auto"/>
            </w:tcBorders>
            <w:shd w:val="clear" w:color="000000" w:fill="D9D9D9"/>
            <w:noWrap/>
            <w:vAlign w:val="bottom"/>
            <w:hideMark/>
          </w:tcPr>
          <w:p w14:paraId="7C61FC06" w14:textId="77777777" w:rsidR="009A356E" w:rsidRPr="00C10545" w:rsidRDefault="009A356E" w:rsidP="009A356E">
            <w:pPr>
              <w:jc w:val="right"/>
              <w:rPr>
                <w:color w:val="000000"/>
                <w:sz w:val="16"/>
                <w:szCs w:val="16"/>
                <w:lang w:eastAsia="en-AU"/>
              </w:rPr>
            </w:pPr>
            <w:r w:rsidRPr="00C10545">
              <w:rPr>
                <w:color w:val="000000"/>
                <w:sz w:val="16"/>
                <w:szCs w:val="16"/>
                <w:lang w:eastAsia="en-AU"/>
              </w:rPr>
              <w:t>1.76%</w:t>
            </w:r>
          </w:p>
        </w:tc>
        <w:tc>
          <w:tcPr>
            <w:tcW w:w="342" w:type="pct"/>
            <w:tcBorders>
              <w:top w:val="nil"/>
              <w:left w:val="nil"/>
              <w:bottom w:val="single" w:sz="4" w:space="0" w:color="auto"/>
              <w:right w:val="single" w:sz="4" w:space="0" w:color="auto"/>
            </w:tcBorders>
            <w:shd w:val="clear" w:color="000000" w:fill="BFBFBF"/>
            <w:noWrap/>
            <w:vAlign w:val="bottom"/>
            <w:hideMark/>
          </w:tcPr>
          <w:p w14:paraId="560E5AEE" w14:textId="77777777" w:rsidR="009A356E" w:rsidRPr="00C10545" w:rsidRDefault="009A356E" w:rsidP="009A356E">
            <w:pPr>
              <w:jc w:val="right"/>
              <w:rPr>
                <w:color w:val="000000"/>
                <w:sz w:val="16"/>
                <w:szCs w:val="16"/>
                <w:lang w:eastAsia="en-AU"/>
              </w:rPr>
            </w:pPr>
            <w:r w:rsidRPr="00C10545">
              <w:rPr>
                <w:color w:val="000000"/>
                <w:sz w:val="16"/>
                <w:szCs w:val="16"/>
                <w:lang w:eastAsia="en-AU"/>
              </w:rPr>
              <w:t>72.8</w:t>
            </w:r>
          </w:p>
        </w:tc>
        <w:tc>
          <w:tcPr>
            <w:tcW w:w="374" w:type="pct"/>
            <w:tcBorders>
              <w:top w:val="nil"/>
              <w:left w:val="nil"/>
              <w:bottom w:val="single" w:sz="4" w:space="0" w:color="auto"/>
              <w:right w:val="single" w:sz="8" w:space="0" w:color="auto"/>
            </w:tcBorders>
            <w:shd w:val="clear" w:color="000000" w:fill="BFBFBF"/>
            <w:noWrap/>
            <w:vAlign w:val="bottom"/>
            <w:hideMark/>
          </w:tcPr>
          <w:p w14:paraId="7FC333C0" w14:textId="77777777" w:rsidR="009A356E" w:rsidRPr="00C10545" w:rsidRDefault="009A356E" w:rsidP="009A356E">
            <w:pPr>
              <w:jc w:val="right"/>
              <w:rPr>
                <w:color w:val="000000"/>
                <w:sz w:val="16"/>
                <w:szCs w:val="16"/>
                <w:lang w:eastAsia="en-AU"/>
              </w:rPr>
            </w:pPr>
            <w:r w:rsidRPr="00C10545">
              <w:rPr>
                <w:color w:val="000000"/>
                <w:sz w:val="16"/>
                <w:szCs w:val="16"/>
                <w:lang w:eastAsia="en-AU"/>
              </w:rPr>
              <w:t>0.20%</w:t>
            </w:r>
          </w:p>
        </w:tc>
        <w:tc>
          <w:tcPr>
            <w:tcW w:w="374" w:type="pct"/>
            <w:tcBorders>
              <w:top w:val="nil"/>
              <w:left w:val="nil"/>
              <w:bottom w:val="single" w:sz="4" w:space="0" w:color="auto"/>
              <w:right w:val="single" w:sz="4" w:space="0" w:color="auto"/>
            </w:tcBorders>
            <w:shd w:val="clear" w:color="000000" w:fill="95B3D7"/>
            <w:noWrap/>
            <w:vAlign w:val="bottom"/>
            <w:hideMark/>
          </w:tcPr>
          <w:p w14:paraId="7EA53E0A" w14:textId="77777777" w:rsidR="009A356E" w:rsidRPr="00C10545" w:rsidRDefault="009A356E" w:rsidP="009A356E">
            <w:pPr>
              <w:jc w:val="right"/>
              <w:rPr>
                <w:color w:val="000000"/>
                <w:sz w:val="16"/>
                <w:szCs w:val="16"/>
                <w:lang w:eastAsia="en-AU"/>
              </w:rPr>
            </w:pPr>
            <w:r w:rsidRPr="00C10545">
              <w:rPr>
                <w:color w:val="000000"/>
                <w:sz w:val="16"/>
                <w:szCs w:val="16"/>
                <w:lang w:eastAsia="en-AU"/>
              </w:rPr>
              <w:t>1.90%</w:t>
            </w:r>
          </w:p>
        </w:tc>
        <w:tc>
          <w:tcPr>
            <w:tcW w:w="374" w:type="pct"/>
            <w:tcBorders>
              <w:top w:val="nil"/>
              <w:left w:val="nil"/>
              <w:bottom w:val="single" w:sz="4" w:space="0" w:color="auto"/>
              <w:right w:val="single" w:sz="8" w:space="0" w:color="auto"/>
            </w:tcBorders>
            <w:shd w:val="clear" w:color="000000" w:fill="00B0F0"/>
            <w:noWrap/>
            <w:vAlign w:val="bottom"/>
            <w:hideMark/>
          </w:tcPr>
          <w:p w14:paraId="2449F80D" w14:textId="77777777" w:rsidR="009A356E" w:rsidRPr="00C10545" w:rsidRDefault="009A356E" w:rsidP="009A356E">
            <w:pPr>
              <w:jc w:val="right"/>
              <w:rPr>
                <w:color w:val="000000"/>
                <w:sz w:val="16"/>
                <w:szCs w:val="16"/>
                <w:lang w:eastAsia="en-AU"/>
              </w:rPr>
            </w:pPr>
            <w:r w:rsidRPr="00C10545">
              <w:rPr>
                <w:color w:val="000000"/>
                <w:sz w:val="16"/>
                <w:szCs w:val="16"/>
                <w:lang w:eastAsia="en-AU"/>
              </w:rPr>
              <w:t>2.73%</w:t>
            </w:r>
          </w:p>
        </w:tc>
      </w:tr>
      <w:tr w:rsidR="009A356E" w:rsidRPr="00C96EAB" w14:paraId="016E1DB3" w14:textId="77777777" w:rsidTr="009A356E">
        <w:trPr>
          <w:trHeight w:val="225"/>
        </w:trPr>
        <w:tc>
          <w:tcPr>
            <w:tcW w:w="523" w:type="pct"/>
            <w:tcBorders>
              <w:top w:val="nil"/>
              <w:left w:val="single" w:sz="8" w:space="0" w:color="auto"/>
              <w:bottom w:val="single" w:sz="4" w:space="0" w:color="auto"/>
              <w:right w:val="nil"/>
            </w:tcBorders>
            <w:shd w:val="clear" w:color="auto" w:fill="auto"/>
            <w:noWrap/>
            <w:vAlign w:val="bottom"/>
            <w:hideMark/>
          </w:tcPr>
          <w:p w14:paraId="4052E3E3" w14:textId="77777777" w:rsidR="009A356E" w:rsidRPr="00C10545" w:rsidRDefault="009A356E" w:rsidP="009A356E">
            <w:pPr>
              <w:rPr>
                <w:color w:val="000000"/>
                <w:sz w:val="16"/>
                <w:szCs w:val="16"/>
                <w:lang w:eastAsia="en-AU"/>
              </w:rPr>
            </w:pPr>
            <w:r w:rsidRPr="00C10545">
              <w:rPr>
                <w:color w:val="000000"/>
                <w:sz w:val="16"/>
                <w:szCs w:val="16"/>
                <w:lang w:eastAsia="en-AU"/>
              </w:rPr>
              <w:t>2006</w:t>
            </w:r>
          </w:p>
        </w:tc>
        <w:tc>
          <w:tcPr>
            <w:tcW w:w="342" w:type="pct"/>
            <w:tcBorders>
              <w:top w:val="nil"/>
              <w:left w:val="single" w:sz="8" w:space="0" w:color="auto"/>
              <w:bottom w:val="single" w:sz="4" w:space="0" w:color="auto"/>
              <w:right w:val="single" w:sz="4" w:space="0" w:color="auto"/>
            </w:tcBorders>
            <w:shd w:val="clear" w:color="000000" w:fill="F2F2F2"/>
            <w:noWrap/>
            <w:vAlign w:val="bottom"/>
            <w:hideMark/>
          </w:tcPr>
          <w:p w14:paraId="46FD4D5D" w14:textId="77777777" w:rsidR="009A356E" w:rsidRPr="00C10545" w:rsidRDefault="009A356E" w:rsidP="009A356E">
            <w:pPr>
              <w:jc w:val="right"/>
              <w:rPr>
                <w:color w:val="000000"/>
                <w:sz w:val="16"/>
                <w:szCs w:val="16"/>
                <w:lang w:eastAsia="en-AU"/>
              </w:rPr>
            </w:pPr>
            <w:r w:rsidRPr="00C10545">
              <w:rPr>
                <w:color w:val="000000"/>
                <w:sz w:val="16"/>
                <w:szCs w:val="16"/>
                <w:lang w:eastAsia="en-AU"/>
              </w:rPr>
              <w:t>278.0</w:t>
            </w:r>
          </w:p>
        </w:tc>
        <w:tc>
          <w:tcPr>
            <w:tcW w:w="342" w:type="pct"/>
            <w:tcBorders>
              <w:top w:val="nil"/>
              <w:left w:val="nil"/>
              <w:bottom w:val="single" w:sz="4" w:space="0" w:color="auto"/>
              <w:right w:val="single" w:sz="4" w:space="0" w:color="auto"/>
            </w:tcBorders>
            <w:shd w:val="clear" w:color="000000" w:fill="D9D9D9"/>
            <w:noWrap/>
            <w:vAlign w:val="bottom"/>
            <w:hideMark/>
          </w:tcPr>
          <w:p w14:paraId="7E8DB0B6" w14:textId="77777777" w:rsidR="009A356E" w:rsidRPr="00C10545" w:rsidRDefault="009A356E" w:rsidP="009A356E">
            <w:pPr>
              <w:jc w:val="right"/>
              <w:rPr>
                <w:color w:val="000000"/>
                <w:sz w:val="16"/>
                <w:szCs w:val="16"/>
                <w:lang w:eastAsia="en-AU"/>
              </w:rPr>
            </w:pPr>
            <w:r w:rsidRPr="00C10545">
              <w:rPr>
                <w:color w:val="000000"/>
                <w:sz w:val="16"/>
                <w:szCs w:val="16"/>
                <w:lang w:eastAsia="en-AU"/>
              </w:rPr>
              <w:t>102.9</w:t>
            </w:r>
          </w:p>
        </w:tc>
        <w:tc>
          <w:tcPr>
            <w:tcW w:w="342" w:type="pct"/>
            <w:tcBorders>
              <w:top w:val="nil"/>
              <w:left w:val="nil"/>
              <w:bottom w:val="single" w:sz="4" w:space="0" w:color="auto"/>
              <w:right w:val="single" w:sz="4" w:space="0" w:color="auto"/>
            </w:tcBorders>
            <w:shd w:val="clear" w:color="000000" w:fill="BFBFBF"/>
            <w:noWrap/>
            <w:vAlign w:val="bottom"/>
            <w:hideMark/>
          </w:tcPr>
          <w:p w14:paraId="1CC144B5" w14:textId="77777777" w:rsidR="009A356E" w:rsidRPr="00C10545" w:rsidRDefault="009A356E" w:rsidP="009A356E">
            <w:pPr>
              <w:jc w:val="right"/>
              <w:rPr>
                <w:color w:val="000000"/>
                <w:sz w:val="16"/>
                <w:szCs w:val="16"/>
                <w:lang w:eastAsia="en-AU"/>
              </w:rPr>
            </w:pPr>
            <w:r w:rsidRPr="00C10545">
              <w:rPr>
                <w:color w:val="000000"/>
                <w:sz w:val="16"/>
                <w:szCs w:val="16"/>
                <w:lang w:eastAsia="en-AU"/>
              </w:rPr>
              <w:t>380.9</w:t>
            </w:r>
          </w:p>
        </w:tc>
        <w:tc>
          <w:tcPr>
            <w:tcW w:w="374" w:type="pct"/>
            <w:tcBorders>
              <w:top w:val="nil"/>
              <w:left w:val="nil"/>
              <w:bottom w:val="single" w:sz="4" w:space="0" w:color="auto"/>
              <w:right w:val="single" w:sz="8" w:space="0" w:color="auto"/>
            </w:tcBorders>
            <w:shd w:val="clear" w:color="000000" w:fill="BFBFBF"/>
            <w:noWrap/>
            <w:vAlign w:val="bottom"/>
            <w:hideMark/>
          </w:tcPr>
          <w:p w14:paraId="3D75A0B5" w14:textId="77777777" w:rsidR="009A356E" w:rsidRPr="00C10545" w:rsidRDefault="009A356E" w:rsidP="009A356E">
            <w:pPr>
              <w:jc w:val="right"/>
              <w:rPr>
                <w:color w:val="000000"/>
                <w:sz w:val="16"/>
                <w:szCs w:val="16"/>
                <w:lang w:eastAsia="en-AU"/>
              </w:rPr>
            </w:pPr>
            <w:r w:rsidRPr="00C10545">
              <w:rPr>
                <w:color w:val="000000"/>
                <w:sz w:val="16"/>
                <w:szCs w:val="16"/>
                <w:lang w:eastAsia="en-AU"/>
              </w:rPr>
              <w:t>5.56%</w:t>
            </w:r>
          </w:p>
        </w:tc>
        <w:tc>
          <w:tcPr>
            <w:tcW w:w="342" w:type="pct"/>
            <w:tcBorders>
              <w:top w:val="nil"/>
              <w:left w:val="nil"/>
              <w:bottom w:val="single" w:sz="4" w:space="0" w:color="auto"/>
              <w:right w:val="single" w:sz="4" w:space="0" w:color="auto"/>
            </w:tcBorders>
            <w:shd w:val="clear" w:color="000000" w:fill="F2F2F2"/>
            <w:noWrap/>
            <w:vAlign w:val="bottom"/>
            <w:hideMark/>
          </w:tcPr>
          <w:p w14:paraId="64A30822" w14:textId="77777777" w:rsidR="009A356E" w:rsidRPr="00C10545" w:rsidRDefault="009A356E" w:rsidP="009A356E">
            <w:pPr>
              <w:jc w:val="right"/>
              <w:rPr>
                <w:color w:val="000000"/>
                <w:sz w:val="16"/>
                <w:szCs w:val="16"/>
                <w:lang w:eastAsia="en-AU"/>
              </w:rPr>
            </w:pPr>
            <w:r w:rsidRPr="00C10545">
              <w:rPr>
                <w:color w:val="000000"/>
                <w:sz w:val="16"/>
                <w:szCs w:val="16"/>
                <w:lang w:eastAsia="en-AU"/>
              </w:rPr>
              <w:t>55.3</w:t>
            </w:r>
          </w:p>
        </w:tc>
        <w:tc>
          <w:tcPr>
            <w:tcW w:w="374" w:type="pct"/>
            <w:tcBorders>
              <w:top w:val="nil"/>
              <w:left w:val="nil"/>
              <w:bottom w:val="single" w:sz="4" w:space="0" w:color="auto"/>
              <w:right w:val="single" w:sz="8" w:space="0" w:color="auto"/>
            </w:tcBorders>
            <w:shd w:val="clear" w:color="000000" w:fill="F2F2F2"/>
            <w:noWrap/>
            <w:vAlign w:val="bottom"/>
            <w:hideMark/>
          </w:tcPr>
          <w:p w14:paraId="5D7BEC06" w14:textId="77777777" w:rsidR="009A356E" w:rsidRPr="00C10545" w:rsidRDefault="009A356E" w:rsidP="009A356E">
            <w:pPr>
              <w:jc w:val="right"/>
              <w:rPr>
                <w:color w:val="000000"/>
                <w:sz w:val="16"/>
                <w:szCs w:val="16"/>
                <w:lang w:eastAsia="en-AU"/>
              </w:rPr>
            </w:pPr>
            <w:r w:rsidRPr="00C10545">
              <w:rPr>
                <w:color w:val="000000"/>
                <w:sz w:val="16"/>
                <w:szCs w:val="16"/>
                <w:lang w:eastAsia="en-AU"/>
              </w:rPr>
              <w:t>4.19%</w:t>
            </w:r>
          </w:p>
        </w:tc>
        <w:tc>
          <w:tcPr>
            <w:tcW w:w="475" w:type="pct"/>
            <w:tcBorders>
              <w:top w:val="nil"/>
              <w:left w:val="nil"/>
              <w:bottom w:val="single" w:sz="4" w:space="0" w:color="auto"/>
              <w:right w:val="single" w:sz="4" w:space="0" w:color="auto"/>
            </w:tcBorders>
            <w:shd w:val="clear" w:color="000000" w:fill="D9D9D9"/>
            <w:noWrap/>
            <w:vAlign w:val="bottom"/>
            <w:hideMark/>
          </w:tcPr>
          <w:p w14:paraId="761A7CB1" w14:textId="77777777" w:rsidR="009A356E" w:rsidRPr="00C10545" w:rsidRDefault="009A356E" w:rsidP="009A356E">
            <w:pPr>
              <w:rPr>
                <w:color w:val="000000"/>
                <w:sz w:val="16"/>
                <w:szCs w:val="16"/>
                <w:lang w:eastAsia="en-AU"/>
              </w:rPr>
            </w:pPr>
            <w:r w:rsidRPr="00C10545">
              <w:rPr>
                <w:color w:val="000000"/>
                <w:sz w:val="16"/>
                <w:szCs w:val="16"/>
                <w:lang w:eastAsia="en-AU"/>
              </w:rPr>
              <w:t xml:space="preserve">      801.7 </w:t>
            </w:r>
          </w:p>
        </w:tc>
        <w:tc>
          <w:tcPr>
            <w:tcW w:w="422" w:type="pct"/>
            <w:tcBorders>
              <w:top w:val="nil"/>
              <w:left w:val="nil"/>
              <w:bottom w:val="single" w:sz="4" w:space="0" w:color="auto"/>
              <w:right w:val="single" w:sz="8" w:space="0" w:color="auto"/>
            </w:tcBorders>
            <w:shd w:val="clear" w:color="000000" w:fill="D9D9D9"/>
            <w:noWrap/>
            <w:vAlign w:val="bottom"/>
            <w:hideMark/>
          </w:tcPr>
          <w:p w14:paraId="712E7C52" w14:textId="77777777" w:rsidR="009A356E" w:rsidRPr="00C10545" w:rsidRDefault="009A356E" w:rsidP="009A356E">
            <w:pPr>
              <w:jc w:val="right"/>
              <w:rPr>
                <w:color w:val="000000"/>
                <w:sz w:val="16"/>
                <w:szCs w:val="16"/>
                <w:lang w:eastAsia="en-AU"/>
              </w:rPr>
            </w:pPr>
            <w:r w:rsidRPr="00C10545">
              <w:rPr>
                <w:color w:val="000000"/>
                <w:sz w:val="16"/>
                <w:szCs w:val="16"/>
                <w:lang w:eastAsia="en-AU"/>
              </w:rPr>
              <w:t>5.83%</w:t>
            </w:r>
          </w:p>
        </w:tc>
        <w:tc>
          <w:tcPr>
            <w:tcW w:w="342" w:type="pct"/>
            <w:tcBorders>
              <w:top w:val="nil"/>
              <w:left w:val="nil"/>
              <w:bottom w:val="single" w:sz="4" w:space="0" w:color="auto"/>
              <w:right w:val="single" w:sz="4" w:space="0" w:color="auto"/>
            </w:tcBorders>
            <w:shd w:val="clear" w:color="000000" w:fill="BFBFBF"/>
            <w:noWrap/>
            <w:vAlign w:val="bottom"/>
            <w:hideMark/>
          </w:tcPr>
          <w:p w14:paraId="1F6456E5" w14:textId="77777777" w:rsidR="009A356E" w:rsidRPr="00C10545" w:rsidRDefault="009A356E" w:rsidP="009A356E">
            <w:pPr>
              <w:jc w:val="right"/>
              <w:rPr>
                <w:color w:val="000000"/>
                <w:sz w:val="16"/>
                <w:szCs w:val="16"/>
                <w:lang w:eastAsia="en-AU"/>
              </w:rPr>
            </w:pPr>
            <w:r w:rsidRPr="00C10545">
              <w:rPr>
                <w:color w:val="000000"/>
                <w:sz w:val="16"/>
                <w:szCs w:val="16"/>
                <w:lang w:eastAsia="en-AU"/>
              </w:rPr>
              <w:t>75.8</w:t>
            </w:r>
          </w:p>
        </w:tc>
        <w:tc>
          <w:tcPr>
            <w:tcW w:w="374" w:type="pct"/>
            <w:tcBorders>
              <w:top w:val="nil"/>
              <w:left w:val="nil"/>
              <w:bottom w:val="single" w:sz="4" w:space="0" w:color="auto"/>
              <w:right w:val="single" w:sz="8" w:space="0" w:color="auto"/>
            </w:tcBorders>
            <w:shd w:val="clear" w:color="000000" w:fill="BFBFBF"/>
            <w:noWrap/>
            <w:vAlign w:val="bottom"/>
            <w:hideMark/>
          </w:tcPr>
          <w:p w14:paraId="67664177" w14:textId="77777777" w:rsidR="009A356E" w:rsidRPr="00C10545" w:rsidRDefault="009A356E" w:rsidP="009A356E">
            <w:pPr>
              <w:jc w:val="right"/>
              <w:rPr>
                <w:color w:val="000000"/>
                <w:sz w:val="16"/>
                <w:szCs w:val="16"/>
                <w:lang w:eastAsia="en-AU"/>
              </w:rPr>
            </w:pPr>
            <w:r w:rsidRPr="00C10545">
              <w:rPr>
                <w:color w:val="000000"/>
                <w:sz w:val="16"/>
                <w:szCs w:val="16"/>
                <w:lang w:eastAsia="en-AU"/>
              </w:rPr>
              <w:t>4.16%</w:t>
            </w:r>
          </w:p>
        </w:tc>
        <w:tc>
          <w:tcPr>
            <w:tcW w:w="374" w:type="pct"/>
            <w:tcBorders>
              <w:top w:val="nil"/>
              <w:left w:val="nil"/>
              <w:bottom w:val="single" w:sz="4" w:space="0" w:color="auto"/>
              <w:right w:val="single" w:sz="4" w:space="0" w:color="auto"/>
            </w:tcBorders>
            <w:shd w:val="clear" w:color="000000" w:fill="95B3D7"/>
            <w:noWrap/>
            <w:vAlign w:val="bottom"/>
            <w:hideMark/>
          </w:tcPr>
          <w:p w14:paraId="58EA6DDC" w14:textId="77777777" w:rsidR="009A356E" w:rsidRPr="00C10545" w:rsidRDefault="009A356E" w:rsidP="009A356E">
            <w:pPr>
              <w:jc w:val="right"/>
              <w:rPr>
                <w:color w:val="000000"/>
                <w:sz w:val="16"/>
                <w:szCs w:val="16"/>
                <w:lang w:eastAsia="en-AU"/>
              </w:rPr>
            </w:pPr>
            <w:r w:rsidRPr="00C10545">
              <w:rPr>
                <w:color w:val="000000"/>
                <w:sz w:val="16"/>
                <w:szCs w:val="16"/>
                <w:lang w:eastAsia="en-AU"/>
              </w:rPr>
              <w:t>3.11%</w:t>
            </w:r>
          </w:p>
        </w:tc>
        <w:tc>
          <w:tcPr>
            <w:tcW w:w="374" w:type="pct"/>
            <w:tcBorders>
              <w:top w:val="nil"/>
              <w:left w:val="nil"/>
              <w:bottom w:val="single" w:sz="4" w:space="0" w:color="auto"/>
              <w:right w:val="single" w:sz="8" w:space="0" w:color="auto"/>
            </w:tcBorders>
            <w:shd w:val="clear" w:color="000000" w:fill="00B0F0"/>
            <w:noWrap/>
            <w:vAlign w:val="bottom"/>
            <w:hideMark/>
          </w:tcPr>
          <w:p w14:paraId="348585E3" w14:textId="77777777" w:rsidR="009A356E" w:rsidRPr="00C10545" w:rsidRDefault="009A356E" w:rsidP="009A356E">
            <w:pPr>
              <w:jc w:val="right"/>
              <w:rPr>
                <w:color w:val="000000"/>
                <w:sz w:val="16"/>
                <w:szCs w:val="16"/>
                <w:lang w:eastAsia="en-AU"/>
              </w:rPr>
            </w:pPr>
            <w:r w:rsidRPr="00C10545">
              <w:rPr>
                <w:color w:val="000000"/>
                <w:sz w:val="16"/>
                <w:szCs w:val="16"/>
                <w:lang w:eastAsia="en-AU"/>
              </w:rPr>
              <w:t>3.35%</w:t>
            </w:r>
          </w:p>
        </w:tc>
      </w:tr>
      <w:tr w:rsidR="009A356E" w:rsidRPr="00C96EAB" w14:paraId="72F30CBB" w14:textId="77777777" w:rsidTr="009A356E">
        <w:trPr>
          <w:trHeight w:val="225"/>
        </w:trPr>
        <w:tc>
          <w:tcPr>
            <w:tcW w:w="523" w:type="pct"/>
            <w:tcBorders>
              <w:top w:val="nil"/>
              <w:left w:val="single" w:sz="8" w:space="0" w:color="auto"/>
              <w:bottom w:val="single" w:sz="4" w:space="0" w:color="auto"/>
              <w:right w:val="nil"/>
            </w:tcBorders>
            <w:shd w:val="clear" w:color="auto" w:fill="auto"/>
            <w:noWrap/>
            <w:vAlign w:val="bottom"/>
            <w:hideMark/>
          </w:tcPr>
          <w:p w14:paraId="78761365" w14:textId="77777777" w:rsidR="009A356E" w:rsidRPr="00C10545" w:rsidRDefault="009A356E" w:rsidP="009A356E">
            <w:pPr>
              <w:rPr>
                <w:color w:val="000000"/>
                <w:sz w:val="16"/>
                <w:szCs w:val="16"/>
                <w:lang w:eastAsia="en-AU"/>
              </w:rPr>
            </w:pPr>
            <w:r w:rsidRPr="00C10545">
              <w:rPr>
                <w:color w:val="000000"/>
                <w:sz w:val="16"/>
                <w:szCs w:val="16"/>
                <w:lang w:eastAsia="en-AU"/>
              </w:rPr>
              <w:t>2007</w:t>
            </w:r>
          </w:p>
        </w:tc>
        <w:tc>
          <w:tcPr>
            <w:tcW w:w="342" w:type="pct"/>
            <w:tcBorders>
              <w:top w:val="nil"/>
              <w:left w:val="single" w:sz="8" w:space="0" w:color="auto"/>
              <w:bottom w:val="single" w:sz="4" w:space="0" w:color="auto"/>
              <w:right w:val="single" w:sz="4" w:space="0" w:color="auto"/>
            </w:tcBorders>
            <w:shd w:val="clear" w:color="000000" w:fill="F2F2F2"/>
            <w:noWrap/>
            <w:vAlign w:val="bottom"/>
            <w:hideMark/>
          </w:tcPr>
          <w:p w14:paraId="64D312CF" w14:textId="77777777" w:rsidR="009A356E" w:rsidRPr="00C10545" w:rsidRDefault="009A356E" w:rsidP="009A356E">
            <w:pPr>
              <w:jc w:val="right"/>
              <w:rPr>
                <w:color w:val="000000"/>
                <w:sz w:val="16"/>
                <w:szCs w:val="16"/>
                <w:lang w:eastAsia="en-AU"/>
              </w:rPr>
            </w:pPr>
            <w:r w:rsidRPr="00C10545">
              <w:rPr>
                <w:color w:val="000000"/>
                <w:sz w:val="16"/>
                <w:szCs w:val="16"/>
                <w:lang w:eastAsia="en-AU"/>
              </w:rPr>
              <w:t>288.2</w:t>
            </w:r>
          </w:p>
        </w:tc>
        <w:tc>
          <w:tcPr>
            <w:tcW w:w="342" w:type="pct"/>
            <w:tcBorders>
              <w:top w:val="nil"/>
              <w:left w:val="nil"/>
              <w:bottom w:val="single" w:sz="4" w:space="0" w:color="auto"/>
              <w:right w:val="single" w:sz="4" w:space="0" w:color="auto"/>
            </w:tcBorders>
            <w:shd w:val="clear" w:color="000000" w:fill="D9D9D9"/>
            <w:noWrap/>
            <w:vAlign w:val="bottom"/>
            <w:hideMark/>
          </w:tcPr>
          <w:p w14:paraId="10858404" w14:textId="77777777" w:rsidR="009A356E" w:rsidRPr="00C10545" w:rsidRDefault="009A356E" w:rsidP="009A356E">
            <w:pPr>
              <w:jc w:val="right"/>
              <w:rPr>
                <w:color w:val="000000"/>
                <w:sz w:val="16"/>
                <w:szCs w:val="16"/>
                <w:lang w:eastAsia="en-AU"/>
              </w:rPr>
            </w:pPr>
            <w:r w:rsidRPr="00C10545">
              <w:rPr>
                <w:color w:val="000000"/>
                <w:sz w:val="16"/>
                <w:szCs w:val="16"/>
                <w:lang w:eastAsia="en-AU"/>
              </w:rPr>
              <w:t>106.8</w:t>
            </w:r>
          </w:p>
        </w:tc>
        <w:tc>
          <w:tcPr>
            <w:tcW w:w="342" w:type="pct"/>
            <w:tcBorders>
              <w:top w:val="nil"/>
              <w:left w:val="nil"/>
              <w:bottom w:val="single" w:sz="4" w:space="0" w:color="auto"/>
              <w:right w:val="single" w:sz="4" w:space="0" w:color="auto"/>
            </w:tcBorders>
            <w:shd w:val="clear" w:color="000000" w:fill="BFBFBF"/>
            <w:noWrap/>
            <w:vAlign w:val="bottom"/>
            <w:hideMark/>
          </w:tcPr>
          <w:p w14:paraId="6D2647BF" w14:textId="77777777" w:rsidR="009A356E" w:rsidRPr="00C10545" w:rsidRDefault="009A356E" w:rsidP="009A356E">
            <w:pPr>
              <w:jc w:val="right"/>
              <w:rPr>
                <w:color w:val="000000"/>
                <w:sz w:val="16"/>
                <w:szCs w:val="16"/>
                <w:lang w:eastAsia="en-AU"/>
              </w:rPr>
            </w:pPr>
            <w:r w:rsidRPr="00C10545">
              <w:rPr>
                <w:color w:val="000000"/>
                <w:sz w:val="16"/>
                <w:szCs w:val="16"/>
                <w:lang w:eastAsia="en-AU"/>
              </w:rPr>
              <w:t>395.0</w:t>
            </w:r>
          </w:p>
        </w:tc>
        <w:tc>
          <w:tcPr>
            <w:tcW w:w="374" w:type="pct"/>
            <w:tcBorders>
              <w:top w:val="nil"/>
              <w:left w:val="nil"/>
              <w:bottom w:val="single" w:sz="4" w:space="0" w:color="auto"/>
              <w:right w:val="single" w:sz="8" w:space="0" w:color="auto"/>
            </w:tcBorders>
            <w:shd w:val="clear" w:color="000000" w:fill="BFBFBF"/>
            <w:noWrap/>
            <w:vAlign w:val="bottom"/>
            <w:hideMark/>
          </w:tcPr>
          <w:p w14:paraId="709B505D" w14:textId="77777777" w:rsidR="009A356E" w:rsidRPr="00C10545" w:rsidRDefault="009A356E" w:rsidP="009A356E">
            <w:pPr>
              <w:jc w:val="right"/>
              <w:rPr>
                <w:color w:val="000000"/>
                <w:sz w:val="16"/>
                <w:szCs w:val="16"/>
                <w:lang w:eastAsia="en-AU"/>
              </w:rPr>
            </w:pPr>
            <w:r w:rsidRPr="00C10545">
              <w:rPr>
                <w:color w:val="000000"/>
                <w:sz w:val="16"/>
                <w:szCs w:val="16"/>
                <w:lang w:eastAsia="en-AU"/>
              </w:rPr>
              <w:t>3.71%</w:t>
            </w:r>
          </w:p>
        </w:tc>
        <w:tc>
          <w:tcPr>
            <w:tcW w:w="342" w:type="pct"/>
            <w:tcBorders>
              <w:top w:val="nil"/>
              <w:left w:val="nil"/>
              <w:bottom w:val="single" w:sz="4" w:space="0" w:color="auto"/>
              <w:right w:val="single" w:sz="4" w:space="0" w:color="auto"/>
            </w:tcBorders>
            <w:shd w:val="clear" w:color="000000" w:fill="F2F2F2"/>
            <w:noWrap/>
            <w:vAlign w:val="bottom"/>
            <w:hideMark/>
          </w:tcPr>
          <w:p w14:paraId="1166E1DF" w14:textId="77777777" w:rsidR="009A356E" w:rsidRPr="00C10545" w:rsidRDefault="009A356E" w:rsidP="009A356E">
            <w:pPr>
              <w:jc w:val="right"/>
              <w:rPr>
                <w:color w:val="000000"/>
                <w:sz w:val="16"/>
                <w:szCs w:val="16"/>
                <w:lang w:eastAsia="en-AU"/>
              </w:rPr>
            </w:pPr>
            <w:r w:rsidRPr="00C10545">
              <w:rPr>
                <w:color w:val="000000"/>
                <w:sz w:val="16"/>
                <w:szCs w:val="16"/>
                <w:lang w:eastAsia="en-AU"/>
              </w:rPr>
              <w:t>56.4</w:t>
            </w:r>
          </w:p>
        </w:tc>
        <w:tc>
          <w:tcPr>
            <w:tcW w:w="374" w:type="pct"/>
            <w:tcBorders>
              <w:top w:val="nil"/>
              <w:left w:val="nil"/>
              <w:bottom w:val="single" w:sz="4" w:space="0" w:color="auto"/>
              <w:right w:val="single" w:sz="8" w:space="0" w:color="auto"/>
            </w:tcBorders>
            <w:shd w:val="clear" w:color="000000" w:fill="F2F2F2"/>
            <w:noWrap/>
            <w:vAlign w:val="bottom"/>
            <w:hideMark/>
          </w:tcPr>
          <w:p w14:paraId="32F3D2A6" w14:textId="77777777" w:rsidR="009A356E" w:rsidRPr="00C10545" w:rsidRDefault="009A356E" w:rsidP="009A356E">
            <w:pPr>
              <w:jc w:val="right"/>
              <w:rPr>
                <w:color w:val="000000"/>
                <w:sz w:val="16"/>
                <w:szCs w:val="16"/>
                <w:lang w:eastAsia="en-AU"/>
              </w:rPr>
            </w:pPr>
            <w:r w:rsidRPr="00C10545">
              <w:rPr>
                <w:color w:val="000000"/>
                <w:sz w:val="16"/>
                <w:szCs w:val="16"/>
                <w:lang w:eastAsia="en-AU"/>
              </w:rPr>
              <w:t>2.00%</w:t>
            </w:r>
          </w:p>
        </w:tc>
        <w:tc>
          <w:tcPr>
            <w:tcW w:w="475" w:type="pct"/>
            <w:tcBorders>
              <w:top w:val="nil"/>
              <w:left w:val="nil"/>
              <w:bottom w:val="single" w:sz="4" w:space="0" w:color="auto"/>
              <w:right w:val="single" w:sz="4" w:space="0" w:color="auto"/>
            </w:tcBorders>
            <w:shd w:val="clear" w:color="000000" w:fill="D9D9D9"/>
            <w:noWrap/>
            <w:vAlign w:val="bottom"/>
            <w:hideMark/>
          </w:tcPr>
          <w:p w14:paraId="4EE4EB58" w14:textId="77777777" w:rsidR="009A356E" w:rsidRPr="00C10545" w:rsidRDefault="009A356E" w:rsidP="009A356E">
            <w:pPr>
              <w:rPr>
                <w:color w:val="000000"/>
                <w:sz w:val="16"/>
                <w:szCs w:val="16"/>
                <w:lang w:eastAsia="en-AU"/>
              </w:rPr>
            </w:pPr>
            <w:r w:rsidRPr="00C10545">
              <w:rPr>
                <w:color w:val="000000"/>
                <w:sz w:val="16"/>
                <w:szCs w:val="16"/>
                <w:lang w:eastAsia="en-AU"/>
              </w:rPr>
              <w:t xml:space="preserve">      832.0 </w:t>
            </w:r>
          </w:p>
        </w:tc>
        <w:tc>
          <w:tcPr>
            <w:tcW w:w="422" w:type="pct"/>
            <w:tcBorders>
              <w:top w:val="nil"/>
              <w:left w:val="nil"/>
              <w:bottom w:val="single" w:sz="4" w:space="0" w:color="auto"/>
              <w:right w:val="single" w:sz="8" w:space="0" w:color="auto"/>
            </w:tcBorders>
            <w:shd w:val="clear" w:color="000000" w:fill="D9D9D9"/>
            <w:noWrap/>
            <w:vAlign w:val="bottom"/>
            <w:hideMark/>
          </w:tcPr>
          <w:p w14:paraId="3F255BEC" w14:textId="77777777" w:rsidR="009A356E" w:rsidRPr="00C10545" w:rsidRDefault="009A356E" w:rsidP="009A356E">
            <w:pPr>
              <w:jc w:val="right"/>
              <w:rPr>
                <w:color w:val="000000"/>
                <w:sz w:val="16"/>
                <w:szCs w:val="16"/>
                <w:lang w:eastAsia="en-AU"/>
              </w:rPr>
            </w:pPr>
            <w:r w:rsidRPr="00C10545">
              <w:rPr>
                <w:color w:val="000000"/>
                <w:sz w:val="16"/>
                <w:szCs w:val="16"/>
                <w:lang w:eastAsia="en-AU"/>
              </w:rPr>
              <w:t>3.79%</w:t>
            </w:r>
          </w:p>
        </w:tc>
        <w:tc>
          <w:tcPr>
            <w:tcW w:w="342" w:type="pct"/>
            <w:tcBorders>
              <w:top w:val="nil"/>
              <w:left w:val="nil"/>
              <w:bottom w:val="single" w:sz="4" w:space="0" w:color="auto"/>
              <w:right w:val="single" w:sz="4" w:space="0" w:color="auto"/>
            </w:tcBorders>
            <w:shd w:val="clear" w:color="000000" w:fill="BFBFBF"/>
            <w:noWrap/>
            <w:vAlign w:val="bottom"/>
            <w:hideMark/>
          </w:tcPr>
          <w:p w14:paraId="1744351E" w14:textId="77777777" w:rsidR="009A356E" w:rsidRPr="00C10545" w:rsidRDefault="009A356E" w:rsidP="009A356E">
            <w:pPr>
              <w:jc w:val="right"/>
              <w:rPr>
                <w:color w:val="000000"/>
                <w:sz w:val="16"/>
                <w:szCs w:val="16"/>
                <w:lang w:eastAsia="en-AU"/>
              </w:rPr>
            </w:pPr>
            <w:r w:rsidRPr="00C10545">
              <w:rPr>
                <w:color w:val="000000"/>
                <w:sz w:val="16"/>
                <w:szCs w:val="16"/>
                <w:lang w:eastAsia="en-AU"/>
              </w:rPr>
              <w:t>77.4</w:t>
            </w:r>
          </w:p>
        </w:tc>
        <w:tc>
          <w:tcPr>
            <w:tcW w:w="374" w:type="pct"/>
            <w:tcBorders>
              <w:top w:val="nil"/>
              <w:left w:val="nil"/>
              <w:bottom w:val="single" w:sz="4" w:space="0" w:color="auto"/>
              <w:right w:val="single" w:sz="8" w:space="0" w:color="auto"/>
            </w:tcBorders>
            <w:shd w:val="clear" w:color="000000" w:fill="BFBFBF"/>
            <w:noWrap/>
            <w:vAlign w:val="bottom"/>
            <w:hideMark/>
          </w:tcPr>
          <w:p w14:paraId="2EB68535" w14:textId="77777777" w:rsidR="009A356E" w:rsidRPr="00C10545" w:rsidRDefault="009A356E" w:rsidP="009A356E">
            <w:pPr>
              <w:jc w:val="right"/>
              <w:rPr>
                <w:color w:val="000000"/>
                <w:sz w:val="16"/>
                <w:szCs w:val="16"/>
                <w:lang w:eastAsia="en-AU"/>
              </w:rPr>
            </w:pPr>
            <w:r w:rsidRPr="00C10545">
              <w:rPr>
                <w:color w:val="000000"/>
                <w:sz w:val="16"/>
                <w:szCs w:val="16"/>
                <w:lang w:eastAsia="en-AU"/>
              </w:rPr>
              <w:t>2.04%</w:t>
            </w:r>
          </w:p>
        </w:tc>
        <w:tc>
          <w:tcPr>
            <w:tcW w:w="374" w:type="pct"/>
            <w:tcBorders>
              <w:top w:val="nil"/>
              <w:left w:val="nil"/>
              <w:bottom w:val="single" w:sz="4" w:space="0" w:color="auto"/>
              <w:right w:val="single" w:sz="4" w:space="0" w:color="auto"/>
            </w:tcBorders>
            <w:shd w:val="clear" w:color="000000" w:fill="95B3D7"/>
            <w:noWrap/>
            <w:vAlign w:val="bottom"/>
            <w:hideMark/>
          </w:tcPr>
          <w:p w14:paraId="2B211CC5" w14:textId="77777777" w:rsidR="009A356E" w:rsidRPr="00C10545" w:rsidRDefault="009A356E" w:rsidP="009A356E">
            <w:pPr>
              <w:jc w:val="right"/>
              <w:rPr>
                <w:color w:val="000000"/>
                <w:sz w:val="16"/>
                <w:szCs w:val="16"/>
                <w:lang w:eastAsia="en-AU"/>
              </w:rPr>
            </w:pPr>
            <w:r w:rsidRPr="00C10545">
              <w:rPr>
                <w:color w:val="000000"/>
                <w:sz w:val="16"/>
                <w:szCs w:val="16"/>
                <w:lang w:eastAsia="en-AU"/>
              </w:rPr>
              <w:t>2.65%</w:t>
            </w:r>
          </w:p>
        </w:tc>
        <w:tc>
          <w:tcPr>
            <w:tcW w:w="374" w:type="pct"/>
            <w:tcBorders>
              <w:top w:val="nil"/>
              <w:left w:val="nil"/>
              <w:bottom w:val="single" w:sz="4" w:space="0" w:color="auto"/>
              <w:right w:val="single" w:sz="8" w:space="0" w:color="auto"/>
            </w:tcBorders>
            <w:shd w:val="clear" w:color="000000" w:fill="00B0F0"/>
            <w:noWrap/>
            <w:vAlign w:val="bottom"/>
            <w:hideMark/>
          </w:tcPr>
          <w:p w14:paraId="3059753A" w14:textId="77777777" w:rsidR="009A356E" w:rsidRPr="00C10545" w:rsidRDefault="009A356E" w:rsidP="009A356E">
            <w:pPr>
              <w:jc w:val="right"/>
              <w:rPr>
                <w:color w:val="000000"/>
                <w:sz w:val="16"/>
                <w:szCs w:val="16"/>
                <w:lang w:eastAsia="en-AU"/>
              </w:rPr>
            </w:pPr>
            <w:r w:rsidRPr="00C10545">
              <w:rPr>
                <w:color w:val="000000"/>
                <w:sz w:val="16"/>
                <w:szCs w:val="16"/>
                <w:lang w:eastAsia="en-AU"/>
              </w:rPr>
              <w:t>3.02%</w:t>
            </w:r>
          </w:p>
        </w:tc>
      </w:tr>
      <w:tr w:rsidR="009A356E" w:rsidRPr="00C96EAB" w14:paraId="5686E994" w14:textId="77777777" w:rsidTr="009A356E">
        <w:trPr>
          <w:trHeight w:val="225"/>
        </w:trPr>
        <w:tc>
          <w:tcPr>
            <w:tcW w:w="523" w:type="pct"/>
            <w:tcBorders>
              <w:top w:val="nil"/>
              <w:left w:val="single" w:sz="8" w:space="0" w:color="auto"/>
              <w:bottom w:val="single" w:sz="4" w:space="0" w:color="auto"/>
              <w:right w:val="nil"/>
            </w:tcBorders>
            <w:shd w:val="clear" w:color="auto" w:fill="auto"/>
            <w:noWrap/>
            <w:vAlign w:val="bottom"/>
            <w:hideMark/>
          </w:tcPr>
          <w:p w14:paraId="713C59E4" w14:textId="77777777" w:rsidR="009A356E" w:rsidRPr="00C10545" w:rsidRDefault="009A356E" w:rsidP="009A356E">
            <w:pPr>
              <w:rPr>
                <w:color w:val="000000"/>
                <w:sz w:val="16"/>
                <w:szCs w:val="16"/>
                <w:lang w:eastAsia="en-AU"/>
              </w:rPr>
            </w:pPr>
            <w:r w:rsidRPr="00C10545">
              <w:rPr>
                <w:color w:val="000000"/>
                <w:sz w:val="16"/>
                <w:szCs w:val="16"/>
                <w:lang w:eastAsia="en-AU"/>
              </w:rPr>
              <w:t>2008</w:t>
            </w:r>
          </w:p>
        </w:tc>
        <w:tc>
          <w:tcPr>
            <w:tcW w:w="342" w:type="pct"/>
            <w:tcBorders>
              <w:top w:val="nil"/>
              <w:left w:val="single" w:sz="8" w:space="0" w:color="auto"/>
              <w:bottom w:val="single" w:sz="4" w:space="0" w:color="auto"/>
              <w:right w:val="single" w:sz="4" w:space="0" w:color="auto"/>
            </w:tcBorders>
            <w:shd w:val="clear" w:color="000000" w:fill="F2F2F2"/>
            <w:noWrap/>
            <w:vAlign w:val="bottom"/>
            <w:hideMark/>
          </w:tcPr>
          <w:p w14:paraId="335178B0" w14:textId="77777777" w:rsidR="009A356E" w:rsidRPr="00C10545" w:rsidRDefault="009A356E" w:rsidP="009A356E">
            <w:pPr>
              <w:jc w:val="right"/>
              <w:rPr>
                <w:color w:val="000000"/>
                <w:sz w:val="16"/>
                <w:szCs w:val="16"/>
                <w:lang w:eastAsia="en-AU"/>
              </w:rPr>
            </w:pPr>
            <w:r w:rsidRPr="00C10545">
              <w:rPr>
                <w:color w:val="000000"/>
                <w:sz w:val="16"/>
                <w:szCs w:val="16"/>
                <w:lang w:eastAsia="en-AU"/>
              </w:rPr>
              <w:t>303.5</w:t>
            </w:r>
          </w:p>
        </w:tc>
        <w:tc>
          <w:tcPr>
            <w:tcW w:w="342" w:type="pct"/>
            <w:tcBorders>
              <w:top w:val="nil"/>
              <w:left w:val="nil"/>
              <w:bottom w:val="single" w:sz="4" w:space="0" w:color="auto"/>
              <w:right w:val="single" w:sz="4" w:space="0" w:color="auto"/>
            </w:tcBorders>
            <w:shd w:val="clear" w:color="000000" w:fill="D9D9D9"/>
            <w:noWrap/>
            <w:vAlign w:val="bottom"/>
            <w:hideMark/>
          </w:tcPr>
          <w:p w14:paraId="578FD153" w14:textId="77777777" w:rsidR="009A356E" w:rsidRPr="00C10545" w:rsidRDefault="009A356E" w:rsidP="009A356E">
            <w:pPr>
              <w:jc w:val="right"/>
              <w:rPr>
                <w:color w:val="000000"/>
                <w:sz w:val="16"/>
                <w:szCs w:val="16"/>
                <w:lang w:eastAsia="en-AU"/>
              </w:rPr>
            </w:pPr>
            <w:r w:rsidRPr="00C10545">
              <w:rPr>
                <w:color w:val="000000"/>
                <w:sz w:val="16"/>
                <w:szCs w:val="16"/>
                <w:lang w:eastAsia="en-AU"/>
              </w:rPr>
              <w:t>111.9</w:t>
            </w:r>
          </w:p>
        </w:tc>
        <w:tc>
          <w:tcPr>
            <w:tcW w:w="342" w:type="pct"/>
            <w:tcBorders>
              <w:top w:val="nil"/>
              <w:left w:val="nil"/>
              <w:bottom w:val="single" w:sz="4" w:space="0" w:color="auto"/>
              <w:right w:val="single" w:sz="4" w:space="0" w:color="auto"/>
            </w:tcBorders>
            <w:shd w:val="clear" w:color="000000" w:fill="BFBFBF"/>
            <w:noWrap/>
            <w:vAlign w:val="bottom"/>
            <w:hideMark/>
          </w:tcPr>
          <w:p w14:paraId="435E51BE" w14:textId="77777777" w:rsidR="009A356E" w:rsidRPr="00C10545" w:rsidRDefault="009A356E" w:rsidP="009A356E">
            <w:pPr>
              <w:jc w:val="right"/>
              <w:rPr>
                <w:color w:val="000000"/>
                <w:sz w:val="16"/>
                <w:szCs w:val="16"/>
                <w:lang w:eastAsia="en-AU"/>
              </w:rPr>
            </w:pPr>
            <w:r w:rsidRPr="00C10545">
              <w:rPr>
                <w:color w:val="000000"/>
                <w:sz w:val="16"/>
                <w:szCs w:val="16"/>
                <w:lang w:eastAsia="en-AU"/>
              </w:rPr>
              <w:t>415.4</w:t>
            </w:r>
          </w:p>
        </w:tc>
        <w:tc>
          <w:tcPr>
            <w:tcW w:w="374" w:type="pct"/>
            <w:tcBorders>
              <w:top w:val="nil"/>
              <w:left w:val="nil"/>
              <w:bottom w:val="single" w:sz="4" w:space="0" w:color="auto"/>
              <w:right w:val="single" w:sz="8" w:space="0" w:color="auto"/>
            </w:tcBorders>
            <w:shd w:val="clear" w:color="000000" w:fill="BFBFBF"/>
            <w:noWrap/>
            <w:vAlign w:val="bottom"/>
            <w:hideMark/>
          </w:tcPr>
          <w:p w14:paraId="1472B1C7" w14:textId="77777777" w:rsidR="009A356E" w:rsidRPr="00C10545" w:rsidRDefault="009A356E" w:rsidP="009A356E">
            <w:pPr>
              <w:jc w:val="right"/>
              <w:rPr>
                <w:color w:val="000000"/>
                <w:sz w:val="16"/>
                <w:szCs w:val="16"/>
                <w:lang w:eastAsia="en-AU"/>
              </w:rPr>
            </w:pPr>
            <w:r w:rsidRPr="00C10545">
              <w:rPr>
                <w:color w:val="000000"/>
                <w:sz w:val="16"/>
                <w:szCs w:val="16"/>
                <w:lang w:eastAsia="en-AU"/>
              </w:rPr>
              <w:t>5.16%</w:t>
            </w:r>
          </w:p>
        </w:tc>
        <w:tc>
          <w:tcPr>
            <w:tcW w:w="342" w:type="pct"/>
            <w:tcBorders>
              <w:top w:val="nil"/>
              <w:left w:val="nil"/>
              <w:bottom w:val="single" w:sz="4" w:space="0" w:color="auto"/>
              <w:right w:val="single" w:sz="4" w:space="0" w:color="auto"/>
            </w:tcBorders>
            <w:shd w:val="clear" w:color="000000" w:fill="F2F2F2"/>
            <w:noWrap/>
            <w:vAlign w:val="bottom"/>
            <w:hideMark/>
          </w:tcPr>
          <w:p w14:paraId="0F1AEB46" w14:textId="77777777" w:rsidR="009A356E" w:rsidRPr="00C10545" w:rsidRDefault="009A356E" w:rsidP="009A356E">
            <w:pPr>
              <w:jc w:val="right"/>
              <w:rPr>
                <w:color w:val="000000"/>
                <w:sz w:val="16"/>
                <w:szCs w:val="16"/>
                <w:lang w:eastAsia="en-AU"/>
              </w:rPr>
            </w:pPr>
            <w:r w:rsidRPr="00C10545">
              <w:rPr>
                <w:color w:val="000000"/>
                <w:sz w:val="16"/>
                <w:szCs w:val="16"/>
                <w:lang w:eastAsia="en-AU"/>
              </w:rPr>
              <w:t>58.3</w:t>
            </w:r>
          </w:p>
        </w:tc>
        <w:tc>
          <w:tcPr>
            <w:tcW w:w="374" w:type="pct"/>
            <w:tcBorders>
              <w:top w:val="nil"/>
              <w:left w:val="nil"/>
              <w:bottom w:val="single" w:sz="4" w:space="0" w:color="auto"/>
              <w:right w:val="single" w:sz="8" w:space="0" w:color="auto"/>
            </w:tcBorders>
            <w:shd w:val="clear" w:color="000000" w:fill="F2F2F2"/>
            <w:noWrap/>
            <w:vAlign w:val="bottom"/>
            <w:hideMark/>
          </w:tcPr>
          <w:p w14:paraId="16C096F4" w14:textId="77777777" w:rsidR="009A356E" w:rsidRPr="00C10545" w:rsidRDefault="009A356E" w:rsidP="009A356E">
            <w:pPr>
              <w:jc w:val="right"/>
              <w:rPr>
                <w:color w:val="000000"/>
                <w:sz w:val="16"/>
                <w:szCs w:val="16"/>
                <w:lang w:eastAsia="en-AU"/>
              </w:rPr>
            </w:pPr>
            <w:r w:rsidRPr="00C10545">
              <w:rPr>
                <w:color w:val="000000"/>
                <w:sz w:val="16"/>
                <w:szCs w:val="16"/>
                <w:lang w:eastAsia="en-AU"/>
              </w:rPr>
              <w:t>3.34%</w:t>
            </w:r>
          </w:p>
        </w:tc>
        <w:tc>
          <w:tcPr>
            <w:tcW w:w="475" w:type="pct"/>
            <w:tcBorders>
              <w:top w:val="nil"/>
              <w:left w:val="nil"/>
              <w:bottom w:val="single" w:sz="4" w:space="0" w:color="auto"/>
              <w:right w:val="single" w:sz="4" w:space="0" w:color="auto"/>
            </w:tcBorders>
            <w:shd w:val="clear" w:color="000000" w:fill="D9D9D9"/>
            <w:noWrap/>
            <w:vAlign w:val="bottom"/>
            <w:hideMark/>
          </w:tcPr>
          <w:p w14:paraId="756BBCCB" w14:textId="77777777" w:rsidR="009A356E" w:rsidRPr="00C10545" w:rsidRDefault="009A356E" w:rsidP="009A356E">
            <w:pPr>
              <w:rPr>
                <w:color w:val="000000"/>
                <w:sz w:val="16"/>
                <w:szCs w:val="16"/>
                <w:lang w:eastAsia="en-AU"/>
              </w:rPr>
            </w:pPr>
            <w:r w:rsidRPr="00C10545">
              <w:rPr>
                <w:color w:val="000000"/>
                <w:sz w:val="16"/>
                <w:szCs w:val="16"/>
                <w:lang w:eastAsia="en-AU"/>
              </w:rPr>
              <w:t xml:space="preserve">      869.8 </w:t>
            </w:r>
          </w:p>
        </w:tc>
        <w:tc>
          <w:tcPr>
            <w:tcW w:w="422" w:type="pct"/>
            <w:tcBorders>
              <w:top w:val="nil"/>
              <w:left w:val="nil"/>
              <w:bottom w:val="single" w:sz="4" w:space="0" w:color="auto"/>
              <w:right w:val="single" w:sz="8" w:space="0" w:color="auto"/>
            </w:tcBorders>
            <w:shd w:val="clear" w:color="000000" w:fill="D9D9D9"/>
            <w:noWrap/>
            <w:vAlign w:val="bottom"/>
            <w:hideMark/>
          </w:tcPr>
          <w:p w14:paraId="4136B3C1" w14:textId="77777777" w:rsidR="009A356E" w:rsidRPr="00C10545" w:rsidRDefault="009A356E" w:rsidP="009A356E">
            <w:pPr>
              <w:jc w:val="right"/>
              <w:rPr>
                <w:color w:val="000000"/>
                <w:sz w:val="16"/>
                <w:szCs w:val="16"/>
                <w:lang w:eastAsia="en-AU"/>
              </w:rPr>
            </w:pPr>
            <w:r w:rsidRPr="00C10545">
              <w:rPr>
                <w:color w:val="000000"/>
                <w:sz w:val="16"/>
                <w:szCs w:val="16"/>
                <w:lang w:eastAsia="en-AU"/>
              </w:rPr>
              <w:t>4.55%</w:t>
            </w:r>
          </w:p>
        </w:tc>
        <w:tc>
          <w:tcPr>
            <w:tcW w:w="342" w:type="pct"/>
            <w:tcBorders>
              <w:top w:val="nil"/>
              <w:left w:val="nil"/>
              <w:bottom w:val="single" w:sz="4" w:space="0" w:color="auto"/>
              <w:right w:val="single" w:sz="4" w:space="0" w:color="auto"/>
            </w:tcBorders>
            <w:shd w:val="clear" w:color="000000" w:fill="BFBFBF"/>
            <w:noWrap/>
            <w:vAlign w:val="bottom"/>
            <w:hideMark/>
          </w:tcPr>
          <w:p w14:paraId="6A9ABE44" w14:textId="77777777" w:rsidR="009A356E" w:rsidRPr="00C10545" w:rsidRDefault="009A356E" w:rsidP="009A356E">
            <w:pPr>
              <w:jc w:val="right"/>
              <w:rPr>
                <w:color w:val="000000"/>
                <w:sz w:val="16"/>
                <w:szCs w:val="16"/>
                <w:lang w:eastAsia="en-AU"/>
              </w:rPr>
            </w:pPr>
            <w:r w:rsidRPr="00C10545">
              <w:rPr>
                <w:color w:val="000000"/>
                <w:sz w:val="16"/>
                <w:szCs w:val="16"/>
                <w:lang w:eastAsia="en-AU"/>
              </w:rPr>
              <w:t>79.8</w:t>
            </w:r>
          </w:p>
        </w:tc>
        <w:tc>
          <w:tcPr>
            <w:tcW w:w="374" w:type="pct"/>
            <w:tcBorders>
              <w:top w:val="nil"/>
              <w:left w:val="nil"/>
              <w:bottom w:val="single" w:sz="4" w:space="0" w:color="auto"/>
              <w:right w:val="single" w:sz="8" w:space="0" w:color="auto"/>
            </w:tcBorders>
            <w:shd w:val="clear" w:color="000000" w:fill="BFBFBF"/>
            <w:noWrap/>
            <w:vAlign w:val="bottom"/>
            <w:hideMark/>
          </w:tcPr>
          <w:p w14:paraId="4D8217A9" w14:textId="77777777" w:rsidR="009A356E" w:rsidRPr="00C10545" w:rsidRDefault="009A356E" w:rsidP="009A356E">
            <w:pPr>
              <w:jc w:val="right"/>
              <w:rPr>
                <w:color w:val="000000"/>
                <w:sz w:val="16"/>
                <w:szCs w:val="16"/>
                <w:lang w:eastAsia="en-AU"/>
              </w:rPr>
            </w:pPr>
            <w:r w:rsidRPr="00C10545">
              <w:rPr>
                <w:color w:val="000000"/>
                <w:sz w:val="16"/>
                <w:szCs w:val="16"/>
                <w:lang w:eastAsia="en-AU"/>
              </w:rPr>
              <w:t>3.18%</w:t>
            </w:r>
          </w:p>
        </w:tc>
        <w:tc>
          <w:tcPr>
            <w:tcW w:w="374" w:type="pct"/>
            <w:tcBorders>
              <w:top w:val="nil"/>
              <w:left w:val="nil"/>
              <w:bottom w:val="single" w:sz="4" w:space="0" w:color="auto"/>
              <w:right w:val="single" w:sz="4" w:space="0" w:color="auto"/>
            </w:tcBorders>
            <w:shd w:val="clear" w:color="000000" w:fill="95B3D7"/>
            <w:noWrap/>
            <w:vAlign w:val="bottom"/>
            <w:hideMark/>
          </w:tcPr>
          <w:p w14:paraId="12D289E3" w14:textId="77777777" w:rsidR="009A356E" w:rsidRPr="00C10545" w:rsidRDefault="009A356E" w:rsidP="009A356E">
            <w:pPr>
              <w:jc w:val="right"/>
              <w:rPr>
                <w:color w:val="000000"/>
                <w:sz w:val="16"/>
                <w:szCs w:val="16"/>
                <w:lang w:eastAsia="en-AU"/>
              </w:rPr>
            </w:pPr>
            <w:r w:rsidRPr="00C10545">
              <w:rPr>
                <w:color w:val="000000"/>
                <w:sz w:val="16"/>
                <w:szCs w:val="16"/>
                <w:lang w:eastAsia="en-AU"/>
              </w:rPr>
              <w:t>3.52%</w:t>
            </w:r>
          </w:p>
        </w:tc>
        <w:tc>
          <w:tcPr>
            <w:tcW w:w="374" w:type="pct"/>
            <w:tcBorders>
              <w:top w:val="nil"/>
              <w:left w:val="nil"/>
              <w:bottom w:val="single" w:sz="4" w:space="0" w:color="auto"/>
              <w:right w:val="single" w:sz="8" w:space="0" w:color="auto"/>
            </w:tcBorders>
            <w:shd w:val="clear" w:color="000000" w:fill="00B0F0"/>
            <w:noWrap/>
            <w:vAlign w:val="bottom"/>
            <w:hideMark/>
          </w:tcPr>
          <w:p w14:paraId="320074A0" w14:textId="77777777" w:rsidR="009A356E" w:rsidRPr="00C10545" w:rsidRDefault="009A356E" w:rsidP="009A356E">
            <w:pPr>
              <w:jc w:val="right"/>
              <w:rPr>
                <w:color w:val="000000"/>
                <w:sz w:val="16"/>
                <w:szCs w:val="16"/>
                <w:lang w:eastAsia="en-AU"/>
              </w:rPr>
            </w:pPr>
            <w:r w:rsidRPr="00C10545">
              <w:rPr>
                <w:color w:val="000000"/>
                <w:sz w:val="16"/>
                <w:szCs w:val="16"/>
                <w:lang w:eastAsia="en-AU"/>
              </w:rPr>
              <w:t>3.67%</w:t>
            </w:r>
          </w:p>
        </w:tc>
      </w:tr>
      <w:tr w:rsidR="009A356E" w:rsidRPr="00C96EAB" w14:paraId="039CEA85" w14:textId="77777777" w:rsidTr="009A356E">
        <w:trPr>
          <w:trHeight w:val="225"/>
        </w:trPr>
        <w:tc>
          <w:tcPr>
            <w:tcW w:w="523" w:type="pct"/>
            <w:tcBorders>
              <w:top w:val="nil"/>
              <w:left w:val="single" w:sz="8" w:space="0" w:color="auto"/>
              <w:bottom w:val="single" w:sz="4" w:space="0" w:color="auto"/>
              <w:right w:val="nil"/>
            </w:tcBorders>
            <w:shd w:val="clear" w:color="auto" w:fill="auto"/>
            <w:noWrap/>
            <w:vAlign w:val="bottom"/>
            <w:hideMark/>
          </w:tcPr>
          <w:p w14:paraId="10BBA93C" w14:textId="77777777" w:rsidR="009A356E" w:rsidRPr="00C10545" w:rsidRDefault="009A356E" w:rsidP="009A356E">
            <w:pPr>
              <w:rPr>
                <w:color w:val="000000"/>
                <w:sz w:val="16"/>
                <w:szCs w:val="16"/>
                <w:lang w:eastAsia="en-AU"/>
              </w:rPr>
            </w:pPr>
            <w:r w:rsidRPr="00C10545">
              <w:rPr>
                <w:color w:val="000000"/>
                <w:sz w:val="16"/>
                <w:szCs w:val="16"/>
                <w:lang w:eastAsia="en-AU"/>
              </w:rPr>
              <w:t>2009</w:t>
            </w:r>
          </w:p>
        </w:tc>
        <w:tc>
          <w:tcPr>
            <w:tcW w:w="342" w:type="pct"/>
            <w:tcBorders>
              <w:top w:val="nil"/>
              <w:left w:val="single" w:sz="8" w:space="0" w:color="auto"/>
              <w:bottom w:val="single" w:sz="4" w:space="0" w:color="auto"/>
              <w:right w:val="single" w:sz="4" w:space="0" w:color="auto"/>
            </w:tcBorders>
            <w:shd w:val="clear" w:color="000000" w:fill="F2F2F2"/>
            <w:noWrap/>
            <w:vAlign w:val="bottom"/>
            <w:hideMark/>
          </w:tcPr>
          <w:p w14:paraId="0A582DCE" w14:textId="77777777" w:rsidR="009A356E" w:rsidRPr="00C10545" w:rsidRDefault="009A356E" w:rsidP="009A356E">
            <w:pPr>
              <w:jc w:val="right"/>
              <w:rPr>
                <w:color w:val="000000"/>
                <w:sz w:val="16"/>
                <w:szCs w:val="16"/>
                <w:lang w:eastAsia="en-AU"/>
              </w:rPr>
            </w:pPr>
            <w:r w:rsidRPr="00C10545">
              <w:rPr>
                <w:color w:val="000000"/>
                <w:sz w:val="16"/>
                <w:szCs w:val="16"/>
                <w:lang w:eastAsia="en-AU"/>
              </w:rPr>
              <w:t>324.4</w:t>
            </w:r>
          </w:p>
        </w:tc>
        <w:tc>
          <w:tcPr>
            <w:tcW w:w="342" w:type="pct"/>
            <w:tcBorders>
              <w:top w:val="nil"/>
              <w:left w:val="nil"/>
              <w:bottom w:val="single" w:sz="4" w:space="0" w:color="auto"/>
              <w:right w:val="single" w:sz="4" w:space="0" w:color="auto"/>
            </w:tcBorders>
            <w:shd w:val="clear" w:color="000000" w:fill="D9D9D9"/>
            <w:noWrap/>
            <w:vAlign w:val="bottom"/>
            <w:hideMark/>
          </w:tcPr>
          <w:p w14:paraId="73E1E47E" w14:textId="77777777" w:rsidR="009A356E" w:rsidRPr="00C10545" w:rsidRDefault="009A356E" w:rsidP="009A356E">
            <w:pPr>
              <w:jc w:val="right"/>
              <w:rPr>
                <w:color w:val="000000"/>
                <w:sz w:val="16"/>
                <w:szCs w:val="16"/>
                <w:lang w:eastAsia="en-AU"/>
              </w:rPr>
            </w:pPr>
            <w:r w:rsidRPr="00C10545">
              <w:rPr>
                <w:color w:val="000000"/>
                <w:sz w:val="16"/>
                <w:szCs w:val="16"/>
                <w:lang w:eastAsia="en-AU"/>
              </w:rPr>
              <w:t>119.8</w:t>
            </w:r>
          </w:p>
        </w:tc>
        <w:tc>
          <w:tcPr>
            <w:tcW w:w="342" w:type="pct"/>
            <w:tcBorders>
              <w:top w:val="nil"/>
              <w:left w:val="nil"/>
              <w:bottom w:val="single" w:sz="4" w:space="0" w:color="auto"/>
              <w:right w:val="single" w:sz="4" w:space="0" w:color="auto"/>
            </w:tcBorders>
            <w:shd w:val="clear" w:color="000000" w:fill="BFBFBF"/>
            <w:noWrap/>
            <w:vAlign w:val="bottom"/>
            <w:hideMark/>
          </w:tcPr>
          <w:p w14:paraId="3C079981" w14:textId="77777777" w:rsidR="009A356E" w:rsidRPr="00C10545" w:rsidRDefault="009A356E" w:rsidP="009A356E">
            <w:pPr>
              <w:jc w:val="right"/>
              <w:rPr>
                <w:color w:val="000000"/>
                <w:sz w:val="16"/>
                <w:szCs w:val="16"/>
                <w:lang w:eastAsia="en-AU"/>
              </w:rPr>
            </w:pPr>
            <w:r w:rsidRPr="00C10545">
              <w:rPr>
                <w:color w:val="000000"/>
                <w:sz w:val="16"/>
                <w:szCs w:val="16"/>
                <w:lang w:eastAsia="en-AU"/>
              </w:rPr>
              <w:t>444.3</w:t>
            </w:r>
          </w:p>
        </w:tc>
        <w:tc>
          <w:tcPr>
            <w:tcW w:w="374" w:type="pct"/>
            <w:tcBorders>
              <w:top w:val="nil"/>
              <w:left w:val="nil"/>
              <w:bottom w:val="single" w:sz="4" w:space="0" w:color="auto"/>
              <w:right w:val="single" w:sz="8" w:space="0" w:color="auto"/>
            </w:tcBorders>
            <w:shd w:val="clear" w:color="000000" w:fill="BFBFBF"/>
            <w:noWrap/>
            <w:vAlign w:val="bottom"/>
            <w:hideMark/>
          </w:tcPr>
          <w:p w14:paraId="0A98BAB7" w14:textId="77777777" w:rsidR="009A356E" w:rsidRPr="00C10545" w:rsidRDefault="009A356E" w:rsidP="009A356E">
            <w:pPr>
              <w:jc w:val="right"/>
              <w:rPr>
                <w:color w:val="000000"/>
                <w:sz w:val="16"/>
                <w:szCs w:val="16"/>
                <w:lang w:eastAsia="en-AU"/>
              </w:rPr>
            </w:pPr>
            <w:r w:rsidRPr="00C10545">
              <w:rPr>
                <w:color w:val="000000"/>
                <w:sz w:val="16"/>
                <w:szCs w:val="16"/>
                <w:lang w:eastAsia="en-AU"/>
              </w:rPr>
              <w:t>6.95%</w:t>
            </w:r>
          </w:p>
        </w:tc>
        <w:tc>
          <w:tcPr>
            <w:tcW w:w="342" w:type="pct"/>
            <w:tcBorders>
              <w:top w:val="nil"/>
              <w:left w:val="nil"/>
              <w:bottom w:val="single" w:sz="4" w:space="0" w:color="auto"/>
              <w:right w:val="single" w:sz="4" w:space="0" w:color="auto"/>
            </w:tcBorders>
            <w:shd w:val="clear" w:color="000000" w:fill="F2F2F2"/>
            <w:noWrap/>
            <w:vAlign w:val="bottom"/>
            <w:hideMark/>
          </w:tcPr>
          <w:p w14:paraId="203FB195" w14:textId="77777777" w:rsidR="009A356E" w:rsidRPr="00C10545" w:rsidRDefault="009A356E" w:rsidP="009A356E">
            <w:pPr>
              <w:jc w:val="right"/>
              <w:rPr>
                <w:color w:val="000000"/>
                <w:sz w:val="16"/>
                <w:szCs w:val="16"/>
                <w:lang w:eastAsia="en-AU"/>
              </w:rPr>
            </w:pPr>
            <w:r w:rsidRPr="00C10545">
              <w:rPr>
                <w:color w:val="000000"/>
                <w:sz w:val="16"/>
                <w:szCs w:val="16"/>
                <w:lang w:eastAsia="en-AU"/>
              </w:rPr>
              <w:t>61.1</w:t>
            </w:r>
          </w:p>
        </w:tc>
        <w:tc>
          <w:tcPr>
            <w:tcW w:w="374" w:type="pct"/>
            <w:tcBorders>
              <w:top w:val="nil"/>
              <w:left w:val="nil"/>
              <w:bottom w:val="single" w:sz="4" w:space="0" w:color="auto"/>
              <w:right w:val="single" w:sz="8" w:space="0" w:color="auto"/>
            </w:tcBorders>
            <w:shd w:val="clear" w:color="000000" w:fill="F2F2F2"/>
            <w:noWrap/>
            <w:vAlign w:val="bottom"/>
            <w:hideMark/>
          </w:tcPr>
          <w:p w14:paraId="468C7653" w14:textId="77777777" w:rsidR="009A356E" w:rsidRPr="00C10545" w:rsidRDefault="009A356E" w:rsidP="009A356E">
            <w:pPr>
              <w:jc w:val="right"/>
              <w:rPr>
                <w:color w:val="000000"/>
                <w:sz w:val="16"/>
                <w:szCs w:val="16"/>
                <w:lang w:eastAsia="en-AU"/>
              </w:rPr>
            </w:pPr>
            <w:r w:rsidRPr="00C10545">
              <w:rPr>
                <w:color w:val="000000"/>
                <w:sz w:val="16"/>
                <w:szCs w:val="16"/>
                <w:lang w:eastAsia="en-AU"/>
              </w:rPr>
              <w:t>4.70%</w:t>
            </w:r>
          </w:p>
        </w:tc>
        <w:tc>
          <w:tcPr>
            <w:tcW w:w="475" w:type="pct"/>
            <w:tcBorders>
              <w:top w:val="nil"/>
              <w:left w:val="nil"/>
              <w:bottom w:val="single" w:sz="4" w:space="0" w:color="auto"/>
              <w:right w:val="single" w:sz="4" w:space="0" w:color="auto"/>
            </w:tcBorders>
            <w:shd w:val="clear" w:color="000000" w:fill="D9D9D9"/>
            <w:noWrap/>
            <w:vAlign w:val="bottom"/>
            <w:hideMark/>
          </w:tcPr>
          <w:p w14:paraId="15A415C9" w14:textId="77777777" w:rsidR="009A356E" w:rsidRPr="00C10545" w:rsidRDefault="009A356E" w:rsidP="009A356E">
            <w:pPr>
              <w:rPr>
                <w:color w:val="000000"/>
                <w:sz w:val="16"/>
                <w:szCs w:val="16"/>
                <w:lang w:eastAsia="en-AU"/>
              </w:rPr>
            </w:pPr>
            <w:r w:rsidRPr="00C10545">
              <w:rPr>
                <w:color w:val="000000"/>
                <w:sz w:val="16"/>
                <w:szCs w:val="16"/>
                <w:lang w:eastAsia="en-AU"/>
              </w:rPr>
              <w:t xml:space="preserve">      929.4 </w:t>
            </w:r>
          </w:p>
        </w:tc>
        <w:tc>
          <w:tcPr>
            <w:tcW w:w="422" w:type="pct"/>
            <w:tcBorders>
              <w:top w:val="nil"/>
              <w:left w:val="nil"/>
              <w:bottom w:val="single" w:sz="4" w:space="0" w:color="auto"/>
              <w:right w:val="single" w:sz="8" w:space="0" w:color="auto"/>
            </w:tcBorders>
            <w:shd w:val="clear" w:color="000000" w:fill="D9D9D9"/>
            <w:noWrap/>
            <w:vAlign w:val="bottom"/>
            <w:hideMark/>
          </w:tcPr>
          <w:p w14:paraId="52E48C5F" w14:textId="77777777" w:rsidR="009A356E" w:rsidRPr="00C10545" w:rsidRDefault="009A356E" w:rsidP="009A356E">
            <w:pPr>
              <w:jc w:val="right"/>
              <w:rPr>
                <w:color w:val="000000"/>
                <w:sz w:val="16"/>
                <w:szCs w:val="16"/>
                <w:lang w:eastAsia="en-AU"/>
              </w:rPr>
            </w:pPr>
            <w:r w:rsidRPr="00C10545">
              <w:rPr>
                <w:color w:val="000000"/>
                <w:sz w:val="16"/>
                <w:szCs w:val="16"/>
                <w:lang w:eastAsia="en-AU"/>
              </w:rPr>
              <w:t>6.85%</w:t>
            </w:r>
          </w:p>
        </w:tc>
        <w:tc>
          <w:tcPr>
            <w:tcW w:w="342" w:type="pct"/>
            <w:tcBorders>
              <w:top w:val="nil"/>
              <w:left w:val="nil"/>
              <w:bottom w:val="single" w:sz="4" w:space="0" w:color="auto"/>
              <w:right w:val="single" w:sz="4" w:space="0" w:color="auto"/>
            </w:tcBorders>
            <w:shd w:val="clear" w:color="000000" w:fill="BFBFBF"/>
            <w:noWrap/>
            <w:vAlign w:val="bottom"/>
            <w:hideMark/>
          </w:tcPr>
          <w:p w14:paraId="24E9F5E0" w14:textId="77777777" w:rsidR="009A356E" w:rsidRPr="00C10545" w:rsidRDefault="009A356E" w:rsidP="009A356E">
            <w:pPr>
              <w:jc w:val="right"/>
              <w:rPr>
                <w:color w:val="000000"/>
                <w:sz w:val="16"/>
                <w:szCs w:val="16"/>
                <w:lang w:eastAsia="en-AU"/>
              </w:rPr>
            </w:pPr>
            <w:r w:rsidRPr="00C10545">
              <w:rPr>
                <w:color w:val="000000"/>
                <w:sz w:val="16"/>
                <w:szCs w:val="16"/>
                <w:lang w:eastAsia="en-AU"/>
              </w:rPr>
              <w:t>83.6</w:t>
            </w:r>
          </w:p>
        </w:tc>
        <w:tc>
          <w:tcPr>
            <w:tcW w:w="374" w:type="pct"/>
            <w:tcBorders>
              <w:top w:val="nil"/>
              <w:left w:val="nil"/>
              <w:bottom w:val="single" w:sz="4" w:space="0" w:color="auto"/>
              <w:right w:val="single" w:sz="8" w:space="0" w:color="auto"/>
            </w:tcBorders>
            <w:shd w:val="clear" w:color="000000" w:fill="BFBFBF"/>
            <w:noWrap/>
            <w:vAlign w:val="bottom"/>
            <w:hideMark/>
          </w:tcPr>
          <w:p w14:paraId="3E8A524A" w14:textId="77777777" w:rsidR="009A356E" w:rsidRPr="00C10545" w:rsidRDefault="009A356E" w:rsidP="009A356E">
            <w:pPr>
              <w:jc w:val="right"/>
              <w:rPr>
                <w:color w:val="000000"/>
                <w:sz w:val="16"/>
                <w:szCs w:val="16"/>
                <w:lang w:eastAsia="en-AU"/>
              </w:rPr>
            </w:pPr>
            <w:r w:rsidRPr="00C10545">
              <w:rPr>
                <w:color w:val="000000"/>
                <w:sz w:val="16"/>
                <w:szCs w:val="16"/>
                <w:lang w:eastAsia="en-AU"/>
              </w:rPr>
              <w:t>4.76%</w:t>
            </w:r>
          </w:p>
        </w:tc>
        <w:tc>
          <w:tcPr>
            <w:tcW w:w="374" w:type="pct"/>
            <w:tcBorders>
              <w:top w:val="nil"/>
              <w:left w:val="nil"/>
              <w:bottom w:val="single" w:sz="4" w:space="0" w:color="auto"/>
              <w:right w:val="single" w:sz="4" w:space="0" w:color="auto"/>
            </w:tcBorders>
            <w:shd w:val="clear" w:color="000000" w:fill="95B3D7"/>
            <w:noWrap/>
            <w:vAlign w:val="bottom"/>
            <w:hideMark/>
          </w:tcPr>
          <w:p w14:paraId="5B83B866" w14:textId="77777777" w:rsidR="009A356E" w:rsidRPr="00C10545" w:rsidRDefault="009A356E" w:rsidP="009A356E">
            <w:pPr>
              <w:jc w:val="right"/>
              <w:rPr>
                <w:color w:val="000000"/>
                <w:sz w:val="16"/>
                <w:szCs w:val="16"/>
                <w:lang w:eastAsia="en-AU"/>
              </w:rPr>
            </w:pPr>
            <w:r w:rsidRPr="00C10545">
              <w:rPr>
                <w:color w:val="000000"/>
                <w:sz w:val="16"/>
                <w:szCs w:val="16"/>
                <w:lang w:eastAsia="en-AU"/>
              </w:rPr>
              <w:t>2.83%</w:t>
            </w:r>
          </w:p>
        </w:tc>
        <w:tc>
          <w:tcPr>
            <w:tcW w:w="374" w:type="pct"/>
            <w:tcBorders>
              <w:top w:val="nil"/>
              <w:left w:val="nil"/>
              <w:bottom w:val="single" w:sz="4" w:space="0" w:color="auto"/>
              <w:right w:val="single" w:sz="8" w:space="0" w:color="auto"/>
            </w:tcBorders>
            <w:shd w:val="clear" w:color="000000" w:fill="00B0F0"/>
            <w:noWrap/>
            <w:vAlign w:val="bottom"/>
            <w:hideMark/>
          </w:tcPr>
          <w:p w14:paraId="674600E3" w14:textId="77777777" w:rsidR="009A356E" w:rsidRPr="00C10545" w:rsidRDefault="009A356E" w:rsidP="009A356E">
            <w:pPr>
              <w:jc w:val="right"/>
              <w:rPr>
                <w:color w:val="000000"/>
                <w:sz w:val="16"/>
                <w:szCs w:val="16"/>
                <w:lang w:eastAsia="en-AU"/>
              </w:rPr>
            </w:pPr>
            <w:r w:rsidRPr="00C10545">
              <w:rPr>
                <w:color w:val="000000"/>
                <w:sz w:val="16"/>
                <w:szCs w:val="16"/>
                <w:lang w:eastAsia="en-AU"/>
              </w:rPr>
              <w:t>3.28%</w:t>
            </w:r>
          </w:p>
        </w:tc>
      </w:tr>
      <w:tr w:rsidR="009A356E" w:rsidRPr="00C96EAB" w14:paraId="5D5FEB9F" w14:textId="77777777" w:rsidTr="009A356E">
        <w:trPr>
          <w:trHeight w:val="225"/>
        </w:trPr>
        <w:tc>
          <w:tcPr>
            <w:tcW w:w="523" w:type="pct"/>
            <w:tcBorders>
              <w:top w:val="nil"/>
              <w:left w:val="single" w:sz="8" w:space="0" w:color="auto"/>
              <w:bottom w:val="single" w:sz="4" w:space="0" w:color="auto"/>
              <w:right w:val="nil"/>
            </w:tcBorders>
            <w:shd w:val="clear" w:color="auto" w:fill="auto"/>
            <w:noWrap/>
            <w:vAlign w:val="bottom"/>
            <w:hideMark/>
          </w:tcPr>
          <w:p w14:paraId="35DDB2EE" w14:textId="77777777" w:rsidR="009A356E" w:rsidRPr="00C10545" w:rsidRDefault="009A356E" w:rsidP="009A356E">
            <w:pPr>
              <w:rPr>
                <w:color w:val="000000"/>
                <w:sz w:val="16"/>
                <w:szCs w:val="16"/>
                <w:lang w:eastAsia="en-AU"/>
              </w:rPr>
            </w:pPr>
            <w:r w:rsidRPr="00C10545">
              <w:rPr>
                <w:color w:val="000000"/>
                <w:sz w:val="16"/>
                <w:szCs w:val="16"/>
                <w:lang w:eastAsia="en-AU"/>
              </w:rPr>
              <w:t>2010</w:t>
            </w:r>
          </w:p>
        </w:tc>
        <w:tc>
          <w:tcPr>
            <w:tcW w:w="342" w:type="pct"/>
            <w:tcBorders>
              <w:top w:val="nil"/>
              <w:left w:val="single" w:sz="8" w:space="0" w:color="auto"/>
              <w:bottom w:val="single" w:sz="4" w:space="0" w:color="auto"/>
              <w:right w:val="single" w:sz="4" w:space="0" w:color="auto"/>
            </w:tcBorders>
            <w:shd w:val="clear" w:color="000000" w:fill="F2F2F2"/>
            <w:noWrap/>
            <w:vAlign w:val="bottom"/>
            <w:hideMark/>
          </w:tcPr>
          <w:p w14:paraId="15261A4C" w14:textId="77777777" w:rsidR="009A356E" w:rsidRPr="00C10545" w:rsidRDefault="009A356E" w:rsidP="009A356E">
            <w:pPr>
              <w:jc w:val="right"/>
              <w:rPr>
                <w:color w:val="000000"/>
                <w:sz w:val="16"/>
                <w:szCs w:val="16"/>
                <w:lang w:eastAsia="en-AU"/>
              </w:rPr>
            </w:pPr>
            <w:r w:rsidRPr="00C10545">
              <w:rPr>
                <w:color w:val="000000"/>
                <w:sz w:val="16"/>
                <w:szCs w:val="16"/>
                <w:lang w:eastAsia="en-AU"/>
              </w:rPr>
              <w:t>330.2</w:t>
            </w:r>
          </w:p>
        </w:tc>
        <w:tc>
          <w:tcPr>
            <w:tcW w:w="342" w:type="pct"/>
            <w:tcBorders>
              <w:top w:val="nil"/>
              <w:left w:val="nil"/>
              <w:bottom w:val="single" w:sz="4" w:space="0" w:color="auto"/>
              <w:right w:val="single" w:sz="4" w:space="0" w:color="auto"/>
            </w:tcBorders>
            <w:shd w:val="clear" w:color="000000" w:fill="D9D9D9"/>
            <w:noWrap/>
            <w:vAlign w:val="bottom"/>
            <w:hideMark/>
          </w:tcPr>
          <w:p w14:paraId="71CB942C" w14:textId="77777777" w:rsidR="009A356E" w:rsidRPr="00C10545" w:rsidRDefault="009A356E" w:rsidP="009A356E">
            <w:pPr>
              <w:jc w:val="right"/>
              <w:rPr>
                <w:color w:val="000000"/>
                <w:sz w:val="16"/>
                <w:szCs w:val="16"/>
                <w:lang w:eastAsia="en-AU"/>
              </w:rPr>
            </w:pPr>
            <w:r w:rsidRPr="00C10545">
              <w:rPr>
                <w:color w:val="000000"/>
                <w:sz w:val="16"/>
                <w:szCs w:val="16"/>
                <w:lang w:eastAsia="en-AU"/>
              </w:rPr>
              <w:t>121.8</w:t>
            </w:r>
          </w:p>
        </w:tc>
        <w:tc>
          <w:tcPr>
            <w:tcW w:w="342" w:type="pct"/>
            <w:tcBorders>
              <w:top w:val="nil"/>
              <w:left w:val="nil"/>
              <w:bottom w:val="single" w:sz="4" w:space="0" w:color="auto"/>
              <w:right w:val="single" w:sz="4" w:space="0" w:color="auto"/>
            </w:tcBorders>
            <w:shd w:val="clear" w:color="000000" w:fill="BFBFBF"/>
            <w:noWrap/>
            <w:vAlign w:val="bottom"/>
            <w:hideMark/>
          </w:tcPr>
          <w:p w14:paraId="2A004F87" w14:textId="77777777" w:rsidR="009A356E" w:rsidRPr="00C10545" w:rsidRDefault="009A356E" w:rsidP="009A356E">
            <w:pPr>
              <w:jc w:val="right"/>
              <w:rPr>
                <w:color w:val="000000"/>
                <w:sz w:val="16"/>
                <w:szCs w:val="16"/>
                <w:lang w:eastAsia="en-AU"/>
              </w:rPr>
            </w:pPr>
            <w:r w:rsidRPr="00C10545">
              <w:rPr>
                <w:color w:val="000000"/>
                <w:sz w:val="16"/>
                <w:szCs w:val="16"/>
                <w:lang w:eastAsia="en-AU"/>
              </w:rPr>
              <w:t>452.1</w:t>
            </w:r>
          </w:p>
        </w:tc>
        <w:tc>
          <w:tcPr>
            <w:tcW w:w="374" w:type="pct"/>
            <w:tcBorders>
              <w:top w:val="nil"/>
              <w:left w:val="nil"/>
              <w:bottom w:val="single" w:sz="4" w:space="0" w:color="auto"/>
              <w:right w:val="single" w:sz="8" w:space="0" w:color="auto"/>
            </w:tcBorders>
            <w:shd w:val="clear" w:color="000000" w:fill="BFBFBF"/>
            <w:noWrap/>
            <w:vAlign w:val="bottom"/>
            <w:hideMark/>
          </w:tcPr>
          <w:p w14:paraId="68F7A4F7" w14:textId="77777777" w:rsidR="009A356E" w:rsidRPr="00C10545" w:rsidRDefault="009A356E" w:rsidP="009A356E">
            <w:pPr>
              <w:jc w:val="right"/>
              <w:rPr>
                <w:color w:val="000000"/>
                <w:sz w:val="16"/>
                <w:szCs w:val="16"/>
                <w:lang w:eastAsia="en-AU"/>
              </w:rPr>
            </w:pPr>
            <w:r w:rsidRPr="00C10545">
              <w:rPr>
                <w:color w:val="000000"/>
                <w:sz w:val="16"/>
                <w:szCs w:val="16"/>
                <w:lang w:eastAsia="en-AU"/>
              </w:rPr>
              <w:t>1.76%</w:t>
            </w:r>
          </w:p>
        </w:tc>
        <w:tc>
          <w:tcPr>
            <w:tcW w:w="342" w:type="pct"/>
            <w:tcBorders>
              <w:top w:val="nil"/>
              <w:left w:val="nil"/>
              <w:bottom w:val="single" w:sz="4" w:space="0" w:color="auto"/>
              <w:right w:val="single" w:sz="4" w:space="0" w:color="auto"/>
            </w:tcBorders>
            <w:shd w:val="clear" w:color="000000" w:fill="F2F2F2"/>
            <w:noWrap/>
            <w:vAlign w:val="bottom"/>
            <w:hideMark/>
          </w:tcPr>
          <w:p w14:paraId="7F807709" w14:textId="77777777" w:rsidR="009A356E" w:rsidRPr="00C10545" w:rsidRDefault="009A356E" w:rsidP="009A356E">
            <w:pPr>
              <w:jc w:val="right"/>
              <w:rPr>
                <w:color w:val="000000"/>
                <w:sz w:val="16"/>
                <w:szCs w:val="16"/>
                <w:lang w:eastAsia="en-AU"/>
              </w:rPr>
            </w:pPr>
            <w:r w:rsidRPr="00C10545">
              <w:rPr>
                <w:color w:val="000000"/>
                <w:sz w:val="16"/>
                <w:szCs w:val="16"/>
                <w:lang w:eastAsia="en-AU"/>
              </w:rPr>
              <w:t>61.0</w:t>
            </w:r>
          </w:p>
        </w:tc>
        <w:tc>
          <w:tcPr>
            <w:tcW w:w="374" w:type="pct"/>
            <w:tcBorders>
              <w:top w:val="nil"/>
              <w:left w:val="nil"/>
              <w:bottom w:val="single" w:sz="4" w:space="0" w:color="auto"/>
              <w:right w:val="single" w:sz="8" w:space="0" w:color="auto"/>
            </w:tcBorders>
            <w:shd w:val="clear" w:color="000000" w:fill="F2F2F2"/>
            <w:noWrap/>
            <w:vAlign w:val="bottom"/>
            <w:hideMark/>
          </w:tcPr>
          <w:p w14:paraId="7E639644" w14:textId="77777777" w:rsidR="009A356E" w:rsidRPr="00C10545" w:rsidRDefault="009A356E" w:rsidP="009A356E">
            <w:pPr>
              <w:jc w:val="right"/>
              <w:rPr>
                <w:color w:val="000000"/>
                <w:sz w:val="16"/>
                <w:szCs w:val="16"/>
                <w:lang w:eastAsia="en-AU"/>
              </w:rPr>
            </w:pPr>
            <w:r w:rsidRPr="00C10545">
              <w:rPr>
                <w:color w:val="000000"/>
                <w:sz w:val="16"/>
                <w:szCs w:val="16"/>
                <w:lang w:eastAsia="en-AU"/>
              </w:rPr>
              <w:t>-0.13%</w:t>
            </w:r>
          </w:p>
        </w:tc>
        <w:tc>
          <w:tcPr>
            <w:tcW w:w="475" w:type="pct"/>
            <w:tcBorders>
              <w:top w:val="nil"/>
              <w:left w:val="nil"/>
              <w:bottom w:val="single" w:sz="4" w:space="0" w:color="auto"/>
              <w:right w:val="single" w:sz="4" w:space="0" w:color="auto"/>
            </w:tcBorders>
            <w:shd w:val="clear" w:color="000000" w:fill="D9D9D9"/>
            <w:noWrap/>
            <w:vAlign w:val="bottom"/>
            <w:hideMark/>
          </w:tcPr>
          <w:p w14:paraId="4D88B499" w14:textId="77777777" w:rsidR="009A356E" w:rsidRPr="00C10545" w:rsidRDefault="009A356E" w:rsidP="009A356E">
            <w:pPr>
              <w:rPr>
                <w:color w:val="000000"/>
                <w:sz w:val="16"/>
                <w:szCs w:val="16"/>
                <w:lang w:eastAsia="en-AU"/>
              </w:rPr>
            </w:pPr>
            <w:r w:rsidRPr="00C10545">
              <w:rPr>
                <w:color w:val="000000"/>
                <w:sz w:val="16"/>
                <w:szCs w:val="16"/>
                <w:lang w:eastAsia="en-AU"/>
              </w:rPr>
              <w:t xml:space="preserve">      944.5 </w:t>
            </w:r>
          </w:p>
        </w:tc>
        <w:tc>
          <w:tcPr>
            <w:tcW w:w="422" w:type="pct"/>
            <w:tcBorders>
              <w:top w:val="nil"/>
              <w:left w:val="nil"/>
              <w:bottom w:val="single" w:sz="4" w:space="0" w:color="auto"/>
              <w:right w:val="single" w:sz="8" w:space="0" w:color="auto"/>
            </w:tcBorders>
            <w:shd w:val="clear" w:color="000000" w:fill="D9D9D9"/>
            <w:noWrap/>
            <w:vAlign w:val="bottom"/>
            <w:hideMark/>
          </w:tcPr>
          <w:p w14:paraId="10854234" w14:textId="77777777" w:rsidR="009A356E" w:rsidRPr="00C10545" w:rsidRDefault="009A356E" w:rsidP="009A356E">
            <w:pPr>
              <w:jc w:val="right"/>
              <w:rPr>
                <w:color w:val="000000"/>
                <w:sz w:val="16"/>
                <w:szCs w:val="16"/>
                <w:lang w:eastAsia="en-AU"/>
              </w:rPr>
            </w:pPr>
            <w:r w:rsidRPr="00C10545">
              <w:rPr>
                <w:color w:val="000000"/>
                <w:sz w:val="16"/>
                <w:szCs w:val="16"/>
                <w:lang w:eastAsia="en-AU"/>
              </w:rPr>
              <w:t>1.61%</w:t>
            </w:r>
          </w:p>
        </w:tc>
        <w:tc>
          <w:tcPr>
            <w:tcW w:w="342" w:type="pct"/>
            <w:tcBorders>
              <w:top w:val="nil"/>
              <w:left w:val="nil"/>
              <w:bottom w:val="single" w:sz="4" w:space="0" w:color="auto"/>
              <w:right w:val="single" w:sz="4" w:space="0" w:color="auto"/>
            </w:tcBorders>
            <w:shd w:val="clear" w:color="000000" w:fill="BFBFBF"/>
            <w:noWrap/>
            <w:vAlign w:val="bottom"/>
            <w:hideMark/>
          </w:tcPr>
          <w:p w14:paraId="63497897" w14:textId="77777777" w:rsidR="009A356E" w:rsidRPr="00C10545" w:rsidRDefault="009A356E" w:rsidP="009A356E">
            <w:pPr>
              <w:jc w:val="right"/>
              <w:rPr>
                <w:color w:val="000000"/>
                <w:sz w:val="16"/>
                <w:szCs w:val="16"/>
                <w:lang w:eastAsia="en-AU"/>
              </w:rPr>
            </w:pPr>
            <w:r w:rsidRPr="00C10545">
              <w:rPr>
                <w:color w:val="000000"/>
                <w:sz w:val="16"/>
                <w:szCs w:val="16"/>
                <w:lang w:eastAsia="en-AU"/>
              </w:rPr>
              <w:t>83.5</w:t>
            </w:r>
          </w:p>
        </w:tc>
        <w:tc>
          <w:tcPr>
            <w:tcW w:w="374" w:type="pct"/>
            <w:tcBorders>
              <w:top w:val="nil"/>
              <w:left w:val="nil"/>
              <w:bottom w:val="single" w:sz="4" w:space="0" w:color="auto"/>
              <w:right w:val="single" w:sz="8" w:space="0" w:color="auto"/>
            </w:tcBorders>
            <w:shd w:val="clear" w:color="000000" w:fill="BFBFBF"/>
            <w:noWrap/>
            <w:vAlign w:val="bottom"/>
            <w:hideMark/>
          </w:tcPr>
          <w:p w14:paraId="14A41F6F" w14:textId="77777777" w:rsidR="009A356E" w:rsidRPr="00C10545" w:rsidRDefault="009A356E" w:rsidP="009A356E">
            <w:pPr>
              <w:jc w:val="right"/>
              <w:rPr>
                <w:color w:val="000000"/>
                <w:sz w:val="16"/>
                <w:szCs w:val="16"/>
                <w:lang w:eastAsia="en-AU"/>
              </w:rPr>
            </w:pPr>
            <w:r w:rsidRPr="00C10545">
              <w:rPr>
                <w:color w:val="000000"/>
                <w:sz w:val="16"/>
                <w:szCs w:val="16"/>
                <w:lang w:eastAsia="en-AU"/>
              </w:rPr>
              <w:t>-0.17%</w:t>
            </w:r>
          </w:p>
        </w:tc>
        <w:tc>
          <w:tcPr>
            <w:tcW w:w="374" w:type="pct"/>
            <w:tcBorders>
              <w:top w:val="nil"/>
              <w:left w:val="nil"/>
              <w:bottom w:val="single" w:sz="4" w:space="0" w:color="auto"/>
              <w:right w:val="single" w:sz="4" w:space="0" w:color="auto"/>
            </w:tcBorders>
            <w:shd w:val="clear" w:color="000000" w:fill="95B3D7"/>
            <w:noWrap/>
            <w:vAlign w:val="bottom"/>
            <w:hideMark/>
          </w:tcPr>
          <w:p w14:paraId="7756B259" w14:textId="77777777" w:rsidR="009A356E" w:rsidRPr="00C10545" w:rsidRDefault="009A356E" w:rsidP="009A356E">
            <w:pPr>
              <w:jc w:val="right"/>
              <w:rPr>
                <w:color w:val="000000"/>
                <w:sz w:val="16"/>
                <w:szCs w:val="16"/>
                <w:lang w:eastAsia="en-AU"/>
              </w:rPr>
            </w:pPr>
            <w:r w:rsidRPr="00C10545">
              <w:rPr>
                <w:color w:val="000000"/>
                <w:sz w:val="16"/>
                <w:szCs w:val="16"/>
                <w:lang w:eastAsia="en-AU"/>
              </w:rPr>
              <w:t>2.09%</w:t>
            </w:r>
          </w:p>
        </w:tc>
        <w:tc>
          <w:tcPr>
            <w:tcW w:w="374" w:type="pct"/>
            <w:tcBorders>
              <w:top w:val="nil"/>
              <w:left w:val="nil"/>
              <w:bottom w:val="single" w:sz="4" w:space="0" w:color="auto"/>
              <w:right w:val="single" w:sz="8" w:space="0" w:color="auto"/>
            </w:tcBorders>
            <w:shd w:val="clear" w:color="000000" w:fill="00B0F0"/>
            <w:noWrap/>
            <w:vAlign w:val="bottom"/>
            <w:hideMark/>
          </w:tcPr>
          <w:p w14:paraId="5404F60B" w14:textId="77777777" w:rsidR="009A356E" w:rsidRPr="00C10545" w:rsidRDefault="009A356E" w:rsidP="009A356E">
            <w:pPr>
              <w:jc w:val="right"/>
              <w:rPr>
                <w:color w:val="000000"/>
                <w:sz w:val="16"/>
                <w:szCs w:val="16"/>
                <w:lang w:eastAsia="en-AU"/>
              </w:rPr>
            </w:pPr>
            <w:r w:rsidRPr="00C10545">
              <w:rPr>
                <w:color w:val="000000"/>
                <w:sz w:val="16"/>
                <w:szCs w:val="16"/>
                <w:lang w:eastAsia="en-AU"/>
              </w:rPr>
              <w:t>2.38%</w:t>
            </w:r>
          </w:p>
        </w:tc>
      </w:tr>
      <w:tr w:rsidR="009A356E" w:rsidRPr="00C96EAB" w14:paraId="77EFDA88" w14:textId="77777777" w:rsidTr="009A356E">
        <w:trPr>
          <w:trHeight w:val="225"/>
        </w:trPr>
        <w:tc>
          <w:tcPr>
            <w:tcW w:w="523" w:type="pct"/>
            <w:tcBorders>
              <w:top w:val="nil"/>
              <w:left w:val="single" w:sz="8" w:space="0" w:color="auto"/>
              <w:bottom w:val="single" w:sz="4" w:space="0" w:color="auto"/>
              <w:right w:val="nil"/>
            </w:tcBorders>
            <w:shd w:val="clear" w:color="auto" w:fill="auto"/>
            <w:noWrap/>
            <w:vAlign w:val="bottom"/>
            <w:hideMark/>
          </w:tcPr>
          <w:p w14:paraId="43DF149E" w14:textId="77777777" w:rsidR="009A356E" w:rsidRPr="00C10545" w:rsidRDefault="009A356E" w:rsidP="009A356E">
            <w:pPr>
              <w:rPr>
                <w:color w:val="000000"/>
                <w:sz w:val="16"/>
                <w:szCs w:val="16"/>
                <w:lang w:eastAsia="en-AU"/>
              </w:rPr>
            </w:pPr>
            <w:r w:rsidRPr="00C10545">
              <w:rPr>
                <w:color w:val="000000"/>
                <w:sz w:val="16"/>
                <w:szCs w:val="16"/>
                <w:lang w:eastAsia="en-AU"/>
              </w:rPr>
              <w:t>2011</w:t>
            </w:r>
          </w:p>
        </w:tc>
        <w:tc>
          <w:tcPr>
            <w:tcW w:w="342" w:type="pct"/>
            <w:tcBorders>
              <w:top w:val="nil"/>
              <w:left w:val="single" w:sz="8" w:space="0" w:color="auto"/>
              <w:bottom w:val="single" w:sz="4" w:space="0" w:color="auto"/>
              <w:right w:val="single" w:sz="4" w:space="0" w:color="auto"/>
            </w:tcBorders>
            <w:shd w:val="clear" w:color="000000" w:fill="F2F2F2"/>
            <w:noWrap/>
            <w:vAlign w:val="bottom"/>
            <w:hideMark/>
          </w:tcPr>
          <w:p w14:paraId="6026D3C7" w14:textId="77777777" w:rsidR="009A356E" w:rsidRPr="00C10545" w:rsidRDefault="009A356E" w:rsidP="009A356E">
            <w:pPr>
              <w:jc w:val="right"/>
              <w:rPr>
                <w:color w:val="000000"/>
                <w:sz w:val="16"/>
                <w:szCs w:val="16"/>
                <w:lang w:eastAsia="en-AU"/>
              </w:rPr>
            </w:pPr>
            <w:r w:rsidRPr="00C10545">
              <w:rPr>
                <w:color w:val="000000"/>
                <w:sz w:val="16"/>
                <w:szCs w:val="16"/>
                <w:lang w:eastAsia="en-AU"/>
              </w:rPr>
              <w:t>357.7</w:t>
            </w:r>
          </w:p>
        </w:tc>
        <w:tc>
          <w:tcPr>
            <w:tcW w:w="342" w:type="pct"/>
            <w:tcBorders>
              <w:top w:val="nil"/>
              <w:left w:val="nil"/>
              <w:bottom w:val="single" w:sz="4" w:space="0" w:color="auto"/>
              <w:right w:val="single" w:sz="4" w:space="0" w:color="auto"/>
            </w:tcBorders>
            <w:shd w:val="clear" w:color="000000" w:fill="D9D9D9"/>
            <w:noWrap/>
            <w:vAlign w:val="bottom"/>
            <w:hideMark/>
          </w:tcPr>
          <w:p w14:paraId="4C976617" w14:textId="77777777" w:rsidR="009A356E" w:rsidRPr="00C10545" w:rsidRDefault="009A356E" w:rsidP="009A356E">
            <w:pPr>
              <w:jc w:val="right"/>
              <w:rPr>
                <w:color w:val="000000"/>
                <w:sz w:val="16"/>
                <w:szCs w:val="16"/>
                <w:lang w:eastAsia="en-AU"/>
              </w:rPr>
            </w:pPr>
            <w:r w:rsidRPr="00C10545">
              <w:rPr>
                <w:color w:val="000000"/>
                <w:sz w:val="16"/>
                <w:szCs w:val="16"/>
                <w:lang w:eastAsia="en-AU"/>
              </w:rPr>
              <w:t>132.0</w:t>
            </w:r>
          </w:p>
        </w:tc>
        <w:tc>
          <w:tcPr>
            <w:tcW w:w="342" w:type="pct"/>
            <w:tcBorders>
              <w:top w:val="nil"/>
              <w:left w:val="nil"/>
              <w:bottom w:val="single" w:sz="4" w:space="0" w:color="auto"/>
              <w:right w:val="single" w:sz="4" w:space="0" w:color="auto"/>
            </w:tcBorders>
            <w:shd w:val="clear" w:color="000000" w:fill="BFBFBF"/>
            <w:noWrap/>
            <w:vAlign w:val="bottom"/>
            <w:hideMark/>
          </w:tcPr>
          <w:p w14:paraId="6734504D" w14:textId="77777777" w:rsidR="009A356E" w:rsidRPr="00C10545" w:rsidRDefault="009A356E" w:rsidP="009A356E">
            <w:pPr>
              <w:jc w:val="right"/>
              <w:rPr>
                <w:color w:val="000000"/>
                <w:sz w:val="16"/>
                <w:szCs w:val="16"/>
                <w:lang w:eastAsia="en-AU"/>
              </w:rPr>
            </w:pPr>
            <w:r w:rsidRPr="00C10545">
              <w:rPr>
                <w:color w:val="000000"/>
                <w:sz w:val="16"/>
                <w:szCs w:val="16"/>
                <w:lang w:eastAsia="en-AU"/>
              </w:rPr>
              <w:t>489.6</w:t>
            </w:r>
          </w:p>
        </w:tc>
        <w:tc>
          <w:tcPr>
            <w:tcW w:w="374" w:type="pct"/>
            <w:tcBorders>
              <w:top w:val="nil"/>
              <w:left w:val="nil"/>
              <w:bottom w:val="single" w:sz="4" w:space="0" w:color="auto"/>
              <w:right w:val="single" w:sz="8" w:space="0" w:color="auto"/>
            </w:tcBorders>
            <w:shd w:val="clear" w:color="000000" w:fill="BFBFBF"/>
            <w:noWrap/>
            <w:vAlign w:val="bottom"/>
            <w:hideMark/>
          </w:tcPr>
          <w:p w14:paraId="5CF992E8" w14:textId="77777777" w:rsidR="009A356E" w:rsidRPr="00C10545" w:rsidRDefault="009A356E" w:rsidP="009A356E">
            <w:pPr>
              <w:jc w:val="right"/>
              <w:rPr>
                <w:color w:val="000000"/>
                <w:sz w:val="16"/>
                <w:szCs w:val="16"/>
                <w:lang w:eastAsia="en-AU"/>
              </w:rPr>
            </w:pPr>
            <w:r w:rsidRPr="00C10545">
              <w:rPr>
                <w:color w:val="000000"/>
                <w:sz w:val="16"/>
                <w:szCs w:val="16"/>
                <w:lang w:eastAsia="en-AU"/>
              </w:rPr>
              <w:t>8.31%</w:t>
            </w:r>
          </w:p>
        </w:tc>
        <w:tc>
          <w:tcPr>
            <w:tcW w:w="342" w:type="pct"/>
            <w:tcBorders>
              <w:top w:val="nil"/>
              <w:left w:val="nil"/>
              <w:bottom w:val="single" w:sz="4" w:space="0" w:color="auto"/>
              <w:right w:val="single" w:sz="4" w:space="0" w:color="auto"/>
            </w:tcBorders>
            <w:shd w:val="clear" w:color="000000" w:fill="F2F2F2"/>
            <w:noWrap/>
            <w:vAlign w:val="bottom"/>
            <w:hideMark/>
          </w:tcPr>
          <w:p w14:paraId="6D85AE90" w14:textId="77777777" w:rsidR="009A356E" w:rsidRPr="00C10545" w:rsidRDefault="009A356E" w:rsidP="009A356E">
            <w:pPr>
              <w:jc w:val="right"/>
              <w:rPr>
                <w:color w:val="000000"/>
                <w:sz w:val="16"/>
                <w:szCs w:val="16"/>
                <w:lang w:eastAsia="en-AU"/>
              </w:rPr>
            </w:pPr>
            <w:r w:rsidRPr="00C10545">
              <w:rPr>
                <w:color w:val="000000"/>
                <w:sz w:val="16"/>
                <w:szCs w:val="16"/>
                <w:lang w:eastAsia="en-AU"/>
              </w:rPr>
              <w:t>65.0</w:t>
            </w:r>
          </w:p>
        </w:tc>
        <w:tc>
          <w:tcPr>
            <w:tcW w:w="374" w:type="pct"/>
            <w:tcBorders>
              <w:top w:val="nil"/>
              <w:left w:val="nil"/>
              <w:bottom w:val="single" w:sz="4" w:space="0" w:color="auto"/>
              <w:right w:val="single" w:sz="8" w:space="0" w:color="auto"/>
            </w:tcBorders>
            <w:shd w:val="clear" w:color="000000" w:fill="F2F2F2"/>
            <w:noWrap/>
            <w:vAlign w:val="bottom"/>
            <w:hideMark/>
          </w:tcPr>
          <w:p w14:paraId="3C86B3D0" w14:textId="77777777" w:rsidR="009A356E" w:rsidRPr="00C10545" w:rsidRDefault="009A356E" w:rsidP="009A356E">
            <w:pPr>
              <w:jc w:val="right"/>
              <w:rPr>
                <w:color w:val="000000"/>
                <w:sz w:val="16"/>
                <w:szCs w:val="16"/>
                <w:lang w:eastAsia="en-AU"/>
              </w:rPr>
            </w:pPr>
            <w:r w:rsidRPr="00C10545">
              <w:rPr>
                <w:color w:val="000000"/>
                <w:sz w:val="16"/>
                <w:szCs w:val="16"/>
                <w:lang w:eastAsia="en-AU"/>
              </w:rPr>
              <w:t>6.67%</w:t>
            </w:r>
          </w:p>
        </w:tc>
        <w:tc>
          <w:tcPr>
            <w:tcW w:w="475" w:type="pct"/>
            <w:tcBorders>
              <w:top w:val="nil"/>
              <w:left w:val="nil"/>
              <w:bottom w:val="single" w:sz="4" w:space="0" w:color="auto"/>
              <w:right w:val="single" w:sz="4" w:space="0" w:color="auto"/>
            </w:tcBorders>
            <w:shd w:val="clear" w:color="000000" w:fill="D9D9D9"/>
            <w:noWrap/>
            <w:vAlign w:val="bottom"/>
            <w:hideMark/>
          </w:tcPr>
          <w:p w14:paraId="16AD02D0" w14:textId="77777777" w:rsidR="009A356E" w:rsidRPr="00C10545" w:rsidRDefault="009A356E" w:rsidP="009A356E">
            <w:pPr>
              <w:rPr>
                <w:color w:val="000000"/>
                <w:sz w:val="16"/>
                <w:szCs w:val="16"/>
                <w:lang w:eastAsia="en-AU"/>
              </w:rPr>
            </w:pPr>
            <w:r w:rsidRPr="00C10545">
              <w:rPr>
                <w:color w:val="000000"/>
                <w:sz w:val="16"/>
                <w:szCs w:val="16"/>
                <w:lang w:eastAsia="en-AU"/>
              </w:rPr>
              <w:t xml:space="preserve">   1,022.5 </w:t>
            </w:r>
          </w:p>
        </w:tc>
        <w:tc>
          <w:tcPr>
            <w:tcW w:w="422" w:type="pct"/>
            <w:tcBorders>
              <w:top w:val="nil"/>
              <w:left w:val="nil"/>
              <w:bottom w:val="single" w:sz="4" w:space="0" w:color="auto"/>
              <w:right w:val="single" w:sz="8" w:space="0" w:color="auto"/>
            </w:tcBorders>
            <w:shd w:val="clear" w:color="000000" w:fill="D9D9D9"/>
            <w:noWrap/>
            <w:vAlign w:val="bottom"/>
            <w:hideMark/>
          </w:tcPr>
          <w:p w14:paraId="0651ADA6" w14:textId="77777777" w:rsidR="009A356E" w:rsidRPr="00C10545" w:rsidRDefault="009A356E" w:rsidP="009A356E">
            <w:pPr>
              <w:jc w:val="right"/>
              <w:rPr>
                <w:color w:val="000000"/>
                <w:sz w:val="16"/>
                <w:szCs w:val="16"/>
                <w:lang w:eastAsia="en-AU"/>
              </w:rPr>
            </w:pPr>
            <w:r w:rsidRPr="00C10545">
              <w:rPr>
                <w:color w:val="000000"/>
                <w:sz w:val="16"/>
                <w:szCs w:val="16"/>
                <w:lang w:eastAsia="en-AU"/>
              </w:rPr>
              <w:t>8.26%</w:t>
            </w:r>
          </w:p>
        </w:tc>
        <w:tc>
          <w:tcPr>
            <w:tcW w:w="342" w:type="pct"/>
            <w:tcBorders>
              <w:top w:val="nil"/>
              <w:left w:val="nil"/>
              <w:bottom w:val="single" w:sz="4" w:space="0" w:color="auto"/>
              <w:right w:val="single" w:sz="4" w:space="0" w:color="auto"/>
            </w:tcBorders>
            <w:shd w:val="clear" w:color="000000" w:fill="BFBFBF"/>
            <w:noWrap/>
            <w:vAlign w:val="bottom"/>
            <w:hideMark/>
          </w:tcPr>
          <w:p w14:paraId="067F62BE" w14:textId="77777777" w:rsidR="009A356E" w:rsidRPr="00C10545" w:rsidRDefault="009A356E" w:rsidP="009A356E">
            <w:pPr>
              <w:jc w:val="right"/>
              <w:rPr>
                <w:color w:val="000000"/>
                <w:sz w:val="16"/>
                <w:szCs w:val="16"/>
                <w:lang w:eastAsia="en-AU"/>
              </w:rPr>
            </w:pPr>
            <w:r w:rsidRPr="00C10545">
              <w:rPr>
                <w:color w:val="000000"/>
                <w:sz w:val="16"/>
                <w:szCs w:val="16"/>
                <w:lang w:eastAsia="en-AU"/>
              </w:rPr>
              <w:t>89.0</w:t>
            </w:r>
          </w:p>
        </w:tc>
        <w:tc>
          <w:tcPr>
            <w:tcW w:w="374" w:type="pct"/>
            <w:tcBorders>
              <w:top w:val="nil"/>
              <w:left w:val="nil"/>
              <w:bottom w:val="single" w:sz="4" w:space="0" w:color="auto"/>
              <w:right w:val="single" w:sz="8" w:space="0" w:color="auto"/>
            </w:tcBorders>
            <w:shd w:val="clear" w:color="000000" w:fill="BFBFBF"/>
            <w:noWrap/>
            <w:vAlign w:val="bottom"/>
            <w:hideMark/>
          </w:tcPr>
          <w:p w14:paraId="5FFBD7A8" w14:textId="77777777" w:rsidR="009A356E" w:rsidRPr="00C10545" w:rsidRDefault="009A356E" w:rsidP="009A356E">
            <w:pPr>
              <w:jc w:val="right"/>
              <w:rPr>
                <w:color w:val="000000"/>
                <w:sz w:val="16"/>
                <w:szCs w:val="16"/>
                <w:lang w:eastAsia="en-AU"/>
              </w:rPr>
            </w:pPr>
            <w:r w:rsidRPr="00C10545">
              <w:rPr>
                <w:color w:val="000000"/>
                <w:sz w:val="16"/>
                <w:szCs w:val="16"/>
                <w:lang w:eastAsia="en-AU"/>
              </w:rPr>
              <w:t>6.68%</w:t>
            </w:r>
          </w:p>
        </w:tc>
        <w:tc>
          <w:tcPr>
            <w:tcW w:w="374" w:type="pct"/>
            <w:tcBorders>
              <w:top w:val="nil"/>
              <w:left w:val="nil"/>
              <w:bottom w:val="single" w:sz="4" w:space="0" w:color="auto"/>
              <w:right w:val="single" w:sz="4" w:space="0" w:color="auto"/>
            </w:tcBorders>
            <w:shd w:val="clear" w:color="000000" w:fill="95B3D7"/>
            <w:noWrap/>
            <w:vAlign w:val="bottom"/>
            <w:hideMark/>
          </w:tcPr>
          <w:p w14:paraId="5B8D308E" w14:textId="77777777" w:rsidR="009A356E" w:rsidRPr="00C10545" w:rsidRDefault="009A356E" w:rsidP="009A356E">
            <w:pPr>
              <w:jc w:val="right"/>
              <w:rPr>
                <w:color w:val="000000"/>
                <w:sz w:val="16"/>
                <w:szCs w:val="16"/>
                <w:lang w:eastAsia="en-AU"/>
              </w:rPr>
            </w:pPr>
            <w:r w:rsidRPr="00C10545">
              <w:rPr>
                <w:color w:val="000000"/>
                <w:sz w:val="16"/>
                <w:szCs w:val="16"/>
                <w:lang w:eastAsia="en-AU"/>
              </w:rPr>
              <w:t>3.24%</w:t>
            </w:r>
          </w:p>
        </w:tc>
        <w:tc>
          <w:tcPr>
            <w:tcW w:w="374" w:type="pct"/>
            <w:tcBorders>
              <w:top w:val="nil"/>
              <w:left w:val="nil"/>
              <w:bottom w:val="single" w:sz="4" w:space="0" w:color="auto"/>
              <w:right w:val="single" w:sz="8" w:space="0" w:color="auto"/>
            </w:tcBorders>
            <w:shd w:val="clear" w:color="000000" w:fill="00B0F0"/>
            <w:noWrap/>
            <w:vAlign w:val="bottom"/>
            <w:hideMark/>
          </w:tcPr>
          <w:p w14:paraId="528CA056" w14:textId="77777777" w:rsidR="009A356E" w:rsidRPr="00C10545" w:rsidRDefault="009A356E" w:rsidP="009A356E">
            <w:pPr>
              <w:jc w:val="right"/>
              <w:rPr>
                <w:color w:val="000000"/>
                <w:sz w:val="16"/>
                <w:szCs w:val="16"/>
                <w:lang w:eastAsia="en-AU"/>
              </w:rPr>
            </w:pPr>
            <w:r w:rsidRPr="00C10545">
              <w:rPr>
                <w:color w:val="000000"/>
                <w:sz w:val="16"/>
                <w:szCs w:val="16"/>
                <w:lang w:eastAsia="en-AU"/>
              </w:rPr>
              <w:t>3.46%</w:t>
            </w:r>
          </w:p>
        </w:tc>
      </w:tr>
      <w:tr w:rsidR="009A356E" w:rsidRPr="00C96EAB" w14:paraId="77C88E94" w14:textId="77777777" w:rsidTr="009A356E">
        <w:trPr>
          <w:trHeight w:val="225"/>
        </w:trPr>
        <w:tc>
          <w:tcPr>
            <w:tcW w:w="523" w:type="pct"/>
            <w:tcBorders>
              <w:top w:val="nil"/>
              <w:left w:val="single" w:sz="8" w:space="0" w:color="auto"/>
              <w:bottom w:val="single" w:sz="4" w:space="0" w:color="auto"/>
              <w:right w:val="nil"/>
            </w:tcBorders>
            <w:shd w:val="clear" w:color="auto" w:fill="auto"/>
            <w:noWrap/>
            <w:vAlign w:val="bottom"/>
            <w:hideMark/>
          </w:tcPr>
          <w:p w14:paraId="479F84B3" w14:textId="77777777" w:rsidR="009A356E" w:rsidRPr="00C10545" w:rsidRDefault="009A356E" w:rsidP="009A356E">
            <w:pPr>
              <w:rPr>
                <w:color w:val="000000"/>
                <w:sz w:val="16"/>
                <w:szCs w:val="16"/>
                <w:lang w:eastAsia="en-AU"/>
              </w:rPr>
            </w:pPr>
            <w:r w:rsidRPr="00C10545">
              <w:rPr>
                <w:color w:val="000000"/>
                <w:sz w:val="16"/>
                <w:szCs w:val="16"/>
                <w:lang w:eastAsia="en-AU"/>
              </w:rPr>
              <w:t>2012</w:t>
            </w:r>
          </w:p>
        </w:tc>
        <w:tc>
          <w:tcPr>
            <w:tcW w:w="342" w:type="pct"/>
            <w:tcBorders>
              <w:top w:val="nil"/>
              <w:left w:val="single" w:sz="8" w:space="0" w:color="auto"/>
              <w:bottom w:val="single" w:sz="4" w:space="0" w:color="auto"/>
              <w:right w:val="single" w:sz="4" w:space="0" w:color="auto"/>
            </w:tcBorders>
            <w:shd w:val="clear" w:color="000000" w:fill="F2F2F2"/>
            <w:noWrap/>
            <w:vAlign w:val="bottom"/>
            <w:hideMark/>
          </w:tcPr>
          <w:p w14:paraId="4DB29314" w14:textId="77777777" w:rsidR="009A356E" w:rsidRPr="00C10545" w:rsidRDefault="009A356E" w:rsidP="009A356E">
            <w:pPr>
              <w:jc w:val="right"/>
              <w:rPr>
                <w:color w:val="000000"/>
                <w:sz w:val="16"/>
                <w:szCs w:val="16"/>
                <w:lang w:eastAsia="en-AU"/>
              </w:rPr>
            </w:pPr>
            <w:r w:rsidRPr="00C10545">
              <w:rPr>
                <w:color w:val="000000"/>
                <w:sz w:val="16"/>
                <w:szCs w:val="16"/>
                <w:lang w:eastAsia="en-AU"/>
              </w:rPr>
              <w:t>370.4</w:t>
            </w:r>
          </w:p>
        </w:tc>
        <w:tc>
          <w:tcPr>
            <w:tcW w:w="342" w:type="pct"/>
            <w:tcBorders>
              <w:top w:val="nil"/>
              <w:left w:val="nil"/>
              <w:bottom w:val="single" w:sz="4" w:space="0" w:color="auto"/>
              <w:right w:val="single" w:sz="4" w:space="0" w:color="auto"/>
            </w:tcBorders>
            <w:shd w:val="clear" w:color="000000" w:fill="D9D9D9"/>
            <w:noWrap/>
            <w:vAlign w:val="bottom"/>
            <w:hideMark/>
          </w:tcPr>
          <w:p w14:paraId="56C14E1D" w14:textId="77777777" w:rsidR="009A356E" w:rsidRPr="00C10545" w:rsidRDefault="009A356E" w:rsidP="009A356E">
            <w:pPr>
              <w:jc w:val="right"/>
              <w:rPr>
                <w:color w:val="000000"/>
                <w:sz w:val="16"/>
                <w:szCs w:val="16"/>
                <w:lang w:eastAsia="en-AU"/>
              </w:rPr>
            </w:pPr>
            <w:r w:rsidRPr="00C10545">
              <w:rPr>
                <w:color w:val="000000"/>
                <w:sz w:val="16"/>
                <w:szCs w:val="16"/>
                <w:lang w:eastAsia="en-AU"/>
              </w:rPr>
              <w:t>136.4</w:t>
            </w:r>
          </w:p>
        </w:tc>
        <w:tc>
          <w:tcPr>
            <w:tcW w:w="342" w:type="pct"/>
            <w:tcBorders>
              <w:top w:val="nil"/>
              <w:left w:val="nil"/>
              <w:bottom w:val="single" w:sz="4" w:space="0" w:color="auto"/>
              <w:right w:val="single" w:sz="4" w:space="0" w:color="auto"/>
            </w:tcBorders>
            <w:shd w:val="clear" w:color="000000" w:fill="BFBFBF"/>
            <w:noWrap/>
            <w:vAlign w:val="bottom"/>
            <w:hideMark/>
          </w:tcPr>
          <w:p w14:paraId="50DEA54C" w14:textId="77777777" w:rsidR="009A356E" w:rsidRPr="00C10545" w:rsidRDefault="009A356E" w:rsidP="009A356E">
            <w:pPr>
              <w:jc w:val="right"/>
              <w:rPr>
                <w:color w:val="000000"/>
                <w:sz w:val="16"/>
                <w:szCs w:val="16"/>
                <w:lang w:eastAsia="en-AU"/>
              </w:rPr>
            </w:pPr>
            <w:r w:rsidRPr="00C10545">
              <w:rPr>
                <w:color w:val="000000"/>
                <w:sz w:val="16"/>
                <w:szCs w:val="16"/>
                <w:lang w:eastAsia="en-AU"/>
              </w:rPr>
              <w:t>506.8</w:t>
            </w:r>
          </w:p>
        </w:tc>
        <w:tc>
          <w:tcPr>
            <w:tcW w:w="374" w:type="pct"/>
            <w:tcBorders>
              <w:top w:val="nil"/>
              <w:left w:val="nil"/>
              <w:bottom w:val="single" w:sz="4" w:space="0" w:color="auto"/>
              <w:right w:val="single" w:sz="8" w:space="0" w:color="auto"/>
            </w:tcBorders>
            <w:shd w:val="clear" w:color="000000" w:fill="BFBFBF"/>
            <w:noWrap/>
            <w:vAlign w:val="bottom"/>
            <w:hideMark/>
          </w:tcPr>
          <w:p w14:paraId="08782AA1" w14:textId="77777777" w:rsidR="009A356E" w:rsidRPr="00C10545" w:rsidRDefault="009A356E" w:rsidP="009A356E">
            <w:pPr>
              <w:jc w:val="right"/>
              <w:rPr>
                <w:color w:val="000000"/>
                <w:sz w:val="16"/>
                <w:szCs w:val="16"/>
                <w:lang w:eastAsia="en-AU"/>
              </w:rPr>
            </w:pPr>
            <w:r w:rsidRPr="00C10545">
              <w:rPr>
                <w:color w:val="000000"/>
                <w:sz w:val="16"/>
                <w:szCs w:val="16"/>
                <w:lang w:eastAsia="en-AU"/>
              </w:rPr>
              <w:t>3.51%</w:t>
            </w:r>
          </w:p>
        </w:tc>
        <w:tc>
          <w:tcPr>
            <w:tcW w:w="342" w:type="pct"/>
            <w:tcBorders>
              <w:top w:val="nil"/>
              <w:left w:val="nil"/>
              <w:bottom w:val="single" w:sz="4" w:space="0" w:color="auto"/>
              <w:right w:val="single" w:sz="4" w:space="0" w:color="auto"/>
            </w:tcBorders>
            <w:shd w:val="clear" w:color="000000" w:fill="F2F2F2"/>
            <w:noWrap/>
            <w:vAlign w:val="bottom"/>
            <w:hideMark/>
          </w:tcPr>
          <w:p w14:paraId="05082A0C" w14:textId="77777777" w:rsidR="009A356E" w:rsidRPr="00C10545" w:rsidRDefault="009A356E" w:rsidP="009A356E">
            <w:pPr>
              <w:jc w:val="right"/>
              <w:rPr>
                <w:color w:val="000000"/>
                <w:sz w:val="16"/>
                <w:szCs w:val="16"/>
                <w:lang w:eastAsia="en-AU"/>
              </w:rPr>
            </w:pPr>
            <w:r w:rsidRPr="00C10545">
              <w:rPr>
                <w:color w:val="000000"/>
                <w:sz w:val="16"/>
                <w:szCs w:val="16"/>
                <w:lang w:eastAsia="en-AU"/>
              </w:rPr>
              <w:t>66.3</w:t>
            </w:r>
          </w:p>
        </w:tc>
        <w:tc>
          <w:tcPr>
            <w:tcW w:w="374" w:type="pct"/>
            <w:tcBorders>
              <w:top w:val="nil"/>
              <w:left w:val="nil"/>
              <w:bottom w:val="single" w:sz="4" w:space="0" w:color="auto"/>
              <w:right w:val="single" w:sz="8" w:space="0" w:color="auto"/>
            </w:tcBorders>
            <w:shd w:val="clear" w:color="000000" w:fill="F2F2F2"/>
            <w:noWrap/>
            <w:vAlign w:val="bottom"/>
            <w:hideMark/>
          </w:tcPr>
          <w:p w14:paraId="2541D3BF" w14:textId="77777777" w:rsidR="009A356E" w:rsidRPr="00C10545" w:rsidRDefault="009A356E" w:rsidP="009A356E">
            <w:pPr>
              <w:jc w:val="right"/>
              <w:rPr>
                <w:color w:val="000000"/>
                <w:sz w:val="16"/>
                <w:szCs w:val="16"/>
                <w:lang w:eastAsia="en-AU"/>
              </w:rPr>
            </w:pPr>
            <w:r w:rsidRPr="00C10545">
              <w:rPr>
                <w:color w:val="000000"/>
                <w:sz w:val="16"/>
                <w:szCs w:val="16"/>
                <w:lang w:eastAsia="en-AU"/>
              </w:rPr>
              <w:t>1.98%</w:t>
            </w:r>
          </w:p>
        </w:tc>
        <w:tc>
          <w:tcPr>
            <w:tcW w:w="475" w:type="pct"/>
            <w:tcBorders>
              <w:top w:val="nil"/>
              <w:left w:val="nil"/>
              <w:bottom w:val="single" w:sz="4" w:space="0" w:color="auto"/>
              <w:right w:val="single" w:sz="4" w:space="0" w:color="auto"/>
            </w:tcBorders>
            <w:shd w:val="clear" w:color="000000" w:fill="D9D9D9"/>
            <w:noWrap/>
            <w:vAlign w:val="bottom"/>
            <w:hideMark/>
          </w:tcPr>
          <w:p w14:paraId="69650181" w14:textId="77777777" w:rsidR="009A356E" w:rsidRPr="00C10545" w:rsidRDefault="009A356E" w:rsidP="009A356E">
            <w:pPr>
              <w:rPr>
                <w:color w:val="000000"/>
                <w:sz w:val="16"/>
                <w:szCs w:val="16"/>
                <w:lang w:eastAsia="en-AU"/>
              </w:rPr>
            </w:pPr>
            <w:r w:rsidRPr="00C10545">
              <w:rPr>
                <w:color w:val="000000"/>
                <w:sz w:val="16"/>
                <w:szCs w:val="16"/>
                <w:lang w:eastAsia="en-AU"/>
              </w:rPr>
              <w:t xml:space="preserve">   1,046.7 </w:t>
            </w:r>
          </w:p>
        </w:tc>
        <w:tc>
          <w:tcPr>
            <w:tcW w:w="422" w:type="pct"/>
            <w:tcBorders>
              <w:top w:val="nil"/>
              <w:left w:val="nil"/>
              <w:bottom w:val="single" w:sz="4" w:space="0" w:color="auto"/>
              <w:right w:val="single" w:sz="8" w:space="0" w:color="auto"/>
            </w:tcBorders>
            <w:shd w:val="clear" w:color="000000" w:fill="D9D9D9"/>
            <w:noWrap/>
            <w:vAlign w:val="bottom"/>
            <w:hideMark/>
          </w:tcPr>
          <w:p w14:paraId="62F797C4" w14:textId="77777777" w:rsidR="009A356E" w:rsidRPr="00C10545" w:rsidRDefault="009A356E" w:rsidP="009A356E">
            <w:pPr>
              <w:jc w:val="right"/>
              <w:rPr>
                <w:color w:val="000000"/>
                <w:sz w:val="16"/>
                <w:szCs w:val="16"/>
                <w:lang w:eastAsia="en-AU"/>
              </w:rPr>
            </w:pPr>
            <w:r w:rsidRPr="00C10545">
              <w:rPr>
                <w:color w:val="000000"/>
                <w:sz w:val="16"/>
                <w:szCs w:val="16"/>
                <w:lang w:eastAsia="en-AU"/>
              </w:rPr>
              <w:t>2.37%</w:t>
            </w:r>
          </w:p>
        </w:tc>
        <w:tc>
          <w:tcPr>
            <w:tcW w:w="342" w:type="pct"/>
            <w:tcBorders>
              <w:top w:val="nil"/>
              <w:left w:val="nil"/>
              <w:bottom w:val="single" w:sz="4" w:space="0" w:color="auto"/>
              <w:right w:val="single" w:sz="4" w:space="0" w:color="auto"/>
            </w:tcBorders>
            <w:shd w:val="clear" w:color="000000" w:fill="BFBFBF"/>
            <w:noWrap/>
            <w:vAlign w:val="bottom"/>
            <w:hideMark/>
          </w:tcPr>
          <w:p w14:paraId="4F86153E" w14:textId="77777777" w:rsidR="009A356E" w:rsidRPr="00C10545" w:rsidRDefault="009A356E" w:rsidP="009A356E">
            <w:pPr>
              <w:jc w:val="right"/>
              <w:rPr>
                <w:color w:val="000000"/>
                <w:sz w:val="16"/>
                <w:szCs w:val="16"/>
                <w:lang w:eastAsia="en-AU"/>
              </w:rPr>
            </w:pPr>
            <w:r w:rsidRPr="00C10545">
              <w:rPr>
                <w:color w:val="000000"/>
                <w:sz w:val="16"/>
                <w:szCs w:val="16"/>
                <w:lang w:eastAsia="en-AU"/>
              </w:rPr>
              <w:t>90.8</w:t>
            </w:r>
          </w:p>
        </w:tc>
        <w:tc>
          <w:tcPr>
            <w:tcW w:w="374" w:type="pct"/>
            <w:tcBorders>
              <w:top w:val="nil"/>
              <w:left w:val="nil"/>
              <w:bottom w:val="single" w:sz="4" w:space="0" w:color="auto"/>
              <w:right w:val="single" w:sz="8" w:space="0" w:color="auto"/>
            </w:tcBorders>
            <w:shd w:val="clear" w:color="000000" w:fill="BFBFBF"/>
            <w:noWrap/>
            <w:vAlign w:val="bottom"/>
            <w:hideMark/>
          </w:tcPr>
          <w:p w14:paraId="65E9B999" w14:textId="77777777" w:rsidR="009A356E" w:rsidRPr="00C10545" w:rsidRDefault="009A356E" w:rsidP="009A356E">
            <w:pPr>
              <w:jc w:val="right"/>
              <w:rPr>
                <w:color w:val="000000"/>
                <w:sz w:val="16"/>
                <w:szCs w:val="16"/>
                <w:lang w:eastAsia="en-AU"/>
              </w:rPr>
            </w:pPr>
            <w:r w:rsidRPr="00C10545">
              <w:rPr>
                <w:color w:val="000000"/>
                <w:sz w:val="16"/>
                <w:szCs w:val="16"/>
                <w:lang w:eastAsia="en-AU"/>
              </w:rPr>
              <w:t>1.92%</w:t>
            </w:r>
          </w:p>
        </w:tc>
        <w:tc>
          <w:tcPr>
            <w:tcW w:w="374" w:type="pct"/>
            <w:tcBorders>
              <w:top w:val="nil"/>
              <w:left w:val="nil"/>
              <w:bottom w:val="single" w:sz="4" w:space="0" w:color="auto"/>
              <w:right w:val="single" w:sz="4" w:space="0" w:color="auto"/>
            </w:tcBorders>
            <w:shd w:val="clear" w:color="000000" w:fill="95B3D7"/>
            <w:noWrap/>
            <w:vAlign w:val="bottom"/>
            <w:hideMark/>
          </w:tcPr>
          <w:p w14:paraId="528206C3" w14:textId="77777777" w:rsidR="009A356E" w:rsidRPr="00C10545" w:rsidRDefault="009A356E" w:rsidP="009A356E">
            <w:pPr>
              <w:jc w:val="right"/>
              <w:rPr>
                <w:color w:val="000000"/>
                <w:sz w:val="16"/>
                <w:szCs w:val="16"/>
                <w:lang w:eastAsia="en-AU"/>
              </w:rPr>
            </w:pPr>
            <w:r w:rsidRPr="00C10545">
              <w:rPr>
                <w:color w:val="000000"/>
                <w:sz w:val="16"/>
                <w:szCs w:val="16"/>
                <w:lang w:eastAsia="en-AU"/>
              </w:rPr>
              <w:t>2.30%</w:t>
            </w:r>
          </w:p>
        </w:tc>
        <w:tc>
          <w:tcPr>
            <w:tcW w:w="374" w:type="pct"/>
            <w:tcBorders>
              <w:top w:val="nil"/>
              <w:left w:val="nil"/>
              <w:bottom w:val="single" w:sz="4" w:space="0" w:color="auto"/>
              <w:right w:val="single" w:sz="8" w:space="0" w:color="auto"/>
            </w:tcBorders>
            <w:shd w:val="clear" w:color="000000" w:fill="00B0F0"/>
            <w:noWrap/>
            <w:vAlign w:val="bottom"/>
            <w:hideMark/>
          </w:tcPr>
          <w:p w14:paraId="614A3B0F" w14:textId="77777777" w:rsidR="009A356E" w:rsidRPr="00C10545" w:rsidRDefault="009A356E" w:rsidP="009A356E">
            <w:pPr>
              <w:jc w:val="right"/>
              <w:rPr>
                <w:color w:val="000000"/>
                <w:sz w:val="16"/>
                <w:szCs w:val="16"/>
                <w:lang w:eastAsia="en-AU"/>
              </w:rPr>
            </w:pPr>
            <w:r w:rsidRPr="00C10545">
              <w:rPr>
                <w:color w:val="000000"/>
                <w:sz w:val="16"/>
                <w:szCs w:val="16"/>
                <w:lang w:eastAsia="en-AU"/>
              </w:rPr>
              <w:t>2.77%</w:t>
            </w:r>
          </w:p>
        </w:tc>
      </w:tr>
      <w:tr w:rsidR="009A356E" w:rsidRPr="00C96EAB" w14:paraId="638EEDAA" w14:textId="77777777" w:rsidTr="009A356E">
        <w:trPr>
          <w:trHeight w:val="225"/>
        </w:trPr>
        <w:tc>
          <w:tcPr>
            <w:tcW w:w="523" w:type="pct"/>
            <w:tcBorders>
              <w:top w:val="nil"/>
              <w:left w:val="single" w:sz="8" w:space="0" w:color="auto"/>
              <w:bottom w:val="single" w:sz="4" w:space="0" w:color="auto"/>
              <w:right w:val="nil"/>
            </w:tcBorders>
            <w:shd w:val="clear" w:color="auto" w:fill="auto"/>
            <w:noWrap/>
            <w:vAlign w:val="bottom"/>
            <w:hideMark/>
          </w:tcPr>
          <w:p w14:paraId="6412C5B0" w14:textId="77777777" w:rsidR="009A356E" w:rsidRPr="00C10545" w:rsidRDefault="009A356E" w:rsidP="009A356E">
            <w:pPr>
              <w:rPr>
                <w:color w:val="000000"/>
                <w:sz w:val="16"/>
                <w:szCs w:val="16"/>
                <w:lang w:eastAsia="en-AU"/>
              </w:rPr>
            </w:pPr>
            <w:r w:rsidRPr="00C10545">
              <w:rPr>
                <w:color w:val="000000"/>
                <w:sz w:val="16"/>
                <w:szCs w:val="16"/>
                <w:lang w:eastAsia="en-AU"/>
              </w:rPr>
              <w:t>2013</w:t>
            </w:r>
          </w:p>
        </w:tc>
        <w:tc>
          <w:tcPr>
            <w:tcW w:w="342" w:type="pct"/>
            <w:tcBorders>
              <w:top w:val="nil"/>
              <w:left w:val="single" w:sz="8" w:space="0" w:color="auto"/>
              <w:bottom w:val="single" w:sz="4" w:space="0" w:color="auto"/>
              <w:right w:val="single" w:sz="4" w:space="0" w:color="auto"/>
            </w:tcBorders>
            <w:shd w:val="clear" w:color="000000" w:fill="F2F2F2"/>
            <w:noWrap/>
            <w:vAlign w:val="bottom"/>
            <w:hideMark/>
          </w:tcPr>
          <w:p w14:paraId="3F36EFCB" w14:textId="77777777" w:rsidR="009A356E" w:rsidRPr="00C10545" w:rsidRDefault="009A356E" w:rsidP="009A356E">
            <w:pPr>
              <w:jc w:val="right"/>
              <w:rPr>
                <w:color w:val="000000"/>
                <w:sz w:val="16"/>
                <w:szCs w:val="16"/>
                <w:lang w:eastAsia="en-AU"/>
              </w:rPr>
            </w:pPr>
            <w:r w:rsidRPr="00C10545">
              <w:rPr>
                <w:color w:val="000000"/>
                <w:sz w:val="16"/>
                <w:szCs w:val="16"/>
                <w:lang w:eastAsia="en-AU"/>
              </w:rPr>
              <w:t>376.9</w:t>
            </w:r>
          </w:p>
        </w:tc>
        <w:tc>
          <w:tcPr>
            <w:tcW w:w="342" w:type="pct"/>
            <w:tcBorders>
              <w:top w:val="nil"/>
              <w:left w:val="nil"/>
              <w:bottom w:val="single" w:sz="4" w:space="0" w:color="auto"/>
              <w:right w:val="single" w:sz="4" w:space="0" w:color="auto"/>
            </w:tcBorders>
            <w:shd w:val="clear" w:color="000000" w:fill="D9D9D9"/>
            <w:noWrap/>
            <w:vAlign w:val="bottom"/>
            <w:hideMark/>
          </w:tcPr>
          <w:p w14:paraId="399A0614" w14:textId="77777777" w:rsidR="009A356E" w:rsidRPr="00C10545" w:rsidRDefault="009A356E" w:rsidP="009A356E">
            <w:pPr>
              <w:jc w:val="right"/>
              <w:rPr>
                <w:color w:val="000000"/>
                <w:sz w:val="16"/>
                <w:szCs w:val="16"/>
                <w:lang w:eastAsia="en-AU"/>
              </w:rPr>
            </w:pPr>
            <w:r w:rsidRPr="00C10545">
              <w:rPr>
                <w:color w:val="000000"/>
                <w:sz w:val="16"/>
                <w:szCs w:val="16"/>
                <w:lang w:eastAsia="en-AU"/>
              </w:rPr>
              <w:t>138.9</w:t>
            </w:r>
          </w:p>
        </w:tc>
        <w:tc>
          <w:tcPr>
            <w:tcW w:w="342" w:type="pct"/>
            <w:tcBorders>
              <w:top w:val="nil"/>
              <w:left w:val="nil"/>
              <w:bottom w:val="single" w:sz="4" w:space="0" w:color="auto"/>
              <w:right w:val="single" w:sz="4" w:space="0" w:color="auto"/>
            </w:tcBorders>
            <w:shd w:val="clear" w:color="000000" w:fill="BFBFBF"/>
            <w:noWrap/>
            <w:vAlign w:val="bottom"/>
            <w:hideMark/>
          </w:tcPr>
          <w:p w14:paraId="64E8041B" w14:textId="77777777" w:rsidR="009A356E" w:rsidRPr="00C10545" w:rsidRDefault="009A356E" w:rsidP="009A356E">
            <w:pPr>
              <w:jc w:val="right"/>
              <w:rPr>
                <w:color w:val="000000"/>
                <w:sz w:val="16"/>
                <w:szCs w:val="16"/>
                <w:lang w:eastAsia="en-AU"/>
              </w:rPr>
            </w:pPr>
            <w:r w:rsidRPr="00C10545">
              <w:rPr>
                <w:color w:val="000000"/>
                <w:sz w:val="16"/>
                <w:szCs w:val="16"/>
                <w:lang w:eastAsia="en-AU"/>
              </w:rPr>
              <w:t>515.8</w:t>
            </w:r>
          </w:p>
        </w:tc>
        <w:tc>
          <w:tcPr>
            <w:tcW w:w="374" w:type="pct"/>
            <w:tcBorders>
              <w:top w:val="nil"/>
              <w:left w:val="nil"/>
              <w:bottom w:val="single" w:sz="4" w:space="0" w:color="auto"/>
              <w:right w:val="single" w:sz="8" w:space="0" w:color="auto"/>
            </w:tcBorders>
            <w:shd w:val="clear" w:color="000000" w:fill="BFBFBF"/>
            <w:noWrap/>
            <w:vAlign w:val="bottom"/>
            <w:hideMark/>
          </w:tcPr>
          <w:p w14:paraId="33F26DA8" w14:textId="77777777" w:rsidR="009A356E" w:rsidRPr="00C10545" w:rsidRDefault="009A356E" w:rsidP="009A356E">
            <w:pPr>
              <w:jc w:val="right"/>
              <w:rPr>
                <w:color w:val="000000"/>
                <w:sz w:val="16"/>
                <w:szCs w:val="16"/>
                <w:lang w:eastAsia="en-AU"/>
              </w:rPr>
            </w:pPr>
            <w:r w:rsidRPr="00C10545">
              <w:rPr>
                <w:color w:val="000000"/>
                <w:sz w:val="16"/>
                <w:szCs w:val="16"/>
                <w:lang w:eastAsia="en-AU"/>
              </w:rPr>
              <w:t>1.77%</w:t>
            </w:r>
          </w:p>
        </w:tc>
        <w:tc>
          <w:tcPr>
            <w:tcW w:w="342" w:type="pct"/>
            <w:tcBorders>
              <w:top w:val="nil"/>
              <w:left w:val="nil"/>
              <w:bottom w:val="single" w:sz="4" w:space="0" w:color="auto"/>
              <w:right w:val="single" w:sz="4" w:space="0" w:color="auto"/>
            </w:tcBorders>
            <w:shd w:val="clear" w:color="000000" w:fill="F2F2F2"/>
            <w:noWrap/>
            <w:vAlign w:val="bottom"/>
            <w:hideMark/>
          </w:tcPr>
          <w:p w14:paraId="76658472" w14:textId="77777777" w:rsidR="009A356E" w:rsidRPr="00C10545" w:rsidRDefault="009A356E" w:rsidP="009A356E">
            <w:pPr>
              <w:jc w:val="right"/>
              <w:rPr>
                <w:color w:val="000000"/>
                <w:sz w:val="16"/>
                <w:szCs w:val="16"/>
                <w:lang w:eastAsia="en-AU"/>
              </w:rPr>
            </w:pPr>
            <w:r w:rsidRPr="00C10545">
              <w:rPr>
                <w:color w:val="000000"/>
                <w:sz w:val="16"/>
                <w:szCs w:val="16"/>
                <w:lang w:eastAsia="en-AU"/>
              </w:rPr>
              <w:t>66.3</w:t>
            </w:r>
          </w:p>
        </w:tc>
        <w:tc>
          <w:tcPr>
            <w:tcW w:w="374" w:type="pct"/>
            <w:tcBorders>
              <w:top w:val="nil"/>
              <w:left w:val="nil"/>
              <w:bottom w:val="single" w:sz="4" w:space="0" w:color="auto"/>
              <w:right w:val="single" w:sz="8" w:space="0" w:color="auto"/>
            </w:tcBorders>
            <w:shd w:val="clear" w:color="000000" w:fill="F2F2F2"/>
            <w:noWrap/>
            <w:vAlign w:val="bottom"/>
            <w:hideMark/>
          </w:tcPr>
          <w:p w14:paraId="2F96EF05" w14:textId="77777777" w:rsidR="009A356E" w:rsidRPr="00C10545" w:rsidRDefault="009A356E" w:rsidP="009A356E">
            <w:pPr>
              <w:jc w:val="right"/>
              <w:rPr>
                <w:color w:val="000000"/>
                <w:sz w:val="16"/>
                <w:szCs w:val="16"/>
                <w:lang w:eastAsia="en-AU"/>
              </w:rPr>
            </w:pPr>
            <w:r w:rsidRPr="00C10545">
              <w:rPr>
                <w:color w:val="000000"/>
                <w:sz w:val="16"/>
                <w:szCs w:val="16"/>
                <w:lang w:eastAsia="en-AU"/>
              </w:rPr>
              <w:t>0.00%</w:t>
            </w:r>
          </w:p>
        </w:tc>
        <w:tc>
          <w:tcPr>
            <w:tcW w:w="475" w:type="pct"/>
            <w:tcBorders>
              <w:top w:val="nil"/>
              <w:left w:val="nil"/>
              <w:bottom w:val="single" w:sz="4" w:space="0" w:color="auto"/>
              <w:right w:val="single" w:sz="4" w:space="0" w:color="auto"/>
            </w:tcBorders>
            <w:shd w:val="clear" w:color="000000" w:fill="D9D9D9"/>
            <w:noWrap/>
            <w:vAlign w:val="bottom"/>
            <w:hideMark/>
          </w:tcPr>
          <w:p w14:paraId="4C5C51FB" w14:textId="77777777" w:rsidR="009A356E" w:rsidRPr="00C10545" w:rsidRDefault="009A356E" w:rsidP="009A356E">
            <w:pPr>
              <w:rPr>
                <w:color w:val="000000"/>
                <w:sz w:val="16"/>
                <w:szCs w:val="16"/>
                <w:lang w:eastAsia="en-AU"/>
              </w:rPr>
            </w:pPr>
            <w:r w:rsidRPr="00C10545">
              <w:rPr>
                <w:color w:val="000000"/>
                <w:sz w:val="16"/>
                <w:szCs w:val="16"/>
                <w:lang w:eastAsia="en-AU"/>
              </w:rPr>
              <w:t xml:space="preserve">   1,060.6 </w:t>
            </w:r>
          </w:p>
        </w:tc>
        <w:tc>
          <w:tcPr>
            <w:tcW w:w="422" w:type="pct"/>
            <w:tcBorders>
              <w:top w:val="nil"/>
              <w:left w:val="nil"/>
              <w:bottom w:val="single" w:sz="4" w:space="0" w:color="auto"/>
              <w:right w:val="single" w:sz="8" w:space="0" w:color="auto"/>
            </w:tcBorders>
            <w:shd w:val="clear" w:color="000000" w:fill="D9D9D9"/>
            <w:noWrap/>
            <w:vAlign w:val="bottom"/>
            <w:hideMark/>
          </w:tcPr>
          <w:p w14:paraId="0CC1E8BF" w14:textId="77777777" w:rsidR="009A356E" w:rsidRPr="00C10545" w:rsidRDefault="009A356E" w:rsidP="009A356E">
            <w:pPr>
              <w:jc w:val="right"/>
              <w:rPr>
                <w:color w:val="000000"/>
                <w:sz w:val="16"/>
                <w:szCs w:val="16"/>
                <w:lang w:eastAsia="en-AU"/>
              </w:rPr>
            </w:pPr>
            <w:r w:rsidRPr="00C10545">
              <w:rPr>
                <w:color w:val="000000"/>
                <w:sz w:val="16"/>
                <w:szCs w:val="16"/>
                <w:lang w:eastAsia="en-AU"/>
              </w:rPr>
              <w:t>1.33%</w:t>
            </w:r>
          </w:p>
        </w:tc>
        <w:tc>
          <w:tcPr>
            <w:tcW w:w="342" w:type="pct"/>
            <w:tcBorders>
              <w:top w:val="nil"/>
              <w:left w:val="nil"/>
              <w:bottom w:val="single" w:sz="4" w:space="0" w:color="auto"/>
              <w:right w:val="single" w:sz="4" w:space="0" w:color="auto"/>
            </w:tcBorders>
            <w:shd w:val="clear" w:color="000000" w:fill="BFBFBF"/>
            <w:noWrap/>
            <w:vAlign w:val="bottom"/>
            <w:hideMark/>
          </w:tcPr>
          <w:p w14:paraId="060AA3B5" w14:textId="77777777" w:rsidR="009A356E" w:rsidRPr="00C10545" w:rsidRDefault="009A356E" w:rsidP="009A356E">
            <w:pPr>
              <w:jc w:val="right"/>
              <w:rPr>
                <w:color w:val="000000"/>
                <w:sz w:val="16"/>
                <w:szCs w:val="16"/>
                <w:lang w:eastAsia="en-AU"/>
              </w:rPr>
            </w:pPr>
            <w:r w:rsidRPr="00C10545">
              <w:rPr>
                <w:color w:val="000000"/>
                <w:sz w:val="16"/>
                <w:szCs w:val="16"/>
                <w:lang w:eastAsia="en-AU"/>
              </w:rPr>
              <w:t>90.8</w:t>
            </w:r>
          </w:p>
        </w:tc>
        <w:tc>
          <w:tcPr>
            <w:tcW w:w="374" w:type="pct"/>
            <w:tcBorders>
              <w:top w:val="nil"/>
              <w:left w:val="nil"/>
              <w:bottom w:val="single" w:sz="4" w:space="0" w:color="auto"/>
              <w:right w:val="single" w:sz="8" w:space="0" w:color="auto"/>
            </w:tcBorders>
            <w:shd w:val="clear" w:color="000000" w:fill="BFBFBF"/>
            <w:noWrap/>
            <w:vAlign w:val="bottom"/>
            <w:hideMark/>
          </w:tcPr>
          <w:p w14:paraId="613712B2" w14:textId="77777777" w:rsidR="009A356E" w:rsidRPr="00C10545" w:rsidRDefault="009A356E" w:rsidP="009A356E">
            <w:pPr>
              <w:jc w:val="right"/>
              <w:rPr>
                <w:color w:val="000000"/>
                <w:sz w:val="16"/>
                <w:szCs w:val="16"/>
                <w:lang w:eastAsia="en-AU"/>
              </w:rPr>
            </w:pPr>
            <w:r w:rsidRPr="00C10545">
              <w:rPr>
                <w:color w:val="000000"/>
                <w:sz w:val="16"/>
                <w:szCs w:val="16"/>
                <w:lang w:eastAsia="en-AU"/>
              </w:rPr>
              <w:t>0.02%</w:t>
            </w:r>
          </w:p>
        </w:tc>
        <w:tc>
          <w:tcPr>
            <w:tcW w:w="374" w:type="pct"/>
            <w:tcBorders>
              <w:top w:val="nil"/>
              <w:left w:val="nil"/>
              <w:bottom w:val="single" w:sz="4" w:space="0" w:color="auto"/>
              <w:right w:val="single" w:sz="4" w:space="0" w:color="auto"/>
            </w:tcBorders>
            <w:shd w:val="clear" w:color="000000" w:fill="95B3D7"/>
            <w:noWrap/>
            <w:vAlign w:val="bottom"/>
            <w:hideMark/>
          </w:tcPr>
          <w:p w14:paraId="18D51C7F" w14:textId="77777777" w:rsidR="009A356E" w:rsidRPr="00C10545" w:rsidRDefault="009A356E" w:rsidP="009A356E">
            <w:pPr>
              <w:jc w:val="right"/>
              <w:rPr>
                <w:color w:val="000000"/>
                <w:sz w:val="16"/>
                <w:szCs w:val="16"/>
                <w:lang w:eastAsia="en-AU"/>
              </w:rPr>
            </w:pPr>
            <w:r w:rsidRPr="00C10545">
              <w:rPr>
                <w:color w:val="000000"/>
                <w:sz w:val="16"/>
                <w:szCs w:val="16"/>
                <w:lang w:eastAsia="en-AU"/>
              </w:rPr>
              <w:t>2.15%</w:t>
            </w:r>
          </w:p>
        </w:tc>
        <w:tc>
          <w:tcPr>
            <w:tcW w:w="374" w:type="pct"/>
            <w:tcBorders>
              <w:top w:val="nil"/>
              <w:left w:val="nil"/>
              <w:bottom w:val="single" w:sz="4" w:space="0" w:color="auto"/>
              <w:right w:val="single" w:sz="8" w:space="0" w:color="auto"/>
            </w:tcBorders>
            <w:shd w:val="clear" w:color="000000" w:fill="00B0F0"/>
            <w:noWrap/>
            <w:vAlign w:val="bottom"/>
            <w:hideMark/>
          </w:tcPr>
          <w:p w14:paraId="42B2E1D8" w14:textId="77777777" w:rsidR="009A356E" w:rsidRPr="00C10545" w:rsidRDefault="009A356E" w:rsidP="009A356E">
            <w:pPr>
              <w:jc w:val="right"/>
              <w:rPr>
                <w:color w:val="000000"/>
                <w:sz w:val="16"/>
                <w:szCs w:val="16"/>
                <w:lang w:eastAsia="en-AU"/>
              </w:rPr>
            </w:pPr>
            <w:r w:rsidRPr="00C10545">
              <w:rPr>
                <w:color w:val="000000"/>
                <w:sz w:val="16"/>
                <w:szCs w:val="16"/>
                <w:lang w:eastAsia="en-AU"/>
              </w:rPr>
              <w:t>2.59%</w:t>
            </w:r>
          </w:p>
        </w:tc>
      </w:tr>
      <w:tr w:rsidR="009A356E" w:rsidRPr="00C96EAB" w14:paraId="75FA77C5" w14:textId="77777777" w:rsidTr="009A356E">
        <w:trPr>
          <w:trHeight w:val="225"/>
        </w:trPr>
        <w:tc>
          <w:tcPr>
            <w:tcW w:w="523" w:type="pct"/>
            <w:tcBorders>
              <w:top w:val="nil"/>
              <w:left w:val="single" w:sz="8" w:space="0" w:color="auto"/>
              <w:bottom w:val="single" w:sz="4" w:space="0" w:color="auto"/>
              <w:right w:val="nil"/>
            </w:tcBorders>
            <w:shd w:val="clear" w:color="auto" w:fill="auto"/>
            <w:noWrap/>
            <w:vAlign w:val="bottom"/>
            <w:hideMark/>
          </w:tcPr>
          <w:p w14:paraId="7D40768F" w14:textId="77777777" w:rsidR="009A356E" w:rsidRPr="00C10545" w:rsidRDefault="009A356E" w:rsidP="009A356E">
            <w:pPr>
              <w:rPr>
                <w:color w:val="000000"/>
                <w:sz w:val="16"/>
                <w:szCs w:val="16"/>
                <w:lang w:eastAsia="en-AU"/>
              </w:rPr>
            </w:pPr>
            <w:r w:rsidRPr="00C10545">
              <w:rPr>
                <w:color w:val="000000"/>
                <w:sz w:val="16"/>
                <w:szCs w:val="16"/>
                <w:lang w:eastAsia="en-AU"/>
              </w:rPr>
              <w:t>2014</w:t>
            </w:r>
          </w:p>
        </w:tc>
        <w:tc>
          <w:tcPr>
            <w:tcW w:w="342" w:type="pct"/>
            <w:tcBorders>
              <w:top w:val="nil"/>
              <w:left w:val="single" w:sz="8" w:space="0" w:color="auto"/>
              <w:bottom w:val="single" w:sz="4" w:space="0" w:color="auto"/>
              <w:right w:val="single" w:sz="4" w:space="0" w:color="auto"/>
            </w:tcBorders>
            <w:shd w:val="clear" w:color="000000" w:fill="F2F2F2"/>
            <w:noWrap/>
            <w:vAlign w:val="bottom"/>
            <w:hideMark/>
          </w:tcPr>
          <w:p w14:paraId="2D114A0E" w14:textId="77777777" w:rsidR="009A356E" w:rsidRPr="00C10545" w:rsidRDefault="009A356E" w:rsidP="009A356E">
            <w:pPr>
              <w:jc w:val="right"/>
              <w:rPr>
                <w:color w:val="000000"/>
                <w:sz w:val="16"/>
                <w:szCs w:val="16"/>
                <w:lang w:eastAsia="en-AU"/>
              </w:rPr>
            </w:pPr>
            <w:r w:rsidRPr="00C10545">
              <w:rPr>
                <w:color w:val="000000"/>
                <w:sz w:val="16"/>
                <w:szCs w:val="16"/>
                <w:lang w:eastAsia="en-AU"/>
              </w:rPr>
              <w:t>391.0</w:t>
            </w:r>
          </w:p>
        </w:tc>
        <w:tc>
          <w:tcPr>
            <w:tcW w:w="342" w:type="pct"/>
            <w:tcBorders>
              <w:top w:val="nil"/>
              <w:left w:val="nil"/>
              <w:bottom w:val="single" w:sz="4" w:space="0" w:color="auto"/>
              <w:right w:val="single" w:sz="4" w:space="0" w:color="auto"/>
            </w:tcBorders>
            <w:shd w:val="clear" w:color="000000" w:fill="D9D9D9"/>
            <w:noWrap/>
            <w:vAlign w:val="bottom"/>
            <w:hideMark/>
          </w:tcPr>
          <w:p w14:paraId="0B52C98A" w14:textId="77777777" w:rsidR="009A356E" w:rsidRPr="00C10545" w:rsidRDefault="009A356E" w:rsidP="009A356E">
            <w:pPr>
              <w:jc w:val="right"/>
              <w:rPr>
                <w:color w:val="000000"/>
                <w:sz w:val="16"/>
                <w:szCs w:val="16"/>
                <w:lang w:eastAsia="en-AU"/>
              </w:rPr>
            </w:pPr>
            <w:r w:rsidRPr="00C10545">
              <w:rPr>
                <w:color w:val="000000"/>
                <w:sz w:val="16"/>
                <w:szCs w:val="16"/>
                <w:lang w:eastAsia="en-AU"/>
              </w:rPr>
              <w:t>144.2</w:t>
            </w:r>
          </w:p>
        </w:tc>
        <w:tc>
          <w:tcPr>
            <w:tcW w:w="342" w:type="pct"/>
            <w:tcBorders>
              <w:top w:val="nil"/>
              <w:left w:val="nil"/>
              <w:bottom w:val="single" w:sz="4" w:space="0" w:color="auto"/>
              <w:right w:val="single" w:sz="4" w:space="0" w:color="auto"/>
            </w:tcBorders>
            <w:shd w:val="clear" w:color="000000" w:fill="BFBFBF"/>
            <w:noWrap/>
            <w:vAlign w:val="bottom"/>
            <w:hideMark/>
          </w:tcPr>
          <w:p w14:paraId="020A6D6E" w14:textId="77777777" w:rsidR="009A356E" w:rsidRPr="00C10545" w:rsidRDefault="009A356E" w:rsidP="009A356E">
            <w:pPr>
              <w:jc w:val="right"/>
              <w:rPr>
                <w:color w:val="000000"/>
                <w:sz w:val="16"/>
                <w:szCs w:val="16"/>
                <w:lang w:eastAsia="en-AU"/>
              </w:rPr>
            </w:pPr>
            <w:r w:rsidRPr="00C10545">
              <w:rPr>
                <w:color w:val="000000"/>
                <w:sz w:val="16"/>
                <w:szCs w:val="16"/>
                <w:lang w:eastAsia="en-AU"/>
              </w:rPr>
              <w:t>535.2</w:t>
            </w:r>
          </w:p>
        </w:tc>
        <w:tc>
          <w:tcPr>
            <w:tcW w:w="374" w:type="pct"/>
            <w:tcBorders>
              <w:top w:val="nil"/>
              <w:left w:val="nil"/>
              <w:bottom w:val="single" w:sz="4" w:space="0" w:color="auto"/>
              <w:right w:val="single" w:sz="8" w:space="0" w:color="auto"/>
            </w:tcBorders>
            <w:shd w:val="clear" w:color="000000" w:fill="BFBFBF"/>
            <w:noWrap/>
            <w:vAlign w:val="bottom"/>
            <w:hideMark/>
          </w:tcPr>
          <w:p w14:paraId="6514D493" w14:textId="77777777" w:rsidR="009A356E" w:rsidRPr="00C10545" w:rsidRDefault="009A356E" w:rsidP="009A356E">
            <w:pPr>
              <w:jc w:val="right"/>
              <w:rPr>
                <w:color w:val="000000"/>
                <w:sz w:val="16"/>
                <w:szCs w:val="16"/>
                <w:lang w:eastAsia="en-AU"/>
              </w:rPr>
            </w:pPr>
            <w:r w:rsidRPr="00C10545">
              <w:rPr>
                <w:color w:val="000000"/>
                <w:sz w:val="16"/>
                <w:szCs w:val="16"/>
                <w:lang w:eastAsia="en-AU"/>
              </w:rPr>
              <w:t>3.76%</w:t>
            </w:r>
          </w:p>
        </w:tc>
        <w:tc>
          <w:tcPr>
            <w:tcW w:w="342" w:type="pct"/>
            <w:tcBorders>
              <w:top w:val="nil"/>
              <w:left w:val="nil"/>
              <w:bottom w:val="single" w:sz="4" w:space="0" w:color="auto"/>
              <w:right w:val="single" w:sz="4" w:space="0" w:color="auto"/>
            </w:tcBorders>
            <w:shd w:val="clear" w:color="000000" w:fill="F2F2F2"/>
            <w:noWrap/>
            <w:vAlign w:val="bottom"/>
            <w:hideMark/>
          </w:tcPr>
          <w:p w14:paraId="6B2BED69" w14:textId="77777777" w:rsidR="009A356E" w:rsidRPr="00C10545" w:rsidRDefault="009A356E" w:rsidP="009A356E">
            <w:pPr>
              <w:jc w:val="right"/>
              <w:rPr>
                <w:color w:val="000000"/>
                <w:sz w:val="16"/>
                <w:szCs w:val="16"/>
                <w:lang w:eastAsia="en-AU"/>
              </w:rPr>
            </w:pPr>
            <w:r w:rsidRPr="00C10545">
              <w:rPr>
                <w:color w:val="000000"/>
                <w:sz w:val="16"/>
                <w:szCs w:val="16"/>
                <w:lang w:eastAsia="en-AU"/>
              </w:rPr>
              <w:t>67.6</w:t>
            </w:r>
          </w:p>
        </w:tc>
        <w:tc>
          <w:tcPr>
            <w:tcW w:w="374" w:type="pct"/>
            <w:tcBorders>
              <w:top w:val="nil"/>
              <w:left w:val="nil"/>
              <w:bottom w:val="single" w:sz="4" w:space="0" w:color="auto"/>
              <w:right w:val="single" w:sz="8" w:space="0" w:color="auto"/>
            </w:tcBorders>
            <w:shd w:val="clear" w:color="000000" w:fill="F2F2F2"/>
            <w:noWrap/>
            <w:vAlign w:val="bottom"/>
            <w:hideMark/>
          </w:tcPr>
          <w:p w14:paraId="0F3FB61B" w14:textId="77777777" w:rsidR="009A356E" w:rsidRPr="00C10545" w:rsidRDefault="009A356E" w:rsidP="009A356E">
            <w:pPr>
              <w:jc w:val="right"/>
              <w:rPr>
                <w:color w:val="000000"/>
                <w:sz w:val="16"/>
                <w:szCs w:val="16"/>
                <w:lang w:eastAsia="en-AU"/>
              </w:rPr>
            </w:pPr>
            <w:r w:rsidRPr="00C10545">
              <w:rPr>
                <w:color w:val="000000"/>
                <w:sz w:val="16"/>
                <w:szCs w:val="16"/>
                <w:lang w:eastAsia="en-AU"/>
              </w:rPr>
              <w:t>1.88%</w:t>
            </w:r>
          </w:p>
        </w:tc>
        <w:tc>
          <w:tcPr>
            <w:tcW w:w="475" w:type="pct"/>
            <w:tcBorders>
              <w:top w:val="nil"/>
              <w:left w:val="nil"/>
              <w:bottom w:val="single" w:sz="4" w:space="0" w:color="auto"/>
              <w:right w:val="single" w:sz="4" w:space="0" w:color="auto"/>
            </w:tcBorders>
            <w:shd w:val="clear" w:color="000000" w:fill="D9D9D9"/>
            <w:noWrap/>
            <w:vAlign w:val="bottom"/>
            <w:hideMark/>
          </w:tcPr>
          <w:p w14:paraId="1A39DEEF" w14:textId="77777777" w:rsidR="009A356E" w:rsidRPr="00C10545" w:rsidRDefault="009A356E" w:rsidP="009A356E">
            <w:pPr>
              <w:rPr>
                <w:color w:val="000000"/>
                <w:sz w:val="16"/>
                <w:szCs w:val="16"/>
                <w:lang w:eastAsia="en-AU"/>
              </w:rPr>
            </w:pPr>
            <w:r w:rsidRPr="00C10545">
              <w:rPr>
                <w:color w:val="000000"/>
                <w:sz w:val="16"/>
                <w:szCs w:val="16"/>
                <w:lang w:eastAsia="en-AU"/>
              </w:rPr>
              <w:t xml:space="preserve">   1,104.5 </w:t>
            </w:r>
          </w:p>
        </w:tc>
        <w:tc>
          <w:tcPr>
            <w:tcW w:w="422" w:type="pct"/>
            <w:tcBorders>
              <w:top w:val="nil"/>
              <w:left w:val="nil"/>
              <w:bottom w:val="single" w:sz="4" w:space="0" w:color="auto"/>
              <w:right w:val="single" w:sz="8" w:space="0" w:color="auto"/>
            </w:tcBorders>
            <w:shd w:val="clear" w:color="000000" w:fill="D9D9D9"/>
            <w:noWrap/>
            <w:vAlign w:val="bottom"/>
            <w:hideMark/>
          </w:tcPr>
          <w:p w14:paraId="392A4859" w14:textId="77777777" w:rsidR="009A356E" w:rsidRPr="00C10545" w:rsidRDefault="009A356E" w:rsidP="009A356E">
            <w:pPr>
              <w:jc w:val="right"/>
              <w:rPr>
                <w:color w:val="000000"/>
                <w:sz w:val="16"/>
                <w:szCs w:val="16"/>
                <w:lang w:eastAsia="en-AU"/>
              </w:rPr>
            </w:pPr>
            <w:r w:rsidRPr="00C10545">
              <w:rPr>
                <w:color w:val="000000"/>
                <w:sz w:val="16"/>
                <w:szCs w:val="16"/>
                <w:lang w:eastAsia="en-AU"/>
              </w:rPr>
              <w:t>4.14%</w:t>
            </w:r>
          </w:p>
        </w:tc>
        <w:tc>
          <w:tcPr>
            <w:tcW w:w="342" w:type="pct"/>
            <w:tcBorders>
              <w:top w:val="nil"/>
              <w:left w:val="nil"/>
              <w:bottom w:val="single" w:sz="4" w:space="0" w:color="auto"/>
              <w:right w:val="single" w:sz="4" w:space="0" w:color="auto"/>
            </w:tcBorders>
            <w:shd w:val="clear" w:color="000000" w:fill="BFBFBF"/>
            <w:noWrap/>
            <w:vAlign w:val="bottom"/>
            <w:hideMark/>
          </w:tcPr>
          <w:p w14:paraId="262649C9" w14:textId="77777777" w:rsidR="009A356E" w:rsidRPr="00C10545" w:rsidRDefault="009A356E" w:rsidP="009A356E">
            <w:pPr>
              <w:jc w:val="right"/>
              <w:rPr>
                <w:color w:val="000000"/>
                <w:sz w:val="16"/>
                <w:szCs w:val="16"/>
                <w:lang w:eastAsia="en-AU"/>
              </w:rPr>
            </w:pPr>
            <w:r w:rsidRPr="00C10545">
              <w:rPr>
                <w:color w:val="000000"/>
                <w:sz w:val="16"/>
                <w:szCs w:val="16"/>
                <w:lang w:eastAsia="en-AU"/>
              </w:rPr>
              <w:t>92.5</w:t>
            </w:r>
          </w:p>
        </w:tc>
        <w:tc>
          <w:tcPr>
            <w:tcW w:w="374" w:type="pct"/>
            <w:tcBorders>
              <w:top w:val="nil"/>
              <w:left w:val="nil"/>
              <w:bottom w:val="single" w:sz="4" w:space="0" w:color="auto"/>
              <w:right w:val="single" w:sz="8" w:space="0" w:color="auto"/>
            </w:tcBorders>
            <w:shd w:val="clear" w:color="000000" w:fill="BFBFBF"/>
            <w:noWrap/>
            <w:vAlign w:val="bottom"/>
            <w:hideMark/>
          </w:tcPr>
          <w:p w14:paraId="25E97A7D" w14:textId="77777777" w:rsidR="009A356E" w:rsidRPr="00C10545" w:rsidRDefault="009A356E" w:rsidP="009A356E">
            <w:pPr>
              <w:jc w:val="right"/>
              <w:rPr>
                <w:color w:val="000000"/>
                <w:sz w:val="16"/>
                <w:szCs w:val="16"/>
                <w:lang w:eastAsia="en-AU"/>
              </w:rPr>
            </w:pPr>
            <w:r w:rsidRPr="00C10545">
              <w:rPr>
                <w:color w:val="000000"/>
                <w:sz w:val="16"/>
                <w:szCs w:val="16"/>
                <w:lang w:eastAsia="en-AU"/>
              </w:rPr>
              <w:t>1.91%</w:t>
            </w:r>
          </w:p>
        </w:tc>
        <w:tc>
          <w:tcPr>
            <w:tcW w:w="374" w:type="pct"/>
            <w:tcBorders>
              <w:top w:val="nil"/>
              <w:left w:val="nil"/>
              <w:bottom w:val="single" w:sz="4" w:space="0" w:color="auto"/>
              <w:right w:val="single" w:sz="4" w:space="0" w:color="auto"/>
            </w:tcBorders>
            <w:shd w:val="clear" w:color="000000" w:fill="95B3D7"/>
            <w:noWrap/>
            <w:vAlign w:val="bottom"/>
            <w:hideMark/>
          </w:tcPr>
          <w:p w14:paraId="090CD86B" w14:textId="77777777" w:rsidR="009A356E" w:rsidRPr="00C10545" w:rsidRDefault="009A356E" w:rsidP="009A356E">
            <w:pPr>
              <w:jc w:val="right"/>
              <w:rPr>
                <w:color w:val="000000"/>
                <w:sz w:val="16"/>
                <w:szCs w:val="16"/>
                <w:lang w:eastAsia="en-AU"/>
              </w:rPr>
            </w:pPr>
            <w:r w:rsidRPr="00C10545">
              <w:rPr>
                <w:color w:val="000000"/>
                <w:sz w:val="16"/>
                <w:szCs w:val="16"/>
                <w:lang w:eastAsia="en-AU"/>
              </w:rPr>
              <w:t>2.80%</w:t>
            </w:r>
          </w:p>
        </w:tc>
        <w:tc>
          <w:tcPr>
            <w:tcW w:w="374" w:type="pct"/>
            <w:tcBorders>
              <w:top w:val="nil"/>
              <w:left w:val="nil"/>
              <w:bottom w:val="single" w:sz="4" w:space="0" w:color="auto"/>
              <w:right w:val="single" w:sz="8" w:space="0" w:color="auto"/>
            </w:tcBorders>
            <w:shd w:val="clear" w:color="000000" w:fill="00B0F0"/>
            <w:noWrap/>
            <w:vAlign w:val="bottom"/>
            <w:hideMark/>
          </w:tcPr>
          <w:p w14:paraId="4CD72D87" w14:textId="77777777" w:rsidR="009A356E" w:rsidRPr="00C10545" w:rsidRDefault="009A356E" w:rsidP="009A356E">
            <w:pPr>
              <w:jc w:val="right"/>
              <w:rPr>
                <w:color w:val="000000"/>
                <w:sz w:val="16"/>
                <w:szCs w:val="16"/>
                <w:lang w:eastAsia="en-AU"/>
              </w:rPr>
            </w:pPr>
            <w:r w:rsidRPr="00C10545">
              <w:rPr>
                <w:color w:val="000000"/>
                <w:sz w:val="16"/>
                <w:szCs w:val="16"/>
                <w:lang w:eastAsia="en-AU"/>
              </w:rPr>
              <w:t>2.77%</w:t>
            </w:r>
          </w:p>
        </w:tc>
      </w:tr>
      <w:tr w:rsidR="009A356E" w:rsidRPr="00C96EAB" w14:paraId="36F7857F" w14:textId="77777777" w:rsidTr="009A356E">
        <w:trPr>
          <w:trHeight w:val="225"/>
        </w:trPr>
        <w:tc>
          <w:tcPr>
            <w:tcW w:w="523" w:type="pct"/>
            <w:tcBorders>
              <w:top w:val="nil"/>
              <w:left w:val="single" w:sz="8" w:space="0" w:color="auto"/>
              <w:bottom w:val="single" w:sz="4" w:space="0" w:color="auto"/>
              <w:right w:val="nil"/>
            </w:tcBorders>
            <w:shd w:val="clear" w:color="auto" w:fill="auto"/>
            <w:noWrap/>
            <w:vAlign w:val="bottom"/>
            <w:hideMark/>
          </w:tcPr>
          <w:p w14:paraId="24D1B7B4" w14:textId="77777777" w:rsidR="009A356E" w:rsidRPr="00C10545" w:rsidRDefault="009A356E" w:rsidP="009A356E">
            <w:pPr>
              <w:rPr>
                <w:color w:val="000000"/>
                <w:sz w:val="16"/>
                <w:szCs w:val="16"/>
                <w:lang w:eastAsia="en-AU"/>
              </w:rPr>
            </w:pPr>
            <w:r w:rsidRPr="00C10545">
              <w:rPr>
                <w:color w:val="000000"/>
                <w:sz w:val="16"/>
                <w:szCs w:val="16"/>
                <w:lang w:eastAsia="en-AU"/>
              </w:rPr>
              <w:t>2015</w:t>
            </w:r>
          </w:p>
        </w:tc>
        <w:tc>
          <w:tcPr>
            <w:tcW w:w="342" w:type="pct"/>
            <w:tcBorders>
              <w:top w:val="nil"/>
              <w:left w:val="single" w:sz="8" w:space="0" w:color="auto"/>
              <w:bottom w:val="single" w:sz="4" w:space="0" w:color="auto"/>
              <w:right w:val="single" w:sz="4" w:space="0" w:color="auto"/>
            </w:tcBorders>
            <w:shd w:val="clear" w:color="000000" w:fill="F2F2F2"/>
            <w:noWrap/>
            <w:vAlign w:val="bottom"/>
            <w:hideMark/>
          </w:tcPr>
          <w:p w14:paraId="1C8146E4" w14:textId="77777777" w:rsidR="009A356E" w:rsidRPr="00C10545" w:rsidRDefault="009A356E" w:rsidP="009A356E">
            <w:pPr>
              <w:jc w:val="right"/>
              <w:rPr>
                <w:color w:val="000000"/>
                <w:sz w:val="16"/>
                <w:szCs w:val="16"/>
                <w:lang w:eastAsia="en-AU"/>
              </w:rPr>
            </w:pPr>
            <w:r w:rsidRPr="00C10545">
              <w:rPr>
                <w:color w:val="000000"/>
                <w:sz w:val="16"/>
                <w:szCs w:val="16"/>
                <w:lang w:eastAsia="en-AU"/>
              </w:rPr>
              <w:t>395.9</w:t>
            </w:r>
          </w:p>
        </w:tc>
        <w:tc>
          <w:tcPr>
            <w:tcW w:w="342" w:type="pct"/>
            <w:tcBorders>
              <w:top w:val="nil"/>
              <w:left w:val="nil"/>
              <w:bottom w:val="single" w:sz="4" w:space="0" w:color="auto"/>
              <w:right w:val="single" w:sz="4" w:space="0" w:color="auto"/>
            </w:tcBorders>
            <w:shd w:val="clear" w:color="000000" w:fill="D9D9D9"/>
            <w:noWrap/>
            <w:vAlign w:val="bottom"/>
            <w:hideMark/>
          </w:tcPr>
          <w:p w14:paraId="26894BC8" w14:textId="77777777" w:rsidR="009A356E" w:rsidRPr="00C10545" w:rsidRDefault="009A356E" w:rsidP="009A356E">
            <w:pPr>
              <w:jc w:val="right"/>
              <w:rPr>
                <w:color w:val="000000"/>
                <w:sz w:val="16"/>
                <w:szCs w:val="16"/>
                <w:lang w:eastAsia="en-AU"/>
              </w:rPr>
            </w:pPr>
            <w:r w:rsidRPr="00C10545">
              <w:rPr>
                <w:color w:val="000000"/>
                <w:sz w:val="16"/>
                <w:szCs w:val="16"/>
                <w:lang w:eastAsia="en-AU"/>
              </w:rPr>
              <w:t>145.8</w:t>
            </w:r>
          </w:p>
        </w:tc>
        <w:tc>
          <w:tcPr>
            <w:tcW w:w="342" w:type="pct"/>
            <w:tcBorders>
              <w:top w:val="nil"/>
              <w:left w:val="nil"/>
              <w:bottom w:val="single" w:sz="4" w:space="0" w:color="auto"/>
              <w:right w:val="single" w:sz="4" w:space="0" w:color="auto"/>
            </w:tcBorders>
            <w:shd w:val="clear" w:color="000000" w:fill="BFBFBF"/>
            <w:noWrap/>
            <w:vAlign w:val="bottom"/>
            <w:hideMark/>
          </w:tcPr>
          <w:p w14:paraId="7C2CFEE9" w14:textId="77777777" w:rsidR="009A356E" w:rsidRPr="00C10545" w:rsidRDefault="009A356E" w:rsidP="009A356E">
            <w:pPr>
              <w:jc w:val="right"/>
              <w:rPr>
                <w:color w:val="000000"/>
                <w:sz w:val="16"/>
                <w:szCs w:val="16"/>
                <w:lang w:eastAsia="en-AU"/>
              </w:rPr>
            </w:pPr>
            <w:r w:rsidRPr="00C10545">
              <w:rPr>
                <w:color w:val="000000"/>
                <w:sz w:val="16"/>
                <w:szCs w:val="16"/>
                <w:lang w:eastAsia="en-AU"/>
              </w:rPr>
              <w:t>541.7</w:t>
            </w:r>
          </w:p>
        </w:tc>
        <w:tc>
          <w:tcPr>
            <w:tcW w:w="374" w:type="pct"/>
            <w:tcBorders>
              <w:top w:val="nil"/>
              <w:left w:val="nil"/>
              <w:bottom w:val="single" w:sz="4" w:space="0" w:color="auto"/>
              <w:right w:val="single" w:sz="8" w:space="0" w:color="auto"/>
            </w:tcBorders>
            <w:shd w:val="clear" w:color="000000" w:fill="BFBFBF"/>
            <w:noWrap/>
            <w:vAlign w:val="bottom"/>
            <w:hideMark/>
          </w:tcPr>
          <w:p w14:paraId="653C26E1" w14:textId="77777777" w:rsidR="009A356E" w:rsidRPr="00C10545" w:rsidRDefault="009A356E" w:rsidP="009A356E">
            <w:pPr>
              <w:jc w:val="right"/>
              <w:rPr>
                <w:color w:val="000000"/>
                <w:sz w:val="16"/>
                <w:szCs w:val="16"/>
                <w:lang w:eastAsia="en-AU"/>
              </w:rPr>
            </w:pPr>
            <w:r w:rsidRPr="00C10545">
              <w:rPr>
                <w:color w:val="000000"/>
                <w:sz w:val="16"/>
                <w:szCs w:val="16"/>
                <w:lang w:eastAsia="en-AU"/>
              </w:rPr>
              <w:t>1.22%</w:t>
            </w:r>
          </w:p>
        </w:tc>
        <w:tc>
          <w:tcPr>
            <w:tcW w:w="342" w:type="pct"/>
            <w:tcBorders>
              <w:top w:val="nil"/>
              <w:left w:val="nil"/>
              <w:bottom w:val="single" w:sz="4" w:space="0" w:color="auto"/>
              <w:right w:val="single" w:sz="4" w:space="0" w:color="auto"/>
            </w:tcBorders>
            <w:shd w:val="clear" w:color="000000" w:fill="F2F2F2"/>
            <w:noWrap/>
            <w:vAlign w:val="bottom"/>
            <w:hideMark/>
          </w:tcPr>
          <w:p w14:paraId="4FAC77B4" w14:textId="77777777" w:rsidR="009A356E" w:rsidRPr="00C10545" w:rsidRDefault="009A356E" w:rsidP="009A356E">
            <w:pPr>
              <w:jc w:val="right"/>
              <w:rPr>
                <w:color w:val="000000"/>
                <w:sz w:val="16"/>
                <w:szCs w:val="16"/>
                <w:lang w:eastAsia="en-AU"/>
              </w:rPr>
            </w:pPr>
            <w:r w:rsidRPr="00C10545">
              <w:rPr>
                <w:color w:val="000000"/>
                <w:sz w:val="16"/>
                <w:szCs w:val="16"/>
                <w:lang w:eastAsia="en-AU"/>
              </w:rPr>
              <w:t>67.2</w:t>
            </w:r>
          </w:p>
        </w:tc>
        <w:tc>
          <w:tcPr>
            <w:tcW w:w="374" w:type="pct"/>
            <w:tcBorders>
              <w:top w:val="nil"/>
              <w:left w:val="nil"/>
              <w:bottom w:val="single" w:sz="4" w:space="0" w:color="auto"/>
              <w:right w:val="single" w:sz="8" w:space="0" w:color="auto"/>
            </w:tcBorders>
            <w:shd w:val="clear" w:color="000000" w:fill="F2F2F2"/>
            <w:noWrap/>
            <w:vAlign w:val="bottom"/>
            <w:hideMark/>
          </w:tcPr>
          <w:p w14:paraId="267918CC" w14:textId="77777777" w:rsidR="009A356E" w:rsidRPr="00C10545" w:rsidRDefault="009A356E" w:rsidP="009A356E">
            <w:pPr>
              <w:jc w:val="right"/>
              <w:rPr>
                <w:color w:val="000000"/>
                <w:sz w:val="16"/>
                <w:szCs w:val="16"/>
                <w:lang w:eastAsia="en-AU"/>
              </w:rPr>
            </w:pPr>
            <w:r w:rsidRPr="00C10545">
              <w:rPr>
                <w:color w:val="000000"/>
                <w:sz w:val="16"/>
                <w:szCs w:val="16"/>
                <w:lang w:eastAsia="en-AU"/>
              </w:rPr>
              <w:t>-0.49%</w:t>
            </w:r>
          </w:p>
        </w:tc>
        <w:tc>
          <w:tcPr>
            <w:tcW w:w="475" w:type="pct"/>
            <w:tcBorders>
              <w:top w:val="nil"/>
              <w:left w:val="nil"/>
              <w:bottom w:val="single" w:sz="4" w:space="0" w:color="auto"/>
              <w:right w:val="single" w:sz="4" w:space="0" w:color="auto"/>
            </w:tcBorders>
            <w:shd w:val="clear" w:color="000000" w:fill="D9D9D9"/>
            <w:noWrap/>
            <w:vAlign w:val="bottom"/>
            <w:hideMark/>
          </w:tcPr>
          <w:p w14:paraId="0EB90CE0" w14:textId="77777777" w:rsidR="009A356E" w:rsidRPr="00C10545" w:rsidRDefault="009A356E" w:rsidP="009A356E">
            <w:pPr>
              <w:rPr>
                <w:color w:val="000000"/>
                <w:sz w:val="16"/>
                <w:szCs w:val="16"/>
                <w:lang w:eastAsia="en-AU"/>
              </w:rPr>
            </w:pPr>
            <w:r w:rsidRPr="00C10545">
              <w:rPr>
                <w:color w:val="000000"/>
                <w:sz w:val="16"/>
                <w:szCs w:val="16"/>
                <w:lang w:eastAsia="en-AU"/>
              </w:rPr>
              <w:t xml:space="preserve">   1,114.7 </w:t>
            </w:r>
          </w:p>
        </w:tc>
        <w:tc>
          <w:tcPr>
            <w:tcW w:w="422" w:type="pct"/>
            <w:tcBorders>
              <w:top w:val="nil"/>
              <w:left w:val="nil"/>
              <w:bottom w:val="single" w:sz="4" w:space="0" w:color="auto"/>
              <w:right w:val="single" w:sz="8" w:space="0" w:color="auto"/>
            </w:tcBorders>
            <w:shd w:val="clear" w:color="000000" w:fill="D9D9D9"/>
            <w:noWrap/>
            <w:vAlign w:val="bottom"/>
            <w:hideMark/>
          </w:tcPr>
          <w:p w14:paraId="6C2F9AC7" w14:textId="77777777" w:rsidR="009A356E" w:rsidRPr="00C10545" w:rsidRDefault="009A356E" w:rsidP="009A356E">
            <w:pPr>
              <w:jc w:val="right"/>
              <w:rPr>
                <w:color w:val="000000"/>
                <w:sz w:val="16"/>
                <w:szCs w:val="16"/>
                <w:lang w:eastAsia="en-AU"/>
              </w:rPr>
            </w:pPr>
            <w:r w:rsidRPr="00C10545">
              <w:rPr>
                <w:color w:val="000000"/>
                <w:sz w:val="16"/>
                <w:szCs w:val="16"/>
                <w:lang w:eastAsia="en-AU"/>
              </w:rPr>
              <w:t>0.93%</w:t>
            </w:r>
          </w:p>
        </w:tc>
        <w:tc>
          <w:tcPr>
            <w:tcW w:w="342" w:type="pct"/>
            <w:tcBorders>
              <w:top w:val="nil"/>
              <w:left w:val="nil"/>
              <w:bottom w:val="single" w:sz="4" w:space="0" w:color="auto"/>
              <w:right w:val="single" w:sz="4" w:space="0" w:color="auto"/>
            </w:tcBorders>
            <w:shd w:val="clear" w:color="000000" w:fill="BFBFBF"/>
            <w:noWrap/>
            <w:vAlign w:val="bottom"/>
            <w:hideMark/>
          </w:tcPr>
          <w:p w14:paraId="7951C757" w14:textId="77777777" w:rsidR="009A356E" w:rsidRPr="00C10545" w:rsidRDefault="009A356E" w:rsidP="009A356E">
            <w:pPr>
              <w:jc w:val="right"/>
              <w:rPr>
                <w:color w:val="000000"/>
                <w:sz w:val="16"/>
                <w:szCs w:val="16"/>
                <w:lang w:eastAsia="en-AU"/>
              </w:rPr>
            </w:pPr>
            <w:r w:rsidRPr="00C10545">
              <w:rPr>
                <w:color w:val="000000"/>
                <w:sz w:val="16"/>
                <w:szCs w:val="16"/>
                <w:lang w:eastAsia="en-AU"/>
              </w:rPr>
              <w:t>92.0</w:t>
            </w:r>
          </w:p>
        </w:tc>
        <w:tc>
          <w:tcPr>
            <w:tcW w:w="374" w:type="pct"/>
            <w:tcBorders>
              <w:top w:val="nil"/>
              <w:left w:val="nil"/>
              <w:bottom w:val="single" w:sz="4" w:space="0" w:color="auto"/>
              <w:right w:val="single" w:sz="8" w:space="0" w:color="auto"/>
            </w:tcBorders>
            <w:shd w:val="clear" w:color="000000" w:fill="BFBFBF"/>
            <w:noWrap/>
            <w:vAlign w:val="bottom"/>
            <w:hideMark/>
          </w:tcPr>
          <w:p w14:paraId="515948F8" w14:textId="77777777" w:rsidR="009A356E" w:rsidRPr="00C10545" w:rsidRDefault="009A356E" w:rsidP="009A356E">
            <w:pPr>
              <w:jc w:val="right"/>
              <w:rPr>
                <w:color w:val="000000"/>
                <w:sz w:val="16"/>
                <w:szCs w:val="16"/>
                <w:lang w:eastAsia="en-AU"/>
              </w:rPr>
            </w:pPr>
            <w:r w:rsidRPr="00C10545">
              <w:rPr>
                <w:color w:val="000000"/>
                <w:sz w:val="16"/>
                <w:szCs w:val="16"/>
                <w:lang w:eastAsia="en-AU"/>
              </w:rPr>
              <w:t>-0.53%</w:t>
            </w:r>
          </w:p>
        </w:tc>
        <w:tc>
          <w:tcPr>
            <w:tcW w:w="374" w:type="pct"/>
            <w:tcBorders>
              <w:top w:val="nil"/>
              <w:left w:val="nil"/>
              <w:bottom w:val="single" w:sz="4" w:space="0" w:color="auto"/>
              <w:right w:val="single" w:sz="4" w:space="0" w:color="auto"/>
            </w:tcBorders>
            <w:shd w:val="clear" w:color="000000" w:fill="95B3D7"/>
            <w:noWrap/>
            <w:vAlign w:val="bottom"/>
            <w:hideMark/>
          </w:tcPr>
          <w:p w14:paraId="69512F61" w14:textId="77777777" w:rsidR="009A356E" w:rsidRPr="00C10545" w:rsidRDefault="009A356E" w:rsidP="009A356E">
            <w:pPr>
              <w:jc w:val="right"/>
              <w:rPr>
                <w:color w:val="000000"/>
                <w:sz w:val="16"/>
                <w:szCs w:val="16"/>
                <w:lang w:eastAsia="en-AU"/>
              </w:rPr>
            </w:pPr>
            <w:r w:rsidRPr="00C10545">
              <w:rPr>
                <w:color w:val="000000"/>
                <w:sz w:val="16"/>
                <w:szCs w:val="16"/>
                <w:lang w:eastAsia="en-AU"/>
              </w:rPr>
              <w:t>1.46%</w:t>
            </w:r>
          </w:p>
        </w:tc>
        <w:tc>
          <w:tcPr>
            <w:tcW w:w="374" w:type="pct"/>
            <w:tcBorders>
              <w:top w:val="nil"/>
              <w:left w:val="nil"/>
              <w:bottom w:val="single" w:sz="4" w:space="0" w:color="auto"/>
              <w:right w:val="single" w:sz="8" w:space="0" w:color="auto"/>
            </w:tcBorders>
            <w:shd w:val="clear" w:color="000000" w:fill="00B0F0"/>
            <w:noWrap/>
            <w:vAlign w:val="bottom"/>
            <w:hideMark/>
          </w:tcPr>
          <w:p w14:paraId="6A937B8B" w14:textId="77777777" w:rsidR="009A356E" w:rsidRPr="00C10545" w:rsidRDefault="009A356E" w:rsidP="009A356E">
            <w:pPr>
              <w:jc w:val="right"/>
              <w:rPr>
                <w:color w:val="000000"/>
                <w:sz w:val="16"/>
                <w:szCs w:val="16"/>
                <w:lang w:eastAsia="en-AU"/>
              </w:rPr>
            </w:pPr>
            <w:r w:rsidRPr="00C10545">
              <w:rPr>
                <w:color w:val="000000"/>
                <w:sz w:val="16"/>
                <w:szCs w:val="16"/>
                <w:lang w:eastAsia="en-AU"/>
              </w:rPr>
              <w:t>1.97%</w:t>
            </w:r>
          </w:p>
        </w:tc>
      </w:tr>
      <w:tr w:rsidR="009A356E" w:rsidRPr="00C96EAB" w14:paraId="21E12DCC" w14:textId="77777777" w:rsidTr="009A356E">
        <w:trPr>
          <w:trHeight w:val="240"/>
        </w:trPr>
        <w:tc>
          <w:tcPr>
            <w:tcW w:w="523" w:type="pct"/>
            <w:tcBorders>
              <w:top w:val="nil"/>
              <w:left w:val="single" w:sz="8" w:space="0" w:color="auto"/>
              <w:bottom w:val="nil"/>
              <w:right w:val="nil"/>
            </w:tcBorders>
            <w:shd w:val="clear" w:color="auto" w:fill="auto"/>
            <w:noWrap/>
            <w:vAlign w:val="bottom"/>
            <w:hideMark/>
          </w:tcPr>
          <w:p w14:paraId="50C93898" w14:textId="77777777" w:rsidR="009A356E" w:rsidRPr="00C10545" w:rsidRDefault="009A356E" w:rsidP="009A356E">
            <w:pPr>
              <w:rPr>
                <w:color w:val="000000"/>
                <w:sz w:val="16"/>
                <w:szCs w:val="16"/>
                <w:lang w:eastAsia="en-AU"/>
              </w:rPr>
            </w:pPr>
            <w:r w:rsidRPr="00C10545">
              <w:rPr>
                <w:color w:val="000000"/>
                <w:sz w:val="16"/>
                <w:szCs w:val="16"/>
                <w:lang w:eastAsia="en-AU"/>
              </w:rPr>
              <w:t>2016</w:t>
            </w:r>
          </w:p>
        </w:tc>
        <w:tc>
          <w:tcPr>
            <w:tcW w:w="342" w:type="pct"/>
            <w:tcBorders>
              <w:top w:val="nil"/>
              <w:left w:val="single" w:sz="8" w:space="0" w:color="auto"/>
              <w:bottom w:val="nil"/>
              <w:right w:val="single" w:sz="4" w:space="0" w:color="auto"/>
            </w:tcBorders>
            <w:shd w:val="clear" w:color="000000" w:fill="F2F2F2"/>
            <w:noWrap/>
            <w:vAlign w:val="bottom"/>
            <w:hideMark/>
          </w:tcPr>
          <w:p w14:paraId="528D08CB" w14:textId="77777777" w:rsidR="009A356E" w:rsidRPr="00C10545" w:rsidRDefault="009A356E" w:rsidP="009A356E">
            <w:pPr>
              <w:jc w:val="right"/>
              <w:rPr>
                <w:color w:val="000000"/>
                <w:sz w:val="16"/>
                <w:szCs w:val="16"/>
                <w:lang w:eastAsia="en-AU"/>
              </w:rPr>
            </w:pPr>
            <w:r w:rsidRPr="00C10545">
              <w:rPr>
                <w:color w:val="000000"/>
                <w:sz w:val="16"/>
                <w:szCs w:val="16"/>
                <w:lang w:eastAsia="en-AU"/>
              </w:rPr>
              <w:t>394.3</w:t>
            </w:r>
          </w:p>
        </w:tc>
        <w:tc>
          <w:tcPr>
            <w:tcW w:w="342" w:type="pct"/>
            <w:tcBorders>
              <w:top w:val="nil"/>
              <w:left w:val="nil"/>
              <w:bottom w:val="nil"/>
              <w:right w:val="single" w:sz="4" w:space="0" w:color="auto"/>
            </w:tcBorders>
            <w:shd w:val="clear" w:color="000000" w:fill="D9D9D9"/>
            <w:noWrap/>
            <w:vAlign w:val="bottom"/>
            <w:hideMark/>
          </w:tcPr>
          <w:p w14:paraId="07972AF7" w14:textId="77777777" w:rsidR="009A356E" w:rsidRPr="00C10545" w:rsidRDefault="009A356E" w:rsidP="009A356E">
            <w:pPr>
              <w:jc w:val="right"/>
              <w:rPr>
                <w:color w:val="000000"/>
                <w:sz w:val="16"/>
                <w:szCs w:val="16"/>
                <w:lang w:eastAsia="en-AU"/>
              </w:rPr>
            </w:pPr>
            <w:r w:rsidRPr="00C10545">
              <w:rPr>
                <w:color w:val="000000"/>
                <w:sz w:val="16"/>
                <w:szCs w:val="16"/>
                <w:lang w:eastAsia="en-AU"/>
              </w:rPr>
              <w:t>145.0</w:t>
            </w:r>
          </w:p>
        </w:tc>
        <w:tc>
          <w:tcPr>
            <w:tcW w:w="342" w:type="pct"/>
            <w:tcBorders>
              <w:top w:val="nil"/>
              <w:left w:val="nil"/>
              <w:bottom w:val="nil"/>
              <w:right w:val="single" w:sz="4" w:space="0" w:color="auto"/>
            </w:tcBorders>
            <w:shd w:val="clear" w:color="000000" w:fill="BFBFBF"/>
            <w:noWrap/>
            <w:vAlign w:val="bottom"/>
            <w:hideMark/>
          </w:tcPr>
          <w:p w14:paraId="4D5809B1" w14:textId="77777777" w:rsidR="009A356E" w:rsidRPr="00C10545" w:rsidRDefault="009A356E" w:rsidP="009A356E">
            <w:pPr>
              <w:jc w:val="right"/>
              <w:rPr>
                <w:color w:val="000000"/>
                <w:sz w:val="16"/>
                <w:szCs w:val="16"/>
                <w:lang w:eastAsia="en-AU"/>
              </w:rPr>
            </w:pPr>
            <w:r w:rsidRPr="00C10545">
              <w:rPr>
                <w:color w:val="000000"/>
                <w:sz w:val="16"/>
                <w:szCs w:val="16"/>
                <w:lang w:eastAsia="en-AU"/>
              </w:rPr>
              <w:t>539.4</w:t>
            </w:r>
          </w:p>
        </w:tc>
        <w:tc>
          <w:tcPr>
            <w:tcW w:w="374" w:type="pct"/>
            <w:tcBorders>
              <w:top w:val="nil"/>
              <w:left w:val="nil"/>
              <w:bottom w:val="nil"/>
              <w:right w:val="single" w:sz="8" w:space="0" w:color="auto"/>
            </w:tcBorders>
            <w:shd w:val="clear" w:color="000000" w:fill="BFBFBF"/>
            <w:noWrap/>
            <w:vAlign w:val="bottom"/>
            <w:hideMark/>
          </w:tcPr>
          <w:p w14:paraId="45789B79" w14:textId="77777777" w:rsidR="009A356E" w:rsidRPr="00C10545" w:rsidRDefault="009A356E" w:rsidP="009A356E">
            <w:pPr>
              <w:jc w:val="right"/>
              <w:rPr>
                <w:color w:val="000000"/>
                <w:sz w:val="16"/>
                <w:szCs w:val="16"/>
                <w:lang w:eastAsia="en-AU"/>
              </w:rPr>
            </w:pPr>
            <w:r w:rsidRPr="00C10545">
              <w:rPr>
                <w:color w:val="000000"/>
                <w:sz w:val="16"/>
                <w:szCs w:val="16"/>
                <w:lang w:eastAsia="en-AU"/>
              </w:rPr>
              <w:t>-0.44%</w:t>
            </w:r>
          </w:p>
        </w:tc>
        <w:tc>
          <w:tcPr>
            <w:tcW w:w="342" w:type="pct"/>
            <w:tcBorders>
              <w:top w:val="nil"/>
              <w:left w:val="nil"/>
              <w:bottom w:val="nil"/>
              <w:right w:val="single" w:sz="4" w:space="0" w:color="auto"/>
            </w:tcBorders>
            <w:shd w:val="clear" w:color="000000" w:fill="F2F2F2"/>
            <w:noWrap/>
            <w:vAlign w:val="bottom"/>
            <w:hideMark/>
          </w:tcPr>
          <w:p w14:paraId="3EF1586F" w14:textId="77777777" w:rsidR="009A356E" w:rsidRPr="00C10545" w:rsidRDefault="009A356E" w:rsidP="009A356E">
            <w:pPr>
              <w:jc w:val="right"/>
              <w:rPr>
                <w:color w:val="000000"/>
                <w:sz w:val="16"/>
                <w:szCs w:val="16"/>
                <w:lang w:eastAsia="en-AU"/>
              </w:rPr>
            </w:pPr>
            <w:r w:rsidRPr="00C10545">
              <w:rPr>
                <w:color w:val="000000"/>
                <w:sz w:val="16"/>
                <w:szCs w:val="16"/>
                <w:lang w:eastAsia="en-AU"/>
              </w:rPr>
              <w:t>65.8</w:t>
            </w:r>
          </w:p>
        </w:tc>
        <w:tc>
          <w:tcPr>
            <w:tcW w:w="374" w:type="pct"/>
            <w:tcBorders>
              <w:top w:val="nil"/>
              <w:left w:val="nil"/>
              <w:bottom w:val="nil"/>
              <w:right w:val="single" w:sz="8" w:space="0" w:color="auto"/>
            </w:tcBorders>
            <w:shd w:val="clear" w:color="000000" w:fill="F2F2F2"/>
            <w:noWrap/>
            <w:vAlign w:val="bottom"/>
            <w:hideMark/>
          </w:tcPr>
          <w:p w14:paraId="4BDA6E3E" w14:textId="77777777" w:rsidR="009A356E" w:rsidRPr="00C10545" w:rsidRDefault="009A356E" w:rsidP="009A356E">
            <w:pPr>
              <w:jc w:val="right"/>
              <w:rPr>
                <w:color w:val="000000"/>
                <w:sz w:val="16"/>
                <w:szCs w:val="16"/>
                <w:lang w:eastAsia="en-AU"/>
              </w:rPr>
            </w:pPr>
            <w:r w:rsidRPr="00C10545">
              <w:rPr>
                <w:color w:val="000000"/>
                <w:sz w:val="16"/>
                <w:szCs w:val="16"/>
                <w:lang w:eastAsia="en-AU"/>
              </w:rPr>
              <w:t>-2.12%</w:t>
            </w:r>
          </w:p>
        </w:tc>
        <w:tc>
          <w:tcPr>
            <w:tcW w:w="475" w:type="pct"/>
            <w:tcBorders>
              <w:top w:val="nil"/>
              <w:left w:val="nil"/>
              <w:bottom w:val="nil"/>
              <w:right w:val="single" w:sz="4" w:space="0" w:color="auto"/>
            </w:tcBorders>
            <w:shd w:val="clear" w:color="000000" w:fill="D9D9D9"/>
            <w:noWrap/>
            <w:vAlign w:val="bottom"/>
            <w:hideMark/>
          </w:tcPr>
          <w:p w14:paraId="15C42B26" w14:textId="77777777" w:rsidR="009A356E" w:rsidRPr="00C10545" w:rsidRDefault="009A356E" w:rsidP="009A356E">
            <w:pPr>
              <w:rPr>
                <w:color w:val="000000"/>
                <w:sz w:val="16"/>
                <w:szCs w:val="16"/>
                <w:lang w:eastAsia="en-AU"/>
              </w:rPr>
            </w:pPr>
            <w:r w:rsidRPr="00C10545">
              <w:rPr>
                <w:color w:val="000000"/>
                <w:sz w:val="16"/>
                <w:szCs w:val="16"/>
                <w:lang w:eastAsia="en-AU"/>
              </w:rPr>
              <w:t xml:space="preserve">   1,108.4 </w:t>
            </w:r>
          </w:p>
        </w:tc>
        <w:tc>
          <w:tcPr>
            <w:tcW w:w="422" w:type="pct"/>
            <w:tcBorders>
              <w:top w:val="nil"/>
              <w:left w:val="nil"/>
              <w:bottom w:val="nil"/>
              <w:right w:val="single" w:sz="8" w:space="0" w:color="auto"/>
            </w:tcBorders>
            <w:shd w:val="clear" w:color="000000" w:fill="D9D9D9"/>
            <w:noWrap/>
            <w:vAlign w:val="bottom"/>
            <w:hideMark/>
          </w:tcPr>
          <w:p w14:paraId="21B8167D" w14:textId="77777777" w:rsidR="009A356E" w:rsidRPr="00C10545" w:rsidRDefault="009A356E" w:rsidP="009A356E">
            <w:pPr>
              <w:jc w:val="right"/>
              <w:rPr>
                <w:color w:val="000000"/>
                <w:sz w:val="16"/>
                <w:szCs w:val="16"/>
                <w:lang w:eastAsia="en-AU"/>
              </w:rPr>
            </w:pPr>
            <w:r w:rsidRPr="00C10545">
              <w:rPr>
                <w:color w:val="000000"/>
                <w:sz w:val="16"/>
                <w:szCs w:val="16"/>
                <w:lang w:eastAsia="en-AU"/>
              </w:rPr>
              <w:t>-0.56%</w:t>
            </w:r>
          </w:p>
        </w:tc>
        <w:tc>
          <w:tcPr>
            <w:tcW w:w="342" w:type="pct"/>
            <w:tcBorders>
              <w:top w:val="nil"/>
              <w:left w:val="nil"/>
              <w:bottom w:val="nil"/>
              <w:right w:val="single" w:sz="4" w:space="0" w:color="auto"/>
            </w:tcBorders>
            <w:shd w:val="clear" w:color="000000" w:fill="BFBFBF"/>
            <w:noWrap/>
            <w:vAlign w:val="bottom"/>
            <w:hideMark/>
          </w:tcPr>
          <w:p w14:paraId="2E439067" w14:textId="77777777" w:rsidR="009A356E" w:rsidRPr="00C10545" w:rsidRDefault="009A356E" w:rsidP="009A356E">
            <w:pPr>
              <w:jc w:val="right"/>
              <w:rPr>
                <w:color w:val="000000"/>
                <w:sz w:val="16"/>
                <w:szCs w:val="16"/>
                <w:lang w:eastAsia="en-AU"/>
              </w:rPr>
            </w:pPr>
            <w:r w:rsidRPr="00C10545">
              <w:rPr>
                <w:color w:val="000000"/>
                <w:sz w:val="16"/>
                <w:szCs w:val="16"/>
                <w:lang w:eastAsia="en-AU"/>
              </w:rPr>
              <w:t>90.0</w:t>
            </w:r>
          </w:p>
        </w:tc>
        <w:tc>
          <w:tcPr>
            <w:tcW w:w="374" w:type="pct"/>
            <w:tcBorders>
              <w:top w:val="nil"/>
              <w:left w:val="nil"/>
              <w:bottom w:val="nil"/>
              <w:right w:val="single" w:sz="8" w:space="0" w:color="auto"/>
            </w:tcBorders>
            <w:shd w:val="clear" w:color="000000" w:fill="BFBFBF"/>
            <w:noWrap/>
            <w:vAlign w:val="bottom"/>
            <w:hideMark/>
          </w:tcPr>
          <w:p w14:paraId="710794D5" w14:textId="77777777" w:rsidR="009A356E" w:rsidRPr="00C10545" w:rsidRDefault="009A356E" w:rsidP="009A356E">
            <w:pPr>
              <w:jc w:val="right"/>
              <w:rPr>
                <w:color w:val="000000"/>
                <w:sz w:val="16"/>
                <w:szCs w:val="16"/>
                <w:lang w:eastAsia="en-AU"/>
              </w:rPr>
            </w:pPr>
            <w:r w:rsidRPr="00C10545">
              <w:rPr>
                <w:color w:val="000000"/>
                <w:sz w:val="16"/>
                <w:szCs w:val="16"/>
                <w:lang w:eastAsia="en-AU"/>
              </w:rPr>
              <w:t>-2.16%</w:t>
            </w:r>
          </w:p>
        </w:tc>
        <w:tc>
          <w:tcPr>
            <w:tcW w:w="374" w:type="pct"/>
            <w:tcBorders>
              <w:top w:val="nil"/>
              <w:left w:val="nil"/>
              <w:bottom w:val="nil"/>
              <w:right w:val="single" w:sz="4" w:space="0" w:color="auto"/>
            </w:tcBorders>
            <w:shd w:val="clear" w:color="000000" w:fill="95B3D7"/>
            <w:noWrap/>
            <w:vAlign w:val="bottom"/>
            <w:hideMark/>
          </w:tcPr>
          <w:p w14:paraId="4AE5B247" w14:textId="77777777" w:rsidR="009A356E" w:rsidRPr="00C10545" w:rsidRDefault="009A356E" w:rsidP="009A356E">
            <w:pPr>
              <w:jc w:val="right"/>
              <w:rPr>
                <w:color w:val="000000"/>
                <w:sz w:val="16"/>
                <w:szCs w:val="16"/>
                <w:lang w:eastAsia="en-AU"/>
              </w:rPr>
            </w:pPr>
            <w:r w:rsidRPr="00C10545">
              <w:rPr>
                <w:color w:val="000000"/>
                <w:sz w:val="16"/>
                <w:szCs w:val="16"/>
                <w:lang w:eastAsia="en-AU"/>
              </w:rPr>
              <w:t>1.54%</w:t>
            </w:r>
          </w:p>
        </w:tc>
        <w:tc>
          <w:tcPr>
            <w:tcW w:w="374" w:type="pct"/>
            <w:tcBorders>
              <w:top w:val="nil"/>
              <w:left w:val="nil"/>
              <w:bottom w:val="nil"/>
              <w:right w:val="single" w:sz="8" w:space="0" w:color="auto"/>
            </w:tcBorders>
            <w:shd w:val="clear" w:color="000000" w:fill="00B0F0"/>
            <w:noWrap/>
            <w:vAlign w:val="bottom"/>
            <w:hideMark/>
          </w:tcPr>
          <w:p w14:paraId="68F53438" w14:textId="77777777" w:rsidR="009A356E" w:rsidRPr="00C10545" w:rsidRDefault="009A356E" w:rsidP="009A356E">
            <w:pPr>
              <w:jc w:val="right"/>
              <w:rPr>
                <w:color w:val="000000"/>
                <w:sz w:val="16"/>
                <w:szCs w:val="16"/>
                <w:lang w:eastAsia="en-AU"/>
              </w:rPr>
            </w:pPr>
            <w:r w:rsidRPr="00C10545">
              <w:rPr>
                <w:color w:val="000000"/>
                <w:sz w:val="16"/>
                <w:szCs w:val="16"/>
                <w:lang w:eastAsia="en-AU"/>
              </w:rPr>
              <w:t>1.85%</w:t>
            </w:r>
          </w:p>
        </w:tc>
      </w:tr>
      <w:tr w:rsidR="009A356E" w:rsidRPr="00C96EAB" w14:paraId="7EEE2B44" w14:textId="77777777" w:rsidTr="009A356E">
        <w:trPr>
          <w:trHeight w:val="225"/>
        </w:trPr>
        <w:tc>
          <w:tcPr>
            <w:tcW w:w="523" w:type="pct"/>
            <w:tcBorders>
              <w:top w:val="single" w:sz="8" w:space="0" w:color="auto"/>
              <w:left w:val="single" w:sz="8" w:space="0" w:color="auto"/>
              <w:bottom w:val="single" w:sz="4" w:space="0" w:color="auto"/>
              <w:right w:val="nil"/>
            </w:tcBorders>
            <w:shd w:val="clear" w:color="auto" w:fill="auto"/>
            <w:noWrap/>
            <w:vAlign w:val="bottom"/>
            <w:hideMark/>
          </w:tcPr>
          <w:p w14:paraId="56A6C2B3" w14:textId="77777777" w:rsidR="009A356E" w:rsidRPr="00C10545" w:rsidRDefault="009A356E" w:rsidP="009A356E">
            <w:pPr>
              <w:rPr>
                <w:color w:val="000000"/>
                <w:sz w:val="16"/>
                <w:szCs w:val="16"/>
                <w:lang w:eastAsia="en-AU"/>
              </w:rPr>
            </w:pPr>
            <w:r w:rsidRPr="00C10545">
              <w:rPr>
                <w:color w:val="000000"/>
                <w:sz w:val="16"/>
                <w:szCs w:val="16"/>
                <w:lang w:eastAsia="en-AU"/>
              </w:rPr>
              <w:lastRenderedPageBreak/>
              <w:t>2000-2016</w:t>
            </w:r>
          </w:p>
        </w:tc>
        <w:tc>
          <w:tcPr>
            <w:tcW w:w="342" w:type="pct"/>
            <w:tcBorders>
              <w:top w:val="single" w:sz="8" w:space="0" w:color="auto"/>
              <w:left w:val="single" w:sz="8" w:space="0" w:color="auto"/>
              <w:bottom w:val="single" w:sz="4" w:space="0" w:color="auto"/>
              <w:right w:val="single" w:sz="4" w:space="0" w:color="auto"/>
            </w:tcBorders>
            <w:shd w:val="clear" w:color="000000" w:fill="000000"/>
            <w:noWrap/>
            <w:vAlign w:val="bottom"/>
            <w:hideMark/>
          </w:tcPr>
          <w:p w14:paraId="568833D4" w14:textId="77777777" w:rsidR="009A356E" w:rsidRPr="00C10545" w:rsidRDefault="009A356E" w:rsidP="009A356E">
            <w:pPr>
              <w:rPr>
                <w:color w:val="000000"/>
                <w:sz w:val="16"/>
                <w:szCs w:val="16"/>
                <w:lang w:eastAsia="en-AU"/>
              </w:rPr>
            </w:pPr>
            <w:r w:rsidRPr="00C10545">
              <w:rPr>
                <w:color w:val="000000"/>
                <w:sz w:val="16"/>
                <w:szCs w:val="16"/>
                <w:lang w:eastAsia="en-AU"/>
              </w:rPr>
              <w:t> </w:t>
            </w:r>
          </w:p>
        </w:tc>
        <w:tc>
          <w:tcPr>
            <w:tcW w:w="342" w:type="pct"/>
            <w:tcBorders>
              <w:top w:val="single" w:sz="8" w:space="0" w:color="auto"/>
              <w:left w:val="nil"/>
              <w:bottom w:val="single" w:sz="4" w:space="0" w:color="auto"/>
              <w:right w:val="single" w:sz="4" w:space="0" w:color="auto"/>
            </w:tcBorders>
            <w:shd w:val="clear" w:color="000000" w:fill="000000"/>
            <w:noWrap/>
            <w:vAlign w:val="bottom"/>
            <w:hideMark/>
          </w:tcPr>
          <w:p w14:paraId="42392DF2" w14:textId="77777777" w:rsidR="009A356E" w:rsidRPr="00C10545" w:rsidRDefault="009A356E" w:rsidP="009A356E">
            <w:pPr>
              <w:rPr>
                <w:color w:val="000000"/>
                <w:sz w:val="16"/>
                <w:szCs w:val="16"/>
                <w:lang w:eastAsia="en-AU"/>
              </w:rPr>
            </w:pPr>
            <w:r w:rsidRPr="00C10545">
              <w:rPr>
                <w:color w:val="000000"/>
                <w:sz w:val="16"/>
                <w:szCs w:val="16"/>
                <w:lang w:eastAsia="en-AU"/>
              </w:rPr>
              <w:t> </w:t>
            </w:r>
          </w:p>
        </w:tc>
        <w:tc>
          <w:tcPr>
            <w:tcW w:w="342" w:type="pct"/>
            <w:tcBorders>
              <w:top w:val="single" w:sz="8" w:space="0" w:color="auto"/>
              <w:left w:val="nil"/>
              <w:bottom w:val="single" w:sz="4" w:space="0" w:color="auto"/>
              <w:right w:val="single" w:sz="4" w:space="0" w:color="auto"/>
            </w:tcBorders>
            <w:shd w:val="clear" w:color="000000" w:fill="000000"/>
            <w:noWrap/>
            <w:vAlign w:val="bottom"/>
            <w:hideMark/>
          </w:tcPr>
          <w:p w14:paraId="26A48644" w14:textId="77777777" w:rsidR="009A356E" w:rsidRPr="00C10545" w:rsidRDefault="009A356E" w:rsidP="009A356E">
            <w:pPr>
              <w:rPr>
                <w:color w:val="000000"/>
                <w:sz w:val="16"/>
                <w:szCs w:val="16"/>
                <w:lang w:eastAsia="en-AU"/>
              </w:rPr>
            </w:pPr>
            <w:r w:rsidRPr="00C10545">
              <w:rPr>
                <w:color w:val="000000"/>
                <w:sz w:val="16"/>
                <w:szCs w:val="16"/>
                <w:lang w:eastAsia="en-AU"/>
              </w:rPr>
              <w:t> </w:t>
            </w:r>
          </w:p>
        </w:tc>
        <w:tc>
          <w:tcPr>
            <w:tcW w:w="374" w:type="pct"/>
            <w:tcBorders>
              <w:top w:val="single" w:sz="8" w:space="0" w:color="auto"/>
              <w:left w:val="nil"/>
              <w:bottom w:val="single" w:sz="4" w:space="0" w:color="auto"/>
              <w:right w:val="single" w:sz="8" w:space="0" w:color="auto"/>
            </w:tcBorders>
            <w:shd w:val="clear" w:color="auto" w:fill="auto"/>
            <w:noWrap/>
            <w:vAlign w:val="bottom"/>
            <w:hideMark/>
          </w:tcPr>
          <w:p w14:paraId="10BFA105" w14:textId="77777777" w:rsidR="009A356E" w:rsidRPr="00C10545" w:rsidRDefault="009A356E" w:rsidP="009A356E">
            <w:pPr>
              <w:jc w:val="right"/>
              <w:rPr>
                <w:color w:val="000000"/>
                <w:sz w:val="16"/>
                <w:szCs w:val="16"/>
                <w:lang w:eastAsia="en-AU"/>
              </w:rPr>
            </w:pPr>
            <w:r w:rsidRPr="00C10545">
              <w:rPr>
                <w:color w:val="000000"/>
                <w:sz w:val="16"/>
                <w:szCs w:val="16"/>
                <w:lang w:eastAsia="en-AU"/>
              </w:rPr>
              <w:t>3.78%</w:t>
            </w:r>
          </w:p>
        </w:tc>
        <w:tc>
          <w:tcPr>
            <w:tcW w:w="342" w:type="pct"/>
            <w:tcBorders>
              <w:top w:val="single" w:sz="8" w:space="0" w:color="auto"/>
              <w:left w:val="nil"/>
              <w:bottom w:val="single" w:sz="4" w:space="0" w:color="auto"/>
              <w:right w:val="single" w:sz="4" w:space="0" w:color="auto"/>
            </w:tcBorders>
            <w:shd w:val="clear" w:color="000000" w:fill="000000"/>
            <w:noWrap/>
            <w:vAlign w:val="bottom"/>
            <w:hideMark/>
          </w:tcPr>
          <w:p w14:paraId="2290E6C7" w14:textId="77777777" w:rsidR="009A356E" w:rsidRPr="00C10545" w:rsidRDefault="009A356E" w:rsidP="009A356E">
            <w:pPr>
              <w:rPr>
                <w:color w:val="000000"/>
                <w:sz w:val="16"/>
                <w:szCs w:val="16"/>
                <w:lang w:eastAsia="en-AU"/>
              </w:rPr>
            </w:pPr>
            <w:r w:rsidRPr="00C10545">
              <w:rPr>
                <w:color w:val="000000"/>
                <w:sz w:val="16"/>
                <w:szCs w:val="16"/>
                <w:lang w:eastAsia="en-AU"/>
              </w:rPr>
              <w:t> </w:t>
            </w:r>
          </w:p>
        </w:tc>
        <w:tc>
          <w:tcPr>
            <w:tcW w:w="374" w:type="pct"/>
            <w:tcBorders>
              <w:top w:val="single" w:sz="8" w:space="0" w:color="auto"/>
              <w:left w:val="nil"/>
              <w:bottom w:val="single" w:sz="4" w:space="0" w:color="auto"/>
              <w:right w:val="single" w:sz="8" w:space="0" w:color="auto"/>
            </w:tcBorders>
            <w:shd w:val="clear" w:color="auto" w:fill="auto"/>
            <w:noWrap/>
            <w:vAlign w:val="bottom"/>
            <w:hideMark/>
          </w:tcPr>
          <w:p w14:paraId="2BF22F58" w14:textId="77777777" w:rsidR="009A356E" w:rsidRPr="00C10545" w:rsidRDefault="009A356E" w:rsidP="009A356E">
            <w:pPr>
              <w:jc w:val="right"/>
              <w:rPr>
                <w:color w:val="000000"/>
                <w:sz w:val="16"/>
                <w:szCs w:val="16"/>
                <w:lang w:eastAsia="en-AU"/>
              </w:rPr>
            </w:pPr>
            <w:r w:rsidRPr="00C10545">
              <w:rPr>
                <w:color w:val="000000"/>
                <w:sz w:val="16"/>
                <w:szCs w:val="16"/>
                <w:lang w:eastAsia="en-AU"/>
              </w:rPr>
              <w:t>2.26%</w:t>
            </w:r>
          </w:p>
        </w:tc>
        <w:tc>
          <w:tcPr>
            <w:tcW w:w="475" w:type="pct"/>
            <w:tcBorders>
              <w:top w:val="single" w:sz="8" w:space="0" w:color="auto"/>
              <w:left w:val="nil"/>
              <w:bottom w:val="single" w:sz="4" w:space="0" w:color="auto"/>
              <w:right w:val="single" w:sz="4" w:space="0" w:color="auto"/>
            </w:tcBorders>
            <w:shd w:val="clear" w:color="000000" w:fill="000000"/>
            <w:noWrap/>
            <w:vAlign w:val="bottom"/>
            <w:hideMark/>
          </w:tcPr>
          <w:p w14:paraId="050F0EA6" w14:textId="77777777" w:rsidR="009A356E" w:rsidRPr="00C10545" w:rsidRDefault="009A356E" w:rsidP="009A356E">
            <w:pPr>
              <w:rPr>
                <w:color w:val="000000"/>
                <w:sz w:val="16"/>
                <w:szCs w:val="16"/>
                <w:lang w:eastAsia="en-AU"/>
              </w:rPr>
            </w:pPr>
            <w:r w:rsidRPr="00C10545">
              <w:rPr>
                <w:color w:val="000000"/>
                <w:sz w:val="16"/>
                <w:szCs w:val="16"/>
                <w:lang w:eastAsia="en-AU"/>
              </w:rPr>
              <w:t> </w:t>
            </w:r>
          </w:p>
        </w:tc>
        <w:tc>
          <w:tcPr>
            <w:tcW w:w="422" w:type="pct"/>
            <w:tcBorders>
              <w:top w:val="single" w:sz="8" w:space="0" w:color="auto"/>
              <w:left w:val="nil"/>
              <w:bottom w:val="single" w:sz="4" w:space="0" w:color="auto"/>
              <w:right w:val="single" w:sz="8" w:space="0" w:color="auto"/>
            </w:tcBorders>
            <w:shd w:val="clear" w:color="auto" w:fill="auto"/>
            <w:noWrap/>
            <w:vAlign w:val="bottom"/>
            <w:hideMark/>
          </w:tcPr>
          <w:p w14:paraId="2DB1BB51" w14:textId="77777777" w:rsidR="009A356E" w:rsidRPr="00C10545" w:rsidRDefault="009A356E" w:rsidP="009A356E">
            <w:pPr>
              <w:jc w:val="right"/>
              <w:rPr>
                <w:color w:val="000000"/>
                <w:sz w:val="16"/>
                <w:szCs w:val="16"/>
                <w:lang w:eastAsia="en-AU"/>
              </w:rPr>
            </w:pPr>
            <w:r w:rsidRPr="00C10545">
              <w:rPr>
                <w:color w:val="000000"/>
                <w:sz w:val="16"/>
                <w:szCs w:val="16"/>
                <w:lang w:eastAsia="en-AU"/>
              </w:rPr>
              <w:t>3.58%</w:t>
            </w:r>
          </w:p>
        </w:tc>
        <w:tc>
          <w:tcPr>
            <w:tcW w:w="342" w:type="pct"/>
            <w:tcBorders>
              <w:top w:val="single" w:sz="8" w:space="0" w:color="auto"/>
              <w:left w:val="nil"/>
              <w:bottom w:val="single" w:sz="4" w:space="0" w:color="auto"/>
              <w:right w:val="single" w:sz="4" w:space="0" w:color="auto"/>
            </w:tcBorders>
            <w:shd w:val="clear" w:color="000000" w:fill="000000"/>
            <w:noWrap/>
            <w:vAlign w:val="bottom"/>
            <w:hideMark/>
          </w:tcPr>
          <w:p w14:paraId="166BD112" w14:textId="77777777" w:rsidR="009A356E" w:rsidRPr="00C10545" w:rsidRDefault="009A356E" w:rsidP="009A356E">
            <w:pPr>
              <w:rPr>
                <w:color w:val="000000"/>
                <w:sz w:val="16"/>
                <w:szCs w:val="16"/>
                <w:lang w:eastAsia="en-AU"/>
              </w:rPr>
            </w:pPr>
            <w:r w:rsidRPr="00C10545">
              <w:rPr>
                <w:color w:val="000000"/>
                <w:sz w:val="16"/>
                <w:szCs w:val="16"/>
                <w:lang w:eastAsia="en-AU"/>
              </w:rPr>
              <w:t> </w:t>
            </w:r>
          </w:p>
        </w:tc>
        <w:tc>
          <w:tcPr>
            <w:tcW w:w="374" w:type="pct"/>
            <w:tcBorders>
              <w:top w:val="single" w:sz="8" w:space="0" w:color="auto"/>
              <w:left w:val="nil"/>
              <w:bottom w:val="single" w:sz="4" w:space="0" w:color="auto"/>
              <w:right w:val="single" w:sz="8" w:space="0" w:color="auto"/>
            </w:tcBorders>
            <w:shd w:val="clear" w:color="auto" w:fill="auto"/>
            <w:noWrap/>
            <w:vAlign w:val="bottom"/>
            <w:hideMark/>
          </w:tcPr>
          <w:p w14:paraId="41404D52" w14:textId="77777777" w:rsidR="009A356E" w:rsidRPr="00C10545" w:rsidRDefault="009A356E" w:rsidP="009A356E">
            <w:pPr>
              <w:jc w:val="right"/>
              <w:rPr>
                <w:color w:val="000000"/>
                <w:sz w:val="16"/>
                <w:szCs w:val="16"/>
                <w:lang w:eastAsia="en-AU"/>
              </w:rPr>
            </w:pPr>
            <w:r w:rsidRPr="00C10545">
              <w:rPr>
                <w:color w:val="000000"/>
                <w:sz w:val="16"/>
                <w:szCs w:val="16"/>
                <w:lang w:eastAsia="en-AU"/>
              </w:rPr>
              <w:t>2.26%</w:t>
            </w:r>
          </w:p>
        </w:tc>
        <w:tc>
          <w:tcPr>
            <w:tcW w:w="374" w:type="pct"/>
            <w:tcBorders>
              <w:top w:val="single" w:sz="8" w:space="0" w:color="auto"/>
              <w:left w:val="nil"/>
              <w:bottom w:val="single" w:sz="4" w:space="0" w:color="auto"/>
              <w:right w:val="single" w:sz="4" w:space="0" w:color="auto"/>
            </w:tcBorders>
            <w:shd w:val="clear" w:color="auto" w:fill="auto"/>
            <w:noWrap/>
            <w:vAlign w:val="bottom"/>
            <w:hideMark/>
          </w:tcPr>
          <w:p w14:paraId="5AE31BF4" w14:textId="77777777" w:rsidR="009A356E" w:rsidRPr="00C10545" w:rsidRDefault="009A356E" w:rsidP="009A356E">
            <w:pPr>
              <w:jc w:val="right"/>
              <w:rPr>
                <w:color w:val="000000"/>
                <w:sz w:val="16"/>
                <w:szCs w:val="16"/>
                <w:lang w:eastAsia="en-AU"/>
              </w:rPr>
            </w:pPr>
            <w:r w:rsidRPr="00C10545">
              <w:rPr>
                <w:color w:val="000000"/>
                <w:sz w:val="16"/>
                <w:szCs w:val="16"/>
                <w:lang w:eastAsia="en-AU"/>
              </w:rPr>
              <w:t>2.61%</w:t>
            </w:r>
          </w:p>
        </w:tc>
        <w:tc>
          <w:tcPr>
            <w:tcW w:w="374" w:type="pct"/>
            <w:tcBorders>
              <w:top w:val="single" w:sz="8" w:space="0" w:color="auto"/>
              <w:left w:val="nil"/>
              <w:bottom w:val="single" w:sz="4" w:space="0" w:color="auto"/>
              <w:right w:val="single" w:sz="8" w:space="0" w:color="auto"/>
            </w:tcBorders>
            <w:shd w:val="clear" w:color="auto" w:fill="auto"/>
            <w:noWrap/>
            <w:vAlign w:val="bottom"/>
            <w:hideMark/>
          </w:tcPr>
          <w:p w14:paraId="55B43F53" w14:textId="77777777" w:rsidR="009A356E" w:rsidRPr="00C10545" w:rsidRDefault="009A356E" w:rsidP="009A356E">
            <w:pPr>
              <w:jc w:val="right"/>
              <w:rPr>
                <w:color w:val="000000"/>
                <w:sz w:val="16"/>
                <w:szCs w:val="16"/>
                <w:lang w:eastAsia="en-AU"/>
              </w:rPr>
            </w:pPr>
            <w:r w:rsidRPr="00C10545">
              <w:rPr>
                <w:color w:val="000000"/>
                <w:sz w:val="16"/>
                <w:szCs w:val="16"/>
                <w:lang w:eastAsia="en-AU"/>
              </w:rPr>
              <w:t>2.91%</w:t>
            </w:r>
          </w:p>
        </w:tc>
      </w:tr>
      <w:tr w:rsidR="009A356E" w:rsidRPr="00C96EAB" w14:paraId="5204AF42" w14:textId="77777777" w:rsidTr="009A356E">
        <w:trPr>
          <w:trHeight w:val="240"/>
        </w:trPr>
        <w:tc>
          <w:tcPr>
            <w:tcW w:w="523" w:type="pct"/>
            <w:tcBorders>
              <w:top w:val="nil"/>
              <w:left w:val="single" w:sz="8" w:space="0" w:color="auto"/>
              <w:bottom w:val="single" w:sz="8" w:space="0" w:color="auto"/>
              <w:right w:val="nil"/>
            </w:tcBorders>
            <w:shd w:val="clear" w:color="auto" w:fill="auto"/>
            <w:noWrap/>
            <w:vAlign w:val="bottom"/>
            <w:hideMark/>
          </w:tcPr>
          <w:p w14:paraId="11FEC0EC" w14:textId="77777777" w:rsidR="009A356E" w:rsidRPr="00C10545" w:rsidRDefault="009A356E" w:rsidP="009A356E">
            <w:pPr>
              <w:rPr>
                <w:color w:val="000000"/>
                <w:sz w:val="16"/>
                <w:szCs w:val="16"/>
                <w:lang w:eastAsia="en-AU"/>
              </w:rPr>
            </w:pPr>
            <w:r w:rsidRPr="00C10545">
              <w:rPr>
                <w:color w:val="000000"/>
                <w:sz w:val="16"/>
                <w:szCs w:val="16"/>
                <w:lang w:eastAsia="en-AU"/>
              </w:rPr>
              <w:t>2011-2016</w:t>
            </w:r>
          </w:p>
        </w:tc>
        <w:tc>
          <w:tcPr>
            <w:tcW w:w="342" w:type="pct"/>
            <w:tcBorders>
              <w:top w:val="nil"/>
              <w:left w:val="single" w:sz="8" w:space="0" w:color="auto"/>
              <w:bottom w:val="single" w:sz="8" w:space="0" w:color="auto"/>
              <w:right w:val="single" w:sz="4" w:space="0" w:color="auto"/>
            </w:tcBorders>
            <w:shd w:val="clear" w:color="000000" w:fill="000000"/>
            <w:noWrap/>
            <w:vAlign w:val="bottom"/>
            <w:hideMark/>
          </w:tcPr>
          <w:p w14:paraId="753BE2E4" w14:textId="77777777" w:rsidR="009A356E" w:rsidRPr="00C10545" w:rsidRDefault="009A356E" w:rsidP="009A356E">
            <w:pPr>
              <w:rPr>
                <w:color w:val="000000"/>
                <w:sz w:val="16"/>
                <w:szCs w:val="16"/>
                <w:lang w:eastAsia="en-AU"/>
              </w:rPr>
            </w:pPr>
            <w:r w:rsidRPr="00C10545">
              <w:rPr>
                <w:color w:val="000000"/>
                <w:sz w:val="16"/>
                <w:szCs w:val="16"/>
                <w:lang w:eastAsia="en-AU"/>
              </w:rPr>
              <w:t> </w:t>
            </w:r>
          </w:p>
        </w:tc>
        <w:tc>
          <w:tcPr>
            <w:tcW w:w="342" w:type="pct"/>
            <w:tcBorders>
              <w:top w:val="nil"/>
              <w:left w:val="nil"/>
              <w:bottom w:val="single" w:sz="8" w:space="0" w:color="auto"/>
              <w:right w:val="single" w:sz="4" w:space="0" w:color="auto"/>
            </w:tcBorders>
            <w:shd w:val="clear" w:color="000000" w:fill="000000"/>
            <w:noWrap/>
            <w:vAlign w:val="bottom"/>
            <w:hideMark/>
          </w:tcPr>
          <w:p w14:paraId="157C37C5" w14:textId="77777777" w:rsidR="009A356E" w:rsidRPr="00C10545" w:rsidRDefault="009A356E" w:rsidP="009A356E">
            <w:pPr>
              <w:rPr>
                <w:color w:val="000000"/>
                <w:sz w:val="16"/>
                <w:szCs w:val="16"/>
                <w:lang w:eastAsia="en-AU"/>
              </w:rPr>
            </w:pPr>
            <w:r w:rsidRPr="00C10545">
              <w:rPr>
                <w:color w:val="000000"/>
                <w:sz w:val="16"/>
                <w:szCs w:val="16"/>
                <w:lang w:eastAsia="en-AU"/>
              </w:rPr>
              <w:t> </w:t>
            </w:r>
          </w:p>
        </w:tc>
        <w:tc>
          <w:tcPr>
            <w:tcW w:w="342" w:type="pct"/>
            <w:tcBorders>
              <w:top w:val="nil"/>
              <w:left w:val="nil"/>
              <w:bottom w:val="single" w:sz="8" w:space="0" w:color="auto"/>
              <w:right w:val="single" w:sz="4" w:space="0" w:color="auto"/>
            </w:tcBorders>
            <w:shd w:val="clear" w:color="000000" w:fill="000000"/>
            <w:noWrap/>
            <w:vAlign w:val="bottom"/>
            <w:hideMark/>
          </w:tcPr>
          <w:p w14:paraId="59744C78" w14:textId="77777777" w:rsidR="009A356E" w:rsidRPr="00C10545" w:rsidRDefault="009A356E" w:rsidP="009A356E">
            <w:pPr>
              <w:rPr>
                <w:color w:val="000000"/>
                <w:sz w:val="16"/>
                <w:szCs w:val="16"/>
                <w:lang w:eastAsia="en-AU"/>
              </w:rPr>
            </w:pPr>
            <w:r w:rsidRPr="00C10545">
              <w:rPr>
                <w:color w:val="000000"/>
                <w:sz w:val="16"/>
                <w:szCs w:val="16"/>
                <w:lang w:eastAsia="en-AU"/>
              </w:rPr>
              <w:t> </w:t>
            </w:r>
          </w:p>
        </w:tc>
        <w:tc>
          <w:tcPr>
            <w:tcW w:w="374" w:type="pct"/>
            <w:tcBorders>
              <w:top w:val="nil"/>
              <w:left w:val="nil"/>
              <w:bottom w:val="single" w:sz="8" w:space="0" w:color="auto"/>
              <w:right w:val="single" w:sz="8" w:space="0" w:color="auto"/>
            </w:tcBorders>
            <w:shd w:val="clear" w:color="auto" w:fill="auto"/>
            <w:noWrap/>
            <w:vAlign w:val="bottom"/>
            <w:hideMark/>
          </w:tcPr>
          <w:p w14:paraId="5DA67182" w14:textId="77777777" w:rsidR="009A356E" w:rsidRPr="00C10545" w:rsidRDefault="009A356E" w:rsidP="009A356E">
            <w:pPr>
              <w:jc w:val="right"/>
              <w:rPr>
                <w:color w:val="000000"/>
                <w:sz w:val="16"/>
                <w:szCs w:val="16"/>
                <w:lang w:eastAsia="en-AU"/>
              </w:rPr>
            </w:pPr>
            <w:r w:rsidRPr="00C10545">
              <w:rPr>
                <w:color w:val="000000"/>
                <w:sz w:val="16"/>
                <w:szCs w:val="16"/>
                <w:lang w:eastAsia="en-AU"/>
              </w:rPr>
              <w:t>1.95%</w:t>
            </w:r>
          </w:p>
        </w:tc>
        <w:tc>
          <w:tcPr>
            <w:tcW w:w="342" w:type="pct"/>
            <w:tcBorders>
              <w:top w:val="nil"/>
              <w:left w:val="nil"/>
              <w:bottom w:val="single" w:sz="8" w:space="0" w:color="auto"/>
              <w:right w:val="single" w:sz="4" w:space="0" w:color="auto"/>
            </w:tcBorders>
            <w:shd w:val="clear" w:color="000000" w:fill="000000"/>
            <w:noWrap/>
            <w:vAlign w:val="bottom"/>
            <w:hideMark/>
          </w:tcPr>
          <w:p w14:paraId="555D60DE" w14:textId="77777777" w:rsidR="009A356E" w:rsidRPr="00C10545" w:rsidRDefault="009A356E" w:rsidP="009A356E">
            <w:pPr>
              <w:rPr>
                <w:color w:val="000000"/>
                <w:sz w:val="16"/>
                <w:szCs w:val="16"/>
                <w:lang w:eastAsia="en-AU"/>
              </w:rPr>
            </w:pPr>
            <w:r w:rsidRPr="00C10545">
              <w:rPr>
                <w:color w:val="000000"/>
                <w:sz w:val="16"/>
                <w:szCs w:val="16"/>
                <w:lang w:eastAsia="en-AU"/>
              </w:rPr>
              <w:t> </w:t>
            </w:r>
          </w:p>
        </w:tc>
        <w:tc>
          <w:tcPr>
            <w:tcW w:w="374" w:type="pct"/>
            <w:tcBorders>
              <w:top w:val="nil"/>
              <w:left w:val="nil"/>
              <w:bottom w:val="single" w:sz="8" w:space="0" w:color="auto"/>
              <w:right w:val="single" w:sz="8" w:space="0" w:color="auto"/>
            </w:tcBorders>
            <w:shd w:val="clear" w:color="auto" w:fill="auto"/>
            <w:noWrap/>
            <w:vAlign w:val="bottom"/>
            <w:hideMark/>
          </w:tcPr>
          <w:p w14:paraId="7A59F9EA" w14:textId="77777777" w:rsidR="009A356E" w:rsidRPr="00C10545" w:rsidRDefault="009A356E" w:rsidP="009A356E">
            <w:pPr>
              <w:jc w:val="right"/>
              <w:rPr>
                <w:color w:val="000000"/>
                <w:sz w:val="16"/>
                <w:szCs w:val="16"/>
                <w:lang w:eastAsia="en-AU"/>
              </w:rPr>
            </w:pPr>
            <w:r w:rsidRPr="00C10545">
              <w:rPr>
                <w:color w:val="000000"/>
                <w:sz w:val="16"/>
                <w:szCs w:val="16"/>
                <w:lang w:eastAsia="en-AU"/>
              </w:rPr>
              <w:t>0.24%</w:t>
            </w:r>
          </w:p>
        </w:tc>
        <w:tc>
          <w:tcPr>
            <w:tcW w:w="475" w:type="pct"/>
            <w:tcBorders>
              <w:top w:val="nil"/>
              <w:left w:val="nil"/>
              <w:bottom w:val="single" w:sz="8" w:space="0" w:color="auto"/>
              <w:right w:val="single" w:sz="4" w:space="0" w:color="auto"/>
            </w:tcBorders>
            <w:shd w:val="clear" w:color="000000" w:fill="000000"/>
            <w:noWrap/>
            <w:vAlign w:val="bottom"/>
            <w:hideMark/>
          </w:tcPr>
          <w:p w14:paraId="68D57AF8" w14:textId="77777777" w:rsidR="009A356E" w:rsidRPr="00C10545" w:rsidRDefault="009A356E" w:rsidP="009A356E">
            <w:pPr>
              <w:rPr>
                <w:color w:val="000000"/>
                <w:sz w:val="16"/>
                <w:szCs w:val="16"/>
                <w:lang w:eastAsia="en-AU"/>
              </w:rPr>
            </w:pPr>
            <w:r w:rsidRPr="00C10545">
              <w:rPr>
                <w:color w:val="000000"/>
                <w:sz w:val="16"/>
                <w:szCs w:val="16"/>
                <w:lang w:eastAsia="en-AU"/>
              </w:rPr>
              <w:t> </w:t>
            </w:r>
          </w:p>
        </w:tc>
        <w:tc>
          <w:tcPr>
            <w:tcW w:w="422" w:type="pct"/>
            <w:tcBorders>
              <w:top w:val="nil"/>
              <w:left w:val="nil"/>
              <w:bottom w:val="single" w:sz="8" w:space="0" w:color="auto"/>
              <w:right w:val="single" w:sz="8" w:space="0" w:color="auto"/>
            </w:tcBorders>
            <w:shd w:val="clear" w:color="auto" w:fill="auto"/>
            <w:noWrap/>
            <w:vAlign w:val="bottom"/>
            <w:hideMark/>
          </w:tcPr>
          <w:p w14:paraId="60DB6AC3" w14:textId="77777777" w:rsidR="009A356E" w:rsidRPr="00C10545" w:rsidRDefault="009A356E" w:rsidP="009A356E">
            <w:pPr>
              <w:jc w:val="right"/>
              <w:rPr>
                <w:color w:val="000000"/>
                <w:sz w:val="16"/>
                <w:szCs w:val="16"/>
                <w:lang w:eastAsia="en-AU"/>
              </w:rPr>
            </w:pPr>
            <w:r w:rsidRPr="00C10545">
              <w:rPr>
                <w:color w:val="000000"/>
                <w:sz w:val="16"/>
                <w:szCs w:val="16"/>
                <w:lang w:eastAsia="en-AU"/>
              </w:rPr>
              <w:t>1.63%</w:t>
            </w:r>
          </w:p>
        </w:tc>
        <w:tc>
          <w:tcPr>
            <w:tcW w:w="342" w:type="pct"/>
            <w:tcBorders>
              <w:top w:val="nil"/>
              <w:left w:val="nil"/>
              <w:bottom w:val="single" w:sz="8" w:space="0" w:color="auto"/>
              <w:right w:val="single" w:sz="4" w:space="0" w:color="auto"/>
            </w:tcBorders>
            <w:shd w:val="clear" w:color="000000" w:fill="000000"/>
            <w:noWrap/>
            <w:vAlign w:val="bottom"/>
            <w:hideMark/>
          </w:tcPr>
          <w:p w14:paraId="5C9B9F8B" w14:textId="77777777" w:rsidR="009A356E" w:rsidRPr="00C10545" w:rsidRDefault="009A356E" w:rsidP="009A356E">
            <w:pPr>
              <w:rPr>
                <w:color w:val="000000"/>
                <w:sz w:val="16"/>
                <w:szCs w:val="16"/>
                <w:lang w:eastAsia="en-AU"/>
              </w:rPr>
            </w:pPr>
            <w:r w:rsidRPr="00C10545">
              <w:rPr>
                <w:color w:val="000000"/>
                <w:sz w:val="16"/>
                <w:szCs w:val="16"/>
                <w:lang w:eastAsia="en-AU"/>
              </w:rPr>
              <w:t> </w:t>
            </w:r>
          </w:p>
        </w:tc>
        <w:tc>
          <w:tcPr>
            <w:tcW w:w="374" w:type="pct"/>
            <w:tcBorders>
              <w:top w:val="nil"/>
              <w:left w:val="nil"/>
              <w:bottom w:val="single" w:sz="8" w:space="0" w:color="auto"/>
              <w:right w:val="single" w:sz="8" w:space="0" w:color="auto"/>
            </w:tcBorders>
            <w:shd w:val="clear" w:color="auto" w:fill="auto"/>
            <w:noWrap/>
            <w:vAlign w:val="bottom"/>
            <w:hideMark/>
          </w:tcPr>
          <w:p w14:paraId="59447621" w14:textId="77777777" w:rsidR="009A356E" w:rsidRPr="00C10545" w:rsidRDefault="009A356E" w:rsidP="009A356E">
            <w:pPr>
              <w:jc w:val="right"/>
              <w:rPr>
                <w:color w:val="000000"/>
                <w:sz w:val="16"/>
                <w:szCs w:val="16"/>
                <w:lang w:eastAsia="en-AU"/>
              </w:rPr>
            </w:pPr>
            <w:r w:rsidRPr="00C10545">
              <w:rPr>
                <w:color w:val="000000"/>
                <w:sz w:val="16"/>
                <w:szCs w:val="16"/>
                <w:lang w:eastAsia="en-AU"/>
              </w:rPr>
              <w:t>0.22%</w:t>
            </w:r>
          </w:p>
        </w:tc>
        <w:tc>
          <w:tcPr>
            <w:tcW w:w="374" w:type="pct"/>
            <w:tcBorders>
              <w:top w:val="nil"/>
              <w:left w:val="nil"/>
              <w:bottom w:val="single" w:sz="8" w:space="0" w:color="auto"/>
              <w:right w:val="single" w:sz="4" w:space="0" w:color="auto"/>
            </w:tcBorders>
            <w:shd w:val="clear" w:color="auto" w:fill="auto"/>
            <w:noWrap/>
            <w:vAlign w:val="bottom"/>
            <w:hideMark/>
          </w:tcPr>
          <w:p w14:paraId="3274B9A3" w14:textId="77777777" w:rsidR="009A356E" w:rsidRPr="00C10545" w:rsidRDefault="009A356E" w:rsidP="009A356E">
            <w:pPr>
              <w:jc w:val="right"/>
              <w:rPr>
                <w:color w:val="000000"/>
                <w:sz w:val="16"/>
                <w:szCs w:val="16"/>
                <w:lang w:eastAsia="en-AU"/>
              </w:rPr>
            </w:pPr>
            <w:r w:rsidRPr="00C10545">
              <w:rPr>
                <w:color w:val="000000"/>
                <w:sz w:val="16"/>
                <w:szCs w:val="16"/>
                <w:lang w:eastAsia="en-AU"/>
              </w:rPr>
              <w:t>2.05%</w:t>
            </w:r>
          </w:p>
        </w:tc>
        <w:tc>
          <w:tcPr>
            <w:tcW w:w="374" w:type="pct"/>
            <w:tcBorders>
              <w:top w:val="nil"/>
              <w:left w:val="nil"/>
              <w:bottom w:val="single" w:sz="8" w:space="0" w:color="auto"/>
              <w:right w:val="single" w:sz="8" w:space="0" w:color="auto"/>
            </w:tcBorders>
            <w:shd w:val="clear" w:color="auto" w:fill="auto"/>
            <w:noWrap/>
            <w:vAlign w:val="bottom"/>
            <w:hideMark/>
          </w:tcPr>
          <w:p w14:paraId="43028066" w14:textId="77777777" w:rsidR="009A356E" w:rsidRPr="00C10545" w:rsidRDefault="009A356E" w:rsidP="009A356E">
            <w:pPr>
              <w:jc w:val="right"/>
              <w:rPr>
                <w:color w:val="000000"/>
                <w:sz w:val="16"/>
                <w:szCs w:val="16"/>
                <w:lang w:eastAsia="en-AU"/>
              </w:rPr>
            </w:pPr>
            <w:r w:rsidRPr="00C10545">
              <w:rPr>
                <w:color w:val="000000"/>
                <w:sz w:val="16"/>
                <w:szCs w:val="16"/>
                <w:lang w:eastAsia="en-AU"/>
              </w:rPr>
              <w:t>2.39%</w:t>
            </w:r>
          </w:p>
        </w:tc>
      </w:tr>
      <w:tr w:rsidR="009A356E" w:rsidRPr="00C96EAB" w14:paraId="70E02B35" w14:textId="77777777" w:rsidTr="009A356E">
        <w:trPr>
          <w:trHeight w:val="225"/>
        </w:trPr>
        <w:tc>
          <w:tcPr>
            <w:tcW w:w="523" w:type="pct"/>
            <w:tcBorders>
              <w:top w:val="nil"/>
              <w:left w:val="single" w:sz="8" w:space="0" w:color="auto"/>
              <w:bottom w:val="single" w:sz="4" w:space="0" w:color="auto"/>
              <w:right w:val="nil"/>
            </w:tcBorders>
            <w:shd w:val="clear" w:color="000000" w:fill="000000"/>
            <w:noWrap/>
            <w:vAlign w:val="bottom"/>
            <w:hideMark/>
          </w:tcPr>
          <w:p w14:paraId="18C44787" w14:textId="77777777" w:rsidR="009A356E" w:rsidRPr="00C10545" w:rsidRDefault="009A356E" w:rsidP="009A356E">
            <w:pPr>
              <w:rPr>
                <w:color w:val="000000"/>
                <w:sz w:val="16"/>
                <w:szCs w:val="16"/>
                <w:lang w:eastAsia="en-AU"/>
              </w:rPr>
            </w:pPr>
            <w:r w:rsidRPr="00C10545">
              <w:rPr>
                <w:color w:val="000000"/>
                <w:sz w:val="16"/>
                <w:szCs w:val="16"/>
                <w:lang w:eastAsia="en-AU"/>
              </w:rPr>
              <w:t> </w:t>
            </w:r>
          </w:p>
        </w:tc>
        <w:tc>
          <w:tcPr>
            <w:tcW w:w="342" w:type="pct"/>
            <w:tcBorders>
              <w:top w:val="nil"/>
              <w:left w:val="single" w:sz="8" w:space="0" w:color="auto"/>
              <w:bottom w:val="single" w:sz="4" w:space="0" w:color="auto"/>
              <w:right w:val="single" w:sz="4" w:space="0" w:color="auto"/>
            </w:tcBorders>
            <w:shd w:val="clear" w:color="000000" w:fill="000000"/>
            <w:noWrap/>
            <w:vAlign w:val="bottom"/>
            <w:hideMark/>
          </w:tcPr>
          <w:p w14:paraId="3CF8C3A2" w14:textId="77777777" w:rsidR="009A356E" w:rsidRPr="00C10545" w:rsidRDefault="009A356E" w:rsidP="009A356E">
            <w:pPr>
              <w:rPr>
                <w:color w:val="000000"/>
                <w:sz w:val="16"/>
                <w:szCs w:val="16"/>
                <w:lang w:eastAsia="en-AU"/>
              </w:rPr>
            </w:pPr>
            <w:r w:rsidRPr="00C10545">
              <w:rPr>
                <w:color w:val="000000"/>
                <w:sz w:val="16"/>
                <w:szCs w:val="16"/>
                <w:lang w:eastAsia="en-AU"/>
              </w:rPr>
              <w:t> </w:t>
            </w:r>
          </w:p>
        </w:tc>
        <w:tc>
          <w:tcPr>
            <w:tcW w:w="342" w:type="pct"/>
            <w:tcBorders>
              <w:top w:val="nil"/>
              <w:left w:val="nil"/>
              <w:bottom w:val="single" w:sz="4" w:space="0" w:color="auto"/>
              <w:right w:val="single" w:sz="4" w:space="0" w:color="auto"/>
            </w:tcBorders>
            <w:shd w:val="clear" w:color="000000" w:fill="000000"/>
            <w:noWrap/>
            <w:vAlign w:val="bottom"/>
            <w:hideMark/>
          </w:tcPr>
          <w:p w14:paraId="2E760388" w14:textId="77777777" w:rsidR="009A356E" w:rsidRPr="00C10545" w:rsidRDefault="009A356E" w:rsidP="009A356E">
            <w:pPr>
              <w:rPr>
                <w:color w:val="000000"/>
                <w:sz w:val="16"/>
                <w:szCs w:val="16"/>
                <w:lang w:eastAsia="en-AU"/>
              </w:rPr>
            </w:pPr>
            <w:r w:rsidRPr="00C10545">
              <w:rPr>
                <w:color w:val="000000"/>
                <w:sz w:val="16"/>
                <w:szCs w:val="16"/>
                <w:lang w:eastAsia="en-AU"/>
              </w:rPr>
              <w:t> </w:t>
            </w:r>
          </w:p>
        </w:tc>
        <w:tc>
          <w:tcPr>
            <w:tcW w:w="342" w:type="pct"/>
            <w:tcBorders>
              <w:top w:val="nil"/>
              <w:left w:val="nil"/>
              <w:bottom w:val="single" w:sz="4" w:space="0" w:color="auto"/>
              <w:right w:val="single" w:sz="4" w:space="0" w:color="auto"/>
            </w:tcBorders>
            <w:shd w:val="clear" w:color="000000" w:fill="000000"/>
            <w:noWrap/>
            <w:vAlign w:val="bottom"/>
            <w:hideMark/>
          </w:tcPr>
          <w:p w14:paraId="00723E8B" w14:textId="77777777" w:rsidR="009A356E" w:rsidRPr="00C10545" w:rsidRDefault="009A356E" w:rsidP="009A356E">
            <w:pPr>
              <w:rPr>
                <w:color w:val="000000"/>
                <w:sz w:val="16"/>
                <w:szCs w:val="16"/>
                <w:lang w:eastAsia="en-AU"/>
              </w:rPr>
            </w:pPr>
            <w:r w:rsidRPr="00C10545">
              <w:rPr>
                <w:color w:val="000000"/>
                <w:sz w:val="16"/>
                <w:szCs w:val="16"/>
                <w:lang w:eastAsia="en-AU"/>
              </w:rPr>
              <w:t> </w:t>
            </w:r>
          </w:p>
        </w:tc>
        <w:tc>
          <w:tcPr>
            <w:tcW w:w="374" w:type="pct"/>
            <w:tcBorders>
              <w:top w:val="nil"/>
              <w:left w:val="nil"/>
              <w:bottom w:val="single" w:sz="4" w:space="0" w:color="auto"/>
              <w:right w:val="single" w:sz="8" w:space="0" w:color="auto"/>
            </w:tcBorders>
            <w:shd w:val="clear" w:color="000000" w:fill="000000"/>
            <w:noWrap/>
            <w:vAlign w:val="bottom"/>
            <w:hideMark/>
          </w:tcPr>
          <w:p w14:paraId="39D60E92" w14:textId="77777777" w:rsidR="009A356E" w:rsidRPr="00C10545" w:rsidRDefault="009A356E" w:rsidP="009A356E">
            <w:pPr>
              <w:rPr>
                <w:color w:val="000000"/>
                <w:sz w:val="16"/>
                <w:szCs w:val="16"/>
                <w:lang w:eastAsia="en-AU"/>
              </w:rPr>
            </w:pPr>
            <w:r w:rsidRPr="00C10545">
              <w:rPr>
                <w:color w:val="000000"/>
                <w:sz w:val="16"/>
                <w:szCs w:val="16"/>
                <w:lang w:eastAsia="en-AU"/>
              </w:rPr>
              <w:t> </w:t>
            </w:r>
          </w:p>
        </w:tc>
        <w:tc>
          <w:tcPr>
            <w:tcW w:w="342" w:type="pct"/>
            <w:tcBorders>
              <w:top w:val="nil"/>
              <w:left w:val="nil"/>
              <w:bottom w:val="single" w:sz="4" w:space="0" w:color="auto"/>
              <w:right w:val="single" w:sz="4" w:space="0" w:color="auto"/>
            </w:tcBorders>
            <w:shd w:val="clear" w:color="000000" w:fill="000000"/>
            <w:noWrap/>
            <w:vAlign w:val="bottom"/>
            <w:hideMark/>
          </w:tcPr>
          <w:p w14:paraId="63F9DA18" w14:textId="77777777" w:rsidR="009A356E" w:rsidRPr="00C10545" w:rsidRDefault="009A356E" w:rsidP="009A356E">
            <w:pPr>
              <w:rPr>
                <w:color w:val="000000"/>
                <w:sz w:val="16"/>
                <w:szCs w:val="16"/>
                <w:lang w:eastAsia="en-AU"/>
              </w:rPr>
            </w:pPr>
            <w:r w:rsidRPr="00C10545">
              <w:rPr>
                <w:color w:val="000000"/>
                <w:sz w:val="16"/>
                <w:szCs w:val="16"/>
                <w:lang w:eastAsia="en-AU"/>
              </w:rPr>
              <w:t> </w:t>
            </w:r>
          </w:p>
        </w:tc>
        <w:tc>
          <w:tcPr>
            <w:tcW w:w="374" w:type="pct"/>
            <w:tcBorders>
              <w:top w:val="nil"/>
              <w:left w:val="nil"/>
              <w:bottom w:val="single" w:sz="4" w:space="0" w:color="auto"/>
              <w:right w:val="single" w:sz="8" w:space="0" w:color="auto"/>
            </w:tcBorders>
            <w:shd w:val="clear" w:color="000000" w:fill="000000"/>
            <w:noWrap/>
            <w:vAlign w:val="bottom"/>
            <w:hideMark/>
          </w:tcPr>
          <w:p w14:paraId="0330B4F9" w14:textId="77777777" w:rsidR="009A356E" w:rsidRPr="00C10545" w:rsidRDefault="009A356E" w:rsidP="009A356E">
            <w:pPr>
              <w:rPr>
                <w:color w:val="000000"/>
                <w:sz w:val="16"/>
                <w:szCs w:val="16"/>
                <w:lang w:eastAsia="en-AU"/>
              </w:rPr>
            </w:pPr>
            <w:r w:rsidRPr="00C10545">
              <w:rPr>
                <w:color w:val="000000"/>
                <w:sz w:val="16"/>
                <w:szCs w:val="16"/>
                <w:lang w:eastAsia="en-AU"/>
              </w:rPr>
              <w:t> </w:t>
            </w:r>
          </w:p>
        </w:tc>
        <w:tc>
          <w:tcPr>
            <w:tcW w:w="475" w:type="pct"/>
            <w:tcBorders>
              <w:top w:val="nil"/>
              <w:left w:val="nil"/>
              <w:bottom w:val="single" w:sz="4" w:space="0" w:color="auto"/>
              <w:right w:val="single" w:sz="4" w:space="0" w:color="auto"/>
            </w:tcBorders>
            <w:shd w:val="clear" w:color="000000" w:fill="000000"/>
            <w:noWrap/>
            <w:vAlign w:val="bottom"/>
            <w:hideMark/>
          </w:tcPr>
          <w:p w14:paraId="7E9B574C" w14:textId="77777777" w:rsidR="009A356E" w:rsidRPr="00C10545" w:rsidRDefault="009A356E" w:rsidP="009A356E">
            <w:pPr>
              <w:rPr>
                <w:color w:val="000000"/>
                <w:sz w:val="16"/>
                <w:szCs w:val="16"/>
                <w:lang w:eastAsia="en-AU"/>
              </w:rPr>
            </w:pPr>
            <w:r w:rsidRPr="00C10545">
              <w:rPr>
                <w:color w:val="000000"/>
                <w:sz w:val="16"/>
                <w:szCs w:val="16"/>
                <w:lang w:eastAsia="en-AU"/>
              </w:rPr>
              <w:t> </w:t>
            </w:r>
          </w:p>
        </w:tc>
        <w:tc>
          <w:tcPr>
            <w:tcW w:w="422" w:type="pct"/>
            <w:tcBorders>
              <w:top w:val="nil"/>
              <w:left w:val="nil"/>
              <w:bottom w:val="single" w:sz="4" w:space="0" w:color="auto"/>
              <w:right w:val="single" w:sz="8" w:space="0" w:color="auto"/>
            </w:tcBorders>
            <w:shd w:val="clear" w:color="000000" w:fill="000000"/>
            <w:noWrap/>
            <w:vAlign w:val="bottom"/>
            <w:hideMark/>
          </w:tcPr>
          <w:p w14:paraId="2870EA36" w14:textId="77777777" w:rsidR="009A356E" w:rsidRPr="00C10545" w:rsidRDefault="009A356E" w:rsidP="009A356E">
            <w:pPr>
              <w:rPr>
                <w:color w:val="000000"/>
                <w:sz w:val="16"/>
                <w:szCs w:val="16"/>
                <w:lang w:eastAsia="en-AU"/>
              </w:rPr>
            </w:pPr>
            <w:r w:rsidRPr="00C10545">
              <w:rPr>
                <w:color w:val="000000"/>
                <w:sz w:val="16"/>
                <w:szCs w:val="16"/>
                <w:lang w:eastAsia="en-AU"/>
              </w:rPr>
              <w:t> </w:t>
            </w:r>
          </w:p>
        </w:tc>
        <w:tc>
          <w:tcPr>
            <w:tcW w:w="342" w:type="pct"/>
            <w:tcBorders>
              <w:top w:val="nil"/>
              <w:left w:val="nil"/>
              <w:bottom w:val="single" w:sz="4" w:space="0" w:color="auto"/>
              <w:right w:val="single" w:sz="4" w:space="0" w:color="auto"/>
            </w:tcBorders>
            <w:shd w:val="clear" w:color="000000" w:fill="000000"/>
            <w:noWrap/>
            <w:vAlign w:val="bottom"/>
            <w:hideMark/>
          </w:tcPr>
          <w:p w14:paraId="0ED5DDBB" w14:textId="77777777" w:rsidR="009A356E" w:rsidRPr="00C10545" w:rsidRDefault="009A356E" w:rsidP="009A356E">
            <w:pPr>
              <w:rPr>
                <w:color w:val="000000"/>
                <w:sz w:val="16"/>
                <w:szCs w:val="16"/>
                <w:lang w:eastAsia="en-AU"/>
              </w:rPr>
            </w:pPr>
            <w:r w:rsidRPr="00C10545">
              <w:rPr>
                <w:color w:val="000000"/>
                <w:sz w:val="16"/>
                <w:szCs w:val="16"/>
                <w:lang w:eastAsia="en-AU"/>
              </w:rPr>
              <w:t> </w:t>
            </w:r>
          </w:p>
        </w:tc>
        <w:tc>
          <w:tcPr>
            <w:tcW w:w="374" w:type="pct"/>
            <w:tcBorders>
              <w:top w:val="nil"/>
              <w:left w:val="nil"/>
              <w:bottom w:val="single" w:sz="4" w:space="0" w:color="auto"/>
              <w:right w:val="single" w:sz="8" w:space="0" w:color="auto"/>
            </w:tcBorders>
            <w:shd w:val="clear" w:color="000000" w:fill="000000"/>
            <w:noWrap/>
            <w:vAlign w:val="bottom"/>
            <w:hideMark/>
          </w:tcPr>
          <w:p w14:paraId="3DA806AE" w14:textId="77777777" w:rsidR="009A356E" w:rsidRPr="00C10545" w:rsidRDefault="009A356E" w:rsidP="009A356E">
            <w:pPr>
              <w:rPr>
                <w:color w:val="000000"/>
                <w:sz w:val="16"/>
                <w:szCs w:val="16"/>
                <w:lang w:eastAsia="en-AU"/>
              </w:rPr>
            </w:pPr>
            <w:r w:rsidRPr="00C10545">
              <w:rPr>
                <w:color w:val="000000"/>
                <w:sz w:val="16"/>
                <w:szCs w:val="16"/>
                <w:lang w:eastAsia="en-AU"/>
              </w:rPr>
              <w:t> </w:t>
            </w:r>
          </w:p>
        </w:tc>
        <w:tc>
          <w:tcPr>
            <w:tcW w:w="374" w:type="pct"/>
            <w:tcBorders>
              <w:top w:val="nil"/>
              <w:left w:val="nil"/>
              <w:bottom w:val="single" w:sz="4" w:space="0" w:color="auto"/>
              <w:right w:val="single" w:sz="4" w:space="0" w:color="auto"/>
            </w:tcBorders>
            <w:shd w:val="clear" w:color="000000" w:fill="000000"/>
            <w:noWrap/>
            <w:vAlign w:val="bottom"/>
            <w:hideMark/>
          </w:tcPr>
          <w:p w14:paraId="72152071" w14:textId="77777777" w:rsidR="009A356E" w:rsidRPr="00C10545" w:rsidRDefault="009A356E" w:rsidP="009A356E">
            <w:pPr>
              <w:rPr>
                <w:color w:val="000000"/>
                <w:sz w:val="16"/>
                <w:szCs w:val="16"/>
                <w:lang w:eastAsia="en-AU"/>
              </w:rPr>
            </w:pPr>
            <w:r w:rsidRPr="00C10545">
              <w:rPr>
                <w:color w:val="000000"/>
                <w:sz w:val="16"/>
                <w:szCs w:val="16"/>
                <w:lang w:eastAsia="en-AU"/>
              </w:rPr>
              <w:t> </w:t>
            </w:r>
          </w:p>
        </w:tc>
        <w:tc>
          <w:tcPr>
            <w:tcW w:w="374" w:type="pct"/>
            <w:tcBorders>
              <w:top w:val="nil"/>
              <w:left w:val="nil"/>
              <w:bottom w:val="single" w:sz="4" w:space="0" w:color="auto"/>
              <w:right w:val="single" w:sz="8" w:space="0" w:color="auto"/>
            </w:tcBorders>
            <w:shd w:val="clear" w:color="000000" w:fill="000000"/>
            <w:noWrap/>
            <w:vAlign w:val="bottom"/>
            <w:hideMark/>
          </w:tcPr>
          <w:p w14:paraId="2F8A8A16" w14:textId="77777777" w:rsidR="009A356E" w:rsidRPr="00C10545" w:rsidRDefault="009A356E" w:rsidP="009A356E">
            <w:pPr>
              <w:rPr>
                <w:color w:val="000000"/>
                <w:sz w:val="16"/>
                <w:szCs w:val="16"/>
                <w:lang w:eastAsia="en-AU"/>
              </w:rPr>
            </w:pPr>
            <w:r w:rsidRPr="00C10545">
              <w:rPr>
                <w:color w:val="000000"/>
                <w:sz w:val="16"/>
                <w:szCs w:val="16"/>
                <w:lang w:eastAsia="en-AU"/>
              </w:rPr>
              <w:t> </w:t>
            </w:r>
          </w:p>
        </w:tc>
      </w:tr>
      <w:tr w:rsidR="009A356E" w:rsidRPr="00C96EAB" w14:paraId="6E77AB29" w14:textId="77777777" w:rsidTr="009A356E">
        <w:trPr>
          <w:trHeight w:val="630"/>
        </w:trPr>
        <w:tc>
          <w:tcPr>
            <w:tcW w:w="523" w:type="pct"/>
            <w:tcBorders>
              <w:top w:val="nil"/>
              <w:left w:val="single" w:sz="8" w:space="0" w:color="auto"/>
              <w:bottom w:val="single" w:sz="4" w:space="0" w:color="auto"/>
              <w:right w:val="nil"/>
            </w:tcBorders>
            <w:shd w:val="clear" w:color="000000" w:fill="92D050"/>
            <w:vAlign w:val="bottom"/>
            <w:hideMark/>
          </w:tcPr>
          <w:p w14:paraId="62E67974" w14:textId="77777777" w:rsidR="009A356E" w:rsidRPr="00C10545" w:rsidRDefault="009A356E" w:rsidP="009A356E">
            <w:pPr>
              <w:rPr>
                <w:b/>
                <w:bCs/>
                <w:color w:val="000000"/>
                <w:sz w:val="16"/>
                <w:szCs w:val="16"/>
                <w:lang w:eastAsia="en-AU"/>
              </w:rPr>
            </w:pPr>
            <w:r w:rsidRPr="00C10545">
              <w:rPr>
                <w:b/>
                <w:bCs/>
                <w:color w:val="000000"/>
                <w:sz w:val="16"/>
                <w:szCs w:val="16"/>
                <w:lang w:eastAsia="en-AU"/>
              </w:rPr>
              <w:t>Regional &amp; Rural Councils</w:t>
            </w:r>
          </w:p>
        </w:tc>
        <w:tc>
          <w:tcPr>
            <w:tcW w:w="342" w:type="pct"/>
            <w:tcBorders>
              <w:top w:val="nil"/>
              <w:left w:val="single" w:sz="8" w:space="0" w:color="auto"/>
              <w:bottom w:val="single" w:sz="4" w:space="0" w:color="auto"/>
              <w:right w:val="single" w:sz="4" w:space="0" w:color="auto"/>
            </w:tcBorders>
            <w:shd w:val="clear" w:color="000000" w:fill="000000"/>
            <w:noWrap/>
            <w:vAlign w:val="bottom"/>
            <w:hideMark/>
          </w:tcPr>
          <w:p w14:paraId="3ECE31E1" w14:textId="77777777" w:rsidR="009A356E" w:rsidRPr="00C10545" w:rsidRDefault="009A356E" w:rsidP="009A356E">
            <w:pPr>
              <w:rPr>
                <w:color w:val="000000"/>
                <w:sz w:val="16"/>
                <w:szCs w:val="16"/>
                <w:lang w:eastAsia="en-AU"/>
              </w:rPr>
            </w:pPr>
            <w:r w:rsidRPr="00C10545">
              <w:rPr>
                <w:color w:val="000000"/>
                <w:sz w:val="16"/>
                <w:szCs w:val="16"/>
                <w:lang w:eastAsia="en-AU"/>
              </w:rPr>
              <w:t> </w:t>
            </w:r>
          </w:p>
        </w:tc>
        <w:tc>
          <w:tcPr>
            <w:tcW w:w="342" w:type="pct"/>
            <w:tcBorders>
              <w:top w:val="nil"/>
              <w:left w:val="nil"/>
              <w:bottom w:val="single" w:sz="4" w:space="0" w:color="auto"/>
              <w:right w:val="single" w:sz="4" w:space="0" w:color="auto"/>
            </w:tcBorders>
            <w:shd w:val="clear" w:color="000000" w:fill="000000"/>
            <w:noWrap/>
            <w:vAlign w:val="bottom"/>
            <w:hideMark/>
          </w:tcPr>
          <w:p w14:paraId="075C5D4F" w14:textId="77777777" w:rsidR="009A356E" w:rsidRPr="00C10545" w:rsidRDefault="009A356E" w:rsidP="009A356E">
            <w:pPr>
              <w:rPr>
                <w:color w:val="000000"/>
                <w:sz w:val="16"/>
                <w:szCs w:val="16"/>
                <w:lang w:eastAsia="en-AU"/>
              </w:rPr>
            </w:pPr>
            <w:r w:rsidRPr="00C10545">
              <w:rPr>
                <w:color w:val="000000"/>
                <w:sz w:val="16"/>
                <w:szCs w:val="16"/>
                <w:lang w:eastAsia="en-AU"/>
              </w:rPr>
              <w:t> </w:t>
            </w:r>
          </w:p>
        </w:tc>
        <w:tc>
          <w:tcPr>
            <w:tcW w:w="342" w:type="pct"/>
            <w:tcBorders>
              <w:top w:val="nil"/>
              <w:left w:val="nil"/>
              <w:bottom w:val="single" w:sz="4" w:space="0" w:color="auto"/>
              <w:right w:val="single" w:sz="4" w:space="0" w:color="auto"/>
            </w:tcBorders>
            <w:shd w:val="clear" w:color="000000" w:fill="000000"/>
            <w:noWrap/>
            <w:vAlign w:val="bottom"/>
            <w:hideMark/>
          </w:tcPr>
          <w:p w14:paraId="7D7447A2" w14:textId="77777777" w:rsidR="009A356E" w:rsidRPr="00C10545" w:rsidRDefault="009A356E" w:rsidP="009A356E">
            <w:pPr>
              <w:rPr>
                <w:color w:val="000000"/>
                <w:sz w:val="16"/>
                <w:szCs w:val="16"/>
                <w:lang w:eastAsia="en-AU"/>
              </w:rPr>
            </w:pPr>
            <w:r w:rsidRPr="00C10545">
              <w:rPr>
                <w:color w:val="000000"/>
                <w:sz w:val="16"/>
                <w:szCs w:val="16"/>
                <w:lang w:eastAsia="en-AU"/>
              </w:rPr>
              <w:t> </w:t>
            </w:r>
          </w:p>
        </w:tc>
        <w:tc>
          <w:tcPr>
            <w:tcW w:w="374" w:type="pct"/>
            <w:tcBorders>
              <w:top w:val="nil"/>
              <w:left w:val="nil"/>
              <w:bottom w:val="single" w:sz="4" w:space="0" w:color="auto"/>
              <w:right w:val="single" w:sz="8" w:space="0" w:color="auto"/>
            </w:tcBorders>
            <w:shd w:val="clear" w:color="000000" w:fill="000000"/>
            <w:noWrap/>
            <w:vAlign w:val="bottom"/>
            <w:hideMark/>
          </w:tcPr>
          <w:p w14:paraId="70ED0AEF" w14:textId="77777777" w:rsidR="009A356E" w:rsidRPr="00C10545" w:rsidRDefault="009A356E" w:rsidP="009A356E">
            <w:pPr>
              <w:rPr>
                <w:color w:val="000000"/>
                <w:sz w:val="16"/>
                <w:szCs w:val="16"/>
                <w:lang w:eastAsia="en-AU"/>
              </w:rPr>
            </w:pPr>
            <w:r w:rsidRPr="00C10545">
              <w:rPr>
                <w:color w:val="000000"/>
                <w:sz w:val="16"/>
                <w:szCs w:val="16"/>
                <w:lang w:eastAsia="en-AU"/>
              </w:rPr>
              <w:t> </w:t>
            </w:r>
          </w:p>
        </w:tc>
        <w:tc>
          <w:tcPr>
            <w:tcW w:w="342" w:type="pct"/>
            <w:tcBorders>
              <w:top w:val="nil"/>
              <w:left w:val="nil"/>
              <w:bottom w:val="single" w:sz="4" w:space="0" w:color="auto"/>
              <w:right w:val="single" w:sz="4" w:space="0" w:color="auto"/>
            </w:tcBorders>
            <w:shd w:val="clear" w:color="000000" w:fill="000000"/>
            <w:noWrap/>
            <w:vAlign w:val="bottom"/>
            <w:hideMark/>
          </w:tcPr>
          <w:p w14:paraId="50C9610B" w14:textId="77777777" w:rsidR="009A356E" w:rsidRPr="00C10545" w:rsidRDefault="009A356E" w:rsidP="009A356E">
            <w:pPr>
              <w:rPr>
                <w:color w:val="000000"/>
                <w:sz w:val="16"/>
                <w:szCs w:val="16"/>
                <w:lang w:eastAsia="en-AU"/>
              </w:rPr>
            </w:pPr>
            <w:r w:rsidRPr="00C10545">
              <w:rPr>
                <w:color w:val="000000"/>
                <w:sz w:val="16"/>
                <w:szCs w:val="16"/>
                <w:lang w:eastAsia="en-AU"/>
              </w:rPr>
              <w:t> </w:t>
            </w:r>
          </w:p>
        </w:tc>
        <w:tc>
          <w:tcPr>
            <w:tcW w:w="374" w:type="pct"/>
            <w:tcBorders>
              <w:top w:val="nil"/>
              <w:left w:val="nil"/>
              <w:bottom w:val="single" w:sz="4" w:space="0" w:color="auto"/>
              <w:right w:val="single" w:sz="8" w:space="0" w:color="auto"/>
            </w:tcBorders>
            <w:shd w:val="clear" w:color="000000" w:fill="000000"/>
            <w:noWrap/>
            <w:vAlign w:val="bottom"/>
            <w:hideMark/>
          </w:tcPr>
          <w:p w14:paraId="589CC454" w14:textId="77777777" w:rsidR="009A356E" w:rsidRPr="00C10545" w:rsidRDefault="009A356E" w:rsidP="009A356E">
            <w:pPr>
              <w:rPr>
                <w:color w:val="000000"/>
                <w:sz w:val="16"/>
                <w:szCs w:val="16"/>
                <w:lang w:eastAsia="en-AU"/>
              </w:rPr>
            </w:pPr>
            <w:r w:rsidRPr="00C10545">
              <w:rPr>
                <w:color w:val="000000"/>
                <w:sz w:val="16"/>
                <w:szCs w:val="16"/>
                <w:lang w:eastAsia="en-AU"/>
              </w:rPr>
              <w:t> </w:t>
            </w:r>
          </w:p>
        </w:tc>
        <w:tc>
          <w:tcPr>
            <w:tcW w:w="475" w:type="pct"/>
            <w:tcBorders>
              <w:top w:val="nil"/>
              <w:left w:val="nil"/>
              <w:bottom w:val="single" w:sz="4" w:space="0" w:color="auto"/>
              <w:right w:val="single" w:sz="4" w:space="0" w:color="auto"/>
            </w:tcBorders>
            <w:shd w:val="clear" w:color="000000" w:fill="000000"/>
            <w:noWrap/>
            <w:vAlign w:val="bottom"/>
            <w:hideMark/>
          </w:tcPr>
          <w:p w14:paraId="1124A27C" w14:textId="77777777" w:rsidR="009A356E" w:rsidRPr="00C10545" w:rsidRDefault="009A356E" w:rsidP="009A356E">
            <w:pPr>
              <w:rPr>
                <w:color w:val="000000"/>
                <w:sz w:val="16"/>
                <w:szCs w:val="16"/>
                <w:lang w:eastAsia="en-AU"/>
              </w:rPr>
            </w:pPr>
            <w:r w:rsidRPr="00C10545">
              <w:rPr>
                <w:color w:val="000000"/>
                <w:sz w:val="16"/>
                <w:szCs w:val="16"/>
                <w:lang w:eastAsia="en-AU"/>
              </w:rPr>
              <w:t> </w:t>
            </w:r>
          </w:p>
        </w:tc>
        <w:tc>
          <w:tcPr>
            <w:tcW w:w="422" w:type="pct"/>
            <w:tcBorders>
              <w:top w:val="nil"/>
              <w:left w:val="nil"/>
              <w:bottom w:val="single" w:sz="4" w:space="0" w:color="auto"/>
              <w:right w:val="single" w:sz="8" w:space="0" w:color="auto"/>
            </w:tcBorders>
            <w:shd w:val="clear" w:color="000000" w:fill="000000"/>
            <w:noWrap/>
            <w:vAlign w:val="bottom"/>
            <w:hideMark/>
          </w:tcPr>
          <w:p w14:paraId="457A2BF7" w14:textId="77777777" w:rsidR="009A356E" w:rsidRPr="00C10545" w:rsidRDefault="009A356E" w:rsidP="009A356E">
            <w:pPr>
              <w:rPr>
                <w:color w:val="000000"/>
                <w:sz w:val="16"/>
                <w:szCs w:val="16"/>
                <w:lang w:eastAsia="en-AU"/>
              </w:rPr>
            </w:pPr>
            <w:r w:rsidRPr="00C10545">
              <w:rPr>
                <w:color w:val="000000"/>
                <w:sz w:val="16"/>
                <w:szCs w:val="16"/>
                <w:lang w:eastAsia="en-AU"/>
              </w:rPr>
              <w:t> </w:t>
            </w:r>
          </w:p>
        </w:tc>
        <w:tc>
          <w:tcPr>
            <w:tcW w:w="342" w:type="pct"/>
            <w:tcBorders>
              <w:top w:val="nil"/>
              <w:left w:val="nil"/>
              <w:bottom w:val="single" w:sz="4" w:space="0" w:color="auto"/>
              <w:right w:val="single" w:sz="4" w:space="0" w:color="auto"/>
            </w:tcBorders>
            <w:shd w:val="clear" w:color="000000" w:fill="000000"/>
            <w:noWrap/>
            <w:vAlign w:val="bottom"/>
            <w:hideMark/>
          </w:tcPr>
          <w:p w14:paraId="7AF5700E" w14:textId="77777777" w:rsidR="009A356E" w:rsidRPr="00C10545" w:rsidRDefault="009A356E" w:rsidP="009A356E">
            <w:pPr>
              <w:rPr>
                <w:color w:val="000000"/>
                <w:sz w:val="16"/>
                <w:szCs w:val="16"/>
                <w:lang w:eastAsia="en-AU"/>
              </w:rPr>
            </w:pPr>
            <w:r w:rsidRPr="00C10545">
              <w:rPr>
                <w:color w:val="000000"/>
                <w:sz w:val="16"/>
                <w:szCs w:val="16"/>
                <w:lang w:eastAsia="en-AU"/>
              </w:rPr>
              <w:t> </w:t>
            </w:r>
          </w:p>
        </w:tc>
        <w:tc>
          <w:tcPr>
            <w:tcW w:w="374" w:type="pct"/>
            <w:tcBorders>
              <w:top w:val="nil"/>
              <w:left w:val="nil"/>
              <w:bottom w:val="single" w:sz="4" w:space="0" w:color="auto"/>
              <w:right w:val="single" w:sz="8" w:space="0" w:color="auto"/>
            </w:tcBorders>
            <w:shd w:val="clear" w:color="000000" w:fill="000000"/>
            <w:noWrap/>
            <w:vAlign w:val="bottom"/>
            <w:hideMark/>
          </w:tcPr>
          <w:p w14:paraId="34D8B44F" w14:textId="77777777" w:rsidR="009A356E" w:rsidRPr="00C10545" w:rsidRDefault="009A356E" w:rsidP="009A356E">
            <w:pPr>
              <w:rPr>
                <w:color w:val="000000"/>
                <w:sz w:val="16"/>
                <w:szCs w:val="16"/>
                <w:lang w:eastAsia="en-AU"/>
              </w:rPr>
            </w:pPr>
            <w:r w:rsidRPr="00C10545">
              <w:rPr>
                <w:color w:val="000000"/>
                <w:sz w:val="16"/>
                <w:szCs w:val="16"/>
                <w:lang w:eastAsia="en-AU"/>
              </w:rPr>
              <w:t> </w:t>
            </w:r>
          </w:p>
        </w:tc>
        <w:tc>
          <w:tcPr>
            <w:tcW w:w="374" w:type="pct"/>
            <w:tcBorders>
              <w:top w:val="nil"/>
              <w:left w:val="nil"/>
              <w:bottom w:val="single" w:sz="4" w:space="0" w:color="auto"/>
              <w:right w:val="single" w:sz="4" w:space="0" w:color="auto"/>
            </w:tcBorders>
            <w:shd w:val="clear" w:color="000000" w:fill="000000"/>
            <w:noWrap/>
            <w:vAlign w:val="bottom"/>
            <w:hideMark/>
          </w:tcPr>
          <w:p w14:paraId="788A11D6" w14:textId="77777777" w:rsidR="009A356E" w:rsidRPr="00C10545" w:rsidRDefault="009A356E" w:rsidP="009A356E">
            <w:pPr>
              <w:rPr>
                <w:color w:val="000000"/>
                <w:sz w:val="16"/>
                <w:szCs w:val="16"/>
                <w:lang w:eastAsia="en-AU"/>
              </w:rPr>
            </w:pPr>
            <w:r w:rsidRPr="00C10545">
              <w:rPr>
                <w:color w:val="000000"/>
                <w:sz w:val="16"/>
                <w:szCs w:val="16"/>
                <w:lang w:eastAsia="en-AU"/>
              </w:rPr>
              <w:t> </w:t>
            </w:r>
          </w:p>
        </w:tc>
        <w:tc>
          <w:tcPr>
            <w:tcW w:w="374" w:type="pct"/>
            <w:tcBorders>
              <w:top w:val="nil"/>
              <w:left w:val="nil"/>
              <w:bottom w:val="single" w:sz="4" w:space="0" w:color="auto"/>
              <w:right w:val="single" w:sz="8" w:space="0" w:color="auto"/>
            </w:tcBorders>
            <w:shd w:val="clear" w:color="000000" w:fill="000000"/>
            <w:noWrap/>
            <w:vAlign w:val="bottom"/>
            <w:hideMark/>
          </w:tcPr>
          <w:p w14:paraId="63DB4875" w14:textId="77777777" w:rsidR="009A356E" w:rsidRPr="00C10545" w:rsidRDefault="009A356E" w:rsidP="009A356E">
            <w:pPr>
              <w:rPr>
                <w:color w:val="000000"/>
                <w:sz w:val="16"/>
                <w:szCs w:val="16"/>
                <w:lang w:eastAsia="en-AU"/>
              </w:rPr>
            </w:pPr>
            <w:r w:rsidRPr="00C10545">
              <w:rPr>
                <w:color w:val="000000"/>
                <w:sz w:val="16"/>
                <w:szCs w:val="16"/>
                <w:lang w:eastAsia="en-AU"/>
              </w:rPr>
              <w:t> </w:t>
            </w:r>
          </w:p>
        </w:tc>
      </w:tr>
      <w:tr w:rsidR="009A356E" w:rsidRPr="00C96EAB" w14:paraId="63917656" w14:textId="77777777" w:rsidTr="009A356E">
        <w:trPr>
          <w:trHeight w:val="225"/>
        </w:trPr>
        <w:tc>
          <w:tcPr>
            <w:tcW w:w="523" w:type="pct"/>
            <w:tcBorders>
              <w:top w:val="nil"/>
              <w:left w:val="single" w:sz="8" w:space="0" w:color="auto"/>
              <w:bottom w:val="single" w:sz="4" w:space="0" w:color="auto"/>
              <w:right w:val="nil"/>
            </w:tcBorders>
            <w:shd w:val="clear" w:color="auto" w:fill="auto"/>
            <w:noWrap/>
            <w:vAlign w:val="bottom"/>
            <w:hideMark/>
          </w:tcPr>
          <w:p w14:paraId="7FEE2AFE" w14:textId="77777777" w:rsidR="009A356E" w:rsidRPr="00C10545" w:rsidRDefault="009A356E" w:rsidP="009A356E">
            <w:pPr>
              <w:rPr>
                <w:color w:val="000000"/>
                <w:sz w:val="16"/>
                <w:szCs w:val="16"/>
                <w:lang w:eastAsia="en-AU"/>
              </w:rPr>
            </w:pPr>
            <w:r w:rsidRPr="00C10545">
              <w:rPr>
                <w:color w:val="000000"/>
                <w:sz w:val="16"/>
                <w:szCs w:val="16"/>
                <w:lang w:eastAsia="en-AU"/>
              </w:rPr>
              <w:t>2000</w:t>
            </w:r>
          </w:p>
        </w:tc>
        <w:tc>
          <w:tcPr>
            <w:tcW w:w="342" w:type="pct"/>
            <w:tcBorders>
              <w:top w:val="nil"/>
              <w:left w:val="single" w:sz="8" w:space="0" w:color="auto"/>
              <w:bottom w:val="single" w:sz="4" w:space="0" w:color="auto"/>
              <w:right w:val="single" w:sz="4" w:space="0" w:color="auto"/>
            </w:tcBorders>
            <w:shd w:val="clear" w:color="000000" w:fill="F2F2F2"/>
            <w:noWrap/>
            <w:vAlign w:val="bottom"/>
            <w:hideMark/>
          </w:tcPr>
          <w:p w14:paraId="6EF45013" w14:textId="77777777" w:rsidR="009A356E" w:rsidRPr="00C10545" w:rsidRDefault="009A356E" w:rsidP="009A356E">
            <w:pPr>
              <w:jc w:val="right"/>
              <w:rPr>
                <w:color w:val="000000"/>
                <w:sz w:val="16"/>
                <w:szCs w:val="16"/>
                <w:lang w:eastAsia="en-AU"/>
              </w:rPr>
            </w:pPr>
            <w:r w:rsidRPr="00C10545">
              <w:rPr>
                <w:color w:val="000000"/>
                <w:sz w:val="16"/>
                <w:szCs w:val="16"/>
                <w:lang w:eastAsia="en-AU"/>
              </w:rPr>
              <w:t>108.2</w:t>
            </w:r>
          </w:p>
        </w:tc>
        <w:tc>
          <w:tcPr>
            <w:tcW w:w="342" w:type="pct"/>
            <w:tcBorders>
              <w:top w:val="nil"/>
              <w:left w:val="nil"/>
              <w:bottom w:val="single" w:sz="4" w:space="0" w:color="auto"/>
              <w:right w:val="single" w:sz="4" w:space="0" w:color="auto"/>
            </w:tcBorders>
            <w:shd w:val="clear" w:color="000000" w:fill="D9D9D9"/>
            <w:noWrap/>
            <w:vAlign w:val="bottom"/>
            <w:hideMark/>
          </w:tcPr>
          <w:p w14:paraId="2DB0E835" w14:textId="77777777" w:rsidR="009A356E" w:rsidRPr="00C10545" w:rsidRDefault="009A356E" w:rsidP="009A356E">
            <w:pPr>
              <w:jc w:val="right"/>
              <w:rPr>
                <w:color w:val="000000"/>
                <w:sz w:val="16"/>
                <w:szCs w:val="16"/>
                <w:lang w:eastAsia="en-AU"/>
              </w:rPr>
            </w:pPr>
            <w:r w:rsidRPr="00C10545">
              <w:rPr>
                <w:color w:val="000000"/>
                <w:sz w:val="16"/>
                <w:szCs w:val="16"/>
                <w:lang w:eastAsia="en-AU"/>
              </w:rPr>
              <w:t>54.8</w:t>
            </w:r>
          </w:p>
        </w:tc>
        <w:tc>
          <w:tcPr>
            <w:tcW w:w="342" w:type="pct"/>
            <w:tcBorders>
              <w:top w:val="nil"/>
              <w:left w:val="nil"/>
              <w:bottom w:val="single" w:sz="4" w:space="0" w:color="auto"/>
              <w:right w:val="single" w:sz="4" w:space="0" w:color="auto"/>
            </w:tcBorders>
            <w:shd w:val="clear" w:color="000000" w:fill="BFBFBF"/>
            <w:noWrap/>
            <w:vAlign w:val="bottom"/>
            <w:hideMark/>
          </w:tcPr>
          <w:p w14:paraId="76C9041B" w14:textId="77777777" w:rsidR="009A356E" w:rsidRPr="00C10545" w:rsidRDefault="009A356E" w:rsidP="009A356E">
            <w:pPr>
              <w:jc w:val="right"/>
              <w:rPr>
                <w:color w:val="000000"/>
                <w:sz w:val="16"/>
                <w:szCs w:val="16"/>
                <w:lang w:eastAsia="en-AU"/>
              </w:rPr>
            </w:pPr>
            <w:r w:rsidRPr="00C10545">
              <w:rPr>
                <w:color w:val="000000"/>
                <w:sz w:val="16"/>
                <w:szCs w:val="16"/>
                <w:lang w:eastAsia="en-AU"/>
              </w:rPr>
              <w:t>163.0</w:t>
            </w:r>
          </w:p>
        </w:tc>
        <w:tc>
          <w:tcPr>
            <w:tcW w:w="374" w:type="pct"/>
            <w:tcBorders>
              <w:top w:val="nil"/>
              <w:left w:val="nil"/>
              <w:bottom w:val="single" w:sz="4" w:space="0" w:color="auto"/>
              <w:right w:val="single" w:sz="8" w:space="0" w:color="auto"/>
            </w:tcBorders>
            <w:shd w:val="clear" w:color="000000" w:fill="000000"/>
            <w:noWrap/>
            <w:vAlign w:val="bottom"/>
            <w:hideMark/>
          </w:tcPr>
          <w:p w14:paraId="18AF6B42" w14:textId="77777777" w:rsidR="009A356E" w:rsidRPr="00C10545" w:rsidRDefault="009A356E" w:rsidP="009A356E">
            <w:pPr>
              <w:rPr>
                <w:color w:val="000000"/>
                <w:sz w:val="16"/>
                <w:szCs w:val="16"/>
                <w:lang w:eastAsia="en-AU"/>
              </w:rPr>
            </w:pPr>
            <w:r w:rsidRPr="00C10545">
              <w:rPr>
                <w:color w:val="000000"/>
                <w:sz w:val="16"/>
                <w:szCs w:val="16"/>
                <w:lang w:eastAsia="en-AU"/>
              </w:rPr>
              <w:t> </w:t>
            </w:r>
          </w:p>
        </w:tc>
        <w:tc>
          <w:tcPr>
            <w:tcW w:w="342" w:type="pct"/>
            <w:tcBorders>
              <w:top w:val="nil"/>
              <w:left w:val="nil"/>
              <w:bottom w:val="single" w:sz="4" w:space="0" w:color="auto"/>
              <w:right w:val="single" w:sz="4" w:space="0" w:color="auto"/>
            </w:tcBorders>
            <w:shd w:val="clear" w:color="000000" w:fill="F2F2F2"/>
            <w:noWrap/>
            <w:vAlign w:val="bottom"/>
            <w:hideMark/>
          </w:tcPr>
          <w:p w14:paraId="1CB28896" w14:textId="77777777" w:rsidR="009A356E" w:rsidRPr="00C10545" w:rsidRDefault="009A356E" w:rsidP="009A356E">
            <w:pPr>
              <w:jc w:val="right"/>
              <w:rPr>
                <w:color w:val="000000"/>
                <w:sz w:val="16"/>
                <w:szCs w:val="16"/>
                <w:lang w:eastAsia="en-AU"/>
              </w:rPr>
            </w:pPr>
            <w:r w:rsidRPr="00C10545">
              <w:rPr>
                <w:color w:val="000000"/>
                <w:sz w:val="16"/>
                <w:szCs w:val="16"/>
                <w:lang w:eastAsia="en-AU"/>
              </w:rPr>
              <w:t>81.4</w:t>
            </w:r>
          </w:p>
        </w:tc>
        <w:tc>
          <w:tcPr>
            <w:tcW w:w="374" w:type="pct"/>
            <w:tcBorders>
              <w:top w:val="nil"/>
              <w:left w:val="nil"/>
              <w:bottom w:val="single" w:sz="4" w:space="0" w:color="auto"/>
              <w:right w:val="single" w:sz="8" w:space="0" w:color="auto"/>
            </w:tcBorders>
            <w:shd w:val="clear" w:color="000000" w:fill="000000"/>
            <w:noWrap/>
            <w:vAlign w:val="bottom"/>
            <w:hideMark/>
          </w:tcPr>
          <w:p w14:paraId="082EB285" w14:textId="77777777" w:rsidR="009A356E" w:rsidRPr="00C10545" w:rsidRDefault="009A356E" w:rsidP="009A356E">
            <w:pPr>
              <w:rPr>
                <w:color w:val="000000"/>
                <w:sz w:val="16"/>
                <w:szCs w:val="16"/>
                <w:lang w:eastAsia="en-AU"/>
              </w:rPr>
            </w:pPr>
            <w:r w:rsidRPr="00C10545">
              <w:rPr>
                <w:color w:val="000000"/>
                <w:sz w:val="16"/>
                <w:szCs w:val="16"/>
                <w:lang w:eastAsia="en-AU"/>
              </w:rPr>
              <w:t> </w:t>
            </w:r>
          </w:p>
        </w:tc>
        <w:tc>
          <w:tcPr>
            <w:tcW w:w="475" w:type="pct"/>
            <w:tcBorders>
              <w:top w:val="nil"/>
              <w:left w:val="nil"/>
              <w:bottom w:val="single" w:sz="4" w:space="0" w:color="auto"/>
              <w:right w:val="single" w:sz="4" w:space="0" w:color="auto"/>
            </w:tcBorders>
            <w:shd w:val="clear" w:color="000000" w:fill="D9D9D9"/>
            <w:noWrap/>
            <w:vAlign w:val="bottom"/>
            <w:hideMark/>
          </w:tcPr>
          <w:p w14:paraId="02834B7F" w14:textId="77777777" w:rsidR="009A356E" w:rsidRPr="00C10545" w:rsidRDefault="009A356E" w:rsidP="009A356E">
            <w:pPr>
              <w:rPr>
                <w:color w:val="000000"/>
                <w:sz w:val="16"/>
                <w:szCs w:val="16"/>
                <w:lang w:eastAsia="en-AU"/>
              </w:rPr>
            </w:pPr>
            <w:r w:rsidRPr="00C10545">
              <w:rPr>
                <w:color w:val="000000"/>
                <w:sz w:val="16"/>
                <w:szCs w:val="16"/>
                <w:lang w:eastAsia="en-AU"/>
              </w:rPr>
              <w:t xml:space="preserve">      510.1 </w:t>
            </w:r>
          </w:p>
        </w:tc>
        <w:tc>
          <w:tcPr>
            <w:tcW w:w="422" w:type="pct"/>
            <w:tcBorders>
              <w:top w:val="nil"/>
              <w:left w:val="nil"/>
              <w:bottom w:val="single" w:sz="4" w:space="0" w:color="auto"/>
              <w:right w:val="single" w:sz="8" w:space="0" w:color="auto"/>
            </w:tcBorders>
            <w:shd w:val="clear" w:color="000000" w:fill="000000"/>
            <w:noWrap/>
            <w:vAlign w:val="bottom"/>
            <w:hideMark/>
          </w:tcPr>
          <w:p w14:paraId="01F3FCF0" w14:textId="77777777" w:rsidR="009A356E" w:rsidRPr="00C10545" w:rsidRDefault="009A356E" w:rsidP="009A356E">
            <w:pPr>
              <w:rPr>
                <w:color w:val="000000"/>
                <w:sz w:val="16"/>
                <w:szCs w:val="16"/>
                <w:lang w:eastAsia="en-AU"/>
              </w:rPr>
            </w:pPr>
            <w:r w:rsidRPr="00C10545">
              <w:rPr>
                <w:color w:val="000000"/>
                <w:sz w:val="16"/>
                <w:szCs w:val="16"/>
                <w:lang w:eastAsia="en-AU"/>
              </w:rPr>
              <w:t> </w:t>
            </w:r>
          </w:p>
        </w:tc>
        <w:tc>
          <w:tcPr>
            <w:tcW w:w="342" w:type="pct"/>
            <w:tcBorders>
              <w:top w:val="nil"/>
              <w:left w:val="nil"/>
              <w:bottom w:val="single" w:sz="4" w:space="0" w:color="auto"/>
              <w:right w:val="single" w:sz="4" w:space="0" w:color="auto"/>
            </w:tcBorders>
            <w:shd w:val="clear" w:color="000000" w:fill="BFBFBF"/>
            <w:noWrap/>
            <w:vAlign w:val="bottom"/>
            <w:hideMark/>
          </w:tcPr>
          <w:p w14:paraId="083B46B4" w14:textId="77777777" w:rsidR="009A356E" w:rsidRPr="00C10545" w:rsidRDefault="009A356E" w:rsidP="009A356E">
            <w:pPr>
              <w:jc w:val="right"/>
              <w:rPr>
                <w:color w:val="000000"/>
                <w:sz w:val="16"/>
                <w:szCs w:val="16"/>
                <w:lang w:eastAsia="en-AU"/>
              </w:rPr>
            </w:pPr>
            <w:r w:rsidRPr="00C10545">
              <w:rPr>
                <w:color w:val="000000"/>
                <w:sz w:val="16"/>
                <w:szCs w:val="16"/>
                <w:lang w:eastAsia="en-AU"/>
              </w:rPr>
              <w:t>122.7</w:t>
            </w:r>
          </w:p>
        </w:tc>
        <w:tc>
          <w:tcPr>
            <w:tcW w:w="374" w:type="pct"/>
            <w:tcBorders>
              <w:top w:val="nil"/>
              <w:left w:val="nil"/>
              <w:bottom w:val="single" w:sz="4" w:space="0" w:color="auto"/>
              <w:right w:val="single" w:sz="8" w:space="0" w:color="auto"/>
            </w:tcBorders>
            <w:shd w:val="clear" w:color="000000" w:fill="000000"/>
            <w:noWrap/>
            <w:vAlign w:val="bottom"/>
            <w:hideMark/>
          </w:tcPr>
          <w:p w14:paraId="651424C0" w14:textId="77777777" w:rsidR="009A356E" w:rsidRPr="00C10545" w:rsidRDefault="009A356E" w:rsidP="009A356E">
            <w:pPr>
              <w:rPr>
                <w:color w:val="000000"/>
                <w:sz w:val="16"/>
                <w:szCs w:val="16"/>
                <w:lang w:eastAsia="en-AU"/>
              </w:rPr>
            </w:pPr>
            <w:r w:rsidRPr="00C10545">
              <w:rPr>
                <w:color w:val="000000"/>
                <w:sz w:val="16"/>
                <w:szCs w:val="16"/>
                <w:lang w:eastAsia="en-AU"/>
              </w:rPr>
              <w:t> </w:t>
            </w:r>
          </w:p>
        </w:tc>
        <w:tc>
          <w:tcPr>
            <w:tcW w:w="374" w:type="pct"/>
            <w:tcBorders>
              <w:top w:val="nil"/>
              <w:left w:val="nil"/>
              <w:bottom w:val="single" w:sz="4" w:space="0" w:color="auto"/>
              <w:right w:val="single" w:sz="4" w:space="0" w:color="auto"/>
            </w:tcBorders>
            <w:shd w:val="clear" w:color="000000" w:fill="000000"/>
            <w:noWrap/>
            <w:vAlign w:val="bottom"/>
            <w:hideMark/>
          </w:tcPr>
          <w:p w14:paraId="50D2C943" w14:textId="77777777" w:rsidR="009A356E" w:rsidRPr="00C10545" w:rsidRDefault="009A356E" w:rsidP="009A356E">
            <w:pPr>
              <w:rPr>
                <w:color w:val="000000"/>
                <w:sz w:val="16"/>
                <w:szCs w:val="16"/>
                <w:lang w:eastAsia="en-AU"/>
              </w:rPr>
            </w:pPr>
            <w:r w:rsidRPr="00C10545">
              <w:rPr>
                <w:color w:val="000000"/>
                <w:sz w:val="16"/>
                <w:szCs w:val="16"/>
                <w:lang w:eastAsia="en-AU"/>
              </w:rPr>
              <w:t> </w:t>
            </w:r>
          </w:p>
        </w:tc>
        <w:tc>
          <w:tcPr>
            <w:tcW w:w="374" w:type="pct"/>
            <w:tcBorders>
              <w:top w:val="nil"/>
              <w:left w:val="nil"/>
              <w:bottom w:val="single" w:sz="4" w:space="0" w:color="auto"/>
              <w:right w:val="single" w:sz="8" w:space="0" w:color="auto"/>
            </w:tcBorders>
            <w:shd w:val="clear" w:color="000000" w:fill="000000"/>
            <w:noWrap/>
            <w:vAlign w:val="bottom"/>
            <w:hideMark/>
          </w:tcPr>
          <w:p w14:paraId="417FEC1A" w14:textId="77777777" w:rsidR="009A356E" w:rsidRPr="00C10545" w:rsidRDefault="009A356E" w:rsidP="009A356E">
            <w:pPr>
              <w:rPr>
                <w:color w:val="000000"/>
                <w:sz w:val="16"/>
                <w:szCs w:val="16"/>
                <w:lang w:eastAsia="en-AU"/>
              </w:rPr>
            </w:pPr>
            <w:r w:rsidRPr="00C10545">
              <w:rPr>
                <w:color w:val="000000"/>
                <w:sz w:val="16"/>
                <w:szCs w:val="16"/>
                <w:lang w:eastAsia="en-AU"/>
              </w:rPr>
              <w:t> </w:t>
            </w:r>
          </w:p>
        </w:tc>
      </w:tr>
      <w:tr w:rsidR="009A356E" w:rsidRPr="00C96EAB" w14:paraId="644CD719" w14:textId="77777777" w:rsidTr="009A356E">
        <w:trPr>
          <w:trHeight w:val="225"/>
        </w:trPr>
        <w:tc>
          <w:tcPr>
            <w:tcW w:w="523" w:type="pct"/>
            <w:tcBorders>
              <w:top w:val="nil"/>
              <w:left w:val="single" w:sz="8" w:space="0" w:color="auto"/>
              <w:bottom w:val="single" w:sz="4" w:space="0" w:color="auto"/>
              <w:right w:val="nil"/>
            </w:tcBorders>
            <w:shd w:val="clear" w:color="auto" w:fill="auto"/>
            <w:noWrap/>
            <w:vAlign w:val="bottom"/>
            <w:hideMark/>
          </w:tcPr>
          <w:p w14:paraId="5E75B9BA" w14:textId="77777777" w:rsidR="009A356E" w:rsidRPr="00C10545" w:rsidRDefault="009A356E" w:rsidP="009A356E">
            <w:pPr>
              <w:rPr>
                <w:color w:val="000000"/>
                <w:sz w:val="16"/>
                <w:szCs w:val="16"/>
                <w:lang w:eastAsia="en-AU"/>
              </w:rPr>
            </w:pPr>
            <w:r w:rsidRPr="00C10545">
              <w:rPr>
                <w:color w:val="000000"/>
                <w:sz w:val="16"/>
                <w:szCs w:val="16"/>
                <w:lang w:eastAsia="en-AU"/>
              </w:rPr>
              <w:t>2001</w:t>
            </w:r>
          </w:p>
        </w:tc>
        <w:tc>
          <w:tcPr>
            <w:tcW w:w="342" w:type="pct"/>
            <w:tcBorders>
              <w:top w:val="nil"/>
              <w:left w:val="single" w:sz="8" w:space="0" w:color="auto"/>
              <w:bottom w:val="single" w:sz="4" w:space="0" w:color="auto"/>
              <w:right w:val="single" w:sz="4" w:space="0" w:color="auto"/>
            </w:tcBorders>
            <w:shd w:val="clear" w:color="000000" w:fill="F2F2F2"/>
            <w:noWrap/>
            <w:vAlign w:val="bottom"/>
            <w:hideMark/>
          </w:tcPr>
          <w:p w14:paraId="6562F168" w14:textId="77777777" w:rsidR="009A356E" w:rsidRPr="00C10545" w:rsidRDefault="009A356E" w:rsidP="009A356E">
            <w:pPr>
              <w:jc w:val="right"/>
              <w:rPr>
                <w:color w:val="000000"/>
                <w:sz w:val="16"/>
                <w:szCs w:val="16"/>
                <w:lang w:eastAsia="en-AU"/>
              </w:rPr>
            </w:pPr>
            <w:r w:rsidRPr="00C10545">
              <w:rPr>
                <w:color w:val="000000"/>
                <w:sz w:val="16"/>
                <w:szCs w:val="16"/>
                <w:lang w:eastAsia="en-AU"/>
              </w:rPr>
              <w:t>113.4</w:t>
            </w:r>
          </w:p>
        </w:tc>
        <w:tc>
          <w:tcPr>
            <w:tcW w:w="342" w:type="pct"/>
            <w:tcBorders>
              <w:top w:val="nil"/>
              <w:left w:val="nil"/>
              <w:bottom w:val="single" w:sz="4" w:space="0" w:color="auto"/>
              <w:right w:val="single" w:sz="4" w:space="0" w:color="auto"/>
            </w:tcBorders>
            <w:shd w:val="clear" w:color="000000" w:fill="D9D9D9"/>
            <w:noWrap/>
            <w:vAlign w:val="bottom"/>
            <w:hideMark/>
          </w:tcPr>
          <w:p w14:paraId="1FD3FEA5" w14:textId="77777777" w:rsidR="009A356E" w:rsidRPr="00C10545" w:rsidRDefault="009A356E" w:rsidP="009A356E">
            <w:pPr>
              <w:jc w:val="right"/>
              <w:rPr>
                <w:color w:val="000000"/>
                <w:sz w:val="16"/>
                <w:szCs w:val="16"/>
                <w:lang w:eastAsia="en-AU"/>
              </w:rPr>
            </w:pPr>
            <w:r w:rsidRPr="00C10545">
              <w:rPr>
                <w:color w:val="000000"/>
                <w:sz w:val="16"/>
                <w:szCs w:val="16"/>
                <w:lang w:eastAsia="en-AU"/>
              </w:rPr>
              <w:t>57.1</w:t>
            </w:r>
          </w:p>
        </w:tc>
        <w:tc>
          <w:tcPr>
            <w:tcW w:w="342" w:type="pct"/>
            <w:tcBorders>
              <w:top w:val="nil"/>
              <w:left w:val="nil"/>
              <w:bottom w:val="single" w:sz="4" w:space="0" w:color="auto"/>
              <w:right w:val="single" w:sz="4" w:space="0" w:color="auto"/>
            </w:tcBorders>
            <w:shd w:val="clear" w:color="000000" w:fill="BFBFBF"/>
            <w:noWrap/>
            <w:vAlign w:val="bottom"/>
            <w:hideMark/>
          </w:tcPr>
          <w:p w14:paraId="22DCCDF2" w14:textId="77777777" w:rsidR="009A356E" w:rsidRPr="00C10545" w:rsidRDefault="009A356E" w:rsidP="009A356E">
            <w:pPr>
              <w:jc w:val="right"/>
              <w:rPr>
                <w:color w:val="000000"/>
                <w:sz w:val="16"/>
                <w:szCs w:val="16"/>
                <w:lang w:eastAsia="en-AU"/>
              </w:rPr>
            </w:pPr>
            <w:r w:rsidRPr="00C10545">
              <w:rPr>
                <w:color w:val="000000"/>
                <w:sz w:val="16"/>
                <w:szCs w:val="16"/>
                <w:lang w:eastAsia="en-AU"/>
              </w:rPr>
              <w:t>170.6</w:t>
            </w:r>
          </w:p>
        </w:tc>
        <w:tc>
          <w:tcPr>
            <w:tcW w:w="374" w:type="pct"/>
            <w:tcBorders>
              <w:top w:val="nil"/>
              <w:left w:val="nil"/>
              <w:bottom w:val="single" w:sz="4" w:space="0" w:color="auto"/>
              <w:right w:val="single" w:sz="8" w:space="0" w:color="auto"/>
            </w:tcBorders>
            <w:shd w:val="clear" w:color="000000" w:fill="BFBFBF"/>
            <w:noWrap/>
            <w:vAlign w:val="bottom"/>
            <w:hideMark/>
          </w:tcPr>
          <w:p w14:paraId="0BD573C4" w14:textId="77777777" w:rsidR="009A356E" w:rsidRPr="00C10545" w:rsidRDefault="009A356E" w:rsidP="009A356E">
            <w:pPr>
              <w:jc w:val="right"/>
              <w:rPr>
                <w:color w:val="000000"/>
                <w:sz w:val="16"/>
                <w:szCs w:val="16"/>
                <w:lang w:eastAsia="en-AU"/>
              </w:rPr>
            </w:pPr>
            <w:r w:rsidRPr="00C10545">
              <w:rPr>
                <w:color w:val="000000"/>
                <w:sz w:val="16"/>
                <w:szCs w:val="16"/>
                <w:lang w:eastAsia="en-AU"/>
              </w:rPr>
              <w:t>4.63%</w:t>
            </w:r>
          </w:p>
        </w:tc>
        <w:tc>
          <w:tcPr>
            <w:tcW w:w="342" w:type="pct"/>
            <w:tcBorders>
              <w:top w:val="nil"/>
              <w:left w:val="nil"/>
              <w:bottom w:val="single" w:sz="4" w:space="0" w:color="auto"/>
              <w:right w:val="single" w:sz="4" w:space="0" w:color="auto"/>
            </w:tcBorders>
            <w:shd w:val="clear" w:color="000000" w:fill="F2F2F2"/>
            <w:noWrap/>
            <w:vAlign w:val="bottom"/>
            <w:hideMark/>
          </w:tcPr>
          <w:p w14:paraId="16C6D82F" w14:textId="77777777" w:rsidR="009A356E" w:rsidRPr="00C10545" w:rsidRDefault="009A356E" w:rsidP="009A356E">
            <w:pPr>
              <w:jc w:val="right"/>
              <w:rPr>
                <w:color w:val="000000"/>
                <w:sz w:val="16"/>
                <w:szCs w:val="16"/>
                <w:lang w:eastAsia="en-AU"/>
              </w:rPr>
            </w:pPr>
            <w:r w:rsidRPr="00C10545">
              <w:rPr>
                <w:color w:val="000000"/>
                <w:sz w:val="16"/>
                <w:szCs w:val="16"/>
                <w:lang w:eastAsia="en-AU"/>
              </w:rPr>
              <w:t>85.8</w:t>
            </w:r>
          </w:p>
        </w:tc>
        <w:tc>
          <w:tcPr>
            <w:tcW w:w="374" w:type="pct"/>
            <w:tcBorders>
              <w:top w:val="nil"/>
              <w:left w:val="nil"/>
              <w:bottom w:val="single" w:sz="4" w:space="0" w:color="auto"/>
              <w:right w:val="single" w:sz="8" w:space="0" w:color="auto"/>
            </w:tcBorders>
            <w:shd w:val="clear" w:color="000000" w:fill="F2F2F2"/>
            <w:noWrap/>
            <w:vAlign w:val="bottom"/>
            <w:hideMark/>
          </w:tcPr>
          <w:p w14:paraId="65603C78" w14:textId="77777777" w:rsidR="009A356E" w:rsidRPr="00C10545" w:rsidRDefault="009A356E" w:rsidP="009A356E">
            <w:pPr>
              <w:jc w:val="right"/>
              <w:rPr>
                <w:color w:val="000000"/>
                <w:sz w:val="16"/>
                <w:szCs w:val="16"/>
                <w:lang w:eastAsia="en-AU"/>
              </w:rPr>
            </w:pPr>
            <w:r w:rsidRPr="00C10545">
              <w:rPr>
                <w:color w:val="000000"/>
                <w:sz w:val="16"/>
                <w:szCs w:val="16"/>
                <w:lang w:eastAsia="en-AU"/>
              </w:rPr>
              <w:t>5.39%</w:t>
            </w:r>
          </w:p>
        </w:tc>
        <w:tc>
          <w:tcPr>
            <w:tcW w:w="475" w:type="pct"/>
            <w:tcBorders>
              <w:top w:val="nil"/>
              <w:left w:val="nil"/>
              <w:bottom w:val="single" w:sz="4" w:space="0" w:color="auto"/>
              <w:right w:val="single" w:sz="4" w:space="0" w:color="auto"/>
            </w:tcBorders>
            <w:shd w:val="clear" w:color="000000" w:fill="D9D9D9"/>
            <w:noWrap/>
            <w:vAlign w:val="bottom"/>
            <w:hideMark/>
          </w:tcPr>
          <w:p w14:paraId="37FCA6AE" w14:textId="77777777" w:rsidR="009A356E" w:rsidRPr="00C10545" w:rsidRDefault="009A356E" w:rsidP="009A356E">
            <w:pPr>
              <w:rPr>
                <w:color w:val="000000"/>
                <w:sz w:val="16"/>
                <w:szCs w:val="16"/>
                <w:lang w:eastAsia="en-AU"/>
              </w:rPr>
            </w:pPr>
            <w:r w:rsidRPr="00C10545">
              <w:rPr>
                <w:color w:val="000000"/>
                <w:sz w:val="16"/>
                <w:szCs w:val="16"/>
                <w:lang w:eastAsia="en-AU"/>
              </w:rPr>
              <w:t xml:space="preserve">      530.3 </w:t>
            </w:r>
          </w:p>
        </w:tc>
        <w:tc>
          <w:tcPr>
            <w:tcW w:w="422" w:type="pct"/>
            <w:tcBorders>
              <w:top w:val="nil"/>
              <w:left w:val="nil"/>
              <w:bottom w:val="single" w:sz="4" w:space="0" w:color="auto"/>
              <w:right w:val="single" w:sz="8" w:space="0" w:color="auto"/>
            </w:tcBorders>
            <w:shd w:val="clear" w:color="000000" w:fill="D9D9D9"/>
            <w:noWrap/>
            <w:vAlign w:val="bottom"/>
            <w:hideMark/>
          </w:tcPr>
          <w:p w14:paraId="729327F1" w14:textId="77777777" w:rsidR="009A356E" w:rsidRPr="00C10545" w:rsidRDefault="009A356E" w:rsidP="009A356E">
            <w:pPr>
              <w:jc w:val="right"/>
              <w:rPr>
                <w:color w:val="000000"/>
                <w:sz w:val="16"/>
                <w:szCs w:val="16"/>
                <w:lang w:eastAsia="en-AU"/>
              </w:rPr>
            </w:pPr>
            <w:r w:rsidRPr="00C10545">
              <w:rPr>
                <w:color w:val="000000"/>
                <w:sz w:val="16"/>
                <w:szCs w:val="16"/>
                <w:lang w:eastAsia="en-AU"/>
              </w:rPr>
              <w:t>3.95%</w:t>
            </w:r>
          </w:p>
        </w:tc>
        <w:tc>
          <w:tcPr>
            <w:tcW w:w="342" w:type="pct"/>
            <w:tcBorders>
              <w:top w:val="nil"/>
              <w:left w:val="nil"/>
              <w:bottom w:val="single" w:sz="4" w:space="0" w:color="auto"/>
              <w:right w:val="single" w:sz="4" w:space="0" w:color="auto"/>
            </w:tcBorders>
            <w:shd w:val="clear" w:color="000000" w:fill="BFBFBF"/>
            <w:noWrap/>
            <w:vAlign w:val="bottom"/>
            <w:hideMark/>
          </w:tcPr>
          <w:p w14:paraId="12703460" w14:textId="77777777" w:rsidR="009A356E" w:rsidRPr="00C10545" w:rsidRDefault="009A356E" w:rsidP="009A356E">
            <w:pPr>
              <w:jc w:val="right"/>
              <w:rPr>
                <w:color w:val="000000"/>
                <w:sz w:val="16"/>
                <w:szCs w:val="16"/>
                <w:lang w:eastAsia="en-AU"/>
              </w:rPr>
            </w:pPr>
            <w:r w:rsidRPr="00C10545">
              <w:rPr>
                <w:color w:val="000000"/>
                <w:sz w:val="16"/>
                <w:szCs w:val="16"/>
                <w:lang w:eastAsia="en-AU"/>
              </w:rPr>
              <w:t>129.1</w:t>
            </w:r>
          </w:p>
        </w:tc>
        <w:tc>
          <w:tcPr>
            <w:tcW w:w="374" w:type="pct"/>
            <w:tcBorders>
              <w:top w:val="nil"/>
              <w:left w:val="nil"/>
              <w:bottom w:val="single" w:sz="4" w:space="0" w:color="auto"/>
              <w:right w:val="single" w:sz="8" w:space="0" w:color="auto"/>
            </w:tcBorders>
            <w:shd w:val="clear" w:color="000000" w:fill="BFBFBF"/>
            <w:noWrap/>
            <w:vAlign w:val="bottom"/>
            <w:hideMark/>
          </w:tcPr>
          <w:p w14:paraId="75960909" w14:textId="77777777" w:rsidR="009A356E" w:rsidRPr="00C10545" w:rsidRDefault="009A356E" w:rsidP="009A356E">
            <w:pPr>
              <w:jc w:val="right"/>
              <w:rPr>
                <w:color w:val="000000"/>
                <w:sz w:val="16"/>
                <w:szCs w:val="16"/>
                <w:lang w:eastAsia="en-AU"/>
              </w:rPr>
            </w:pPr>
            <w:r w:rsidRPr="00C10545">
              <w:rPr>
                <w:color w:val="000000"/>
                <w:sz w:val="16"/>
                <w:szCs w:val="16"/>
                <w:lang w:eastAsia="en-AU"/>
              </w:rPr>
              <w:t>5.20%</w:t>
            </w:r>
          </w:p>
        </w:tc>
        <w:tc>
          <w:tcPr>
            <w:tcW w:w="374" w:type="pct"/>
            <w:tcBorders>
              <w:top w:val="nil"/>
              <w:left w:val="nil"/>
              <w:bottom w:val="single" w:sz="4" w:space="0" w:color="auto"/>
              <w:right w:val="single" w:sz="4" w:space="0" w:color="auto"/>
            </w:tcBorders>
            <w:shd w:val="clear" w:color="000000" w:fill="95B3D7"/>
            <w:noWrap/>
            <w:vAlign w:val="bottom"/>
            <w:hideMark/>
          </w:tcPr>
          <w:p w14:paraId="17E58706" w14:textId="77777777" w:rsidR="009A356E" w:rsidRPr="00C10545" w:rsidRDefault="009A356E" w:rsidP="009A356E">
            <w:pPr>
              <w:jc w:val="right"/>
              <w:rPr>
                <w:color w:val="000000"/>
                <w:sz w:val="16"/>
                <w:szCs w:val="16"/>
                <w:lang w:eastAsia="en-AU"/>
              </w:rPr>
            </w:pPr>
            <w:r w:rsidRPr="00C10545">
              <w:rPr>
                <w:color w:val="000000"/>
                <w:sz w:val="16"/>
                <w:szCs w:val="16"/>
                <w:lang w:eastAsia="en-AU"/>
              </w:rPr>
              <w:t>3.71%</w:t>
            </w:r>
          </w:p>
        </w:tc>
        <w:tc>
          <w:tcPr>
            <w:tcW w:w="374" w:type="pct"/>
            <w:tcBorders>
              <w:top w:val="nil"/>
              <w:left w:val="nil"/>
              <w:bottom w:val="single" w:sz="4" w:space="0" w:color="auto"/>
              <w:right w:val="single" w:sz="8" w:space="0" w:color="auto"/>
            </w:tcBorders>
            <w:shd w:val="clear" w:color="000000" w:fill="00B0F0"/>
            <w:noWrap/>
            <w:vAlign w:val="bottom"/>
            <w:hideMark/>
          </w:tcPr>
          <w:p w14:paraId="5B79A21B" w14:textId="77777777" w:rsidR="009A356E" w:rsidRPr="00C10545" w:rsidRDefault="009A356E" w:rsidP="009A356E">
            <w:pPr>
              <w:jc w:val="right"/>
              <w:rPr>
                <w:color w:val="000000"/>
                <w:sz w:val="16"/>
                <w:szCs w:val="16"/>
                <w:lang w:eastAsia="en-AU"/>
              </w:rPr>
            </w:pPr>
            <w:r w:rsidRPr="00C10545">
              <w:rPr>
                <w:color w:val="000000"/>
                <w:sz w:val="16"/>
                <w:szCs w:val="16"/>
                <w:lang w:eastAsia="en-AU"/>
              </w:rPr>
              <w:t>3.55%</w:t>
            </w:r>
          </w:p>
        </w:tc>
      </w:tr>
      <w:tr w:rsidR="009A356E" w:rsidRPr="00C96EAB" w14:paraId="7F6961E1" w14:textId="77777777" w:rsidTr="009A356E">
        <w:trPr>
          <w:trHeight w:val="225"/>
        </w:trPr>
        <w:tc>
          <w:tcPr>
            <w:tcW w:w="523" w:type="pct"/>
            <w:tcBorders>
              <w:top w:val="nil"/>
              <w:left w:val="single" w:sz="8" w:space="0" w:color="auto"/>
              <w:bottom w:val="single" w:sz="4" w:space="0" w:color="auto"/>
              <w:right w:val="nil"/>
            </w:tcBorders>
            <w:shd w:val="clear" w:color="auto" w:fill="auto"/>
            <w:noWrap/>
            <w:vAlign w:val="bottom"/>
            <w:hideMark/>
          </w:tcPr>
          <w:p w14:paraId="72E4CC7F" w14:textId="77777777" w:rsidR="009A356E" w:rsidRPr="00C10545" w:rsidRDefault="009A356E" w:rsidP="009A356E">
            <w:pPr>
              <w:rPr>
                <w:color w:val="000000"/>
                <w:sz w:val="16"/>
                <w:szCs w:val="16"/>
                <w:lang w:eastAsia="en-AU"/>
              </w:rPr>
            </w:pPr>
            <w:r w:rsidRPr="00C10545">
              <w:rPr>
                <w:color w:val="000000"/>
                <w:sz w:val="16"/>
                <w:szCs w:val="16"/>
                <w:lang w:eastAsia="en-AU"/>
              </w:rPr>
              <w:t>2002</w:t>
            </w:r>
          </w:p>
        </w:tc>
        <w:tc>
          <w:tcPr>
            <w:tcW w:w="342" w:type="pct"/>
            <w:tcBorders>
              <w:top w:val="nil"/>
              <w:left w:val="single" w:sz="8" w:space="0" w:color="auto"/>
              <w:bottom w:val="single" w:sz="4" w:space="0" w:color="auto"/>
              <w:right w:val="single" w:sz="4" w:space="0" w:color="auto"/>
            </w:tcBorders>
            <w:shd w:val="clear" w:color="000000" w:fill="F2F2F2"/>
            <w:noWrap/>
            <w:vAlign w:val="bottom"/>
            <w:hideMark/>
          </w:tcPr>
          <w:p w14:paraId="4E860BFD" w14:textId="77777777" w:rsidR="009A356E" w:rsidRPr="00C10545" w:rsidRDefault="009A356E" w:rsidP="009A356E">
            <w:pPr>
              <w:jc w:val="right"/>
              <w:rPr>
                <w:color w:val="000000"/>
                <w:sz w:val="16"/>
                <w:szCs w:val="16"/>
                <w:lang w:eastAsia="en-AU"/>
              </w:rPr>
            </w:pPr>
            <w:r w:rsidRPr="00C10545">
              <w:rPr>
                <w:color w:val="000000"/>
                <w:sz w:val="16"/>
                <w:szCs w:val="16"/>
                <w:lang w:eastAsia="en-AU"/>
              </w:rPr>
              <w:t>120.7</w:t>
            </w:r>
          </w:p>
        </w:tc>
        <w:tc>
          <w:tcPr>
            <w:tcW w:w="342" w:type="pct"/>
            <w:tcBorders>
              <w:top w:val="nil"/>
              <w:left w:val="nil"/>
              <w:bottom w:val="single" w:sz="4" w:space="0" w:color="auto"/>
              <w:right w:val="single" w:sz="4" w:space="0" w:color="auto"/>
            </w:tcBorders>
            <w:shd w:val="clear" w:color="000000" w:fill="D9D9D9"/>
            <w:noWrap/>
            <w:vAlign w:val="bottom"/>
            <w:hideMark/>
          </w:tcPr>
          <w:p w14:paraId="0786B950" w14:textId="77777777" w:rsidR="009A356E" w:rsidRPr="00C10545" w:rsidRDefault="009A356E" w:rsidP="009A356E">
            <w:pPr>
              <w:jc w:val="right"/>
              <w:rPr>
                <w:color w:val="000000"/>
                <w:sz w:val="16"/>
                <w:szCs w:val="16"/>
                <w:lang w:eastAsia="en-AU"/>
              </w:rPr>
            </w:pPr>
            <w:r w:rsidRPr="00C10545">
              <w:rPr>
                <w:color w:val="000000"/>
                <w:sz w:val="16"/>
                <w:szCs w:val="16"/>
                <w:lang w:eastAsia="en-AU"/>
              </w:rPr>
              <w:t>62.9</w:t>
            </w:r>
          </w:p>
        </w:tc>
        <w:tc>
          <w:tcPr>
            <w:tcW w:w="342" w:type="pct"/>
            <w:tcBorders>
              <w:top w:val="nil"/>
              <w:left w:val="nil"/>
              <w:bottom w:val="single" w:sz="4" w:space="0" w:color="auto"/>
              <w:right w:val="single" w:sz="4" w:space="0" w:color="auto"/>
            </w:tcBorders>
            <w:shd w:val="clear" w:color="000000" w:fill="BFBFBF"/>
            <w:noWrap/>
            <w:vAlign w:val="bottom"/>
            <w:hideMark/>
          </w:tcPr>
          <w:p w14:paraId="567FE1B7" w14:textId="77777777" w:rsidR="009A356E" w:rsidRPr="00C10545" w:rsidRDefault="009A356E" w:rsidP="009A356E">
            <w:pPr>
              <w:jc w:val="right"/>
              <w:rPr>
                <w:color w:val="000000"/>
                <w:sz w:val="16"/>
                <w:szCs w:val="16"/>
                <w:lang w:eastAsia="en-AU"/>
              </w:rPr>
            </w:pPr>
            <w:r w:rsidRPr="00C10545">
              <w:rPr>
                <w:color w:val="000000"/>
                <w:sz w:val="16"/>
                <w:szCs w:val="16"/>
                <w:lang w:eastAsia="en-AU"/>
              </w:rPr>
              <w:t>183.6</w:t>
            </w:r>
          </w:p>
        </w:tc>
        <w:tc>
          <w:tcPr>
            <w:tcW w:w="374" w:type="pct"/>
            <w:tcBorders>
              <w:top w:val="nil"/>
              <w:left w:val="nil"/>
              <w:bottom w:val="single" w:sz="4" w:space="0" w:color="auto"/>
              <w:right w:val="single" w:sz="8" w:space="0" w:color="auto"/>
            </w:tcBorders>
            <w:shd w:val="clear" w:color="000000" w:fill="BFBFBF"/>
            <w:noWrap/>
            <w:vAlign w:val="bottom"/>
            <w:hideMark/>
          </w:tcPr>
          <w:p w14:paraId="03031768" w14:textId="77777777" w:rsidR="009A356E" w:rsidRPr="00C10545" w:rsidRDefault="009A356E" w:rsidP="009A356E">
            <w:pPr>
              <w:jc w:val="right"/>
              <w:rPr>
                <w:color w:val="000000"/>
                <w:sz w:val="16"/>
                <w:szCs w:val="16"/>
                <w:lang w:eastAsia="en-AU"/>
              </w:rPr>
            </w:pPr>
            <w:r w:rsidRPr="00C10545">
              <w:rPr>
                <w:color w:val="000000"/>
                <w:sz w:val="16"/>
                <w:szCs w:val="16"/>
                <w:lang w:eastAsia="en-AU"/>
              </w:rPr>
              <w:t>7.64%</w:t>
            </w:r>
          </w:p>
        </w:tc>
        <w:tc>
          <w:tcPr>
            <w:tcW w:w="342" w:type="pct"/>
            <w:tcBorders>
              <w:top w:val="nil"/>
              <w:left w:val="nil"/>
              <w:bottom w:val="single" w:sz="4" w:space="0" w:color="auto"/>
              <w:right w:val="single" w:sz="4" w:space="0" w:color="auto"/>
            </w:tcBorders>
            <w:shd w:val="clear" w:color="000000" w:fill="F2F2F2"/>
            <w:noWrap/>
            <w:vAlign w:val="bottom"/>
            <w:hideMark/>
          </w:tcPr>
          <w:p w14:paraId="28A58FCE" w14:textId="77777777" w:rsidR="009A356E" w:rsidRPr="00C10545" w:rsidRDefault="009A356E" w:rsidP="009A356E">
            <w:pPr>
              <w:jc w:val="right"/>
              <w:rPr>
                <w:color w:val="000000"/>
                <w:sz w:val="16"/>
                <w:szCs w:val="16"/>
                <w:lang w:eastAsia="en-AU"/>
              </w:rPr>
            </w:pPr>
            <w:r w:rsidRPr="00C10545">
              <w:rPr>
                <w:color w:val="000000"/>
                <w:sz w:val="16"/>
                <w:szCs w:val="16"/>
                <w:lang w:eastAsia="en-AU"/>
              </w:rPr>
              <w:t>90.7</w:t>
            </w:r>
          </w:p>
        </w:tc>
        <w:tc>
          <w:tcPr>
            <w:tcW w:w="374" w:type="pct"/>
            <w:tcBorders>
              <w:top w:val="nil"/>
              <w:left w:val="nil"/>
              <w:bottom w:val="single" w:sz="4" w:space="0" w:color="auto"/>
              <w:right w:val="single" w:sz="8" w:space="0" w:color="auto"/>
            </w:tcBorders>
            <w:shd w:val="clear" w:color="000000" w:fill="F2F2F2"/>
            <w:noWrap/>
            <w:vAlign w:val="bottom"/>
            <w:hideMark/>
          </w:tcPr>
          <w:p w14:paraId="728A8CF4" w14:textId="77777777" w:rsidR="009A356E" w:rsidRPr="00C10545" w:rsidRDefault="009A356E" w:rsidP="009A356E">
            <w:pPr>
              <w:jc w:val="right"/>
              <w:rPr>
                <w:color w:val="000000"/>
                <w:sz w:val="16"/>
                <w:szCs w:val="16"/>
                <w:lang w:eastAsia="en-AU"/>
              </w:rPr>
            </w:pPr>
            <w:r w:rsidRPr="00C10545">
              <w:rPr>
                <w:color w:val="000000"/>
                <w:sz w:val="16"/>
                <w:szCs w:val="16"/>
                <w:lang w:eastAsia="en-AU"/>
              </w:rPr>
              <w:t>5.61%</w:t>
            </w:r>
          </w:p>
        </w:tc>
        <w:tc>
          <w:tcPr>
            <w:tcW w:w="475" w:type="pct"/>
            <w:tcBorders>
              <w:top w:val="nil"/>
              <w:left w:val="nil"/>
              <w:bottom w:val="single" w:sz="4" w:space="0" w:color="auto"/>
              <w:right w:val="single" w:sz="4" w:space="0" w:color="auto"/>
            </w:tcBorders>
            <w:shd w:val="clear" w:color="000000" w:fill="D9D9D9"/>
            <w:noWrap/>
            <w:vAlign w:val="bottom"/>
            <w:hideMark/>
          </w:tcPr>
          <w:p w14:paraId="484E698C" w14:textId="77777777" w:rsidR="009A356E" w:rsidRPr="00C10545" w:rsidRDefault="009A356E" w:rsidP="009A356E">
            <w:pPr>
              <w:rPr>
                <w:color w:val="000000"/>
                <w:sz w:val="16"/>
                <w:szCs w:val="16"/>
                <w:lang w:eastAsia="en-AU"/>
              </w:rPr>
            </w:pPr>
            <w:r w:rsidRPr="00C10545">
              <w:rPr>
                <w:color w:val="000000"/>
                <w:sz w:val="16"/>
                <w:szCs w:val="16"/>
                <w:lang w:eastAsia="en-AU"/>
              </w:rPr>
              <w:t xml:space="preserve">      581.1 </w:t>
            </w:r>
          </w:p>
        </w:tc>
        <w:tc>
          <w:tcPr>
            <w:tcW w:w="422" w:type="pct"/>
            <w:tcBorders>
              <w:top w:val="nil"/>
              <w:left w:val="nil"/>
              <w:bottom w:val="single" w:sz="4" w:space="0" w:color="auto"/>
              <w:right w:val="single" w:sz="8" w:space="0" w:color="auto"/>
            </w:tcBorders>
            <w:shd w:val="clear" w:color="000000" w:fill="D9D9D9"/>
            <w:noWrap/>
            <w:vAlign w:val="bottom"/>
            <w:hideMark/>
          </w:tcPr>
          <w:p w14:paraId="0333F1E9" w14:textId="77777777" w:rsidR="009A356E" w:rsidRPr="00C10545" w:rsidRDefault="009A356E" w:rsidP="009A356E">
            <w:pPr>
              <w:jc w:val="right"/>
              <w:rPr>
                <w:color w:val="000000"/>
                <w:sz w:val="16"/>
                <w:szCs w:val="16"/>
                <w:lang w:eastAsia="en-AU"/>
              </w:rPr>
            </w:pPr>
            <w:r w:rsidRPr="00C10545">
              <w:rPr>
                <w:color w:val="000000"/>
                <w:sz w:val="16"/>
                <w:szCs w:val="16"/>
                <w:lang w:eastAsia="en-AU"/>
              </w:rPr>
              <w:t>9.59%</w:t>
            </w:r>
          </w:p>
        </w:tc>
        <w:tc>
          <w:tcPr>
            <w:tcW w:w="342" w:type="pct"/>
            <w:tcBorders>
              <w:top w:val="nil"/>
              <w:left w:val="nil"/>
              <w:bottom w:val="single" w:sz="4" w:space="0" w:color="auto"/>
              <w:right w:val="single" w:sz="4" w:space="0" w:color="auto"/>
            </w:tcBorders>
            <w:shd w:val="clear" w:color="000000" w:fill="BFBFBF"/>
            <w:noWrap/>
            <w:vAlign w:val="bottom"/>
            <w:hideMark/>
          </w:tcPr>
          <w:p w14:paraId="7AD42725" w14:textId="77777777" w:rsidR="009A356E" w:rsidRPr="00C10545" w:rsidRDefault="009A356E" w:rsidP="009A356E">
            <w:pPr>
              <w:jc w:val="right"/>
              <w:rPr>
                <w:color w:val="000000"/>
                <w:sz w:val="16"/>
                <w:szCs w:val="16"/>
                <w:lang w:eastAsia="en-AU"/>
              </w:rPr>
            </w:pPr>
            <w:r w:rsidRPr="00C10545">
              <w:rPr>
                <w:color w:val="000000"/>
                <w:sz w:val="16"/>
                <w:szCs w:val="16"/>
                <w:lang w:eastAsia="en-AU"/>
              </w:rPr>
              <w:t>137.9</w:t>
            </w:r>
          </w:p>
        </w:tc>
        <w:tc>
          <w:tcPr>
            <w:tcW w:w="374" w:type="pct"/>
            <w:tcBorders>
              <w:top w:val="nil"/>
              <w:left w:val="nil"/>
              <w:bottom w:val="single" w:sz="4" w:space="0" w:color="auto"/>
              <w:right w:val="single" w:sz="8" w:space="0" w:color="auto"/>
            </w:tcBorders>
            <w:shd w:val="clear" w:color="000000" w:fill="BFBFBF"/>
            <w:noWrap/>
            <w:vAlign w:val="bottom"/>
            <w:hideMark/>
          </w:tcPr>
          <w:p w14:paraId="37EEBCCA" w14:textId="77777777" w:rsidR="009A356E" w:rsidRPr="00C10545" w:rsidRDefault="009A356E" w:rsidP="009A356E">
            <w:pPr>
              <w:jc w:val="right"/>
              <w:rPr>
                <w:color w:val="000000"/>
                <w:sz w:val="16"/>
                <w:szCs w:val="16"/>
                <w:lang w:eastAsia="en-AU"/>
              </w:rPr>
            </w:pPr>
            <w:r w:rsidRPr="00C10545">
              <w:rPr>
                <w:color w:val="000000"/>
                <w:sz w:val="16"/>
                <w:szCs w:val="16"/>
                <w:lang w:eastAsia="en-AU"/>
              </w:rPr>
              <w:t>6.81%</w:t>
            </w:r>
          </w:p>
        </w:tc>
        <w:tc>
          <w:tcPr>
            <w:tcW w:w="374" w:type="pct"/>
            <w:tcBorders>
              <w:top w:val="nil"/>
              <w:left w:val="nil"/>
              <w:bottom w:val="single" w:sz="4" w:space="0" w:color="auto"/>
              <w:right w:val="single" w:sz="4" w:space="0" w:color="auto"/>
            </w:tcBorders>
            <w:shd w:val="clear" w:color="000000" w:fill="95B3D7"/>
            <w:noWrap/>
            <w:vAlign w:val="bottom"/>
            <w:hideMark/>
          </w:tcPr>
          <w:p w14:paraId="5CCD7603" w14:textId="77777777" w:rsidR="009A356E" w:rsidRPr="00C10545" w:rsidRDefault="009A356E" w:rsidP="009A356E">
            <w:pPr>
              <w:jc w:val="right"/>
              <w:rPr>
                <w:color w:val="000000"/>
                <w:sz w:val="16"/>
                <w:szCs w:val="16"/>
                <w:lang w:eastAsia="en-AU"/>
              </w:rPr>
            </w:pPr>
            <w:r w:rsidRPr="00C10545">
              <w:rPr>
                <w:color w:val="000000"/>
                <w:sz w:val="16"/>
                <w:szCs w:val="16"/>
                <w:lang w:eastAsia="en-AU"/>
              </w:rPr>
              <w:t>2.89%</w:t>
            </w:r>
          </w:p>
        </w:tc>
        <w:tc>
          <w:tcPr>
            <w:tcW w:w="374" w:type="pct"/>
            <w:tcBorders>
              <w:top w:val="nil"/>
              <w:left w:val="nil"/>
              <w:bottom w:val="single" w:sz="4" w:space="0" w:color="auto"/>
              <w:right w:val="single" w:sz="8" w:space="0" w:color="auto"/>
            </w:tcBorders>
            <w:shd w:val="clear" w:color="000000" w:fill="00B0F0"/>
            <w:noWrap/>
            <w:vAlign w:val="bottom"/>
            <w:hideMark/>
          </w:tcPr>
          <w:p w14:paraId="513528C1" w14:textId="77777777" w:rsidR="009A356E" w:rsidRPr="00C10545" w:rsidRDefault="009A356E" w:rsidP="009A356E">
            <w:pPr>
              <w:jc w:val="right"/>
              <w:rPr>
                <w:color w:val="000000"/>
                <w:sz w:val="16"/>
                <w:szCs w:val="16"/>
                <w:lang w:eastAsia="en-AU"/>
              </w:rPr>
            </w:pPr>
            <w:r w:rsidRPr="00C10545">
              <w:rPr>
                <w:color w:val="000000"/>
                <w:sz w:val="16"/>
                <w:szCs w:val="16"/>
                <w:lang w:eastAsia="en-AU"/>
              </w:rPr>
              <w:t>3.18%</w:t>
            </w:r>
          </w:p>
        </w:tc>
      </w:tr>
      <w:tr w:rsidR="009A356E" w:rsidRPr="00C96EAB" w14:paraId="03FF5CD4" w14:textId="77777777" w:rsidTr="009A356E">
        <w:trPr>
          <w:trHeight w:val="225"/>
        </w:trPr>
        <w:tc>
          <w:tcPr>
            <w:tcW w:w="523" w:type="pct"/>
            <w:tcBorders>
              <w:top w:val="nil"/>
              <w:left w:val="single" w:sz="8" w:space="0" w:color="auto"/>
              <w:bottom w:val="single" w:sz="4" w:space="0" w:color="auto"/>
              <w:right w:val="nil"/>
            </w:tcBorders>
            <w:shd w:val="clear" w:color="auto" w:fill="auto"/>
            <w:noWrap/>
            <w:vAlign w:val="bottom"/>
            <w:hideMark/>
          </w:tcPr>
          <w:p w14:paraId="08DCF8EA" w14:textId="77777777" w:rsidR="009A356E" w:rsidRPr="00C10545" w:rsidRDefault="009A356E" w:rsidP="009A356E">
            <w:pPr>
              <w:rPr>
                <w:color w:val="000000"/>
                <w:sz w:val="16"/>
                <w:szCs w:val="16"/>
                <w:lang w:eastAsia="en-AU"/>
              </w:rPr>
            </w:pPr>
            <w:r w:rsidRPr="00C10545">
              <w:rPr>
                <w:color w:val="000000"/>
                <w:sz w:val="16"/>
                <w:szCs w:val="16"/>
                <w:lang w:eastAsia="en-AU"/>
              </w:rPr>
              <w:t>2003</w:t>
            </w:r>
          </w:p>
        </w:tc>
        <w:tc>
          <w:tcPr>
            <w:tcW w:w="342" w:type="pct"/>
            <w:tcBorders>
              <w:top w:val="nil"/>
              <w:left w:val="single" w:sz="8" w:space="0" w:color="auto"/>
              <w:bottom w:val="single" w:sz="4" w:space="0" w:color="auto"/>
              <w:right w:val="single" w:sz="4" w:space="0" w:color="auto"/>
            </w:tcBorders>
            <w:shd w:val="clear" w:color="000000" w:fill="F2F2F2"/>
            <w:noWrap/>
            <w:vAlign w:val="bottom"/>
            <w:hideMark/>
          </w:tcPr>
          <w:p w14:paraId="2045EC5F" w14:textId="77777777" w:rsidR="009A356E" w:rsidRPr="00C10545" w:rsidRDefault="009A356E" w:rsidP="009A356E">
            <w:pPr>
              <w:jc w:val="right"/>
              <w:rPr>
                <w:color w:val="000000"/>
                <w:sz w:val="16"/>
                <w:szCs w:val="16"/>
                <w:lang w:eastAsia="en-AU"/>
              </w:rPr>
            </w:pPr>
            <w:r w:rsidRPr="00C10545">
              <w:rPr>
                <w:color w:val="000000"/>
                <w:sz w:val="16"/>
                <w:szCs w:val="16"/>
                <w:lang w:eastAsia="en-AU"/>
              </w:rPr>
              <w:t>129.3</w:t>
            </w:r>
          </w:p>
        </w:tc>
        <w:tc>
          <w:tcPr>
            <w:tcW w:w="342" w:type="pct"/>
            <w:tcBorders>
              <w:top w:val="nil"/>
              <w:left w:val="nil"/>
              <w:bottom w:val="single" w:sz="4" w:space="0" w:color="auto"/>
              <w:right w:val="single" w:sz="4" w:space="0" w:color="auto"/>
            </w:tcBorders>
            <w:shd w:val="clear" w:color="000000" w:fill="D9D9D9"/>
            <w:noWrap/>
            <w:vAlign w:val="bottom"/>
            <w:hideMark/>
          </w:tcPr>
          <w:p w14:paraId="3589B74D" w14:textId="77777777" w:rsidR="009A356E" w:rsidRPr="00C10545" w:rsidRDefault="009A356E" w:rsidP="009A356E">
            <w:pPr>
              <w:jc w:val="right"/>
              <w:rPr>
                <w:color w:val="000000"/>
                <w:sz w:val="16"/>
                <w:szCs w:val="16"/>
                <w:lang w:eastAsia="en-AU"/>
              </w:rPr>
            </w:pPr>
            <w:r w:rsidRPr="00C10545">
              <w:rPr>
                <w:color w:val="000000"/>
                <w:sz w:val="16"/>
                <w:szCs w:val="16"/>
                <w:lang w:eastAsia="en-AU"/>
              </w:rPr>
              <w:t>69.9</w:t>
            </w:r>
          </w:p>
        </w:tc>
        <w:tc>
          <w:tcPr>
            <w:tcW w:w="342" w:type="pct"/>
            <w:tcBorders>
              <w:top w:val="nil"/>
              <w:left w:val="nil"/>
              <w:bottom w:val="single" w:sz="4" w:space="0" w:color="auto"/>
              <w:right w:val="single" w:sz="4" w:space="0" w:color="auto"/>
            </w:tcBorders>
            <w:shd w:val="clear" w:color="000000" w:fill="BFBFBF"/>
            <w:noWrap/>
            <w:vAlign w:val="bottom"/>
            <w:hideMark/>
          </w:tcPr>
          <w:p w14:paraId="7F49E70D" w14:textId="77777777" w:rsidR="009A356E" w:rsidRPr="00C10545" w:rsidRDefault="009A356E" w:rsidP="009A356E">
            <w:pPr>
              <w:jc w:val="right"/>
              <w:rPr>
                <w:color w:val="000000"/>
                <w:sz w:val="16"/>
                <w:szCs w:val="16"/>
                <w:lang w:eastAsia="en-AU"/>
              </w:rPr>
            </w:pPr>
            <w:r w:rsidRPr="00C10545">
              <w:rPr>
                <w:color w:val="000000"/>
                <w:sz w:val="16"/>
                <w:szCs w:val="16"/>
                <w:lang w:eastAsia="en-AU"/>
              </w:rPr>
              <w:t>199.2</w:t>
            </w:r>
          </w:p>
        </w:tc>
        <w:tc>
          <w:tcPr>
            <w:tcW w:w="374" w:type="pct"/>
            <w:tcBorders>
              <w:top w:val="nil"/>
              <w:left w:val="nil"/>
              <w:bottom w:val="single" w:sz="4" w:space="0" w:color="auto"/>
              <w:right w:val="single" w:sz="8" w:space="0" w:color="auto"/>
            </w:tcBorders>
            <w:shd w:val="clear" w:color="000000" w:fill="BFBFBF"/>
            <w:noWrap/>
            <w:vAlign w:val="bottom"/>
            <w:hideMark/>
          </w:tcPr>
          <w:p w14:paraId="5131D502" w14:textId="77777777" w:rsidR="009A356E" w:rsidRPr="00C10545" w:rsidRDefault="009A356E" w:rsidP="009A356E">
            <w:pPr>
              <w:jc w:val="right"/>
              <w:rPr>
                <w:color w:val="000000"/>
                <w:sz w:val="16"/>
                <w:szCs w:val="16"/>
                <w:lang w:eastAsia="en-AU"/>
              </w:rPr>
            </w:pPr>
            <w:r w:rsidRPr="00C10545">
              <w:rPr>
                <w:color w:val="000000"/>
                <w:sz w:val="16"/>
                <w:szCs w:val="16"/>
                <w:lang w:eastAsia="en-AU"/>
              </w:rPr>
              <w:t>8.50%</w:t>
            </w:r>
          </w:p>
        </w:tc>
        <w:tc>
          <w:tcPr>
            <w:tcW w:w="342" w:type="pct"/>
            <w:tcBorders>
              <w:top w:val="nil"/>
              <w:left w:val="nil"/>
              <w:bottom w:val="single" w:sz="4" w:space="0" w:color="auto"/>
              <w:right w:val="single" w:sz="4" w:space="0" w:color="auto"/>
            </w:tcBorders>
            <w:shd w:val="clear" w:color="000000" w:fill="F2F2F2"/>
            <w:noWrap/>
            <w:vAlign w:val="bottom"/>
            <w:hideMark/>
          </w:tcPr>
          <w:p w14:paraId="7FC58E28" w14:textId="77777777" w:rsidR="009A356E" w:rsidRPr="00C10545" w:rsidRDefault="009A356E" w:rsidP="009A356E">
            <w:pPr>
              <w:jc w:val="right"/>
              <w:rPr>
                <w:color w:val="000000"/>
                <w:sz w:val="16"/>
                <w:szCs w:val="16"/>
                <w:lang w:eastAsia="en-AU"/>
              </w:rPr>
            </w:pPr>
            <w:r w:rsidRPr="00C10545">
              <w:rPr>
                <w:color w:val="000000"/>
                <w:sz w:val="16"/>
                <w:szCs w:val="16"/>
                <w:lang w:eastAsia="en-AU"/>
              </w:rPr>
              <w:t>97.1</w:t>
            </w:r>
          </w:p>
        </w:tc>
        <w:tc>
          <w:tcPr>
            <w:tcW w:w="374" w:type="pct"/>
            <w:tcBorders>
              <w:top w:val="nil"/>
              <w:left w:val="nil"/>
              <w:bottom w:val="single" w:sz="4" w:space="0" w:color="auto"/>
              <w:right w:val="single" w:sz="8" w:space="0" w:color="auto"/>
            </w:tcBorders>
            <w:shd w:val="clear" w:color="000000" w:fill="F2F2F2"/>
            <w:noWrap/>
            <w:vAlign w:val="bottom"/>
            <w:hideMark/>
          </w:tcPr>
          <w:p w14:paraId="58EB8BF7" w14:textId="77777777" w:rsidR="009A356E" w:rsidRPr="00C10545" w:rsidRDefault="009A356E" w:rsidP="009A356E">
            <w:pPr>
              <w:jc w:val="right"/>
              <w:rPr>
                <w:color w:val="000000"/>
                <w:sz w:val="16"/>
                <w:szCs w:val="16"/>
                <w:lang w:eastAsia="en-AU"/>
              </w:rPr>
            </w:pPr>
            <w:r w:rsidRPr="00C10545">
              <w:rPr>
                <w:color w:val="000000"/>
                <w:sz w:val="16"/>
                <w:szCs w:val="16"/>
                <w:lang w:eastAsia="en-AU"/>
              </w:rPr>
              <w:t>7.12%</w:t>
            </w:r>
          </w:p>
        </w:tc>
        <w:tc>
          <w:tcPr>
            <w:tcW w:w="475" w:type="pct"/>
            <w:tcBorders>
              <w:top w:val="nil"/>
              <w:left w:val="nil"/>
              <w:bottom w:val="single" w:sz="4" w:space="0" w:color="auto"/>
              <w:right w:val="single" w:sz="4" w:space="0" w:color="auto"/>
            </w:tcBorders>
            <w:shd w:val="clear" w:color="000000" w:fill="D9D9D9"/>
            <w:noWrap/>
            <w:vAlign w:val="bottom"/>
            <w:hideMark/>
          </w:tcPr>
          <w:p w14:paraId="5F657119" w14:textId="77777777" w:rsidR="009A356E" w:rsidRPr="00C10545" w:rsidRDefault="009A356E" w:rsidP="009A356E">
            <w:pPr>
              <w:rPr>
                <w:color w:val="000000"/>
                <w:sz w:val="16"/>
                <w:szCs w:val="16"/>
                <w:lang w:eastAsia="en-AU"/>
              </w:rPr>
            </w:pPr>
            <w:r w:rsidRPr="00C10545">
              <w:rPr>
                <w:color w:val="000000"/>
                <w:sz w:val="16"/>
                <w:szCs w:val="16"/>
                <w:lang w:eastAsia="en-AU"/>
              </w:rPr>
              <w:t xml:space="preserve">      644.7 </w:t>
            </w:r>
          </w:p>
        </w:tc>
        <w:tc>
          <w:tcPr>
            <w:tcW w:w="422" w:type="pct"/>
            <w:tcBorders>
              <w:top w:val="nil"/>
              <w:left w:val="nil"/>
              <w:bottom w:val="single" w:sz="4" w:space="0" w:color="auto"/>
              <w:right w:val="single" w:sz="8" w:space="0" w:color="auto"/>
            </w:tcBorders>
            <w:shd w:val="clear" w:color="000000" w:fill="D9D9D9"/>
            <w:noWrap/>
            <w:vAlign w:val="bottom"/>
            <w:hideMark/>
          </w:tcPr>
          <w:p w14:paraId="51B0BB46" w14:textId="77777777" w:rsidR="009A356E" w:rsidRPr="00C10545" w:rsidRDefault="009A356E" w:rsidP="009A356E">
            <w:pPr>
              <w:jc w:val="right"/>
              <w:rPr>
                <w:color w:val="000000"/>
                <w:sz w:val="16"/>
                <w:szCs w:val="16"/>
                <w:lang w:eastAsia="en-AU"/>
              </w:rPr>
            </w:pPr>
            <w:r w:rsidRPr="00C10545">
              <w:rPr>
                <w:color w:val="000000"/>
                <w:sz w:val="16"/>
                <w:szCs w:val="16"/>
                <w:lang w:eastAsia="en-AU"/>
              </w:rPr>
              <w:t>10.94%</w:t>
            </w:r>
          </w:p>
        </w:tc>
        <w:tc>
          <w:tcPr>
            <w:tcW w:w="342" w:type="pct"/>
            <w:tcBorders>
              <w:top w:val="nil"/>
              <w:left w:val="nil"/>
              <w:bottom w:val="single" w:sz="4" w:space="0" w:color="auto"/>
              <w:right w:val="single" w:sz="4" w:space="0" w:color="auto"/>
            </w:tcBorders>
            <w:shd w:val="clear" w:color="000000" w:fill="BFBFBF"/>
            <w:noWrap/>
            <w:vAlign w:val="bottom"/>
            <w:hideMark/>
          </w:tcPr>
          <w:p w14:paraId="040D5B8D" w14:textId="77777777" w:rsidR="009A356E" w:rsidRPr="00C10545" w:rsidRDefault="009A356E" w:rsidP="009A356E">
            <w:pPr>
              <w:jc w:val="right"/>
              <w:rPr>
                <w:color w:val="000000"/>
                <w:sz w:val="16"/>
                <w:szCs w:val="16"/>
                <w:lang w:eastAsia="en-AU"/>
              </w:rPr>
            </w:pPr>
            <w:r w:rsidRPr="00C10545">
              <w:rPr>
                <w:color w:val="000000"/>
                <w:sz w:val="16"/>
                <w:szCs w:val="16"/>
                <w:lang w:eastAsia="en-AU"/>
              </w:rPr>
              <w:t>149.7</w:t>
            </w:r>
          </w:p>
        </w:tc>
        <w:tc>
          <w:tcPr>
            <w:tcW w:w="374" w:type="pct"/>
            <w:tcBorders>
              <w:top w:val="nil"/>
              <w:left w:val="nil"/>
              <w:bottom w:val="single" w:sz="4" w:space="0" w:color="auto"/>
              <w:right w:val="single" w:sz="8" w:space="0" w:color="auto"/>
            </w:tcBorders>
            <w:shd w:val="clear" w:color="000000" w:fill="BFBFBF"/>
            <w:noWrap/>
            <w:vAlign w:val="bottom"/>
            <w:hideMark/>
          </w:tcPr>
          <w:p w14:paraId="0F7DF203" w14:textId="77777777" w:rsidR="009A356E" w:rsidRPr="00C10545" w:rsidRDefault="009A356E" w:rsidP="009A356E">
            <w:pPr>
              <w:jc w:val="right"/>
              <w:rPr>
                <w:color w:val="000000"/>
                <w:sz w:val="16"/>
                <w:szCs w:val="16"/>
                <w:lang w:eastAsia="en-AU"/>
              </w:rPr>
            </w:pPr>
            <w:r w:rsidRPr="00C10545">
              <w:rPr>
                <w:color w:val="000000"/>
                <w:sz w:val="16"/>
                <w:szCs w:val="16"/>
                <w:lang w:eastAsia="en-AU"/>
              </w:rPr>
              <w:t>8.55%</w:t>
            </w:r>
          </w:p>
        </w:tc>
        <w:tc>
          <w:tcPr>
            <w:tcW w:w="374" w:type="pct"/>
            <w:tcBorders>
              <w:top w:val="nil"/>
              <w:left w:val="nil"/>
              <w:bottom w:val="single" w:sz="4" w:space="0" w:color="auto"/>
              <w:right w:val="single" w:sz="4" w:space="0" w:color="auto"/>
            </w:tcBorders>
            <w:shd w:val="clear" w:color="000000" w:fill="95B3D7"/>
            <w:noWrap/>
            <w:vAlign w:val="bottom"/>
            <w:hideMark/>
          </w:tcPr>
          <w:p w14:paraId="6DBA22FF" w14:textId="77777777" w:rsidR="009A356E" w:rsidRPr="00C10545" w:rsidRDefault="009A356E" w:rsidP="009A356E">
            <w:pPr>
              <w:jc w:val="right"/>
              <w:rPr>
                <w:color w:val="000000"/>
                <w:sz w:val="16"/>
                <w:szCs w:val="16"/>
                <w:lang w:eastAsia="en-AU"/>
              </w:rPr>
            </w:pPr>
            <w:r w:rsidRPr="00C10545">
              <w:rPr>
                <w:color w:val="000000"/>
                <w:sz w:val="16"/>
                <w:szCs w:val="16"/>
                <w:lang w:eastAsia="en-AU"/>
              </w:rPr>
              <w:t>3.21%</w:t>
            </w:r>
          </w:p>
        </w:tc>
        <w:tc>
          <w:tcPr>
            <w:tcW w:w="374" w:type="pct"/>
            <w:tcBorders>
              <w:top w:val="nil"/>
              <w:left w:val="nil"/>
              <w:bottom w:val="single" w:sz="4" w:space="0" w:color="auto"/>
              <w:right w:val="single" w:sz="8" w:space="0" w:color="auto"/>
            </w:tcBorders>
            <w:shd w:val="clear" w:color="000000" w:fill="00B0F0"/>
            <w:noWrap/>
            <w:vAlign w:val="bottom"/>
            <w:hideMark/>
          </w:tcPr>
          <w:p w14:paraId="18DD7C89" w14:textId="77777777" w:rsidR="009A356E" w:rsidRPr="00C10545" w:rsidRDefault="009A356E" w:rsidP="009A356E">
            <w:pPr>
              <w:jc w:val="right"/>
              <w:rPr>
                <w:color w:val="000000"/>
                <w:sz w:val="16"/>
                <w:szCs w:val="16"/>
                <w:lang w:eastAsia="en-AU"/>
              </w:rPr>
            </w:pPr>
            <w:r w:rsidRPr="00C10545">
              <w:rPr>
                <w:color w:val="000000"/>
                <w:sz w:val="16"/>
                <w:szCs w:val="16"/>
                <w:lang w:eastAsia="en-AU"/>
              </w:rPr>
              <w:t>3.32%</w:t>
            </w:r>
          </w:p>
        </w:tc>
      </w:tr>
      <w:tr w:rsidR="009A356E" w:rsidRPr="00C96EAB" w14:paraId="4E704522" w14:textId="77777777" w:rsidTr="009A356E">
        <w:trPr>
          <w:trHeight w:val="225"/>
        </w:trPr>
        <w:tc>
          <w:tcPr>
            <w:tcW w:w="523" w:type="pct"/>
            <w:tcBorders>
              <w:top w:val="nil"/>
              <w:left w:val="single" w:sz="8" w:space="0" w:color="auto"/>
              <w:bottom w:val="single" w:sz="4" w:space="0" w:color="auto"/>
              <w:right w:val="nil"/>
            </w:tcBorders>
            <w:shd w:val="clear" w:color="auto" w:fill="auto"/>
            <w:noWrap/>
            <w:vAlign w:val="bottom"/>
            <w:hideMark/>
          </w:tcPr>
          <w:p w14:paraId="7698E84F" w14:textId="77777777" w:rsidR="009A356E" w:rsidRPr="00C10545" w:rsidRDefault="009A356E" w:rsidP="009A356E">
            <w:pPr>
              <w:rPr>
                <w:color w:val="000000"/>
                <w:sz w:val="16"/>
                <w:szCs w:val="16"/>
                <w:lang w:eastAsia="en-AU"/>
              </w:rPr>
            </w:pPr>
            <w:r w:rsidRPr="00C10545">
              <w:rPr>
                <w:color w:val="000000"/>
                <w:sz w:val="16"/>
                <w:szCs w:val="16"/>
                <w:lang w:eastAsia="en-AU"/>
              </w:rPr>
              <w:t>2004</w:t>
            </w:r>
          </w:p>
        </w:tc>
        <w:tc>
          <w:tcPr>
            <w:tcW w:w="342" w:type="pct"/>
            <w:tcBorders>
              <w:top w:val="nil"/>
              <w:left w:val="single" w:sz="8" w:space="0" w:color="auto"/>
              <w:bottom w:val="single" w:sz="4" w:space="0" w:color="auto"/>
              <w:right w:val="single" w:sz="4" w:space="0" w:color="auto"/>
            </w:tcBorders>
            <w:shd w:val="clear" w:color="000000" w:fill="F2F2F2"/>
            <w:noWrap/>
            <w:vAlign w:val="bottom"/>
            <w:hideMark/>
          </w:tcPr>
          <w:p w14:paraId="631520D9" w14:textId="77777777" w:rsidR="009A356E" w:rsidRPr="00C10545" w:rsidRDefault="009A356E" w:rsidP="009A356E">
            <w:pPr>
              <w:jc w:val="right"/>
              <w:rPr>
                <w:color w:val="000000"/>
                <w:sz w:val="16"/>
                <w:szCs w:val="16"/>
                <w:lang w:eastAsia="en-AU"/>
              </w:rPr>
            </w:pPr>
            <w:r w:rsidRPr="00C10545">
              <w:rPr>
                <w:color w:val="000000"/>
                <w:sz w:val="16"/>
                <w:szCs w:val="16"/>
                <w:lang w:eastAsia="en-AU"/>
              </w:rPr>
              <w:t>135.6</w:t>
            </w:r>
          </w:p>
        </w:tc>
        <w:tc>
          <w:tcPr>
            <w:tcW w:w="342" w:type="pct"/>
            <w:tcBorders>
              <w:top w:val="nil"/>
              <w:left w:val="nil"/>
              <w:bottom w:val="single" w:sz="4" w:space="0" w:color="auto"/>
              <w:right w:val="single" w:sz="4" w:space="0" w:color="auto"/>
            </w:tcBorders>
            <w:shd w:val="clear" w:color="000000" w:fill="D9D9D9"/>
            <w:noWrap/>
            <w:vAlign w:val="bottom"/>
            <w:hideMark/>
          </w:tcPr>
          <w:p w14:paraId="3C9A124E" w14:textId="77777777" w:rsidR="009A356E" w:rsidRPr="00C10545" w:rsidRDefault="009A356E" w:rsidP="009A356E">
            <w:pPr>
              <w:jc w:val="right"/>
              <w:rPr>
                <w:color w:val="000000"/>
                <w:sz w:val="16"/>
                <w:szCs w:val="16"/>
                <w:lang w:eastAsia="en-AU"/>
              </w:rPr>
            </w:pPr>
            <w:r w:rsidRPr="00C10545">
              <w:rPr>
                <w:color w:val="000000"/>
                <w:sz w:val="16"/>
                <w:szCs w:val="16"/>
                <w:lang w:eastAsia="en-AU"/>
              </w:rPr>
              <w:t>73.3</w:t>
            </w:r>
          </w:p>
        </w:tc>
        <w:tc>
          <w:tcPr>
            <w:tcW w:w="342" w:type="pct"/>
            <w:tcBorders>
              <w:top w:val="nil"/>
              <w:left w:val="nil"/>
              <w:bottom w:val="single" w:sz="4" w:space="0" w:color="auto"/>
              <w:right w:val="single" w:sz="4" w:space="0" w:color="auto"/>
            </w:tcBorders>
            <w:shd w:val="clear" w:color="000000" w:fill="BFBFBF"/>
            <w:noWrap/>
            <w:vAlign w:val="bottom"/>
            <w:hideMark/>
          </w:tcPr>
          <w:p w14:paraId="7DBCFC45" w14:textId="77777777" w:rsidR="009A356E" w:rsidRPr="00C10545" w:rsidRDefault="009A356E" w:rsidP="009A356E">
            <w:pPr>
              <w:jc w:val="right"/>
              <w:rPr>
                <w:color w:val="000000"/>
                <w:sz w:val="16"/>
                <w:szCs w:val="16"/>
                <w:lang w:eastAsia="en-AU"/>
              </w:rPr>
            </w:pPr>
            <w:r w:rsidRPr="00C10545">
              <w:rPr>
                <w:color w:val="000000"/>
                <w:sz w:val="16"/>
                <w:szCs w:val="16"/>
                <w:lang w:eastAsia="en-AU"/>
              </w:rPr>
              <w:t>208.8</w:t>
            </w:r>
          </w:p>
        </w:tc>
        <w:tc>
          <w:tcPr>
            <w:tcW w:w="374" w:type="pct"/>
            <w:tcBorders>
              <w:top w:val="nil"/>
              <w:left w:val="nil"/>
              <w:bottom w:val="single" w:sz="4" w:space="0" w:color="auto"/>
              <w:right w:val="single" w:sz="8" w:space="0" w:color="auto"/>
            </w:tcBorders>
            <w:shd w:val="clear" w:color="000000" w:fill="BFBFBF"/>
            <w:noWrap/>
            <w:vAlign w:val="bottom"/>
            <w:hideMark/>
          </w:tcPr>
          <w:p w14:paraId="5626DD46" w14:textId="77777777" w:rsidR="009A356E" w:rsidRPr="00C10545" w:rsidRDefault="009A356E" w:rsidP="009A356E">
            <w:pPr>
              <w:jc w:val="right"/>
              <w:rPr>
                <w:color w:val="000000"/>
                <w:sz w:val="16"/>
                <w:szCs w:val="16"/>
                <w:lang w:eastAsia="en-AU"/>
              </w:rPr>
            </w:pPr>
            <w:r w:rsidRPr="00C10545">
              <w:rPr>
                <w:color w:val="000000"/>
                <w:sz w:val="16"/>
                <w:szCs w:val="16"/>
                <w:lang w:eastAsia="en-AU"/>
              </w:rPr>
              <w:t>4.82%</w:t>
            </w:r>
          </w:p>
        </w:tc>
        <w:tc>
          <w:tcPr>
            <w:tcW w:w="342" w:type="pct"/>
            <w:tcBorders>
              <w:top w:val="nil"/>
              <w:left w:val="nil"/>
              <w:bottom w:val="single" w:sz="4" w:space="0" w:color="auto"/>
              <w:right w:val="single" w:sz="4" w:space="0" w:color="auto"/>
            </w:tcBorders>
            <w:shd w:val="clear" w:color="000000" w:fill="F2F2F2"/>
            <w:noWrap/>
            <w:vAlign w:val="bottom"/>
            <w:hideMark/>
          </w:tcPr>
          <w:p w14:paraId="2C03AA29" w14:textId="77777777" w:rsidR="009A356E" w:rsidRPr="00C10545" w:rsidRDefault="009A356E" w:rsidP="009A356E">
            <w:pPr>
              <w:jc w:val="right"/>
              <w:rPr>
                <w:color w:val="000000"/>
                <w:sz w:val="16"/>
                <w:szCs w:val="16"/>
                <w:lang w:eastAsia="en-AU"/>
              </w:rPr>
            </w:pPr>
            <w:r w:rsidRPr="00C10545">
              <w:rPr>
                <w:color w:val="000000"/>
                <w:sz w:val="16"/>
                <w:szCs w:val="16"/>
                <w:lang w:eastAsia="en-AU"/>
              </w:rPr>
              <w:t>101.9</w:t>
            </w:r>
          </w:p>
        </w:tc>
        <w:tc>
          <w:tcPr>
            <w:tcW w:w="374" w:type="pct"/>
            <w:tcBorders>
              <w:top w:val="nil"/>
              <w:left w:val="nil"/>
              <w:bottom w:val="single" w:sz="4" w:space="0" w:color="auto"/>
              <w:right w:val="single" w:sz="8" w:space="0" w:color="auto"/>
            </w:tcBorders>
            <w:shd w:val="clear" w:color="000000" w:fill="F2F2F2"/>
            <w:noWrap/>
            <w:vAlign w:val="bottom"/>
            <w:hideMark/>
          </w:tcPr>
          <w:p w14:paraId="23A3B7AB" w14:textId="77777777" w:rsidR="009A356E" w:rsidRPr="00C10545" w:rsidRDefault="009A356E" w:rsidP="009A356E">
            <w:pPr>
              <w:jc w:val="right"/>
              <w:rPr>
                <w:color w:val="000000"/>
                <w:sz w:val="16"/>
                <w:szCs w:val="16"/>
                <w:lang w:eastAsia="en-AU"/>
              </w:rPr>
            </w:pPr>
            <w:r w:rsidRPr="00C10545">
              <w:rPr>
                <w:color w:val="000000"/>
                <w:sz w:val="16"/>
                <w:szCs w:val="16"/>
                <w:lang w:eastAsia="en-AU"/>
              </w:rPr>
              <w:t>4.89%</w:t>
            </w:r>
          </w:p>
        </w:tc>
        <w:tc>
          <w:tcPr>
            <w:tcW w:w="475" w:type="pct"/>
            <w:tcBorders>
              <w:top w:val="nil"/>
              <w:left w:val="nil"/>
              <w:bottom w:val="single" w:sz="4" w:space="0" w:color="auto"/>
              <w:right w:val="single" w:sz="4" w:space="0" w:color="auto"/>
            </w:tcBorders>
            <w:shd w:val="clear" w:color="000000" w:fill="D9D9D9"/>
            <w:noWrap/>
            <w:vAlign w:val="bottom"/>
            <w:hideMark/>
          </w:tcPr>
          <w:p w14:paraId="5AC9ED9E" w14:textId="77777777" w:rsidR="009A356E" w:rsidRPr="00C10545" w:rsidRDefault="009A356E" w:rsidP="009A356E">
            <w:pPr>
              <w:rPr>
                <w:color w:val="000000"/>
                <w:sz w:val="16"/>
                <w:szCs w:val="16"/>
                <w:lang w:eastAsia="en-AU"/>
              </w:rPr>
            </w:pPr>
            <w:r w:rsidRPr="00C10545">
              <w:rPr>
                <w:color w:val="000000"/>
                <w:sz w:val="16"/>
                <w:szCs w:val="16"/>
                <w:lang w:eastAsia="en-AU"/>
              </w:rPr>
              <w:t xml:space="preserve">      676.4 </w:t>
            </w:r>
          </w:p>
        </w:tc>
        <w:tc>
          <w:tcPr>
            <w:tcW w:w="422" w:type="pct"/>
            <w:tcBorders>
              <w:top w:val="nil"/>
              <w:left w:val="nil"/>
              <w:bottom w:val="single" w:sz="4" w:space="0" w:color="auto"/>
              <w:right w:val="single" w:sz="8" w:space="0" w:color="auto"/>
            </w:tcBorders>
            <w:shd w:val="clear" w:color="000000" w:fill="D9D9D9"/>
            <w:noWrap/>
            <w:vAlign w:val="bottom"/>
            <w:hideMark/>
          </w:tcPr>
          <w:p w14:paraId="0FAD9FB7" w14:textId="77777777" w:rsidR="009A356E" w:rsidRPr="00C10545" w:rsidRDefault="009A356E" w:rsidP="009A356E">
            <w:pPr>
              <w:jc w:val="right"/>
              <w:rPr>
                <w:color w:val="000000"/>
                <w:sz w:val="16"/>
                <w:szCs w:val="16"/>
                <w:lang w:eastAsia="en-AU"/>
              </w:rPr>
            </w:pPr>
            <w:r w:rsidRPr="00C10545">
              <w:rPr>
                <w:color w:val="000000"/>
                <w:sz w:val="16"/>
                <w:szCs w:val="16"/>
                <w:lang w:eastAsia="en-AU"/>
              </w:rPr>
              <w:t>4.92%</w:t>
            </w:r>
          </w:p>
        </w:tc>
        <w:tc>
          <w:tcPr>
            <w:tcW w:w="342" w:type="pct"/>
            <w:tcBorders>
              <w:top w:val="nil"/>
              <w:left w:val="nil"/>
              <w:bottom w:val="single" w:sz="4" w:space="0" w:color="auto"/>
              <w:right w:val="single" w:sz="4" w:space="0" w:color="auto"/>
            </w:tcBorders>
            <w:shd w:val="clear" w:color="000000" w:fill="BFBFBF"/>
            <w:noWrap/>
            <w:vAlign w:val="bottom"/>
            <w:hideMark/>
          </w:tcPr>
          <w:p w14:paraId="12D4F6BE" w14:textId="77777777" w:rsidR="009A356E" w:rsidRPr="00C10545" w:rsidRDefault="009A356E" w:rsidP="009A356E">
            <w:pPr>
              <w:jc w:val="right"/>
              <w:rPr>
                <w:color w:val="000000"/>
                <w:sz w:val="16"/>
                <w:szCs w:val="16"/>
                <w:lang w:eastAsia="en-AU"/>
              </w:rPr>
            </w:pPr>
            <w:r w:rsidRPr="00C10545">
              <w:rPr>
                <w:color w:val="000000"/>
                <w:sz w:val="16"/>
                <w:szCs w:val="16"/>
                <w:lang w:eastAsia="en-AU"/>
              </w:rPr>
              <w:t>156.9</w:t>
            </w:r>
          </w:p>
        </w:tc>
        <w:tc>
          <w:tcPr>
            <w:tcW w:w="374" w:type="pct"/>
            <w:tcBorders>
              <w:top w:val="nil"/>
              <w:left w:val="nil"/>
              <w:bottom w:val="single" w:sz="4" w:space="0" w:color="auto"/>
              <w:right w:val="single" w:sz="8" w:space="0" w:color="auto"/>
            </w:tcBorders>
            <w:shd w:val="clear" w:color="000000" w:fill="BFBFBF"/>
            <w:noWrap/>
            <w:vAlign w:val="bottom"/>
            <w:hideMark/>
          </w:tcPr>
          <w:p w14:paraId="0F0A8089" w14:textId="77777777" w:rsidR="009A356E" w:rsidRPr="00C10545" w:rsidRDefault="009A356E" w:rsidP="009A356E">
            <w:pPr>
              <w:jc w:val="right"/>
              <w:rPr>
                <w:color w:val="000000"/>
                <w:sz w:val="16"/>
                <w:szCs w:val="16"/>
                <w:lang w:eastAsia="en-AU"/>
              </w:rPr>
            </w:pPr>
            <w:r w:rsidRPr="00C10545">
              <w:rPr>
                <w:color w:val="000000"/>
                <w:sz w:val="16"/>
                <w:szCs w:val="16"/>
                <w:lang w:eastAsia="en-AU"/>
              </w:rPr>
              <w:t>4.85%</w:t>
            </w:r>
          </w:p>
        </w:tc>
        <w:tc>
          <w:tcPr>
            <w:tcW w:w="374" w:type="pct"/>
            <w:tcBorders>
              <w:top w:val="nil"/>
              <w:left w:val="nil"/>
              <w:bottom w:val="single" w:sz="4" w:space="0" w:color="auto"/>
              <w:right w:val="single" w:sz="4" w:space="0" w:color="auto"/>
            </w:tcBorders>
            <w:shd w:val="clear" w:color="000000" w:fill="95B3D7"/>
            <w:noWrap/>
            <w:vAlign w:val="bottom"/>
            <w:hideMark/>
          </w:tcPr>
          <w:p w14:paraId="20F1D360" w14:textId="77777777" w:rsidR="009A356E" w:rsidRPr="00C10545" w:rsidRDefault="009A356E" w:rsidP="009A356E">
            <w:pPr>
              <w:jc w:val="right"/>
              <w:rPr>
                <w:color w:val="000000"/>
                <w:sz w:val="16"/>
                <w:szCs w:val="16"/>
                <w:lang w:eastAsia="en-AU"/>
              </w:rPr>
            </w:pPr>
            <w:r w:rsidRPr="00C10545">
              <w:rPr>
                <w:color w:val="000000"/>
                <w:sz w:val="16"/>
                <w:szCs w:val="16"/>
                <w:lang w:eastAsia="en-AU"/>
              </w:rPr>
              <w:t>2.33%</w:t>
            </w:r>
          </w:p>
        </w:tc>
        <w:tc>
          <w:tcPr>
            <w:tcW w:w="374" w:type="pct"/>
            <w:tcBorders>
              <w:top w:val="nil"/>
              <w:left w:val="nil"/>
              <w:bottom w:val="single" w:sz="4" w:space="0" w:color="auto"/>
              <w:right w:val="single" w:sz="8" w:space="0" w:color="auto"/>
            </w:tcBorders>
            <w:shd w:val="clear" w:color="000000" w:fill="00B0F0"/>
            <w:noWrap/>
            <w:vAlign w:val="bottom"/>
            <w:hideMark/>
          </w:tcPr>
          <w:p w14:paraId="7846C7EA" w14:textId="77777777" w:rsidR="009A356E" w:rsidRPr="00C10545" w:rsidRDefault="009A356E" w:rsidP="009A356E">
            <w:pPr>
              <w:jc w:val="right"/>
              <w:rPr>
                <w:color w:val="000000"/>
                <w:sz w:val="16"/>
                <w:szCs w:val="16"/>
                <w:lang w:eastAsia="en-AU"/>
              </w:rPr>
            </w:pPr>
            <w:r w:rsidRPr="00C10545">
              <w:rPr>
                <w:color w:val="000000"/>
                <w:sz w:val="16"/>
                <w:szCs w:val="16"/>
                <w:lang w:eastAsia="en-AU"/>
              </w:rPr>
              <w:t>2.69%</w:t>
            </w:r>
          </w:p>
        </w:tc>
      </w:tr>
      <w:tr w:rsidR="009A356E" w:rsidRPr="00C96EAB" w14:paraId="4DDE4539" w14:textId="77777777" w:rsidTr="009A356E">
        <w:trPr>
          <w:trHeight w:val="225"/>
        </w:trPr>
        <w:tc>
          <w:tcPr>
            <w:tcW w:w="523" w:type="pct"/>
            <w:tcBorders>
              <w:top w:val="nil"/>
              <w:left w:val="single" w:sz="8" w:space="0" w:color="auto"/>
              <w:bottom w:val="single" w:sz="4" w:space="0" w:color="auto"/>
              <w:right w:val="nil"/>
            </w:tcBorders>
            <w:shd w:val="clear" w:color="auto" w:fill="auto"/>
            <w:noWrap/>
            <w:vAlign w:val="bottom"/>
            <w:hideMark/>
          </w:tcPr>
          <w:p w14:paraId="4418FD32" w14:textId="77777777" w:rsidR="009A356E" w:rsidRPr="00C10545" w:rsidRDefault="009A356E" w:rsidP="009A356E">
            <w:pPr>
              <w:rPr>
                <w:color w:val="000000"/>
                <w:sz w:val="16"/>
                <w:szCs w:val="16"/>
                <w:lang w:eastAsia="en-AU"/>
              </w:rPr>
            </w:pPr>
            <w:r w:rsidRPr="00C10545">
              <w:rPr>
                <w:color w:val="000000"/>
                <w:sz w:val="16"/>
                <w:szCs w:val="16"/>
                <w:lang w:eastAsia="en-AU"/>
              </w:rPr>
              <w:t>2005</w:t>
            </w:r>
          </w:p>
        </w:tc>
        <w:tc>
          <w:tcPr>
            <w:tcW w:w="342" w:type="pct"/>
            <w:tcBorders>
              <w:top w:val="nil"/>
              <w:left w:val="single" w:sz="8" w:space="0" w:color="auto"/>
              <w:bottom w:val="single" w:sz="4" w:space="0" w:color="auto"/>
              <w:right w:val="single" w:sz="4" w:space="0" w:color="auto"/>
            </w:tcBorders>
            <w:shd w:val="clear" w:color="000000" w:fill="F2F2F2"/>
            <w:noWrap/>
            <w:vAlign w:val="bottom"/>
            <w:hideMark/>
          </w:tcPr>
          <w:p w14:paraId="0DB64AD2" w14:textId="77777777" w:rsidR="009A356E" w:rsidRPr="00C10545" w:rsidRDefault="009A356E" w:rsidP="009A356E">
            <w:pPr>
              <w:jc w:val="right"/>
              <w:rPr>
                <w:color w:val="000000"/>
                <w:sz w:val="16"/>
                <w:szCs w:val="16"/>
                <w:lang w:eastAsia="en-AU"/>
              </w:rPr>
            </w:pPr>
            <w:r w:rsidRPr="00C10545">
              <w:rPr>
                <w:color w:val="000000"/>
                <w:sz w:val="16"/>
                <w:szCs w:val="16"/>
                <w:lang w:eastAsia="en-AU"/>
              </w:rPr>
              <w:t>137.7</w:t>
            </w:r>
          </w:p>
        </w:tc>
        <w:tc>
          <w:tcPr>
            <w:tcW w:w="342" w:type="pct"/>
            <w:tcBorders>
              <w:top w:val="nil"/>
              <w:left w:val="nil"/>
              <w:bottom w:val="single" w:sz="4" w:space="0" w:color="auto"/>
              <w:right w:val="single" w:sz="4" w:space="0" w:color="auto"/>
            </w:tcBorders>
            <w:shd w:val="clear" w:color="000000" w:fill="D9D9D9"/>
            <w:noWrap/>
            <w:vAlign w:val="bottom"/>
            <w:hideMark/>
          </w:tcPr>
          <w:p w14:paraId="25612418" w14:textId="77777777" w:rsidR="009A356E" w:rsidRPr="00C10545" w:rsidRDefault="009A356E" w:rsidP="009A356E">
            <w:pPr>
              <w:jc w:val="right"/>
              <w:rPr>
                <w:color w:val="000000"/>
                <w:sz w:val="16"/>
                <w:szCs w:val="16"/>
                <w:lang w:eastAsia="en-AU"/>
              </w:rPr>
            </w:pPr>
            <w:r w:rsidRPr="00C10545">
              <w:rPr>
                <w:color w:val="000000"/>
                <w:sz w:val="16"/>
                <w:szCs w:val="16"/>
                <w:lang w:eastAsia="en-AU"/>
              </w:rPr>
              <w:t>73.9</w:t>
            </w:r>
          </w:p>
        </w:tc>
        <w:tc>
          <w:tcPr>
            <w:tcW w:w="342" w:type="pct"/>
            <w:tcBorders>
              <w:top w:val="nil"/>
              <w:left w:val="nil"/>
              <w:bottom w:val="single" w:sz="4" w:space="0" w:color="auto"/>
              <w:right w:val="single" w:sz="4" w:space="0" w:color="auto"/>
            </w:tcBorders>
            <w:shd w:val="clear" w:color="000000" w:fill="BFBFBF"/>
            <w:noWrap/>
            <w:vAlign w:val="bottom"/>
            <w:hideMark/>
          </w:tcPr>
          <w:p w14:paraId="1AB28357" w14:textId="77777777" w:rsidR="009A356E" w:rsidRPr="00C10545" w:rsidRDefault="009A356E" w:rsidP="009A356E">
            <w:pPr>
              <w:jc w:val="right"/>
              <w:rPr>
                <w:color w:val="000000"/>
                <w:sz w:val="16"/>
                <w:szCs w:val="16"/>
                <w:lang w:eastAsia="en-AU"/>
              </w:rPr>
            </w:pPr>
            <w:r w:rsidRPr="00C10545">
              <w:rPr>
                <w:color w:val="000000"/>
                <w:sz w:val="16"/>
                <w:szCs w:val="16"/>
                <w:lang w:eastAsia="en-AU"/>
              </w:rPr>
              <w:t>211.6</w:t>
            </w:r>
          </w:p>
        </w:tc>
        <w:tc>
          <w:tcPr>
            <w:tcW w:w="374" w:type="pct"/>
            <w:tcBorders>
              <w:top w:val="nil"/>
              <w:left w:val="nil"/>
              <w:bottom w:val="single" w:sz="4" w:space="0" w:color="auto"/>
              <w:right w:val="single" w:sz="8" w:space="0" w:color="auto"/>
            </w:tcBorders>
            <w:shd w:val="clear" w:color="000000" w:fill="BFBFBF"/>
            <w:noWrap/>
            <w:vAlign w:val="bottom"/>
            <w:hideMark/>
          </w:tcPr>
          <w:p w14:paraId="4D65532E" w14:textId="77777777" w:rsidR="009A356E" w:rsidRPr="00C10545" w:rsidRDefault="009A356E" w:rsidP="009A356E">
            <w:pPr>
              <w:jc w:val="right"/>
              <w:rPr>
                <w:color w:val="000000"/>
                <w:sz w:val="16"/>
                <w:szCs w:val="16"/>
                <w:lang w:eastAsia="en-AU"/>
              </w:rPr>
            </w:pPr>
            <w:r w:rsidRPr="00C10545">
              <w:rPr>
                <w:color w:val="000000"/>
                <w:sz w:val="16"/>
                <w:szCs w:val="16"/>
                <w:lang w:eastAsia="en-AU"/>
              </w:rPr>
              <w:t>1.33%</w:t>
            </w:r>
          </w:p>
        </w:tc>
        <w:tc>
          <w:tcPr>
            <w:tcW w:w="342" w:type="pct"/>
            <w:tcBorders>
              <w:top w:val="nil"/>
              <w:left w:val="nil"/>
              <w:bottom w:val="single" w:sz="4" w:space="0" w:color="auto"/>
              <w:right w:val="single" w:sz="4" w:space="0" w:color="auto"/>
            </w:tcBorders>
            <w:shd w:val="clear" w:color="000000" w:fill="F2F2F2"/>
            <w:noWrap/>
            <w:vAlign w:val="bottom"/>
            <w:hideMark/>
          </w:tcPr>
          <w:p w14:paraId="4334FCDA" w14:textId="77777777" w:rsidR="009A356E" w:rsidRPr="00C10545" w:rsidRDefault="009A356E" w:rsidP="009A356E">
            <w:pPr>
              <w:jc w:val="right"/>
              <w:rPr>
                <w:color w:val="000000"/>
                <w:sz w:val="16"/>
                <w:szCs w:val="16"/>
                <w:lang w:eastAsia="en-AU"/>
              </w:rPr>
            </w:pPr>
            <w:r w:rsidRPr="00C10545">
              <w:rPr>
                <w:color w:val="000000"/>
                <w:sz w:val="16"/>
                <w:szCs w:val="16"/>
                <w:lang w:eastAsia="en-AU"/>
              </w:rPr>
              <w:t>102.9</w:t>
            </w:r>
          </w:p>
        </w:tc>
        <w:tc>
          <w:tcPr>
            <w:tcW w:w="374" w:type="pct"/>
            <w:tcBorders>
              <w:top w:val="nil"/>
              <w:left w:val="nil"/>
              <w:bottom w:val="single" w:sz="4" w:space="0" w:color="auto"/>
              <w:right w:val="single" w:sz="8" w:space="0" w:color="auto"/>
            </w:tcBorders>
            <w:shd w:val="clear" w:color="000000" w:fill="F2F2F2"/>
            <w:noWrap/>
            <w:vAlign w:val="bottom"/>
            <w:hideMark/>
          </w:tcPr>
          <w:p w14:paraId="62D51BAC" w14:textId="77777777" w:rsidR="009A356E" w:rsidRPr="00C10545" w:rsidRDefault="009A356E" w:rsidP="009A356E">
            <w:pPr>
              <w:jc w:val="right"/>
              <w:rPr>
                <w:color w:val="000000"/>
                <w:sz w:val="16"/>
                <w:szCs w:val="16"/>
                <w:lang w:eastAsia="en-AU"/>
              </w:rPr>
            </w:pPr>
            <w:r w:rsidRPr="00C10545">
              <w:rPr>
                <w:color w:val="000000"/>
                <w:sz w:val="16"/>
                <w:szCs w:val="16"/>
                <w:lang w:eastAsia="en-AU"/>
              </w:rPr>
              <w:t>1.02%</w:t>
            </w:r>
          </w:p>
        </w:tc>
        <w:tc>
          <w:tcPr>
            <w:tcW w:w="475" w:type="pct"/>
            <w:tcBorders>
              <w:top w:val="nil"/>
              <w:left w:val="nil"/>
              <w:bottom w:val="single" w:sz="4" w:space="0" w:color="auto"/>
              <w:right w:val="single" w:sz="4" w:space="0" w:color="auto"/>
            </w:tcBorders>
            <w:shd w:val="clear" w:color="000000" w:fill="D9D9D9"/>
            <w:noWrap/>
            <w:vAlign w:val="bottom"/>
            <w:hideMark/>
          </w:tcPr>
          <w:p w14:paraId="24938594" w14:textId="77777777" w:rsidR="009A356E" w:rsidRPr="00C10545" w:rsidRDefault="009A356E" w:rsidP="009A356E">
            <w:pPr>
              <w:rPr>
                <w:color w:val="000000"/>
                <w:sz w:val="16"/>
                <w:szCs w:val="16"/>
                <w:lang w:eastAsia="en-AU"/>
              </w:rPr>
            </w:pPr>
            <w:r w:rsidRPr="00C10545">
              <w:rPr>
                <w:color w:val="000000"/>
                <w:sz w:val="16"/>
                <w:szCs w:val="16"/>
                <w:lang w:eastAsia="en-AU"/>
              </w:rPr>
              <w:t xml:space="preserve">      684.4 </w:t>
            </w:r>
          </w:p>
        </w:tc>
        <w:tc>
          <w:tcPr>
            <w:tcW w:w="422" w:type="pct"/>
            <w:tcBorders>
              <w:top w:val="nil"/>
              <w:left w:val="nil"/>
              <w:bottom w:val="single" w:sz="4" w:space="0" w:color="auto"/>
              <w:right w:val="single" w:sz="8" w:space="0" w:color="auto"/>
            </w:tcBorders>
            <w:shd w:val="clear" w:color="000000" w:fill="D9D9D9"/>
            <w:noWrap/>
            <w:vAlign w:val="bottom"/>
            <w:hideMark/>
          </w:tcPr>
          <w:p w14:paraId="4A784E6A" w14:textId="77777777" w:rsidR="009A356E" w:rsidRPr="00C10545" w:rsidRDefault="009A356E" w:rsidP="009A356E">
            <w:pPr>
              <w:jc w:val="right"/>
              <w:rPr>
                <w:color w:val="000000"/>
                <w:sz w:val="16"/>
                <w:szCs w:val="16"/>
                <w:lang w:eastAsia="en-AU"/>
              </w:rPr>
            </w:pPr>
            <w:r w:rsidRPr="00C10545">
              <w:rPr>
                <w:color w:val="000000"/>
                <w:sz w:val="16"/>
                <w:szCs w:val="16"/>
                <w:lang w:eastAsia="en-AU"/>
              </w:rPr>
              <w:t>1.18%</w:t>
            </w:r>
          </w:p>
        </w:tc>
        <w:tc>
          <w:tcPr>
            <w:tcW w:w="342" w:type="pct"/>
            <w:tcBorders>
              <w:top w:val="nil"/>
              <w:left w:val="nil"/>
              <w:bottom w:val="single" w:sz="4" w:space="0" w:color="auto"/>
              <w:right w:val="single" w:sz="4" w:space="0" w:color="auto"/>
            </w:tcBorders>
            <w:shd w:val="clear" w:color="000000" w:fill="BFBFBF"/>
            <w:noWrap/>
            <w:vAlign w:val="bottom"/>
            <w:hideMark/>
          </w:tcPr>
          <w:p w14:paraId="04651593" w14:textId="77777777" w:rsidR="009A356E" w:rsidRPr="00C10545" w:rsidRDefault="009A356E" w:rsidP="009A356E">
            <w:pPr>
              <w:jc w:val="right"/>
              <w:rPr>
                <w:color w:val="000000"/>
                <w:sz w:val="16"/>
                <w:szCs w:val="16"/>
                <w:lang w:eastAsia="en-AU"/>
              </w:rPr>
            </w:pPr>
            <w:r w:rsidRPr="00C10545">
              <w:rPr>
                <w:color w:val="000000"/>
                <w:sz w:val="16"/>
                <w:szCs w:val="16"/>
                <w:lang w:eastAsia="en-AU"/>
              </w:rPr>
              <w:t>158.2</w:t>
            </w:r>
          </w:p>
        </w:tc>
        <w:tc>
          <w:tcPr>
            <w:tcW w:w="374" w:type="pct"/>
            <w:tcBorders>
              <w:top w:val="nil"/>
              <w:left w:val="nil"/>
              <w:bottom w:val="single" w:sz="4" w:space="0" w:color="auto"/>
              <w:right w:val="single" w:sz="8" w:space="0" w:color="auto"/>
            </w:tcBorders>
            <w:shd w:val="clear" w:color="000000" w:fill="BFBFBF"/>
            <w:noWrap/>
            <w:vAlign w:val="bottom"/>
            <w:hideMark/>
          </w:tcPr>
          <w:p w14:paraId="34F94C72" w14:textId="77777777" w:rsidR="009A356E" w:rsidRPr="00C10545" w:rsidRDefault="009A356E" w:rsidP="009A356E">
            <w:pPr>
              <w:jc w:val="right"/>
              <w:rPr>
                <w:color w:val="000000"/>
                <w:sz w:val="16"/>
                <w:szCs w:val="16"/>
                <w:lang w:eastAsia="en-AU"/>
              </w:rPr>
            </w:pPr>
            <w:r w:rsidRPr="00C10545">
              <w:rPr>
                <w:color w:val="000000"/>
                <w:sz w:val="16"/>
                <w:szCs w:val="16"/>
                <w:lang w:eastAsia="en-AU"/>
              </w:rPr>
              <w:t>0.79%</w:t>
            </w:r>
          </w:p>
        </w:tc>
        <w:tc>
          <w:tcPr>
            <w:tcW w:w="374" w:type="pct"/>
            <w:tcBorders>
              <w:top w:val="nil"/>
              <w:left w:val="nil"/>
              <w:bottom w:val="single" w:sz="4" w:space="0" w:color="auto"/>
              <w:right w:val="single" w:sz="4" w:space="0" w:color="auto"/>
            </w:tcBorders>
            <w:shd w:val="clear" w:color="000000" w:fill="95B3D7"/>
            <w:noWrap/>
            <w:vAlign w:val="bottom"/>
            <w:hideMark/>
          </w:tcPr>
          <w:p w14:paraId="5AF6730D" w14:textId="77777777" w:rsidR="009A356E" w:rsidRPr="00C10545" w:rsidRDefault="009A356E" w:rsidP="009A356E">
            <w:pPr>
              <w:jc w:val="right"/>
              <w:rPr>
                <w:color w:val="000000"/>
                <w:sz w:val="16"/>
                <w:szCs w:val="16"/>
                <w:lang w:eastAsia="en-AU"/>
              </w:rPr>
            </w:pPr>
            <w:r w:rsidRPr="00C10545">
              <w:rPr>
                <w:color w:val="000000"/>
                <w:sz w:val="16"/>
                <w:szCs w:val="16"/>
                <w:lang w:eastAsia="en-AU"/>
              </w:rPr>
              <w:t>1.90%</w:t>
            </w:r>
          </w:p>
        </w:tc>
        <w:tc>
          <w:tcPr>
            <w:tcW w:w="374" w:type="pct"/>
            <w:tcBorders>
              <w:top w:val="nil"/>
              <w:left w:val="nil"/>
              <w:bottom w:val="single" w:sz="4" w:space="0" w:color="auto"/>
              <w:right w:val="single" w:sz="8" w:space="0" w:color="auto"/>
            </w:tcBorders>
            <w:shd w:val="clear" w:color="000000" w:fill="00B0F0"/>
            <w:noWrap/>
            <w:vAlign w:val="bottom"/>
            <w:hideMark/>
          </w:tcPr>
          <w:p w14:paraId="3BA8980F" w14:textId="77777777" w:rsidR="009A356E" w:rsidRPr="00C10545" w:rsidRDefault="009A356E" w:rsidP="009A356E">
            <w:pPr>
              <w:jc w:val="right"/>
              <w:rPr>
                <w:color w:val="000000"/>
                <w:sz w:val="16"/>
                <w:szCs w:val="16"/>
                <w:lang w:eastAsia="en-AU"/>
              </w:rPr>
            </w:pPr>
            <w:r w:rsidRPr="00C10545">
              <w:rPr>
                <w:color w:val="000000"/>
                <w:sz w:val="16"/>
                <w:szCs w:val="16"/>
                <w:lang w:eastAsia="en-AU"/>
              </w:rPr>
              <w:t>2.73%</w:t>
            </w:r>
          </w:p>
        </w:tc>
      </w:tr>
      <w:tr w:rsidR="009A356E" w:rsidRPr="00C96EAB" w14:paraId="400F6B0F" w14:textId="77777777" w:rsidTr="009A356E">
        <w:trPr>
          <w:trHeight w:val="225"/>
        </w:trPr>
        <w:tc>
          <w:tcPr>
            <w:tcW w:w="523" w:type="pct"/>
            <w:tcBorders>
              <w:top w:val="nil"/>
              <w:left w:val="single" w:sz="8" w:space="0" w:color="auto"/>
              <w:bottom w:val="single" w:sz="4" w:space="0" w:color="auto"/>
              <w:right w:val="nil"/>
            </w:tcBorders>
            <w:shd w:val="clear" w:color="auto" w:fill="auto"/>
            <w:noWrap/>
            <w:vAlign w:val="bottom"/>
            <w:hideMark/>
          </w:tcPr>
          <w:p w14:paraId="63128A60" w14:textId="77777777" w:rsidR="009A356E" w:rsidRPr="00C10545" w:rsidRDefault="009A356E" w:rsidP="009A356E">
            <w:pPr>
              <w:rPr>
                <w:color w:val="000000"/>
                <w:sz w:val="16"/>
                <w:szCs w:val="16"/>
                <w:lang w:eastAsia="en-AU"/>
              </w:rPr>
            </w:pPr>
            <w:r w:rsidRPr="00C10545">
              <w:rPr>
                <w:color w:val="000000"/>
                <w:sz w:val="16"/>
                <w:szCs w:val="16"/>
                <w:lang w:eastAsia="en-AU"/>
              </w:rPr>
              <w:t>2006</w:t>
            </w:r>
          </w:p>
        </w:tc>
        <w:tc>
          <w:tcPr>
            <w:tcW w:w="342" w:type="pct"/>
            <w:tcBorders>
              <w:top w:val="nil"/>
              <w:left w:val="single" w:sz="8" w:space="0" w:color="auto"/>
              <w:bottom w:val="single" w:sz="4" w:space="0" w:color="auto"/>
              <w:right w:val="single" w:sz="4" w:space="0" w:color="auto"/>
            </w:tcBorders>
            <w:shd w:val="clear" w:color="000000" w:fill="F2F2F2"/>
            <w:noWrap/>
            <w:vAlign w:val="bottom"/>
            <w:hideMark/>
          </w:tcPr>
          <w:p w14:paraId="59536994" w14:textId="77777777" w:rsidR="009A356E" w:rsidRPr="00C10545" w:rsidRDefault="009A356E" w:rsidP="009A356E">
            <w:pPr>
              <w:jc w:val="right"/>
              <w:rPr>
                <w:color w:val="000000"/>
                <w:sz w:val="16"/>
                <w:szCs w:val="16"/>
                <w:lang w:eastAsia="en-AU"/>
              </w:rPr>
            </w:pPr>
            <w:r w:rsidRPr="00C10545">
              <w:rPr>
                <w:color w:val="000000"/>
                <w:sz w:val="16"/>
                <w:szCs w:val="16"/>
                <w:lang w:eastAsia="en-AU"/>
              </w:rPr>
              <w:t>150.1</w:t>
            </w:r>
          </w:p>
        </w:tc>
        <w:tc>
          <w:tcPr>
            <w:tcW w:w="342" w:type="pct"/>
            <w:tcBorders>
              <w:top w:val="nil"/>
              <w:left w:val="nil"/>
              <w:bottom w:val="single" w:sz="4" w:space="0" w:color="auto"/>
              <w:right w:val="single" w:sz="4" w:space="0" w:color="auto"/>
            </w:tcBorders>
            <w:shd w:val="clear" w:color="000000" w:fill="D9D9D9"/>
            <w:noWrap/>
            <w:vAlign w:val="bottom"/>
            <w:hideMark/>
          </w:tcPr>
          <w:p w14:paraId="70063166" w14:textId="77777777" w:rsidR="009A356E" w:rsidRPr="00C10545" w:rsidRDefault="009A356E" w:rsidP="009A356E">
            <w:pPr>
              <w:jc w:val="right"/>
              <w:rPr>
                <w:color w:val="000000"/>
                <w:sz w:val="16"/>
                <w:szCs w:val="16"/>
                <w:lang w:eastAsia="en-AU"/>
              </w:rPr>
            </w:pPr>
            <w:r w:rsidRPr="00C10545">
              <w:rPr>
                <w:color w:val="000000"/>
                <w:sz w:val="16"/>
                <w:szCs w:val="16"/>
                <w:lang w:eastAsia="en-AU"/>
              </w:rPr>
              <w:t>77.6</w:t>
            </w:r>
          </w:p>
        </w:tc>
        <w:tc>
          <w:tcPr>
            <w:tcW w:w="342" w:type="pct"/>
            <w:tcBorders>
              <w:top w:val="nil"/>
              <w:left w:val="nil"/>
              <w:bottom w:val="single" w:sz="4" w:space="0" w:color="auto"/>
              <w:right w:val="single" w:sz="4" w:space="0" w:color="auto"/>
            </w:tcBorders>
            <w:shd w:val="clear" w:color="000000" w:fill="BFBFBF"/>
            <w:noWrap/>
            <w:vAlign w:val="bottom"/>
            <w:hideMark/>
          </w:tcPr>
          <w:p w14:paraId="38A1FFB4" w14:textId="77777777" w:rsidR="009A356E" w:rsidRPr="00C10545" w:rsidRDefault="009A356E" w:rsidP="009A356E">
            <w:pPr>
              <w:jc w:val="right"/>
              <w:rPr>
                <w:color w:val="000000"/>
                <w:sz w:val="16"/>
                <w:szCs w:val="16"/>
                <w:lang w:eastAsia="en-AU"/>
              </w:rPr>
            </w:pPr>
            <w:r w:rsidRPr="00C10545">
              <w:rPr>
                <w:color w:val="000000"/>
                <w:sz w:val="16"/>
                <w:szCs w:val="16"/>
                <w:lang w:eastAsia="en-AU"/>
              </w:rPr>
              <w:t>227.7</w:t>
            </w:r>
          </w:p>
        </w:tc>
        <w:tc>
          <w:tcPr>
            <w:tcW w:w="374" w:type="pct"/>
            <w:tcBorders>
              <w:top w:val="nil"/>
              <w:left w:val="nil"/>
              <w:bottom w:val="single" w:sz="4" w:space="0" w:color="auto"/>
              <w:right w:val="single" w:sz="8" w:space="0" w:color="auto"/>
            </w:tcBorders>
            <w:shd w:val="clear" w:color="000000" w:fill="BFBFBF"/>
            <w:noWrap/>
            <w:vAlign w:val="bottom"/>
            <w:hideMark/>
          </w:tcPr>
          <w:p w14:paraId="39DB7A94" w14:textId="77777777" w:rsidR="009A356E" w:rsidRPr="00C10545" w:rsidRDefault="009A356E" w:rsidP="009A356E">
            <w:pPr>
              <w:jc w:val="right"/>
              <w:rPr>
                <w:color w:val="000000"/>
                <w:sz w:val="16"/>
                <w:szCs w:val="16"/>
                <w:lang w:eastAsia="en-AU"/>
              </w:rPr>
            </w:pPr>
            <w:r w:rsidRPr="00C10545">
              <w:rPr>
                <w:color w:val="000000"/>
                <w:sz w:val="16"/>
                <w:szCs w:val="16"/>
                <w:lang w:eastAsia="en-AU"/>
              </w:rPr>
              <w:t>7.59%</w:t>
            </w:r>
          </w:p>
        </w:tc>
        <w:tc>
          <w:tcPr>
            <w:tcW w:w="342" w:type="pct"/>
            <w:tcBorders>
              <w:top w:val="nil"/>
              <w:left w:val="nil"/>
              <w:bottom w:val="single" w:sz="4" w:space="0" w:color="auto"/>
              <w:right w:val="single" w:sz="4" w:space="0" w:color="auto"/>
            </w:tcBorders>
            <w:shd w:val="clear" w:color="000000" w:fill="F2F2F2"/>
            <w:noWrap/>
            <w:vAlign w:val="bottom"/>
            <w:hideMark/>
          </w:tcPr>
          <w:p w14:paraId="33FA3F9B" w14:textId="77777777" w:rsidR="009A356E" w:rsidRPr="00C10545" w:rsidRDefault="009A356E" w:rsidP="009A356E">
            <w:pPr>
              <w:jc w:val="right"/>
              <w:rPr>
                <w:color w:val="000000"/>
                <w:sz w:val="16"/>
                <w:szCs w:val="16"/>
                <w:lang w:eastAsia="en-AU"/>
              </w:rPr>
            </w:pPr>
            <w:r w:rsidRPr="00C10545">
              <w:rPr>
                <w:color w:val="000000"/>
                <w:sz w:val="16"/>
                <w:szCs w:val="16"/>
                <w:lang w:eastAsia="en-AU"/>
              </w:rPr>
              <w:t>111.4</w:t>
            </w:r>
          </w:p>
        </w:tc>
        <w:tc>
          <w:tcPr>
            <w:tcW w:w="374" w:type="pct"/>
            <w:tcBorders>
              <w:top w:val="nil"/>
              <w:left w:val="nil"/>
              <w:bottom w:val="single" w:sz="4" w:space="0" w:color="auto"/>
              <w:right w:val="single" w:sz="8" w:space="0" w:color="auto"/>
            </w:tcBorders>
            <w:shd w:val="clear" w:color="000000" w:fill="F2F2F2"/>
            <w:noWrap/>
            <w:vAlign w:val="bottom"/>
            <w:hideMark/>
          </w:tcPr>
          <w:p w14:paraId="2266EDDC" w14:textId="77777777" w:rsidR="009A356E" w:rsidRPr="00C10545" w:rsidRDefault="009A356E" w:rsidP="009A356E">
            <w:pPr>
              <w:jc w:val="right"/>
              <w:rPr>
                <w:color w:val="000000"/>
                <w:sz w:val="16"/>
                <w:szCs w:val="16"/>
                <w:lang w:eastAsia="en-AU"/>
              </w:rPr>
            </w:pPr>
            <w:r w:rsidRPr="00C10545">
              <w:rPr>
                <w:color w:val="000000"/>
                <w:sz w:val="16"/>
                <w:szCs w:val="16"/>
                <w:lang w:eastAsia="en-AU"/>
              </w:rPr>
              <w:t>8.30%</w:t>
            </w:r>
          </w:p>
        </w:tc>
        <w:tc>
          <w:tcPr>
            <w:tcW w:w="475" w:type="pct"/>
            <w:tcBorders>
              <w:top w:val="nil"/>
              <w:left w:val="nil"/>
              <w:bottom w:val="single" w:sz="4" w:space="0" w:color="auto"/>
              <w:right w:val="single" w:sz="4" w:space="0" w:color="auto"/>
            </w:tcBorders>
            <w:shd w:val="clear" w:color="000000" w:fill="D9D9D9"/>
            <w:noWrap/>
            <w:vAlign w:val="bottom"/>
            <w:hideMark/>
          </w:tcPr>
          <w:p w14:paraId="61BFCE83" w14:textId="77777777" w:rsidR="009A356E" w:rsidRPr="00C10545" w:rsidRDefault="009A356E" w:rsidP="009A356E">
            <w:pPr>
              <w:rPr>
                <w:color w:val="000000"/>
                <w:sz w:val="16"/>
                <w:szCs w:val="16"/>
                <w:lang w:eastAsia="en-AU"/>
              </w:rPr>
            </w:pPr>
            <w:r w:rsidRPr="00C10545">
              <w:rPr>
                <w:color w:val="000000"/>
                <w:sz w:val="16"/>
                <w:szCs w:val="16"/>
                <w:lang w:eastAsia="en-AU"/>
              </w:rPr>
              <w:t xml:space="preserve">      722.3 </w:t>
            </w:r>
          </w:p>
        </w:tc>
        <w:tc>
          <w:tcPr>
            <w:tcW w:w="422" w:type="pct"/>
            <w:tcBorders>
              <w:top w:val="nil"/>
              <w:left w:val="nil"/>
              <w:bottom w:val="single" w:sz="4" w:space="0" w:color="auto"/>
              <w:right w:val="single" w:sz="8" w:space="0" w:color="auto"/>
            </w:tcBorders>
            <w:shd w:val="clear" w:color="000000" w:fill="D9D9D9"/>
            <w:noWrap/>
            <w:vAlign w:val="bottom"/>
            <w:hideMark/>
          </w:tcPr>
          <w:p w14:paraId="16625D45" w14:textId="77777777" w:rsidR="009A356E" w:rsidRPr="00C10545" w:rsidRDefault="009A356E" w:rsidP="009A356E">
            <w:pPr>
              <w:jc w:val="right"/>
              <w:rPr>
                <w:color w:val="000000"/>
                <w:sz w:val="16"/>
                <w:szCs w:val="16"/>
                <w:lang w:eastAsia="en-AU"/>
              </w:rPr>
            </w:pPr>
            <w:r w:rsidRPr="00C10545">
              <w:rPr>
                <w:color w:val="000000"/>
                <w:sz w:val="16"/>
                <w:szCs w:val="16"/>
                <w:lang w:eastAsia="en-AU"/>
              </w:rPr>
              <w:t>5.55%</w:t>
            </w:r>
          </w:p>
        </w:tc>
        <w:tc>
          <w:tcPr>
            <w:tcW w:w="342" w:type="pct"/>
            <w:tcBorders>
              <w:top w:val="nil"/>
              <w:left w:val="nil"/>
              <w:bottom w:val="single" w:sz="4" w:space="0" w:color="auto"/>
              <w:right w:val="single" w:sz="4" w:space="0" w:color="auto"/>
            </w:tcBorders>
            <w:shd w:val="clear" w:color="000000" w:fill="BFBFBF"/>
            <w:noWrap/>
            <w:vAlign w:val="bottom"/>
            <w:hideMark/>
          </w:tcPr>
          <w:p w14:paraId="56A0E633" w14:textId="77777777" w:rsidR="009A356E" w:rsidRPr="00C10545" w:rsidRDefault="009A356E" w:rsidP="009A356E">
            <w:pPr>
              <w:jc w:val="right"/>
              <w:rPr>
                <w:color w:val="000000"/>
                <w:sz w:val="16"/>
                <w:szCs w:val="16"/>
                <w:lang w:eastAsia="en-AU"/>
              </w:rPr>
            </w:pPr>
            <w:r w:rsidRPr="00C10545">
              <w:rPr>
                <w:color w:val="000000"/>
                <w:sz w:val="16"/>
                <w:szCs w:val="16"/>
                <w:lang w:eastAsia="en-AU"/>
              </w:rPr>
              <w:t>169.1</w:t>
            </w:r>
          </w:p>
        </w:tc>
        <w:tc>
          <w:tcPr>
            <w:tcW w:w="374" w:type="pct"/>
            <w:tcBorders>
              <w:top w:val="nil"/>
              <w:left w:val="nil"/>
              <w:bottom w:val="single" w:sz="4" w:space="0" w:color="auto"/>
              <w:right w:val="single" w:sz="8" w:space="0" w:color="auto"/>
            </w:tcBorders>
            <w:shd w:val="clear" w:color="000000" w:fill="BFBFBF"/>
            <w:noWrap/>
            <w:vAlign w:val="bottom"/>
            <w:hideMark/>
          </w:tcPr>
          <w:p w14:paraId="75AC0CF6" w14:textId="77777777" w:rsidR="009A356E" w:rsidRPr="00C10545" w:rsidRDefault="009A356E" w:rsidP="009A356E">
            <w:pPr>
              <w:jc w:val="right"/>
              <w:rPr>
                <w:color w:val="000000"/>
                <w:sz w:val="16"/>
                <w:szCs w:val="16"/>
                <w:lang w:eastAsia="en-AU"/>
              </w:rPr>
            </w:pPr>
            <w:r w:rsidRPr="00C10545">
              <w:rPr>
                <w:color w:val="000000"/>
                <w:sz w:val="16"/>
                <w:szCs w:val="16"/>
                <w:lang w:eastAsia="en-AU"/>
              </w:rPr>
              <w:t>6.90%</w:t>
            </w:r>
          </w:p>
        </w:tc>
        <w:tc>
          <w:tcPr>
            <w:tcW w:w="374" w:type="pct"/>
            <w:tcBorders>
              <w:top w:val="nil"/>
              <w:left w:val="nil"/>
              <w:bottom w:val="single" w:sz="4" w:space="0" w:color="auto"/>
              <w:right w:val="single" w:sz="4" w:space="0" w:color="auto"/>
            </w:tcBorders>
            <w:shd w:val="clear" w:color="000000" w:fill="95B3D7"/>
            <w:noWrap/>
            <w:vAlign w:val="bottom"/>
            <w:hideMark/>
          </w:tcPr>
          <w:p w14:paraId="647A42C9" w14:textId="77777777" w:rsidR="009A356E" w:rsidRPr="00C10545" w:rsidRDefault="009A356E" w:rsidP="009A356E">
            <w:pPr>
              <w:jc w:val="right"/>
              <w:rPr>
                <w:color w:val="000000"/>
                <w:sz w:val="16"/>
                <w:szCs w:val="16"/>
                <w:lang w:eastAsia="en-AU"/>
              </w:rPr>
            </w:pPr>
            <w:r w:rsidRPr="00C10545">
              <w:rPr>
                <w:color w:val="000000"/>
                <w:sz w:val="16"/>
                <w:szCs w:val="16"/>
                <w:lang w:eastAsia="en-AU"/>
              </w:rPr>
              <w:t>3.11%</w:t>
            </w:r>
          </w:p>
        </w:tc>
        <w:tc>
          <w:tcPr>
            <w:tcW w:w="374" w:type="pct"/>
            <w:tcBorders>
              <w:top w:val="nil"/>
              <w:left w:val="nil"/>
              <w:bottom w:val="single" w:sz="4" w:space="0" w:color="auto"/>
              <w:right w:val="single" w:sz="8" w:space="0" w:color="auto"/>
            </w:tcBorders>
            <w:shd w:val="clear" w:color="000000" w:fill="00B0F0"/>
            <w:noWrap/>
            <w:vAlign w:val="bottom"/>
            <w:hideMark/>
          </w:tcPr>
          <w:p w14:paraId="4160F7CE" w14:textId="77777777" w:rsidR="009A356E" w:rsidRPr="00C10545" w:rsidRDefault="009A356E" w:rsidP="009A356E">
            <w:pPr>
              <w:jc w:val="right"/>
              <w:rPr>
                <w:color w:val="000000"/>
                <w:sz w:val="16"/>
                <w:szCs w:val="16"/>
                <w:lang w:eastAsia="en-AU"/>
              </w:rPr>
            </w:pPr>
            <w:r w:rsidRPr="00C10545">
              <w:rPr>
                <w:color w:val="000000"/>
                <w:sz w:val="16"/>
                <w:szCs w:val="16"/>
                <w:lang w:eastAsia="en-AU"/>
              </w:rPr>
              <w:t>3.35%</w:t>
            </w:r>
          </w:p>
        </w:tc>
      </w:tr>
      <w:tr w:rsidR="009A356E" w:rsidRPr="00C96EAB" w14:paraId="7DAA3368" w14:textId="77777777" w:rsidTr="009A356E">
        <w:trPr>
          <w:trHeight w:val="225"/>
        </w:trPr>
        <w:tc>
          <w:tcPr>
            <w:tcW w:w="523" w:type="pct"/>
            <w:tcBorders>
              <w:top w:val="nil"/>
              <w:left w:val="single" w:sz="8" w:space="0" w:color="auto"/>
              <w:bottom w:val="single" w:sz="4" w:space="0" w:color="auto"/>
              <w:right w:val="nil"/>
            </w:tcBorders>
            <w:shd w:val="clear" w:color="auto" w:fill="auto"/>
            <w:noWrap/>
            <w:vAlign w:val="bottom"/>
            <w:hideMark/>
          </w:tcPr>
          <w:p w14:paraId="2A8AF465" w14:textId="77777777" w:rsidR="009A356E" w:rsidRPr="00C10545" w:rsidRDefault="009A356E" w:rsidP="009A356E">
            <w:pPr>
              <w:rPr>
                <w:color w:val="000000"/>
                <w:sz w:val="16"/>
                <w:szCs w:val="16"/>
                <w:lang w:eastAsia="en-AU"/>
              </w:rPr>
            </w:pPr>
            <w:r w:rsidRPr="00C10545">
              <w:rPr>
                <w:color w:val="000000"/>
                <w:sz w:val="16"/>
                <w:szCs w:val="16"/>
                <w:lang w:eastAsia="en-AU"/>
              </w:rPr>
              <w:t>2007</w:t>
            </w:r>
          </w:p>
        </w:tc>
        <w:tc>
          <w:tcPr>
            <w:tcW w:w="342" w:type="pct"/>
            <w:tcBorders>
              <w:top w:val="nil"/>
              <w:left w:val="single" w:sz="8" w:space="0" w:color="auto"/>
              <w:bottom w:val="single" w:sz="4" w:space="0" w:color="auto"/>
              <w:right w:val="single" w:sz="4" w:space="0" w:color="auto"/>
            </w:tcBorders>
            <w:shd w:val="clear" w:color="000000" w:fill="F2F2F2"/>
            <w:noWrap/>
            <w:vAlign w:val="bottom"/>
            <w:hideMark/>
          </w:tcPr>
          <w:p w14:paraId="2FCE8748" w14:textId="77777777" w:rsidR="009A356E" w:rsidRPr="00C10545" w:rsidRDefault="009A356E" w:rsidP="009A356E">
            <w:pPr>
              <w:jc w:val="right"/>
              <w:rPr>
                <w:color w:val="000000"/>
                <w:sz w:val="16"/>
                <w:szCs w:val="16"/>
                <w:lang w:eastAsia="en-AU"/>
              </w:rPr>
            </w:pPr>
            <w:r w:rsidRPr="00C10545">
              <w:rPr>
                <w:color w:val="000000"/>
                <w:sz w:val="16"/>
                <w:szCs w:val="16"/>
                <w:lang w:eastAsia="en-AU"/>
              </w:rPr>
              <w:t>159.4</w:t>
            </w:r>
          </w:p>
        </w:tc>
        <w:tc>
          <w:tcPr>
            <w:tcW w:w="342" w:type="pct"/>
            <w:tcBorders>
              <w:top w:val="nil"/>
              <w:left w:val="nil"/>
              <w:bottom w:val="single" w:sz="4" w:space="0" w:color="auto"/>
              <w:right w:val="single" w:sz="4" w:space="0" w:color="auto"/>
            </w:tcBorders>
            <w:shd w:val="clear" w:color="000000" w:fill="D9D9D9"/>
            <w:noWrap/>
            <w:vAlign w:val="bottom"/>
            <w:hideMark/>
          </w:tcPr>
          <w:p w14:paraId="21289EAA" w14:textId="77777777" w:rsidR="009A356E" w:rsidRPr="00C10545" w:rsidRDefault="009A356E" w:rsidP="009A356E">
            <w:pPr>
              <w:jc w:val="right"/>
              <w:rPr>
                <w:color w:val="000000"/>
                <w:sz w:val="16"/>
                <w:szCs w:val="16"/>
                <w:lang w:eastAsia="en-AU"/>
              </w:rPr>
            </w:pPr>
            <w:r w:rsidRPr="00C10545">
              <w:rPr>
                <w:color w:val="000000"/>
                <w:sz w:val="16"/>
                <w:szCs w:val="16"/>
                <w:lang w:eastAsia="en-AU"/>
              </w:rPr>
              <w:t>80.5</w:t>
            </w:r>
          </w:p>
        </w:tc>
        <w:tc>
          <w:tcPr>
            <w:tcW w:w="342" w:type="pct"/>
            <w:tcBorders>
              <w:top w:val="nil"/>
              <w:left w:val="nil"/>
              <w:bottom w:val="single" w:sz="4" w:space="0" w:color="auto"/>
              <w:right w:val="single" w:sz="4" w:space="0" w:color="auto"/>
            </w:tcBorders>
            <w:shd w:val="clear" w:color="000000" w:fill="BFBFBF"/>
            <w:noWrap/>
            <w:vAlign w:val="bottom"/>
            <w:hideMark/>
          </w:tcPr>
          <w:p w14:paraId="2E5B9A81" w14:textId="77777777" w:rsidR="009A356E" w:rsidRPr="00C10545" w:rsidRDefault="009A356E" w:rsidP="009A356E">
            <w:pPr>
              <w:jc w:val="right"/>
              <w:rPr>
                <w:color w:val="000000"/>
                <w:sz w:val="16"/>
                <w:szCs w:val="16"/>
                <w:lang w:eastAsia="en-AU"/>
              </w:rPr>
            </w:pPr>
            <w:r w:rsidRPr="00C10545">
              <w:rPr>
                <w:color w:val="000000"/>
                <w:sz w:val="16"/>
                <w:szCs w:val="16"/>
                <w:lang w:eastAsia="en-AU"/>
              </w:rPr>
              <w:t>240.0</w:t>
            </w:r>
          </w:p>
        </w:tc>
        <w:tc>
          <w:tcPr>
            <w:tcW w:w="374" w:type="pct"/>
            <w:tcBorders>
              <w:top w:val="nil"/>
              <w:left w:val="nil"/>
              <w:bottom w:val="single" w:sz="4" w:space="0" w:color="auto"/>
              <w:right w:val="single" w:sz="8" w:space="0" w:color="auto"/>
            </w:tcBorders>
            <w:shd w:val="clear" w:color="000000" w:fill="BFBFBF"/>
            <w:noWrap/>
            <w:vAlign w:val="bottom"/>
            <w:hideMark/>
          </w:tcPr>
          <w:p w14:paraId="0B4309ED" w14:textId="77777777" w:rsidR="009A356E" w:rsidRPr="00C10545" w:rsidRDefault="009A356E" w:rsidP="009A356E">
            <w:pPr>
              <w:jc w:val="right"/>
              <w:rPr>
                <w:color w:val="000000"/>
                <w:sz w:val="16"/>
                <w:szCs w:val="16"/>
                <w:lang w:eastAsia="en-AU"/>
              </w:rPr>
            </w:pPr>
            <w:r w:rsidRPr="00C10545">
              <w:rPr>
                <w:color w:val="000000"/>
                <w:sz w:val="16"/>
                <w:szCs w:val="16"/>
                <w:lang w:eastAsia="en-AU"/>
              </w:rPr>
              <w:t>5.40%</w:t>
            </w:r>
          </w:p>
        </w:tc>
        <w:tc>
          <w:tcPr>
            <w:tcW w:w="342" w:type="pct"/>
            <w:tcBorders>
              <w:top w:val="nil"/>
              <w:left w:val="nil"/>
              <w:bottom w:val="single" w:sz="4" w:space="0" w:color="auto"/>
              <w:right w:val="single" w:sz="4" w:space="0" w:color="auto"/>
            </w:tcBorders>
            <w:shd w:val="clear" w:color="000000" w:fill="F2F2F2"/>
            <w:noWrap/>
            <w:vAlign w:val="bottom"/>
            <w:hideMark/>
          </w:tcPr>
          <w:p w14:paraId="25E09261" w14:textId="77777777" w:rsidR="009A356E" w:rsidRPr="00C10545" w:rsidRDefault="009A356E" w:rsidP="009A356E">
            <w:pPr>
              <w:jc w:val="right"/>
              <w:rPr>
                <w:color w:val="000000"/>
                <w:sz w:val="16"/>
                <w:szCs w:val="16"/>
                <w:lang w:eastAsia="en-AU"/>
              </w:rPr>
            </w:pPr>
            <w:r w:rsidRPr="00C10545">
              <w:rPr>
                <w:color w:val="000000"/>
                <w:sz w:val="16"/>
                <w:szCs w:val="16"/>
                <w:lang w:eastAsia="en-AU"/>
              </w:rPr>
              <w:t>117.5</w:t>
            </w:r>
          </w:p>
        </w:tc>
        <w:tc>
          <w:tcPr>
            <w:tcW w:w="374" w:type="pct"/>
            <w:tcBorders>
              <w:top w:val="nil"/>
              <w:left w:val="nil"/>
              <w:bottom w:val="single" w:sz="4" w:space="0" w:color="auto"/>
              <w:right w:val="single" w:sz="8" w:space="0" w:color="auto"/>
            </w:tcBorders>
            <w:shd w:val="clear" w:color="000000" w:fill="F2F2F2"/>
            <w:noWrap/>
            <w:vAlign w:val="bottom"/>
            <w:hideMark/>
          </w:tcPr>
          <w:p w14:paraId="335C5F71" w14:textId="77777777" w:rsidR="009A356E" w:rsidRPr="00C10545" w:rsidRDefault="009A356E" w:rsidP="009A356E">
            <w:pPr>
              <w:jc w:val="right"/>
              <w:rPr>
                <w:color w:val="000000"/>
                <w:sz w:val="16"/>
                <w:szCs w:val="16"/>
                <w:lang w:eastAsia="en-AU"/>
              </w:rPr>
            </w:pPr>
            <w:r w:rsidRPr="00C10545">
              <w:rPr>
                <w:color w:val="000000"/>
                <w:sz w:val="16"/>
                <w:szCs w:val="16"/>
                <w:lang w:eastAsia="en-AU"/>
              </w:rPr>
              <w:t>5.40%</w:t>
            </w:r>
          </w:p>
        </w:tc>
        <w:tc>
          <w:tcPr>
            <w:tcW w:w="475" w:type="pct"/>
            <w:tcBorders>
              <w:top w:val="nil"/>
              <w:left w:val="nil"/>
              <w:bottom w:val="single" w:sz="4" w:space="0" w:color="auto"/>
              <w:right w:val="single" w:sz="4" w:space="0" w:color="auto"/>
            </w:tcBorders>
            <w:shd w:val="clear" w:color="000000" w:fill="D9D9D9"/>
            <w:noWrap/>
            <w:vAlign w:val="bottom"/>
            <w:hideMark/>
          </w:tcPr>
          <w:p w14:paraId="79C64179" w14:textId="77777777" w:rsidR="009A356E" w:rsidRPr="00C10545" w:rsidRDefault="009A356E" w:rsidP="009A356E">
            <w:pPr>
              <w:rPr>
                <w:color w:val="000000"/>
                <w:sz w:val="16"/>
                <w:szCs w:val="16"/>
                <w:lang w:eastAsia="en-AU"/>
              </w:rPr>
            </w:pPr>
            <w:r w:rsidRPr="00C10545">
              <w:rPr>
                <w:color w:val="000000"/>
                <w:sz w:val="16"/>
                <w:szCs w:val="16"/>
                <w:lang w:eastAsia="en-AU"/>
              </w:rPr>
              <w:t xml:space="preserve">      750.5 </w:t>
            </w:r>
          </w:p>
        </w:tc>
        <w:tc>
          <w:tcPr>
            <w:tcW w:w="422" w:type="pct"/>
            <w:tcBorders>
              <w:top w:val="nil"/>
              <w:left w:val="nil"/>
              <w:bottom w:val="single" w:sz="4" w:space="0" w:color="auto"/>
              <w:right w:val="single" w:sz="8" w:space="0" w:color="auto"/>
            </w:tcBorders>
            <w:shd w:val="clear" w:color="000000" w:fill="D9D9D9"/>
            <w:noWrap/>
            <w:vAlign w:val="bottom"/>
            <w:hideMark/>
          </w:tcPr>
          <w:p w14:paraId="45CAAD7A" w14:textId="77777777" w:rsidR="009A356E" w:rsidRPr="00C10545" w:rsidRDefault="009A356E" w:rsidP="009A356E">
            <w:pPr>
              <w:jc w:val="right"/>
              <w:rPr>
                <w:color w:val="000000"/>
                <w:sz w:val="16"/>
                <w:szCs w:val="16"/>
                <w:lang w:eastAsia="en-AU"/>
              </w:rPr>
            </w:pPr>
            <w:r w:rsidRPr="00C10545">
              <w:rPr>
                <w:color w:val="000000"/>
                <w:sz w:val="16"/>
                <w:szCs w:val="16"/>
                <w:lang w:eastAsia="en-AU"/>
              </w:rPr>
              <w:t>3.90%</w:t>
            </w:r>
          </w:p>
        </w:tc>
        <w:tc>
          <w:tcPr>
            <w:tcW w:w="342" w:type="pct"/>
            <w:tcBorders>
              <w:top w:val="nil"/>
              <w:left w:val="nil"/>
              <w:bottom w:val="single" w:sz="4" w:space="0" w:color="auto"/>
              <w:right w:val="single" w:sz="4" w:space="0" w:color="auto"/>
            </w:tcBorders>
            <w:shd w:val="clear" w:color="000000" w:fill="BFBFBF"/>
            <w:noWrap/>
            <w:vAlign w:val="bottom"/>
            <w:hideMark/>
          </w:tcPr>
          <w:p w14:paraId="0B6DF82A" w14:textId="77777777" w:rsidR="009A356E" w:rsidRPr="00C10545" w:rsidRDefault="009A356E" w:rsidP="009A356E">
            <w:pPr>
              <w:jc w:val="right"/>
              <w:rPr>
                <w:color w:val="000000"/>
                <w:sz w:val="16"/>
                <w:szCs w:val="16"/>
                <w:lang w:eastAsia="en-AU"/>
              </w:rPr>
            </w:pPr>
            <w:r w:rsidRPr="00C10545">
              <w:rPr>
                <w:color w:val="000000"/>
                <w:sz w:val="16"/>
                <w:szCs w:val="16"/>
                <w:lang w:eastAsia="en-AU"/>
              </w:rPr>
              <w:t>176.8</w:t>
            </w:r>
          </w:p>
        </w:tc>
        <w:tc>
          <w:tcPr>
            <w:tcW w:w="374" w:type="pct"/>
            <w:tcBorders>
              <w:top w:val="nil"/>
              <w:left w:val="nil"/>
              <w:bottom w:val="single" w:sz="4" w:space="0" w:color="auto"/>
              <w:right w:val="single" w:sz="8" w:space="0" w:color="auto"/>
            </w:tcBorders>
            <w:shd w:val="clear" w:color="000000" w:fill="BFBFBF"/>
            <w:noWrap/>
            <w:vAlign w:val="bottom"/>
            <w:hideMark/>
          </w:tcPr>
          <w:p w14:paraId="14D62ABE" w14:textId="77777777" w:rsidR="009A356E" w:rsidRPr="00C10545" w:rsidRDefault="009A356E" w:rsidP="009A356E">
            <w:pPr>
              <w:jc w:val="right"/>
              <w:rPr>
                <w:color w:val="000000"/>
                <w:sz w:val="16"/>
                <w:szCs w:val="16"/>
                <w:lang w:eastAsia="en-AU"/>
              </w:rPr>
            </w:pPr>
            <w:r w:rsidRPr="00C10545">
              <w:rPr>
                <w:color w:val="000000"/>
                <w:sz w:val="16"/>
                <w:szCs w:val="16"/>
                <w:lang w:eastAsia="en-AU"/>
              </w:rPr>
              <w:t>4.56%</w:t>
            </w:r>
          </w:p>
        </w:tc>
        <w:tc>
          <w:tcPr>
            <w:tcW w:w="374" w:type="pct"/>
            <w:tcBorders>
              <w:top w:val="nil"/>
              <w:left w:val="nil"/>
              <w:bottom w:val="single" w:sz="4" w:space="0" w:color="auto"/>
              <w:right w:val="single" w:sz="4" w:space="0" w:color="auto"/>
            </w:tcBorders>
            <w:shd w:val="clear" w:color="000000" w:fill="95B3D7"/>
            <w:noWrap/>
            <w:vAlign w:val="bottom"/>
            <w:hideMark/>
          </w:tcPr>
          <w:p w14:paraId="77327970" w14:textId="77777777" w:rsidR="009A356E" w:rsidRPr="00C10545" w:rsidRDefault="009A356E" w:rsidP="009A356E">
            <w:pPr>
              <w:jc w:val="right"/>
              <w:rPr>
                <w:color w:val="000000"/>
                <w:sz w:val="16"/>
                <w:szCs w:val="16"/>
                <w:lang w:eastAsia="en-AU"/>
              </w:rPr>
            </w:pPr>
            <w:r w:rsidRPr="00C10545">
              <w:rPr>
                <w:color w:val="000000"/>
                <w:sz w:val="16"/>
                <w:szCs w:val="16"/>
                <w:lang w:eastAsia="en-AU"/>
              </w:rPr>
              <w:t>2.65%</w:t>
            </w:r>
          </w:p>
        </w:tc>
        <w:tc>
          <w:tcPr>
            <w:tcW w:w="374" w:type="pct"/>
            <w:tcBorders>
              <w:top w:val="nil"/>
              <w:left w:val="nil"/>
              <w:bottom w:val="single" w:sz="4" w:space="0" w:color="auto"/>
              <w:right w:val="single" w:sz="8" w:space="0" w:color="auto"/>
            </w:tcBorders>
            <w:shd w:val="clear" w:color="000000" w:fill="00B0F0"/>
            <w:noWrap/>
            <w:vAlign w:val="bottom"/>
            <w:hideMark/>
          </w:tcPr>
          <w:p w14:paraId="6669A34A" w14:textId="77777777" w:rsidR="009A356E" w:rsidRPr="00C10545" w:rsidRDefault="009A356E" w:rsidP="009A356E">
            <w:pPr>
              <w:jc w:val="right"/>
              <w:rPr>
                <w:color w:val="000000"/>
                <w:sz w:val="16"/>
                <w:szCs w:val="16"/>
                <w:lang w:eastAsia="en-AU"/>
              </w:rPr>
            </w:pPr>
            <w:r w:rsidRPr="00C10545">
              <w:rPr>
                <w:color w:val="000000"/>
                <w:sz w:val="16"/>
                <w:szCs w:val="16"/>
                <w:lang w:eastAsia="en-AU"/>
              </w:rPr>
              <w:t>3.02%</w:t>
            </w:r>
          </w:p>
        </w:tc>
      </w:tr>
      <w:tr w:rsidR="009A356E" w:rsidRPr="00C96EAB" w14:paraId="52002E39" w14:textId="77777777" w:rsidTr="009A356E">
        <w:trPr>
          <w:trHeight w:val="225"/>
        </w:trPr>
        <w:tc>
          <w:tcPr>
            <w:tcW w:w="523" w:type="pct"/>
            <w:tcBorders>
              <w:top w:val="nil"/>
              <w:left w:val="single" w:sz="8" w:space="0" w:color="auto"/>
              <w:bottom w:val="single" w:sz="4" w:space="0" w:color="auto"/>
              <w:right w:val="nil"/>
            </w:tcBorders>
            <w:shd w:val="clear" w:color="auto" w:fill="auto"/>
            <w:noWrap/>
            <w:vAlign w:val="bottom"/>
            <w:hideMark/>
          </w:tcPr>
          <w:p w14:paraId="058321B5" w14:textId="77777777" w:rsidR="009A356E" w:rsidRPr="00C10545" w:rsidRDefault="009A356E" w:rsidP="009A356E">
            <w:pPr>
              <w:rPr>
                <w:color w:val="000000"/>
                <w:sz w:val="16"/>
                <w:szCs w:val="16"/>
                <w:lang w:eastAsia="en-AU"/>
              </w:rPr>
            </w:pPr>
            <w:r w:rsidRPr="00C10545">
              <w:rPr>
                <w:color w:val="000000"/>
                <w:sz w:val="16"/>
                <w:szCs w:val="16"/>
                <w:lang w:eastAsia="en-AU"/>
              </w:rPr>
              <w:t>2008</w:t>
            </w:r>
          </w:p>
        </w:tc>
        <w:tc>
          <w:tcPr>
            <w:tcW w:w="342" w:type="pct"/>
            <w:tcBorders>
              <w:top w:val="nil"/>
              <w:left w:val="single" w:sz="8" w:space="0" w:color="auto"/>
              <w:bottom w:val="single" w:sz="4" w:space="0" w:color="auto"/>
              <w:right w:val="single" w:sz="4" w:space="0" w:color="auto"/>
            </w:tcBorders>
            <w:shd w:val="clear" w:color="000000" w:fill="F2F2F2"/>
            <w:noWrap/>
            <w:vAlign w:val="bottom"/>
            <w:hideMark/>
          </w:tcPr>
          <w:p w14:paraId="12B0D913" w14:textId="77777777" w:rsidR="009A356E" w:rsidRPr="00C10545" w:rsidRDefault="009A356E" w:rsidP="009A356E">
            <w:pPr>
              <w:jc w:val="right"/>
              <w:rPr>
                <w:color w:val="000000"/>
                <w:sz w:val="16"/>
                <w:szCs w:val="16"/>
                <w:lang w:eastAsia="en-AU"/>
              </w:rPr>
            </w:pPr>
            <w:r w:rsidRPr="00C10545">
              <w:rPr>
                <w:color w:val="000000"/>
                <w:sz w:val="16"/>
                <w:szCs w:val="16"/>
                <w:lang w:eastAsia="en-AU"/>
              </w:rPr>
              <w:t>169.1</w:t>
            </w:r>
          </w:p>
        </w:tc>
        <w:tc>
          <w:tcPr>
            <w:tcW w:w="342" w:type="pct"/>
            <w:tcBorders>
              <w:top w:val="nil"/>
              <w:left w:val="nil"/>
              <w:bottom w:val="single" w:sz="4" w:space="0" w:color="auto"/>
              <w:right w:val="single" w:sz="4" w:space="0" w:color="auto"/>
            </w:tcBorders>
            <w:shd w:val="clear" w:color="000000" w:fill="D9D9D9"/>
            <w:noWrap/>
            <w:vAlign w:val="bottom"/>
            <w:hideMark/>
          </w:tcPr>
          <w:p w14:paraId="258469D9" w14:textId="77777777" w:rsidR="009A356E" w:rsidRPr="00C10545" w:rsidRDefault="009A356E" w:rsidP="009A356E">
            <w:pPr>
              <w:jc w:val="right"/>
              <w:rPr>
                <w:color w:val="000000"/>
                <w:sz w:val="16"/>
                <w:szCs w:val="16"/>
                <w:lang w:eastAsia="en-AU"/>
              </w:rPr>
            </w:pPr>
            <w:r w:rsidRPr="00C10545">
              <w:rPr>
                <w:color w:val="000000"/>
                <w:sz w:val="16"/>
                <w:szCs w:val="16"/>
                <w:lang w:eastAsia="en-AU"/>
              </w:rPr>
              <w:t>84.1</w:t>
            </w:r>
          </w:p>
        </w:tc>
        <w:tc>
          <w:tcPr>
            <w:tcW w:w="342" w:type="pct"/>
            <w:tcBorders>
              <w:top w:val="nil"/>
              <w:left w:val="nil"/>
              <w:bottom w:val="single" w:sz="4" w:space="0" w:color="auto"/>
              <w:right w:val="single" w:sz="4" w:space="0" w:color="auto"/>
            </w:tcBorders>
            <w:shd w:val="clear" w:color="000000" w:fill="BFBFBF"/>
            <w:noWrap/>
            <w:vAlign w:val="bottom"/>
            <w:hideMark/>
          </w:tcPr>
          <w:p w14:paraId="63DD694B" w14:textId="77777777" w:rsidR="009A356E" w:rsidRPr="00C10545" w:rsidRDefault="009A356E" w:rsidP="009A356E">
            <w:pPr>
              <w:jc w:val="right"/>
              <w:rPr>
                <w:color w:val="000000"/>
                <w:sz w:val="16"/>
                <w:szCs w:val="16"/>
                <w:lang w:eastAsia="en-AU"/>
              </w:rPr>
            </w:pPr>
            <w:r w:rsidRPr="00C10545">
              <w:rPr>
                <w:color w:val="000000"/>
                <w:sz w:val="16"/>
                <w:szCs w:val="16"/>
                <w:lang w:eastAsia="en-AU"/>
              </w:rPr>
              <w:t>253.2</w:t>
            </w:r>
          </w:p>
        </w:tc>
        <w:tc>
          <w:tcPr>
            <w:tcW w:w="374" w:type="pct"/>
            <w:tcBorders>
              <w:top w:val="nil"/>
              <w:left w:val="nil"/>
              <w:bottom w:val="single" w:sz="4" w:space="0" w:color="auto"/>
              <w:right w:val="single" w:sz="8" w:space="0" w:color="auto"/>
            </w:tcBorders>
            <w:shd w:val="clear" w:color="000000" w:fill="BFBFBF"/>
            <w:noWrap/>
            <w:vAlign w:val="bottom"/>
            <w:hideMark/>
          </w:tcPr>
          <w:p w14:paraId="401D5CAE" w14:textId="77777777" w:rsidR="009A356E" w:rsidRPr="00C10545" w:rsidRDefault="009A356E" w:rsidP="009A356E">
            <w:pPr>
              <w:jc w:val="right"/>
              <w:rPr>
                <w:color w:val="000000"/>
                <w:sz w:val="16"/>
                <w:szCs w:val="16"/>
                <w:lang w:eastAsia="en-AU"/>
              </w:rPr>
            </w:pPr>
            <w:r w:rsidRPr="00C10545">
              <w:rPr>
                <w:color w:val="000000"/>
                <w:sz w:val="16"/>
                <w:szCs w:val="16"/>
                <w:lang w:eastAsia="en-AU"/>
              </w:rPr>
              <w:t>5.53%</w:t>
            </w:r>
          </w:p>
        </w:tc>
        <w:tc>
          <w:tcPr>
            <w:tcW w:w="342" w:type="pct"/>
            <w:tcBorders>
              <w:top w:val="nil"/>
              <w:left w:val="nil"/>
              <w:bottom w:val="single" w:sz="4" w:space="0" w:color="auto"/>
              <w:right w:val="single" w:sz="4" w:space="0" w:color="auto"/>
            </w:tcBorders>
            <w:shd w:val="clear" w:color="000000" w:fill="F2F2F2"/>
            <w:noWrap/>
            <w:vAlign w:val="bottom"/>
            <w:hideMark/>
          </w:tcPr>
          <w:p w14:paraId="41795168" w14:textId="77777777" w:rsidR="009A356E" w:rsidRPr="00C10545" w:rsidRDefault="009A356E" w:rsidP="009A356E">
            <w:pPr>
              <w:jc w:val="right"/>
              <w:rPr>
                <w:color w:val="000000"/>
                <w:sz w:val="16"/>
                <w:szCs w:val="16"/>
                <w:lang w:eastAsia="en-AU"/>
              </w:rPr>
            </w:pPr>
            <w:r w:rsidRPr="00C10545">
              <w:rPr>
                <w:color w:val="000000"/>
                <w:sz w:val="16"/>
                <w:szCs w:val="16"/>
                <w:lang w:eastAsia="en-AU"/>
              </w:rPr>
              <w:t>123.4</w:t>
            </w:r>
          </w:p>
        </w:tc>
        <w:tc>
          <w:tcPr>
            <w:tcW w:w="374" w:type="pct"/>
            <w:tcBorders>
              <w:top w:val="nil"/>
              <w:left w:val="nil"/>
              <w:bottom w:val="single" w:sz="4" w:space="0" w:color="auto"/>
              <w:right w:val="single" w:sz="8" w:space="0" w:color="auto"/>
            </w:tcBorders>
            <w:shd w:val="clear" w:color="000000" w:fill="F2F2F2"/>
            <w:noWrap/>
            <w:vAlign w:val="bottom"/>
            <w:hideMark/>
          </w:tcPr>
          <w:p w14:paraId="6634E695" w14:textId="77777777" w:rsidR="009A356E" w:rsidRPr="00C10545" w:rsidRDefault="009A356E" w:rsidP="009A356E">
            <w:pPr>
              <w:jc w:val="right"/>
              <w:rPr>
                <w:color w:val="000000"/>
                <w:sz w:val="16"/>
                <w:szCs w:val="16"/>
                <w:lang w:eastAsia="en-AU"/>
              </w:rPr>
            </w:pPr>
            <w:r w:rsidRPr="00C10545">
              <w:rPr>
                <w:color w:val="000000"/>
                <w:sz w:val="16"/>
                <w:szCs w:val="16"/>
                <w:lang w:eastAsia="en-AU"/>
              </w:rPr>
              <w:t>5.05%</w:t>
            </w:r>
          </w:p>
        </w:tc>
        <w:tc>
          <w:tcPr>
            <w:tcW w:w="475" w:type="pct"/>
            <w:tcBorders>
              <w:top w:val="nil"/>
              <w:left w:val="nil"/>
              <w:bottom w:val="single" w:sz="4" w:space="0" w:color="auto"/>
              <w:right w:val="single" w:sz="4" w:space="0" w:color="auto"/>
            </w:tcBorders>
            <w:shd w:val="clear" w:color="000000" w:fill="D9D9D9"/>
            <w:noWrap/>
            <w:vAlign w:val="bottom"/>
            <w:hideMark/>
          </w:tcPr>
          <w:p w14:paraId="167EE03C" w14:textId="77777777" w:rsidR="009A356E" w:rsidRPr="00C10545" w:rsidRDefault="009A356E" w:rsidP="009A356E">
            <w:pPr>
              <w:rPr>
                <w:color w:val="000000"/>
                <w:sz w:val="16"/>
                <w:szCs w:val="16"/>
                <w:lang w:eastAsia="en-AU"/>
              </w:rPr>
            </w:pPr>
            <w:r w:rsidRPr="00C10545">
              <w:rPr>
                <w:color w:val="000000"/>
                <w:sz w:val="16"/>
                <w:szCs w:val="16"/>
                <w:lang w:eastAsia="en-AU"/>
              </w:rPr>
              <w:t xml:space="preserve">      783.2 </w:t>
            </w:r>
          </w:p>
        </w:tc>
        <w:tc>
          <w:tcPr>
            <w:tcW w:w="422" w:type="pct"/>
            <w:tcBorders>
              <w:top w:val="nil"/>
              <w:left w:val="nil"/>
              <w:bottom w:val="single" w:sz="4" w:space="0" w:color="auto"/>
              <w:right w:val="single" w:sz="8" w:space="0" w:color="auto"/>
            </w:tcBorders>
            <w:shd w:val="clear" w:color="000000" w:fill="D9D9D9"/>
            <w:noWrap/>
            <w:vAlign w:val="bottom"/>
            <w:hideMark/>
          </w:tcPr>
          <w:p w14:paraId="1C6D2C2D" w14:textId="77777777" w:rsidR="009A356E" w:rsidRPr="00C10545" w:rsidRDefault="009A356E" w:rsidP="009A356E">
            <w:pPr>
              <w:jc w:val="right"/>
              <w:rPr>
                <w:color w:val="000000"/>
                <w:sz w:val="16"/>
                <w:szCs w:val="16"/>
                <w:lang w:eastAsia="en-AU"/>
              </w:rPr>
            </w:pPr>
            <w:r w:rsidRPr="00C10545">
              <w:rPr>
                <w:color w:val="000000"/>
                <w:sz w:val="16"/>
                <w:szCs w:val="16"/>
                <w:lang w:eastAsia="en-AU"/>
              </w:rPr>
              <w:t>4.36%</w:t>
            </w:r>
          </w:p>
        </w:tc>
        <w:tc>
          <w:tcPr>
            <w:tcW w:w="342" w:type="pct"/>
            <w:tcBorders>
              <w:top w:val="nil"/>
              <w:left w:val="nil"/>
              <w:bottom w:val="single" w:sz="4" w:space="0" w:color="auto"/>
              <w:right w:val="single" w:sz="4" w:space="0" w:color="auto"/>
            </w:tcBorders>
            <w:shd w:val="clear" w:color="000000" w:fill="BFBFBF"/>
            <w:noWrap/>
            <w:vAlign w:val="bottom"/>
            <w:hideMark/>
          </w:tcPr>
          <w:p w14:paraId="23446DAD" w14:textId="77777777" w:rsidR="009A356E" w:rsidRPr="00C10545" w:rsidRDefault="009A356E" w:rsidP="009A356E">
            <w:pPr>
              <w:jc w:val="right"/>
              <w:rPr>
                <w:color w:val="000000"/>
                <w:sz w:val="16"/>
                <w:szCs w:val="16"/>
                <w:lang w:eastAsia="en-AU"/>
              </w:rPr>
            </w:pPr>
            <w:r w:rsidRPr="00C10545">
              <w:rPr>
                <w:color w:val="000000"/>
                <w:sz w:val="16"/>
                <w:szCs w:val="16"/>
                <w:lang w:eastAsia="en-AU"/>
              </w:rPr>
              <w:t>184.7</w:t>
            </w:r>
          </w:p>
        </w:tc>
        <w:tc>
          <w:tcPr>
            <w:tcW w:w="374" w:type="pct"/>
            <w:tcBorders>
              <w:top w:val="nil"/>
              <w:left w:val="nil"/>
              <w:bottom w:val="single" w:sz="4" w:space="0" w:color="auto"/>
              <w:right w:val="single" w:sz="8" w:space="0" w:color="auto"/>
            </w:tcBorders>
            <w:shd w:val="clear" w:color="000000" w:fill="BFBFBF"/>
            <w:noWrap/>
            <w:vAlign w:val="bottom"/>
            <w:hideMark/>
          </w:tcPr>
          <w:p w14:paraId="13304996" w14:textId="77777777" w:rsidR="009A356E" w:rsidRPr="00C10545" w:rsidRDefault="009A356E" w:rsidP="009A356E">
            <w:pPr>
              <w:jc w:val="right"/>
              <w:rPr>
                <w:color w:val="000000"/>
                <w:sz w:val="16"/>
                <w:szCs w:val="16"/>
                <w:lang w:eastAsia="en-AU"/>
              </w:rPr>
            </w:pPr>
            <w:r w:rsidRPr="00C10545">
              <w:rPr>
                <w:color w:val="000000"/>
                <w:sz w:val="16"/>
                <w:szCs w:val="16"/>
                <w:lang w:eastAsia="en-AU"/>
              </w:rPr>
              <w:t>4.51%</w:t>
            </w:r>
          </w:p>
        </w:tc>
        <w:tc>
          <w:tcPr>
            <w:tcW w:w="374" w:type="pct"/>
            <w:tcBorders>
              <w:top w:val="nil"/>
              <w:left w:val="nil"/>
              <w:bottom w:val="single" w:sz="4" w:space="0" w:color="auto"/>
              <w:right w:val="single" w:sz="4" w:space="0" w:color="auto"/>
            </w:tcBorders>
            <w:shd w:val="clear" w:color="000000" w:fill="95B3D7"/>
            <w:noWrap/>
            <w:vAlign w:val="bottom"/>
            <w:hideMark/>
          </w:tcPr>
          <w:p w14:paraId="3E83BAC3" w14:textId="77777777" w:rsidR="009A356E" w:rsidRPr="00C10545" w:rsidRDefault="009A356E" w:rsidP="009A356E">
            <w:pPr>
              <w:jc w:val="right"/>
              <w:rPr>
                <w:color w:val="000000"/>
                <w:sz w:val="16"/>
                <w:szCs w:val="16"/>
                <w:lang w:eastAsia="en-AU"/>
              </w:rPr>
            </w:pPr>
            <w:r w:rsidRPr="00C10545">
              <w:rPr>
                <w:color w:val="000000"/>
                <w:sz w:val="16"/>
                <w:szCs w:val="16"/>
                <w:lang w:eastAsia="en-AU"/>
              </w:rPr>
              <w:t>3.52%</w:t>
            </w:r>
          </w:p>
        </w:tc>
        <w:tc>
          <w:tcPr>
            <w:tcW w:w="374" w:type="pct"/>
            <w:tcBorders>
              <w:top w:val="nil"/>
              <w:left w:val="nil"/>
              <w:bottom w:val="single" w:sz="4" w:space="0" w:color="auto"/>
              <w:right w:val="single" w:sz="8" w:space="0" w:color="auto"/>
            </w:tcBorders>
            <w:shd w:val="clear" w:color="000000" w:fill="00B0F0"/>
            <w:noWrap/>
            <w:vAlign w:val="bottom"/>
            <w:hideMark/>
          </w:tcPr>
          <w:p w14:paraId="5EA09850" w14:textId="77777777" w:rsidR="009A356E" w:rsidRPr="00C10545" w:rsidRDefault="009A356E" w:rsidP="009A356E">
            <w:pPr>
              <w:jc w:val="right"/>
              <w:rPr>
                <w:color w:val="000000"/>
                <w:sz w:val="16"/>
                <w:szCs w:val="16"/>
                <w:lang w:eastAsia="en-AU"/>
              </w:rPr>
            </w:pPr>
            <w:r w:rsidRPr="00C10545">
              <w:rPr>
                <w:color w:val="000000"/>
                <w:sz w:val="16"/>
                <w:szCs w:val="16"/>
                <w:lang w:eastAsia="en-AU"/>
              </w:rPr>
              <w:t>3.67%</w:t>
            </w:r>
          </w:p>
        </w:tc>
      </w:tr>
      <w:tr w:rsidR="009A356E" w:rsidRPr="00C96EAB" w14:paraId="60C67AE2" w14:textId="77777777" w:rsidTr="009A356E">
        <w:trPr>
          <w:trHeight w:val="225"/>
        </w:trPr>
        <w:tc>
          <w:tcPr>
            <w:tcW w:w="523" w:type="pct"/>
            <w:tcBorders>
              <w:top w:val="nil"/>
              <w:left w:val="single" w:sz="8" w:space="0" w:color="auto"/>
              <w:bottom w:val="single" w:sz="4" w:space="0" w:color="auto"/>
              <w:right w:val="nil"/>
            </w:tcBorders>
            <w:shd w:val="clear" w:color="auto" w:fill="auto"/>
            <w:noWrap/>
            <w:vAlign w:val="bottom"/>
            <w:hideMark/>
          </w:tcPr>
          <w:p w14:paraId="6BFA0F87" w14:textId="77777777" w:rsidR="009A356E" w:rsidRPr="00C10545" w:rsidRDefault="009A356E" w:rsidP="009A356E">
            <w:pPr>
              <w:rPr>
                <w:color w:val="000000"/>
                <w:sz w:val="16"/>
                <w:szCs w:val="16"/>
                <w:lang w:eastAsia="en-AU"/>
              </w:rPr>
            </w:pPr>
            <w:r w:rsidRPr="00C10545">
              <w:rPr>
                <w:color w:val="000000"/>
                <w:sz w:val="16"/>
                <w:szCs w:val="16"/>
                <w:lang w:eastAsia="en-AU"/>
              </w:rPr>
              <w:t>2009</w:t>
            </w:r>
          </w:p>
        </w:tc>
        <w:tc>
          <w:tcPr>
            <w:tcW w:w="342" w:type="pct"/>
            <w:tcBorders>
              <w:top w:val="nil"/>
              <w:left w:val="single" w:sz="8" w:space="0" w:color="auto"/>
              <w:bottom w:val="single" w:sz="4" w:space="0" w:color="auto"/>
              <w:right w:val="single" w:sz="4" w:space="0" w:color="auto"/>
            </w:tcBorders>
            <w:shd w:val="clear" w:color="000000" w:fill="F2F2F2"/>
            <w:noWrap/>
            <w:vAlign w:val="bottom"/>
            <w:hideMark/>
          </w:tcPr>
          <w:p w14:paraId="7332B18A" w14:textId="77777777" w:rsidR="009A356E" w:rsidRPr="00C10545" w:rsidRDefault="009A356E" w:rsidP="009A356E">
            <w:pPr>
              <w:jc w:val="right"/>
              <w:rPr>
                <w:color w:val="000000"/>
                <w:sz w:val="16"/>
                <w:szCs w:val="16"/>
                <w:lang w:eastAsia="en-AU"/>
              </w:rPr>
            </w:pPr>
            <w:r w:rsidRPr="00C10545">
              <w:rPr>
                <w:color w:val="000000"/>
                <w:sz w:val="16"/>
                <w:szCs w:val="16"/>
                <w:lang w:eastAsia="en-AU"/>
              </w:rPr>
              <w:t>181.1</w:t>
            </w:r>
          </w:p>
        </w:tc>
        <w:tc>
          <w:tcPr>
            <w:tcW w:w="342" w:type="pct"/>
            <w:tcBorders>
              <w:top w:val="nil"/>
              <w:left w:val="nil"/>
              <w:bottom w:val="single" w:sz="4" w:space="0" w:color="auto"/>
              <w:right w:val="single" w:sz="4" w:space="0" w:color="auto"/>
            </w:tcBorders>
            <w:shd w:val="clear" w:color="000000" w:fill="D9D9D9"/>
            <w:noWrap/>
            <w:vAlign w:val="bottom"/>
            <w:hideMark/>
          </w:tcPr>
          <w:p w14:paraId="7AD1F2F1" w14:textId="77777777" w:rsidR="009A356E" w:rsidRPr="00C10545" w:rsidRDefault="009A356E" w:rsidP="009A356E">
            <w:pPr>
              <w:jc w:val="right"/>
              <w:rPr>
                <w:color w:val="000000"/>
                <w:sz w:val="16"/>
                <w:szCs w:val="16"/>
                <w:lang w:eastAsia="en-AU"/>
              </w:rPr>
            </w:pPr>
            <w:r w:rsidRPr="00C10545">
              <w:rPr>
                <w:color w:val="000000"/>
                <w:sz w:val="16"/>
                <w:szCs w:val="16"/>
                <w:lang w:eastAsia="en-AU"/>
              </w:rPr>
              <w:t>89.9</w:t>
            </w:r>
          </w:p>
        </w:tc>
        <w:tc>
          <w:tcPr>
            <w:tcW w:w="342" w:type="pct"/>
            <w:tcBorders>
              <w:top w:val="nil"/>
              <w:left w:val="nil"/>
              <w:bottom w:val="single" w:sz="4" w:space="0" w:color="auto"/>
              <w:right w:val="single" w:sz="4" w:space="0" w:color="auto"/>
            </w:tcBorders>
            <w:shd w:val="clear" w:color="000000" w:fill="BFBFBF"/>
            <w:noWrap/>
            <w:vAlign w:val="bottom"/>
            <w:hideMark/>
          </w:tcPr>
          <w:p w14:paraId="6361F279" w14:textId="77777777" w:rsidR="009A356E" w:rsidRPr="00C10545" w:rsidRDefault="009A356E" w:rsidP="009A356E">
            <w:pPr>
              <w:jc w:val="right"/>
              <w:rPr>
                <w:color w:val="000000"/>
                <w:sz w:val="16"/>
                <w:szCs w:val="16"/>
                <w:lang w:eastAsia="en-AU"/>
              </w:rPr>
            </w:pPr>
            <w:r w:rsidRPr="00C10545">
              <w:rPr>
                <w:color w:val="000000"/>
                <w:sz w:val="16"/>
                <w:szCs w:val="16"/>
                <w:lang w:eastAsia="en-AU"/>
              </w:rPr>
              <w:t>271.0</w:t>
            </w:r>
          </w:p>
        </w:tc>
        <w:tc>
          <w:tcPr>
            <w:tcW w:w="374" w:type="pct"/>
            <w:tcBorders>
              <w:top w:val="nil"/>
              <w:left w:val="nil"/>
              <w:bottom w:val="single" w:sz="4" w:space="0" w:color="auto"/>
              <w:right w:val="single" w:sz="8" w:space="0" w:color="auto"/>
            </w:tcBorders>
            <w:shd w:val="clear" w:color="000000" w:fill="BFBFBF"/>
            <w:noWrap/>
            <w:vAlign w:val="bottom"/>
            <w:hideMark/>
          </w:tcPr>
          <w:p w14:paraId="3F9FED97" w14:textId="77777777" w:rsidR="009A356E" w:rsidRPr="00C10545" w:rsidRDefault="009A356E" w:rsidP="009A356E">
            <w:pPr>
              <w:jc w:val="right"/>
              <w:rPr>
                <w:color w:val="000000"/>
                <w:sz w:val="16"/>
                <w:szCs w:val="16"/>
                <w:lang w:eastAsia="en-AU"/>
              </w:rPr>
            </w:pPr>
            <w:r w:rsidRPr="00C10545">
              <w:rPr>
                <w:color w:val="000000"/>
                <w:sz w:val="16"/>
                <w:szCs w:val="16"/>
                <w:lang w:eastAsia="en-AU"/>
              </w:rPr>
              <w:t>7.02%</w:t>
            </w:r>
          </w:p>
        </w:tc>
        <w:tc>
          <w:tcPr>
            <w:tcW w:w="342" w:type="pct"/>
            <w:tcBorders>
              <w:top w:val="nil"/>
              <w:left w:val="nil"/>
              <w:bottom w:val="single" w:sz="4" w:space="0" w:color="auto"/>
              <w:right w:val="single" w:sz="4" w:space="0" w:color="auto"/>
            </w:tcBorders>
            <w:shd w:val="clear" w:color="000000" w:fill="F2F2F2"/>
            <w:noWrap/>
            <w:vAlign w:val="bottom"/>
            <w:hideMark/>
          </w:tcPr>
          <w:p w14:paraId="756A8754" w14:textId="77777777" w:rsidR="009A356E" w:rsidRPr="00C10545" w:rsidRDefault="009A356E" w:rsidP="009A356E">
            <w:pPr>
              <w:jc w:val="right"/>
              <w:rPr>
                <w:color w:val="000000"/>
                <w:sz w:val="16"/>
                <w:szCs w:val="16"/>
                <w:lang w:eastAsia="en-AU"/>
              </w:rPr>
            </w:pPr>
            <w:r w:rsidRPr="00C10545">
              <w:rPr>
                <w:color w:val="000000"/>
                <w:sz w:val="16"/>
                <w:szCs w:val="16"/>
                <w:lang w:eastAsia="en-AU"/>
              </w:rPr>
              <w:t>130.6</w:t>
            </w:r>
          </w:p>
        </w:tc>
        <w:tc>
          <w:tcPr>
            <w:tcW w:w="374" w:type="pct"/>
            <w:tcBorders>
              <w:top w:val="nil"/>
              <w:left w:val="nil"/>
              <w:bottom w:val="single" w:sz="4" w:space="0" w:color="auto"/>
              <w:right w:val="single" w:sz="8" w:space="0" w:color="auto"/>
            </w:tcBorders>
            <w:shd w:val="clear" w:color="000000" w:fill="F2F2F2"/>
            <w:noWrap/>
            <w:vAlign w:val="bottom"/>
            <w:hideMark/>
          </w:tcPr>
          <w:p w14:paraId="12D69AAE" w14:textId="77777777" w:rsidR="009A356E" w:rsidRPr="00C10545" w:rsidRDefault="009A356E" w:rsidP="009A356E">
            <w:pPr>
              <w:jc w:val="right"/>
              <w:rPr>
                <w:color w:val="000000"/>
                <w:sz w:val="16"/>
                <w:szCs w:val="16"/>
                <w:lang w:eastAsia="en-AU"/>
              </w:rPr>
            </w:pPr>
            <w:r w:rsidRPr="00C10545">
              <w:rPr>
                <w:color w:val="000000"/>
                <w:sz w:val="16"/>
                <w:szCs w:val="16"/>
                <w:lang w:eastAsia="en-AU"/>
              </w:rPr>
              <w:t>5.88%</w:t>
            </w:r>
          </w:p>
        </w:tc>
        <w:tc>
          <w:tcPr>
            <w:tcW w:w="475" w:type="pct"/>
            <w:tcBorders>
              <w:top w:val="nil"/>
              <w:left w:val="nil"/>
              <w:bottom w:val="single" w:sz="4" w:space="0" w:color="auto"/>
              <w:right w:val="single" w:sz="4" w:space="0" w:color="auto"/>
            </w:tcBorders>
            <w:shd w:val="clear" w:color="000000" w:fill="D9D9D9"/>
            <w:noWrap/>
            <w:vAlign w:val="bottom"/>
            <w:hideMark/>
          </w:tcPr>
          <w:p w14:paraId="4DF8ADBF" w14:textId="77777777" w:rsidR="009A356E" w:rsidRPr="00C10545" w:rsidRDefault="009A356E" w:rsidP="009A356E">
            <w:pPr>
              <w:rPr>
                <w:color w:val="000000"/>
                <w:sz w:val="16"/>
                <w:szCs w:val="16"/>
                <w:lang w:eastAsia="en-AU"/>
              </w:rPr>
            </w:pPr>
            <w:r w:rsidRPr="00C10545">
              <w:rPr>
                <w:color w:val="000000"/>
                <w:sz w:val="16"/>
                <w:szCs w:val="16"/>
                <w:lang w:eastAsia="en-AU"/>
              </w:rPr>
              <w:t xml:space="preserve">      837.1 </w:t>
            </w:r>
          </w:p>
        </w:tc>
        <w:tc>
          <w:tcPr>
            <w:tcW w:w="422" w:type="pct"/>
            <w:tcBorders>
              <w:top w:val="nil"/>
              <w:left w:val="nil"/>
              <w:bottom w:val="single" w:sz="4" w:space="0" w:color="auto"/>
              <w:right w:val="single" w:sz="8" w:space="0" w:color="auto"/>
            </w:tcBorders>
            <w:shd w:val="clear" w:color="000000" w:fill="D9D9D9"/>
            <w:noWrap/>
            <w:vAlign w:val="bottom"/>
            <w:hideMark/>
          </w:tcPr>
          <w:p w14:paraId="582E5C7D" w14:textId="77777777" w:rsidR="009A356E" w:rsidRPr="00C10545" w:rsidRDefault="009A356E" w:rsidP="009A356E">
            <w:pPr>
              <w:jc w:val="right"/>
              <w:rPr>
                <w:color w:val="000000"/>
                <w:sz w:val="16"/>
                <w:szCs w:val="16"/>
                <w:lang w:eastAsia="en-AU"/>
              </w:rPr>
            </w:pPr>
            <w:r w:rsidRPr="00C10545">
              <w:rPr>
                <w:color w:val="000000"/>
                <w:sz w:val="16"/>
                <w:szCs w:val="16"/>
                <w:lang w:eastAsia="en-AU"/>
              </w:rPr>
              <w:t>6.88%</w:t>
            </w:r>
          </w:p>
        </w:tc>
        <w:tc>
          <w:tcPr>
            <w:tcW w:w="342" w:type="pct"/>
            <w:tcBorders>
              <w:top w:val="nil"/>
              <w:left w:val="nil"/>
              <w:bottom w:val="single" w:sz="4" w:space="0" w:color="auto"/>
              <w:right w:val="single" w:sz="4" w:space="0" w:color="auto"/>
            </w:tcBorders>
            <w:shd w:val="clear" w:color="000000" w:fill="BFBFBF"/>
            <w:noWrap/>
            <w:vAlign w:val="bottom"/>
            <w:hideMark/>
          </w:tcPr>
          <w:p w14:paraId="059F1B07" w14:textId="77777777" w:rsidR="009A356E" w:rsidRPr="00C10545" w:rsidRDefault="009A356E" w:rsidP="009A356E">
            <w:pPr>
              <w:jc w:val="right"/>
              <w:rPr>
                <w:color w:val="000000"/>
                <w:sz w:val="16"/>
                <w:szCs w:val="16"/>
                <w:lang w:eastAsia="en-AU"/>
              </w:rPr>
            </w:pPr>
            <w:r w:rsidRPr="00C10545">
              <w:rPr>
                <w:color w:val="000000"/>
                <w:sz w:val="16"/>
                <w:szCs w:val="16"/>
                <w:lang w:eastAsia="en-AU"/>
              </w:rPr>
              <w:t>195.5</w:t>
            </w:r>
          </w:p>
        </w:tc>
        <w:tc>
          <w:tcPr>
            <w:tcW w:w="374" w:type="pct"/>
            <w:tcBorders>
              <w:top w:val="nil"/>
              <w:left w:val="nil"/>
              <w:bottom w:val="single" w:sz="4" w:space="0" w:color="auto"/>
              <w:right w:val="single" w:sz="8" w:space="0" w:color="auto"/>
            </w:tcBorders>
            <w:shd w:val="clear" w:color="000000" w:fill="BFBFBF"/>
            <w:noWrap/>
            <w:vAlign w:val="bottom"/>
            <w:hideMark/>
          </w:tcPr>
          <w:p w14:paraId="43DC996F" w14:textId="77777777" w:rsidR="009A356E" w:rsidRPr="00C10545" w:rsidRDefault="009A356E" w:rsidP="009A356E">
            <w:pPr>
              <w:jc w:val="right"/>
              <w:rPr>
                <w:color w:val="000000"/>
                <w:sz w:val="16"/>
                <w:szCs w:val="16"/>
                <w:lang w:eastAsia="en-AU"/>
              </w:rPr>
            </w:pPr>
            <w:r w:rsidRPr="00C10545">
              <w:rPr>
                <w:color w:val="000000"/>
                <w:sz w:val="16"/>
                <w:szCs w:val="16"/>
                <w:lang w:eastAsia="en-AU"/>
              </w:rPr>
              <w:t>5.84%</w:t>
            </w:r>
          </w:p>
        </w:tc>
        <w:tc>
          <w:tcPr>
            <w:tcW w:w="374" w:type="pct"/>
            <w:tcBorders>
              <w:top w:val="nil"/>
              <w:left w:val="nil"/>
              <w:bottom w:val="single" w:sz="4" w:space="0" w:color="auto"/>
              <w:right w:val="single" w:sz="4" w:space="0" w:color="auto"/>
            </w:tcBorders>
            <w:shd w:val="clear" w:color="000000" w:fill="95B3D7"/>
            <w:noWrap/>
            <w:vAlign w:val="bottom"/>
            <w:hideMark/>
          </w:tcPr>
          <w:p w14:paraId="00F71284" w14:textId="77777777" w:rsidR="009A356E" w:rsidRPr="00C10545" w:rsidRDefault="009A356E" w:rsidP="009A356E">
            <w:pPr>
              <w:jc w:val="right"/>
              <w:rPr>
                <w:color w:val="000000"/>
                <w:sz w:val="16"/>
                <w:szCs w:val="16"/>
                <w:lang w:eastAsia="en-AU"/>
              </w:rPr>
            </w:pPr>
            <w:r w:rsidRPr="00C10545">
              <w:rPr>
                <w:color w:val="000000"/>
                <w:sz w:val="16"/>
                <w:szCs w:val="16"/>
                <w:lang w:eastAsia="en-AU"/>
              </w:rPr>
              <w:t>2.83%</w:t>
            </w:r>
          </w:p>
        </w:tc>
        <w:tc>
          <w:tcPr>
            <w:tcW w:w="374" w:type="pct"/>
            <w:tcBorders>
              <w:top w:val="nil"/>
              <w:left w:val="nil"/>
              <w:bottom w:val="single" w:sz="4" w:space="0" w:color="auto"/>
              <w:right w:val="single" w:sz="8" w:space="0" w:color="auto"/>
            </w:tcBorders>
            <w:shd w:val="clear" w:color="000000" w:fill="00B0F0"/>
            <w:noWrap/>
            <w:vAlign w:val="bottom"/>
            <w:hideMark/>
          </w:tcPr>
          <w:p w14:paraId="218E079B" w14:textId="77777777" w:rsidR="009A356E" w:rsidRPr="00C10545" w:rsidRDefault="009A356E" w:rsidP="009A356E">
            <w:pPr>
              <w:jc w:val="right"/>
              <w:rPr>
                <w:color w:val="000000"/>
                <w:sz w:val="16"/>
                <w:szCs w:val="16"/>
                <w:lang w:eastAsia="en-AU"/>
              </w:rPr>
            </w:pPr>
            <w:r w:rsidRPr="00C10545">
              <w:rPr>
                <w:color w:val="000000"/>
                <w:sz w:val="16"/>
                <w:szCs w:val="16"/>
                <w:lang w:eastAsia="en-AU"/>
              </w:rPr>
              <w:t>3.28%</w:t>
            </w:r>
          </w:p>
        </w:tc>
      </w:tr>
      <w:tr w:rsidR="009A356E" w:rsidRPr="00C96EAB" w14:paraId="200F5103" w14:textId="77777777" w:rsidTr="009A356E">
        <w:trPr>
          <w:trHeight w:val="225"/>
        </w:trPr>
        <w:tc>
          <w:tcPr>
            <w:tcW w:w="523" w:type="pct"/>
            <w:tcBorders>
              <w:top w:val="nil"/>
              <w:left w:val="single" w:sz="8" w:space="0" w:color="auto"/>
              <w:bottom w:val="single" w:sz="4" w:space="0" w:color="auto"/>
              <w:right w:val="nil"/>
            </w:tcBorders>
            <w:shd w:val="clear" w:color="auto" w:fill="auto"/>
            <w:noWrap/>
            <w:vAlign w:val="bottom"/>
            <w:hideMark/>
          </w:tcPr>
          <w:p w14:paraId="39651093" w14:textId="77777777" w:rsidR="009A356E" w:rsidRPr="00C10545" w:rsidRDefault="009A356E" w:rsidP="009A356E">
            <w:pPr>
              <w:rPr>
                <w:color w:val="000000"/>
                <w:sz w:val="16"/>
                <w:szCs w:val="16"/>
                <w:lang w:eastAsia="en-AU"/>
              </w:rPr>
            </w:pPr>
            <w:r w:rsidRPr="00C10545">
              <w:rPr>
                <w:color w:val="000000"/>
                <w:sz w:val="16"/>
                <w:szCs w:val="16"/>
                <w:lang w:eastAsia="en-AU"/>
              </w:rPr>
              <w:t>2010</w:t>
            </w:r>
          </w:p>
        </w:tc>
        <w:tc>
          <w:tcPr>
            <w:tcW w:w="342" w:type="pct"/>
            <w:tcBorders>
              <w:top w:val="nil"/>
              <w:left w:val="single" w:sz="8" w:space="0" w:color="auto"/>
              <w:bottom w:val="single" w:sz="4" w:space="0" w:color="auto"/>
              <w:right w:val="single" w:sz="4" w:space="0" w:color="auto"/>
            </w:tcBorders>
            <w:shd w:val="clear" w:color="000000" w:fill="F2F2F2"/>
            <w:noWrap/>
            <w:vAlign w:val="bottom"/>
            <w:hideMark/>
          </w:tcPr>
          <w:p w14:paraId="753998D0" w14:textId="77777777" w:rsidR="009A356E" w:rsidRPr="00C10545" w:rsidRDefault="009A356E" w:rsidP="009A356E">
            <w:pPr>
              <w:jc w:val="right"/>
              <w:rPr>
                <w:color w:val="000000"/>
                <w:sz w:val="16"/>
                <w:szCs w:val="16"/>
                <w:lang w:eastAsia="en-AU"/>
              </w:rPr>
            </w:pPr>
            <w:r w:rsidRPr="00C10545">
              <w:rPr>
                <w:color w:val="000000"/>
                <w:sz w:val="16"/>
                <w:szCs w:val="16"/>
                <w:lang w:eastAsia="en-AU"/>
              </w:rPr>
              <w:t>186.3</w:t>
            </w:r>
          </w:p>
        </w:tc>
        <w:tc>
          <w:tcPr>
            <w:tcW w:w="342" w:type="pct"/>
            <w:tcBorders>
              <w:top w:val="nil"/>
              <w:left w:val="nil"/>
              <w:bottom w:val="single" w:sz="4" w:space="0" w:color="auto"/>
              <w:right w:val="single" w:sz="4" w:space="0" w:color="auto"/>
            </w:tcBorders>
            <w:shd w:val="clear" w:color="000000" w:fill="D9D9D9"/>
            <w:noWrap/>
            <w:vAlign w:val="bottom"/>
            <w:hideMark/>
          </w:tcPr>
          <w:p w14:paraId="3DA8535B" w14:textId="77777777" w:rsidR="009A356E" w:rsidRPr="00C10545" w:rsidRDefault="009A356E" w:rsidP="009A356E">
            <w:pPr>
              <w:jc w:val="right"/>
              <w:rPr>
                <w:color w:val="000000"/>
                <w:sz w:val="16"/>
                <w:szCs w:val="16"/>
                <w:lang w:eastAsia="en-AU"/>
              </w:rPr>
            </w:pPr>
            <w:r w:rsidRPr="00C10545">
              <w:rPr>
                <w:color w:val="000000"/>
                <w:sz w:val="16"/>
                <w:szCs w:val="16"/>
                <w:lang w:eastAsia="en-AU"/>
              </w:rPr>
              <w:t>91.3</w:t>
            </w:r>
          </w:p>
        </w:tc>
        <w:tc>
          <w:tcPr>
            <w:tcW w:w="342" w:type="pct"/>
            <w:tcBorders>
              <w:top w:val="nil"/>
              <w:left w:val="nil"/>
              <w:bottom w:val="single" w:sz="4" w:space="0" w:color="auto"/>
              <w:right w:val="single" w:sz="4" w:space="0" w:color="auto"/>
            </w:tcBorders>
            <w:shd w:val="clear" w:color="000000" w:fill="BFBFBF"/>
            <w:noWrap/>
            <w:vAlign w:val="bottom"/>
            <w:hideMark/>
          </w:tcPr>
          <w:p w14:paraId="7D92A432" w14:textId="77777777" w:rsidR="009A356E" w:rsidRPr="00C10545" w:rsidRDefault="009A356E" w:rsidP="009A356E">
            <w:pPr>
              <w:jc w:val="right"/>
              <w:rPr>
                <w:color w:val="000000"/>
                <w:sz w:val="16"/>
                <w:szCs w:val="16"/>
                <w:lang w:eastAsia="en-AU"/>
              </w:rPr>
            </w:pPr>
            <w:r w:rsidRPr="00C10545">
              <w:rPr>
                <w:color w:val="000000"/>
                <w:sz w:val="16"/>
                <w:szCs w:val="16"/>
                <w:lang w:eastAsia="en-AU"/>
              </w:rPr>
              <w:t>277.6</w:t>
            </w:r>
          </w:p>
        </w:tc>
        <w:tc>
          <w:tcPr>
            <w:tcW w:w="374" w:type="pct"/>
            <w:tcBorders>
              <w:top w:val="nil"/>
              <w:left w:val="nil"/>
              <w:bottom w:val="single" w:sz="4" w:space="0" w:color="auto"/>
              <w:right w:val="single" w:sz="8" w:space="0" w:color="auto"/>
            </w:tcBorders>
            <w:shd w:val="clear" w:color="000000" w:fill="BFBFBF"/>
            <w:noWrap/>
            <w:vAlign w:val="bottom"/>
            <w:hideMark/>
          </w:tcPr>
          <w:p w14:paraId="7DB1FFB5" w14:textId="77777777" w:rsidR="009A356E" w:rsidRPr="00C10545" w:rsidRDefault="009A356E" w:rsidP="009A356E">
            <w:pPr>
              <w:jc w:val="right"/>
              <w:rPr>
                <w:color w:val="000000"/>
                <w:sz w:val="16"/>
                <w:szCs w:val="16"/>
                <w:lang w:eastAsia="en-AU"/>
              </w:rPr>
            </w:pPr>
            <w:r w:rsidRPr="00C10545">
              <w:rPr>
                <w:color w:val="000000"/>
                <w:sz w:val="16"/>
                <w:szCs w:val="16"/>
                <w:lang w:eastAsia="en-AU"/>
              </w:rPr>
              <w:t>2.44%</w:t>
            </w:r>
          </w:p>
        </w:tc>
        <w:tc>
          <w:tcPr>
            <w:tcW w:w="342" w:type="pct"/>
            <w:tcBorders>
              <w:top w:val="nil"/>
              <w:left w:val="nil"/>
              <w:bottom w:val="single" w:sz="4" w:space="0" w:color="auto"/>
              <w:right w:val="single" w:sz="4" w:space="0" w:color="auto"/>
            </w:tcBorders>
            <w:shd w:val="clear" w:color="000000" w:fill="F2F2F2"/>
            <w:noWrap/>
            <w:vAlign w:val="bottom"/>
            <w:hideMark/>
          </w:tcPr>
          <w:p w14:paraId="30ABB206" w14:textId="77777777" w:rsidR="009A356E" w:rsidRPr="00C10545" w:rsidRDefault="009A356E" w:rsidP="009A356E">
            <w:pPr>
              <w:jc w:val="right"/>
              <w:rPr>
                <w:color w:val="000000"/>
                <w:sz w:val="16"/>
                <w:szCs w:val="16"/>
                <w:lang w:eastAsia="en-AU"/>
              </w:rPr>
            </w:pPr>
            <w:r w:rsidRPr="00C10545">
              <w:rPr>
                <w:color w:val="000000"/>
                <w:sz w:val="16"/>
                <w:szCs w:val="16"/>
                <w:lang w:eastAsia="en-AU"/>
              </w:rPr>
              <w:t>132.9</w:t>
            </w:r>
          </w:p>
        </w:tc>
        <w:tc>
          <w:tcPr>
            <w:tcW w:w="374" w:type="pct"/>
            <w:tcBorders>
              <w:top w:val="nil"/>
              <w:left w:val="nil"/>
              <w:bottom w:val="single" w:sz="4" w:space="0" w:color="auto"/>
              <w:right w:val="single" w:sz="8" w:space="0" w:color="auto"/>
            </w:tcBorders>
            <w:shd w:val="clear" w:color="000000" w:fill="F2F2F2"/>
            <w:noWrap/>
            <w:vAlign w:val="bottom"/>
            <w:hideMark/>
          </w:tcPr>
          <w:p w14:paraId="45D95FFA" w14:textId="77777777" w:rsidR="009A356E" w:rsidRPr="00C10545" w:rsidRDefault="009A356E" w:rsidP="009A356E">
            <w:pPr>
              <w:jc w:val="right"/>
              <w:rPr>
                <w:color w:val="000000"/>
                <w:sz w:val="16"/>
                <w:szCs w:val="16"/>
                <w:lang w:eastAsia="en-AU"/>
              </w:rPr>
            </w:pPr>
            <w:r w:rsidRPr="00C10545">
              <w:rPr>
                <w:color w:val="000000"/>
                <w:sz w:val="16"/>
                <w:szCs w:val="16"/>
                <w:lang w:eastAsia="en-AU"/>
              </w:rPr>
              <w:t>1.70%</w:t>
            </w:r>
          </w:p>
        </w:tc>
        <w:tc>
          <w:tcPr>
            <w:tcW w:w="475" w:type="pct"/>
            <w:tcBorders>
              <w:top w:val="nil"/>
              <w:left w:val="nil"/>
              <w:bottom w:val="single" w:sz="4" w:space="0" w:color="auto"/>
              <w:right w:val="single" w:sz="4" w:space="0" w:color="auto"/>
            </w:tcBorders>
            <w:shd w:val="clear" w:color="000000" w:fill="D9D9D9"/>
            <w:noWrap/>
            <w:vAlign w:val="bottom"/>
            <w:hideMark/>
          </w:tcPr>
          <w:p w14:paraId="3F43E4D1" w14:textId="77777777" w:rsidR="009A356E" w:rsidRPr="00C10545" w:rsidRDefault="009A356E" w:rsidP="009A356E">
            <w:pPr>
              <w:rPr>
                <w:color w:val="000000"/>
                <w:sz w:val="16"/>
                <w:szCs w:val="16"/>
                <w:lang w:eastAsia="en-AU"/>
              </w:rPr>
            </w:pPr>
            <w:r w:rsidRPr="00C10545">
              <w:rPr>
                <w:color w:val="000000"/>
                <w:sz w:val="16"/>
                <w:szCs w:val="16"/>
                <w:lang w:eastAsia="en-AU"/>
              </w:rPr>
              <w:t xml:space="preserve">      851.1 </w:t>
            </w:r>
          </w:p>
        </w:tc>
        <w:tc>
          <w:tcPr>
            <w:tcW w:w="422" w:type="pct"/>
            <w:tcBorders>
              <w:top w:val="nil"/>
              <w:left w:val="nil"/>
              <w:bottom w:val="single" w:sz="4" w:space="0" w:color="auto"/>
              <w:right w:val="single" w:sz="8" w:space="0" w:color="auto"/>
            </w:tcBorders>
            <w:shd w:val="clear" w:color="000000" w:fill="D9D9D9"/>
            <w:noWrap/>
            <w:vAlign w:val="bottom"/>
            <w:hideMark/>
          </w:tcPr>
          <w:p w14:paraId="2AAE0E74" w14:textId="77777777" w:rsidR="009A356E" w:rsidRPr="00C10545" w:rsidRDefault="009A356E" w:rsidP="009A356E">
            <w:pPr>
              <w:jc w:val="right"/>
              <w:rPr>
                <w:color w:val="000000"/>
                <w:sz w:val="16"/>
                <w:szCs w:val="16"/>
                <w:lang w:eastAsia="en-AU"/>
              </w:rPr>
            </w:pPr>
            <w:r w:rsidRPr="00C10545">
              <w:rPr>
                <w:color w:val="000000"/>
                <w:sz w:val="16"/>
                <w:szCs w:val="16"/>
                <w:lang w:eastAsia="en-AU"/>
              </w:rPr>
              <w:t>1.67%</w:t>
            </w:r>
          </w:p>
        </w:tc>
        <w:tc>
          <w:tcPr>
            <w:tcW w:w="342" w:type="pct"/>
            <w:tcBorders>
              <w:top w:val="nil"/>
              <w:left w:val="nil"/>
              <w:bottom w:val="single" w:sz="4" w:space="0" w:color="auto"/>
              <w:right w:val="single" w:sz="4" w:space="0" w:color="auto"/>
            </w:tcBorders>
            <w:shd w:val="clear" w:color="000000" w:fill="BFBFBF"/>
            <w:noWrap/>
            <w:vAlign w:val="bottom"/>
            <w:hideMark/>
          </w:tcPr>
          <w:p w14:paraId="726D3A86" w14:textId="77777777" w:rsidR="009A356E" w:rsidRPr="00C10545" w:rsidRDefault="009A356E" w:rsidP="009A356E">
            <w:pPr>
              <w:jc w:val="right"/>
              <w:rPr>
                <w:color w:val="000000"/>
                <w:sz w:val="16"/>
                <w:szCs w:val="16"/>
                <w:lang w:eastAsia="en-AU"/>
              </w:rPr>
            </w:pPr>
            <w:r w:rsidRPr="00C10545">
              <w:rPr>
                <w:color w:val="000000"/>
                <w:sz w:val="16"/>
                <w:szCs w:val="16"/>
                <w:lang w:eastAsia="en-AU"/>
              </w:rPr>
              <w:t>198.0</w:t>
            </w:r>
          </w:p>
        </w:tc>
        <w:tc>
          <w:tcPr>
            <w:tcW w:w="374" w:type="pct"/>
            <w:tcBorders>
              <w:top w:val="nil"/>
              <w:left w:val="nil"/>
              <w:bottom w:val="single" w:sz="4" w:space="0" w:color="auto"/>
              <w:right w:val="single" w:sz="8" w:space="0" w:color="auto"/>
            </w:tcBorders>
            <w:shd w:val="clear" w:color="000000" w:fill="BFBFBF"/>
            <w:noWrap/>
            <w:vAlign w:val="bottom"/>
            <w:hideMark/>
          </w:tcPr>
          <w:p w14:paraId="636B2455" w14:textId="77777777" w:rsidR="009A356E" w:rsidRPr="00C10545" w:rsidRDefault="009A356E" w:rsidP="009A356E">
            <w:pPr>
              <w:jc w:val="right"/>
              <w:rPr>
                <w:color w:val="000000"/>
                <w:sz w:val="16"/>
                <w:szCs w:val="16"/>
                <w:lang w:eastAsia="en-AU"/>
              </w:rPr>
            </w:pPr>
            <w:r w:rsidRPr="00C10545">
              <w:rPr>
                <w:color w:val="000000"/>
                <w:sz w:val="16"/>
                <w:szCs w:val="16"/>
                <w:lang w:eastAsia="en-AU"/>
              </w:rPr>
              <w:t>1.25%</w:t>
            </w:r>
          </w:p>
        </w:tc>
        <w:tc>
          <w:tcPr>
            <w:tcW w:w="374" w:type="pct"/>
            <w:tcBorders>
              <w:top w:val="nil"/>
              <w:left w:val="nil"/>
              <w:bottom w:val="single" w:sz="4" w:space="0" w:color="auto"/>
              <w:right w:val="single" w:sz="4" w:space="0" w:color="auto"/>
            </w:tcBorders>
            <w:shd w:val="clear" w:color="000000" w:fill="95B3D7"/>
            <w:noWrap/>
            <w:vAlign w:val="bottom"/>
            <w:hideMark/>
          </w:tcPr>
          <w:p w14:paraId="205DC23F" w14:textId="77777777" w:rsidR="009A356E" w:rsidRPr="00C10545" w:rsidRDefault="009A356E" w:rsidP="009A356E">
            <w:pPr>
              <w:jc w:val="right"/>
              <w:rPr>
                <w:color w:val="000000"/>
                <w:sz w:val="16"/>
                <w:szCs w:val="16"/>
                <w:lang w:eastAsia="en-AU"/>
              </w:rPr>
            </w:pPr>
            <w:r w:rsidRPr="00C10545">
              <w:rPr>
                <w:color w:val="000000"/>
                <w:sz w:val="16"/>
                <w:szCs w:val="16"/>
                <w:lang w:eastAsia="en-AU"/>
              </w:rPr>
              <w:t>2.09%</w:t>
            </w:r>
          </w:p>
        </w:tc>
        <w:tc>
          <w:tcPr>
            <w:tcW w:w="374" w:type="pct"/>
            <w:tcBorders>
              <w:top w:val="nil"/>
              <w:left w:val="nil"/>
              <w:bottom w:val="single" w:sz="4" w:space="0" w:color="auto"/>
              <w:right w:val="single" w:sz="8" w:space="0" w:color="auto"/>
            </w:tcBorders>
            <w:shd w:val="clear" w:color="000000" w:fill="00B0F0"/>
            <w:noWrap/>
            <w:vAlign w:val="bottom"/>
            <w:hideMark/>
          </w:tcPr>
          <w:p w14:paraId="47F1BDE8" w14:textId="77777777" w:rsidR="009A356E" w:rsidRPr="00C10545" w:rsidRDefault="009A356E" w:rsidP="009A356E">
            <w:pPr>
              <w:jc w:val="right"/>
              <w:rPr>
                <w:color w:val="000000"/>
                <w:sz w:val="16"/>
                <w:szCs w:val="16"/>
                <w:lang w:eastAsia="en-AU"/>
              </w:rPr>
            </w:pPr>
            <w:r w:rsidRPr="00C10545">
              <w:rPr>
                <w:color w:val="000000"/>
                <w:sz w:val="16"/>
                <w:szCs w:val="16"/>
                <w:lang w:eastAsia="en-AU"/>
              </w:rPr>
              <w:t>2.38%</w:t>
            </w:r>
          </w:p>
        </w:tc>
      </w:tr>
      <w:tr w:rsidR="009A356E" w:rsidRPr="00C96EAB" w14:paraId="1E6EE665" w14:textId="77777777" w:rsidTr="009A356E">
        <w:trPr>
          <w:trHeight w:val="225"/>
        </w:trPr>
        <w:tc>
          <w:tcPr>
            <w:tcW w:w="523" w:type="pct"/>
            <w:tcBorders>
              <w:top w:val="nil"/>
              <w:left w:val="single" w:sz="8" w:space="0" w:color="auto"/>
              <w:bottom w:val="single" w:sz="4" w:space="0" w:color="auto"/>
              <w:right w:val="nil"/>
            </w:tcBorders>
            <w:shd w:val="clear" w:color="auto" w:fill="auto"/>
            <w:noWrap/>
            <w:vAlign w:val="bottom"/>
            <w:hideMark/>
          </w:tcPr>
          <w:p w14:paraId="06A3B0DE" w14:textId="77777777" w:rsidR="009A356E" w:rsidRPr="00C10545" w:rsidRDefault="009A356E" w:rsidP="009A356E">
            <w:pPr>
              <w:rPr>
                <w:color w:val="000000"/>
                <w:sz w:val="16"/>
                <w:szCs w:val="16"/>
                <w:lang w:eastAsia="en-AU"/>
              </w:rPr>
            </w:pPr>
            <w:r w:rsidRPr="00C10545">
              <w:rPr>
                <w:color w:val="000000"/>
                <w:sz w:val="16"/>
                <w:szCs w:val="16"/>
                <w:lang w:eastAsia="en-AU"/>
              </w:rPr>
              <w:t>2011</w:t>
            </w:r>
          </w:p>
        </w:tc>
        <w:tc>
          <w:tcPr>
            <w:tcW w:w="342" w:type="pct"/>
            <w:tcBorders>
              <w:top w:val="nil"/>
              <w:left w:val="single" w:sz="8" w:space="0" w:color="auto"/>
              <w:bottom w:val="single" w:sz="4" w:space="0" w:color="auto"/>
              <w:right w:val="single" w:sz="4" w:space="0" w:color="auto"/>
            </w:tcBorders>
            <w:shd w:val="clear" w:color="000000" w:fill="F2F2F2"/>
            <w:noWrap/>
            <w:vAlign w:val="bottom"/>
            <w:hideMark/>
          </w:tcPr>
          <w:p w14:paraId="50C4E0C8" w14:textId="77777777" w:rsidR="009A356E" w:rsidRPr="00C10545" w:rsidRDefault="009A356E" w:rsidP="009A356E">
            <w:pPr>
              <w:jc w:val="right"/>
              <w:rPr>
                <w:color w:val="000000"/>
                <w:sz w:val="16"/>
                <w:szCs w:val="16"/>
                <w:lang w:eastAsia="en-AU"/>
              </w:rPr>
            </w:pPr>
            <w:r w:rsidRPr="00C10545">
              <w:rPr>
                <w:color w:val="000000"/>
                <w:sz w:val="16"/>
                <w:szCs w:val="16"/>
                <w:lang w:eastAsia="en-AU"/>
              </w:rPr>
              <w:t>202.8</w:t>
            </w:r>
          </w:p>
        </w:tc>
        <w:tc>
          <w:tcPr>
            <w:tcW w:w="342" w:type="pct"/>
            <w:tcBorders>
              <w:top w:val="nil"/>
              <w:left w:val="nil"/>
              <w:bottom w:val="single" w:sz="4" w:space="0" w:color="auto"/>
              <w:right w:val="single" w:sz="4" w:space="0" w:color="auto"/>
            </w:tcBorders>
            <w:shd w:val="clear" w:color="000000" w:fill="D9D9D9"/>
            <w:noWrap/>
            <w:vAlign w:val="bottom"/>
            <w:hideMark/>
          </w:tcPr>
          <w:p w14:paraId="2BF031F9" w14:textId="77777777" w:rsidR="009A356E" w:rsidRPr="00C10545" w:rsidRDefault="009A356E" w:rsidP="009A356E">
            <w:pPr>
              <w:jc w:val="right"/>
              <w:rPr>
                <w:color w:val="000000"/>
                <w:sz w:val="16"/>
                <w:szCs w:val="16"/>
                <w:lang w:eastAsia="en-AU"/>
              </w:rPr>
            </w:pPr>
            <w:r w:rsidRPr="00C10545">
              <w:rPr>
                <w:color w:val="000000"/>
                <w:sz w:val="16"/>
                <w:szCs w:val="16"/>
                <w:lang w:eastAsia="en-AU"/>
              </w:rPr>
              <w:t>98.5</w:t>
            </w:r>
          </w:p>
        </w:tc>
        <w:tc>
          <w:tcPr>
            <w:tcW w:w="342" w:type="pct"/>
            <w:tcBorders>
              <w:top w:val="nil"/>
              <w:left w:val="nil"/>
              <w:bottom w:val="single" w:sz="4" w:space="0" w:color="auto"/>
              <w:right w:val="single" w:sz="4" w:space="0" w:color="auto"/>
            </w:tcBorders>
            <w:shd w:val="clear" w:color="000000" w:fill="BFBFBF"/>
            <w:noWrap/>
            <w:vAlign w:val="bottom"/>
            <w:hideMark/>
          </w:tcPr>
          <w:p w14:paraId="38B9E4B7" w14:textId="77777777" w:rsidR="009A356E" w:rsidRPr="00C10545" w:rsidRDefault="009A356E" w:rsidP="009A356E">
            <w:pPr>
              <w:jc w:val="right"/>
              <w:rPr>
                <w:color w:val="000000"/>
                <w:sz w:val="16"/>
                <w:szCs w:val="16"/>
                <w:lang w:eastAsia="en-AU"/>
              </w:rPr>
            </w:pPr>
            <w:r w:rsidRPr="00C10545">
              <w:rPr>
                <w:color w:val="000000"/>
                <w:sz w:val="16"/>
                <w:szCs w:val="16"/>
                <w:lang w:eastAsia="en-AU"/>
              </w:rPr>
              <w:t>301.3</w:t>
            </w:r>
          </w:p>
        </w:tc>
        <w:tc>
          <w:tcPr>
            <w:tcW w:w="374" w:type="pct"/>
            <w:tcBorders>
              <w:top w:val="nil"/>
              <w:left w:val="nil"/>
              <w:bottom w:val="single" w:sz="4" w:space="0" w:color="auto"/>
              <w:right w:val="single" w:sz="8" w:space="0" w:color="auto"/>
            </w:tcBorders>
            <w:shd w:val="clear" w:color="000000" w:fill="BFBFBF"/>
            <w:noWrap/>
            <w:vAlign w:val="bottom"/>
            <w:hideMark/>
          </w:tcPr>
          <w:p w14:paraId="4E88105A" w14:textId="77777777" w:rsidR="009A356E" w:rsidRPr="00C10545" w:rsidRDefault="009A356E" w:rsidP="009A356E">
            <w:pPr>
              <w:jc w:val="right"/>
              <w:rPr>
                <w:color w:val="000000"/>
                <w:sz w:val="16"/>
                <w:szCs w:val="16"/>
                <w:lang w:eastAsia="en-AU"/>
              </w:rPr>
            </w:pPr>
            <w:r w:rsidRPr="00C10545">
              <w:rPr>
                <w:color w:val="000000"/>
                <w:sz w:val="16"/>
                <w:szCs w:val="16"/>
                <w:lang w:eastAsia="en-AU"/>
              </w:rPr>
              <w:t>8.52%</w:t>
            </w:r>
          </w:p>
        </w:tc>
        <w:tc>
          <w:tcPr>
            <w:tcW w:w="342" w:type="pct"/>
            <w:tcBorders>
              <w:top w:val="nil"/>
              <w:left w:val="nil"/>
              <w:bottom w:val="single" w:sz="4" w:space="0" w:color="auto"/>
              <w:right w:val="single" w:sz="4" w:space="0" w:color="auto"/>
            </w:tcBorders>
            <w:shd w:val="clear" w:color="000000" w:fill="F2F2F2"/>
            <w:noWrap/>
            <w:vAlign w:val="bottom"/>
            <w:hideMark/>
          </w:tcPr>
          <w:p w14:paraId="54E83EA9" w14:textId="77777777" w:rsidR="009A356E" w:rsidRPr="00C10545" w:rsidRDefault="009A356E" w:rsidP="009A356E">
            <w:pPr>
              <w:jc w:val="right"/>
              <w:rPr>
                <w:color w:val="000000"/>
                <w:sz w:val="16"/>
                <w:szCs w:val="16"/>
                <w:lang w:eastAsia="en-AU"/>
              </w:rPr>
            </w:pPr>
            <w:r w:rsidRPr="00C10545">
              <w:rPr>
                <w:color w:val="000000"/>
                <w:sz w:val="16"/>
                <w:szCs w:val="16"/>
                <w:lang w:eastAsia="en-AU"/>
              </w:rPr>
              <w:t>143.0</w:t>
            </w:r>
          </w:p>
        </w:tc>
        <w:tc>
          <w:tcPr>
            <w:tcW w:w="374" w:type="pct"/>
            <w:tcBorders>
              <w:top w:val="nil"/>
              <w:left w:val="nil"/>
              <w:bottom w:val="single" w:sz="4" w:space="0" w:color="auto"/>
              <w:right w:val="single" w:sz="8" w:space="0" w:color="auto"/>
            </w:tcBorders>
            <w:shd w:val="clear" w:color="000000" w:fill="F2F2F2"/>
            <w:noWrap/>
            <w:vAlign w:val="bottom"/>
            <w:hideMark/>
          </w:tcPr>
          <w:p w14:paraId="6CB8BDCC" w14:textId="77777777" w:rsidR="009A356E" w:rsidRPr="00C10545" w:rsidRDefault="009A356E" w:rsidP="009A356E">
            <w:pPr>
              <w:jc w:val="right"/>
              <w:rPr>
                <w:color w:val="000000"/>
                <w:sz w:val="16"/>
                <w:szCs w:val="16"/>
                <w:lang w:eastAsia="en-AU"/>
              </w:rPr>
            </w:pPr>
            <w:r w:rsidRPr="00C10545">
              <w:rPr>
                <w:color w:val="000000"/>
                <w:sz w:val="16"/>
                <w:szCs w:val="16"/>
                <w:lang w:eastAsia="en-AU"/>
              </w:rPr>
              <w:t>7.66%</w:t>
            </w:r>
          </w:p>
        </w:tc>
        <w:tc>
          <w:tcPr>
            <w:tcW w:w="475" w:type="pct"/>
            <w:tcBorders>
              <w:top w:val="nil"/>
              <w:left w:val="nil"/>
              <w:bottom w:val="single" w:sz="4" w:space="0" w:color="auto"/>
              <w:right w:val="single" w:sz="4" w:space="0" w:color="auto"/>
            </w:tcBorders>
            <w:shd w:val="clear" w:color="000000" w:fill="D9D9D9"/>
            <w:noWrap/>
            <w:vAlign w:val="bottom"/>
            <w:hideMark/>
          </w:tcPr>
          <w:p w14:paraId="0656243D" w14:textId="77777777" w:rsidR="009A356E" w:rsidRPr="00C10545" w:rsidRDefault="009A356E" w:rsidP="009A356E">
            <w:pPr>
              <w:rPr>
                <w:color w:val="000000"/>
                <w:sz w:val="16"/>
                <w:szCs w:val="16"/>
                <w:lang w:eastAsia="en-AU"/>
              </w:rPr>
            </w:pPr>
            <w:r w:rsidRPr="00C10545">
              <w:rPr>
                <w:color w:val="000000"/>
                <w:sz w:val="16"/>
                <w:szCs w:val="16"/>
                <w:lang w:eastAsia="en-AU"/>
              </w:rPr>
              <w:t xml:space="preserve">      919.1 </w:t>
            </w:r>
          </w:p>
        </w:tc>
        <w:tc>
          <w:tcPr>
            <w:tcW w:w="422" w:type="pct"/>
            <w:tcBorders>
              <w:top w:val="nil"/>
              <w:left w:val="nil"/>
              <w:bottom w:val="single" w:sz="4" w:space="0" w:color="auto"/>
              <w:right w:val="single" w:sz="8" w:space="0" w:color="auto"/>
            </w:tcBorders>
            <w:shd w:val="clear" w:color="000000" w:fill="D9D9D9"/>
            <w:noWrap/>
            <w:vAlign w:val="bottom"/>
            <w:hideMark/>
          </w:tcPr>
          <w:p w14:paraId="31B8E5A5" w14:textId="77777777" w:rsidR="009A356E" w:rsidRPr="00C10545" w:rsidRDefault="009A356E" w:rsidP="009A356E">
            <w:pPr>
              <w:jc w:val="right"/>
              <w:rPr>
                <w:color w:val="000000"/>
                <w:sz w:val="16"/>
                <w:szCs w:val="16"/>
                <w:lang w:eastAsia="en-AU"/>
              </w:rPr>
            </w:pPr>
            <w:r w:rsidRPr="00C10545">
              <w:rPr>
                <w:color w:val="000000"/>
                <w:sz w:val="16"/>
                <w:szCs w:val="16"/>
                <w:lang w:eastAsia="en-AU"/>
              </w:rPr>
              <w:t>7.99%</w:t>
            </w:r>
          </w:p>
        </w:tc>
        <w:tc>
          <w:tcPr>
            <w:tcW w:w="342" w:type="pct"/>
            <w:tcBorders>
              <w:top w:val="nil"/>
              <w:left w:val="nil"/>
              <w:bottom w:val="single" w:sz="4" w:space="0" w:color="auto"/>
              <w:right w:val="single" w:sz="4" w:space="0" w:color="auto"/>
            </w:tcBorders>
            <w:shd w:val="clear" w:color="000000" w:fill="BFBFBF"/>
            <w:noWrap/>
            <w:vAlign w:val="bottom"/>
            <w:hideMark/>
          </w:tcPr>
          <w:p w14:paraId="1D4EA83C" w14:textId="77777777" w:rsidR="009A356E" w:rsidRPr="00C10545" w:rsidRDefault="009A356E" w:rsidP="009A356E">
            <w:pPr>
              <w:jc w:val="right"/>
              <w:rPr>
                <w:color w:val="000000"/>
                <w:sz w:val="16"/>
                <w:szCs w:val="16"/>
                <w:lang w:eastAsia="en-AU"/>
              </w:rPr>
            </w:pPr>
            <w:r w:rsidRPr="00C10545">
              <w:rPr>
                <w:color w:val="000000"/>
                <w:sz w:val="16"/>
                <w:szCs w:val="16"/>
                <w:lang w:eastAsia="en-AU"/>
              </w:rPr>
              <w:t>212.5</w:t>
            </w:r>
          </w:p>
        </w:tc>
        <w:tc>
          <w:tcPr>
            <w:tcW w:w="374" w:type="pct"/>
            <w:tcBorders>
              <w:top w:val="nil"/>
              <w:left w:val="nil"/>
              <w:bottom w:val="single" w:sz="4" w:space="0" w:color="auto"/>
              <w:right w:val="single" w:sz="8" w:space="0" w:color="auto"/>
            </w:tcBorders>
            <w:shd w:val="clear" w:color="000000" w:fill="BFBFBF"/>
            <w:noWrap/>
            <w:vAlign w:val="bottom"/>
            <w:hideMark/>
          </w:tcPr>
          <w:p w14:paraId="6D98CF99" w14:textId="77777777" w:rsidR="009A356E" w:rsidRPr="00C10545" w:rsidRDefault="009A356E" w:rsidP="009A356E">
            <w:pPr>
              <w:jc w:val="right"/>
              <w:rPr>
                <w:color w:val="000000"/>
                <w:sz w:val="16"/>
                <w:szCs w:val="16"/>
                <w:lang w:eastAsia="en-AU"/>
              </w:rPr>
            </w:pPr>
            <w:r w:rsidRPr="00C10545">
              <w:rPr>
                <w:color w:val="000000"/>
                <w:sz w:val="16"/>
                <w:szCs w:val="16"/>
                <w:lang w:eastAsia="en-AU"/>
              </w:rPr>
              <w:t>7.33%</w:t>
            </w:r>
          </w:p>
        </w:tc>
        <w:tc>
          <w:tcPr>
            <w:tcW w:w="374" w:type="pct"/>
            <w:tcBorders>
              <w:top w:val="nil"/>
              <w:left w:val="nil"/>
              <w:bottom w:val="single" w:sz="4" w:space="0" w:color="auto"/>
              <w:right w:val="single" w:sz="4" w:space="0" w:color="auto"/>
            </w:tcBorders>
            <w:shd w:val="clear" w:color="000000" w:fill="95B3D7"/>
            <w:noWrap/>
            <w:vAlign w:val="bottom"/>
            <w:hideMark/>
          </w:tcPr>
          <w:p w14:paraId="1A611D91" w14:textId="77777777" w:rsidR="009A356E" w:rsidRPr="00C10545" w:rsidRDefault="009A356E" w:rsidP="009A356E">
            <w:pPr>
              <w:jc w:val="right"/>
              <w:rPr>
                <w:color w:val="000000"/>
                <w:sz w:val="16"/>
                <w:szCs w:val="16"/>
                <w:lang w:eastAsia="en-AU"/>
              </w:rPr>
            </w:pPr>
            <w:r w:rsidRPr="00C10545">
              <w:rPr>
                <w:color w:val="000000"/>
                <w:sz w:val="16"/>
                <w:szCs w:val="16"/>
                <w:lang w:eastAsia="en-AU"/>
              </w:rPr>
              <w:t>3.24%</w:t>
            </w:r>
          </w:p>
        </w:tc>
        <w:tc>
          <w:tcPr>
            <w:tcW w:w="374" w:type="pct"/>
            <w:tcBorders>
              <w:top w:val="nil"/>
              <w:left w:val="nil"/>
              <w:bottom w:val="single" w:sz="4" w:space="0" w:color="auto"/>
              <w:right w:val="single" w:sz="8" w:space="0" w:color="auto"/>
            </w:tcBorders>
            <w:shd w:val="clear" w:color="000000" w:fill="00B0F0"/>
            <w:noWrap/>
            <w:vAlign w:val="bottom"/>
            <w:hideMark/>
          </w:tcPr>
          <w:p w14:paraId="1AB7F641" w14:textId="77777777" w:rsidR="009A356E" w:rsidRPr="00C10545" w:rsidRDefault="009A356E" w:rsidP="009A356E">
            <w:pPr>
              <w:jc w:val="right"/>
              <w:rPr>
                <w:color w:val="000000"/>
                <w:sz w:val="16"/>
                <w:szCs w:val="16"/>
                <w:lang w:eastAsia="en-AU"/>
              </w:rPr>
            </w:pPr>
            <w:r w:rsidRPr="00C10545">
              <w:rPr>
                <w:color w:val="000000"/>
                <w:sz w:val="16"/>
                <w:szCs w:val="16"/>
                <w:lang w:eastAsia="en-AU"/>
              </w:rPr>
              <w:t>3.46%</w:t>
            </w:r>
          </w:p>
        </w:tc>
      </w:tr>
      <w:tr w:rsidR="009A356E" w:rsidRPr="00C96EAB" w14:paraId="731A57D4" w14:textId="77777777" w:rsidTr="009A356E">
        <w:trPr>
          <w:trHeight w:val="225"/>
        </w:trPr>
        <w:tc>
          <w:tcPr>
            <w:tcW w:w="523" w:type="pct"/>
            <w:tcBorders>
              <w:top w:val="nil"/>
              <w:left w:val="single" w:sz="8" w:space="0" w:color="auto"/>
              <w:bottom w:val="single" w:sz="4" w:space="0" w:color="auto"/>
              <w:right w:val="nil"/>
            </w:tcBorders>
            <w:shd w:val="clear" w:color="auto" w:fill="auto"/>
            <w:noWrap/>
            <w:vAlign w:val="bottom"/>
            <w:hideMark/>
          </w:tcPr>
          <w:p w14:paraId="1F896ECF" w14:textId="77777777" w:rsidR="009A356E" w:rsidRPr="00C10545" w:rsidRDefault="009A356E" w:rsidP="009A356E">
            <w:pPr>
              <w:rPr>
                <w:color w:val="000000"/>
                <w:sz w:val="16"/>
                <w:szCs w:val="16"/>
                <w:lang w:eastAsia="en-AU"/>
              </w:rPr>
            </w:pPr>
            <w:r w:rsidRPr="00C10545">
              <w:rPr>
                <w:color w:val="000000"/>
                <w:sz w:val="16"/>
                <w:szCs w:val="16"/>
                <w:lang w:eastAsia="en-AU"/>
              </w:rPr>
              <w:t>2012</w:t>
            </w:r>
          </w:p>
        </w:tc>
        <w:tc>
          <w:tcPr>
            <w:tcW w:w="342" w:type="pct"/>
            <w:tcBorders>
              <w:top w:val="nil"/>
              <w:left w:val="single" w:sz="8" w:space="0" w:color="auto"/>
              <w:bottom w:val="single" w:sz="4" w:space="0" w:color="auto"/>
              <w:right w:val="single" w:sz="4" w:space="0" w:color="auto"/>
            </w:tcBorders>
            <w:shd w:val="clear" w:color="000000" w:fill="F2F2F2"/>
            <w:noWrap/>
            <w:vAlign w:val="bottom"/>
            <w:hideMark/>
          </w:tcPr>
          <w:p w14:paraId="766CC4ED" w14:textId="77777777" w:rsidR="009A356E" w:rsidRPr="00C10545" w:rsidRDefault="009A356E" w:rsidP="009A356E">
            <w:pPr>
              <w:jc w:val="right"/>
              <w:rPr>
                <w:color w:val="000000"/>
                <w:sz w:val="16"/>
                <w:szCs w:val="16"/>
                <w:lang w:eastAsia="en-AU"/>
              </w:rPr>
            </w:pPr>
            <w:r w:rsidRPr="00C10545">
              <w:rPr>
                <w:color w:val="000000"/>
                <w:sz w:val="16"/>
                <w:szCs w:val="16"/>
                <w:lang w:eastAsia="en-AU"/>
              </w:rPr>
              <w:t>208.7</w:t>
            </w:r>
          </w:p>
        </w:tc>
        <w:tc>
          <w:tcPr>
            <w:tcW w:w="342" w:type="pct"/>
            <w:tcBorders>
              <w:top w:val="nil"/>
              <w:left w:val="nil"/>
              <w:bottom w:val="single" w:sz="4" w:space="0" w:color="auto"/>
              <w:right w:val="single" w:sz="4" w:space="0" w:color="auto"/>
            </w:tcBorders>
            <w:shd w:val="clear" w:color="000000" w:fill="D9D9D9"/>
            <w:noWrap/>
            <w:vAlign w:val="bottom"/>
            <w:hideMark/>
          </w:tcPr>
          <w:p w14:paraId="45CBAE1C" w14:textId="77777777" w:rsidR="009A356E" w:rsidRPr="00C10545" w:rsidRDefault="009A356E" w:rsidP="009A356E">
            <w:pPr>
              <w:jc w:val="right"/>
              <w:rPr>
                <w:color w:val="000000"/>
                <w:sz w:val="16"/>
                <w:szCs w:val="16"/>
                <w:lang w:eastAsia="en-AU"/>
              </w:rPr>
            </w:pPr>
            <w:r w:rsidRPr="00C10545">
              <w:rPr>
                <w:color w:val="000000"/>
                <w:sz w:val="16"/>
                <w:szCs w:val="16"/>
                <w:lang w:eastAsia="en-AU"/>
              </w:rPr>
              <w:t>101.8</w:t>
            </w:r>
          </w:p>
        </w:tc>
        <w:tc>
          <w:tcPr>
            <w:tcW w:w="342" w:type="pct"/>
            <w:tcBorders>
              <w:top w:val="nil"/>
              <w:left w:val="nil"/>
              <w:bottom w:val="single" w:sz="4" w:space="0" w:color="auto"/>
              <w:right w:val="single" w:sz="4" w:space="0" w:color="auto"/>
            </w:tcBorders>
            <w:shd w:val="clear" w:color="000000" w:fill="BFBFBF"/>
            <w:noWrap/>
            <w:vAlign w:val="bottom"/>
            <w:hideMark/>
          </w:tcPr>
          <w:p w14:paraId="31E3454F" w14:textId="77777777" w:rsidR="009A356E" w:rsidRPr="00C10545" w:rsidRDefault="009A356E" w:rsidP="009A356E">
            <w:pPr>
              <w:jc w:val="right"/>
              <w:rPr>
                <w:color w:val="000000"/>
                <w:sz w:val="16"/>
                <w:szCs w:val="16"/>
                <w:lang w:eastAsia="en-AU"/>
              </w:rPr>
            </w:pPr>
            <w:r w:rsidRPr="00C10545">
              <w:rPr>
                <w:color w:val="000000"/>
                <w:sz w:val="16"/>
                <w:szCs w:val="16"/>
                <w:lang w:eastAsia="en-AU"/>
              </w:rPr>
              <w:t>310.4</w:t>
            </w:r>
          </w:p>
        </w:tc>
        <w:tc>
          <w:tcPr>
            <w:tcW w:w="374" w:type="pct"/>
            <w:tcBorders>
              <w:top w:val="nil"/>
              <w:left w:val="nil"/>
              <w:bottom w:val="single" w:sz="4" w:space="0" w:color="auto"/>
              <w:right w:val="single" w:sz="8" w:space="0" w:color="auto"/>
            </w:tcBorders>
            <w:shd w:val="clear" w:color="000000" w:fill="BFBFBF"/>
            <w:noWrap/>
            <w:vAlign w:val="bottom"/>
            <w:hideMark/>
          </w:tcPr>
          <w:p w14:paraId="76E6B911" w14:textId="77777777" w:rsidR="009A356E" w:rsidRPr="00C10545" w:rsidRDefault="009A356E" w:rsidP="009A356E">
            <w:pPr>
              <w:jc w:val="right"/>
              <w:rPr>
                <w:color w:val="000000"/>
                <w:sz w:val="16"/>
                <w:szCs w:val="16"/>
                <w:lang w:eastAsia="en-AU"/>
              </w:rPr>
            </w:pPr>
            <w:r w:rsidRPr="00C10545">
              <w:rPr>
                <w:color w:val="000000"/>
                <w:sz w:val="16"/>
                <w:szCs w:val="16"/>
                <w:lang w:eastAsia="en-AU"/>
              </w:rPr>
              <w:t>3.04%</w:t>
            </w:r>
          </w:p>
        </w:tc>
        <w:tc>
          <w:tcPr>
            <w:tcW w:w="342" w:type="pct"/>
            <w:tcBorders>
              <w:top w:val="nil"/>
              <w:left w:val="nil"/>
              <w:bottom w:val="single" w:sz="4" w:space="0" w:color="auto"/>
              <w:right w:val="single" w:sz="4" w:space="0" w:color="auto"/>
            </w:tcBorders>
            <w:shd w:val="clear" w:color="000000" w:fill="F2F2F2"/>
            <w:noWrap/>
            <w:vAlign w:val="bottom"/>
            <w:hideMark/>
          </w:tcPr>
          <w:p w14:paraId="0C56CB6C" w14:textId="77777777" w:rsidR="009A356E" w:rsidRPr="00C10545" w:rsidRDefault="009A356E" w:rsidP="009A356E">
            <w:pPr>
              <w:jc w:val="right"/>
              <w:rPr>
                <w:color w:val="000000"/>
                <w:sz w:val="16"/>
                <w:szCs w:val="16"/>
                <w:lang w:eastAsia="en-AU"/>
              </w:rPr>
            </w:pPr>
            <w:r w:rsidRPr="00C10545">
              <w:rPr>
                <w:color w:val="000000"/>
                <w:sz w:val="16"/>
                <w:szCs w:val="16"/>
                <w:lang w:eastAsia="en-AU"/>
              </w:rPr>
              <w:t>145.7</w:t>
            </w:r>
          </w:p>
        </w:tc>
        <w:tc>
          <w:tcPr>
            <w:tcW w:w="374" w:type="pct"/>
            <w:tcBorders>
              <w:top w:val="nil"/>
              <w:left w:val="nil"/>
              <w:bottom w:val="single" w:sz="4" w:space="0" w:color="auto"/>
              <w:right w:val="single" w:sz="8" w:space="0" w:color="auto"/>
            </w:tcBorders>
            <w:shd w:val="clear" w:color="000000" w:fill="F2F2F2"/>
            <w:noWrap/>
            <w:vAlign w:val="bottom"/>
            <w:hideMark/>
          </w:tcPr>
          <w:p w14:paraId="78C6A6A7" w14:textId="77777777" w:rsidR="009A356E" w:rsidRPr="00C10545" w:rsidRDefault="009A356E" w:rsidP="009A356E">
            <w:pPr>
              <w:jc w:val="right"/>
              <w:rPr>
                <w:color w:val="000000"/>
                <w:sz w:val="16"/>
                <w:szCs w:val="16"/>
                <w:lang w:eastAsia="en-AU"/>
              </w:rPr>
            </w:pPr>
            <w:r w:rsidRPr="00C10545">
              <w:rPr>
                <w:color w:val="000000"/>
                <w:sz w:val="16"/>
                <w:szCs w:val="16"/>
                <w:lang w:eastAsia="en-AU"/>
              </w:rPr>
              <w:t>1.88%</w:t>
            </w:r>
          </w:p>
        </w:tc>
        <w:tc>
          <w:tcPr>
            <w:tcW w:w="475" w:type="pct"/>
            <w:tcBorders>
              <w:top w:val="nil"/>
              <w:left w:val="nil"/>
              <w:bottom w:val="single" w:sz="4" w:space="0" w:color="auto"/>
              <w:right w:val="single" w:sz="4" w:space="0" w:color="auto"/>
            </w:tcBorders>
            <w:shd w:val="clear" w:color="000000" w:fill="D9D9D9"/>
            <w:noWrap/>
            <w:vAlign w:val="bottom"/>
            <w:hideMark/>
          </w:tcPr>
          <w:p w14:paraId="77F44C40" w14:textId="77777777" w:rsidR="009A356E" w:rsidRPr="00C10545" w:rsidRDefault="009A356E" w:rsidP="009A356E">
            <w:pPr>
              <w:rPr>
                <w:color w:val="000000"/>
                <w:sz w:val="16"/>
                <w:szCs w:val="16"/>
                <w:lang w:eastAsia="en-AU"/>
              </w:rPr>
            </w:pPr>
            <w:r w:rsidRPr="00C10545">
              <w:rPr>
                <w:color w:val="000000"/>
                <w:sz w:val="16"/>
                <w:szCs w:val="16"/>
                <w:lang w:eastAsia="en-AU"/>
              </w:rPr>
              <w:t xml:space="preserve">      945.1 </w:t>
            </w:r>
          </w:p>
        </w:tc>
        <w:tc>
          <w:tcPr>
            <w:tcW w:w="422" w:type="pct"/>
            <w:tcBorders>
              <w:top w:val="nil"/>
              <w:left w:val="nil"/>
              <w:bottom w:val="single" w:sz="4" w:space="0" w:color="auto"/>
              <w:right w:val="single" w:sz="8" w:space="0" w:color="auto"/>
            </w:tcBorders>
            <w:shd w:val="clear" w:color="000000" w:fill="D9D9D9"/>
            <w:noWrap/>
            <w:vAlign w:val="bottom"/>
            <w:hideMark/>
          </w:tcPr>
          <w:p w14:paraId="721E2F8E" w14:textId="77777777" w:rsidR="009A356E" w:rsidRPr="00C10545" w:rsidRDefault="009A356E" w:rsidP="009A356E">
            <w:pPr>
              <w:jc w:val="right"/>
              <w:rPr>
                <w:color w:val="000000"/>
                <w:sz w:val="16"/>
                <w:szCs w:val="16"/>
                <w:lang w:eastAsia="en-AU"/>
              </w:rPr>
            </w:pPr>
            <w:r w:rsidRPr="00C10545">
              <w:rPr>
                <w:color w:val="000000"/>
                <w:sz w:val="16"/>
                <w:szCs w:val="16"/>
                <w:lang w:eastAsia="en-AU"/>
              </w:rPr>
              <w:t>2.84%</w:t>
            </w:r>
          </w:p>
        </w:tc>
        <w:tc>
          <w:tcPr>
            <w:tcW w:w="342" w:type="pct"/>
            <w:tcBorders>
              <w:top w:val="nil"/>
              <w:left w:val="nil"/>
              <w:bottom w:val="single" w:sz="4" w:space="0" w:color="auto"/>
              <w:right w:val="single" w:sz="4" w:space="0" w:color="auto"/>
            </w:tcBorders>
            <w:shd w:val="clear" w:color="000000" w:fill="BFBFBF"/>
            <w:noWrap/>
            <w:vAlign w:val="bottom"/>
            <w:hideMark/>
          </w:tcPr>
          <w:p w14:paraId="0B13419E" w14:textId="77777777" w:rsidR="009A356E" w:rsidRPr="00C10545" w:rsidRDefault="009A356E" w:rsidP="009A356E">
            <w:pPr>
              <w:jc w:val="right"/>
              <w:rPr>
                <w:color w:val="000000"/>
                <w:sz w:val="16"/>
                <w:szCs w:val="16"/>
                <w:lang w:eastAsia="en-AU"/>
              </w:rPr>
            </w:pPr>
            <w:r w:rsidRPr="00C10545">
              <w:rPr>
                <w:color w:val="000000"/>
                <w:sz w:val="16"/>
                <w:szCs w:val="16"/>
                <w:lang w:eastAsia="en-AU"/>
              </w:rPr>
              <w:t>216.8</w:t>
            </w:r>
          </w:p>
        </w:tc>
        <w:tc>
          <w:tcPr>
            <w:tcW w:w="374" w:type="pct"/>
            <w:tcBorders>
              <w:top w:val="nil"/>
              <w:left w:val="nil"/>
              <w:bottom w:val="single" w:sz="4" w:space="0" w:color="auto"/>
              <w:right w:val="single" w:sz="8" w:space="0" w:color="auto"/>
            </w:tcBorders>
            <w:shd w:val="clear" w:color="000000" w:fill="BFBFBF"/>
            <w:noWrap/>
            <w:vAlign w:val="bottom"/>
            <w:hideMark/>
          </w:tcPr>
          <w:p w14:paraId="7CC8F494" w14:textId="77777777" w:rsidR="009A356E" w:rsidRPr="00C10545" w:rsidRDefault="009A356E" w:rsidP="009A356E">
            <w:pPr>
              <w:jc w:val="right"/>
              <w:rPr>
                <w:color w:val="000000"/>
                <w:sz w:val="16"/>
                <w:szCs w:val="16"/>
                <w:lang w:eastAsia="en-AU"/>
              </w:rPr>
            </w:pPr>
            <w:r w:rsidRPr="00C10545">
              <w:rPr>
                <w:color w:val="000000"/>
                <w:sz w:val="16"/>
                <w:szCs w:val="16"/>
                <w:lang w:eastAsia="en-AU"/>
              </w:rPr>
              <w:t>2.03%</w:t>
            </w:r>
          </w:p>
        </w:tc>
        <w:tc>
          <w:tcPr>
            <w:tcW w:w="374" w:type="pct"/>
            <w:tcBorders>
              <w:top w:val="nil"/>
              <w:left w:val="nil"/>
              <w:bottom w:val="single" w:sz="4" w:space="0" w:color="auto"/>
              <w:right w:val="single" w:sz="4" w:space="0" w:color="auto"/>
            </w:tcBorders>
            <w:shd w:val="clear" w:color="000000" w:fill="95B3D7"/>
            <w:noWrap/>
            <w:vAlign w:val="bottom"/>
            <w:hideMark/>
          </w:tcPr>
          <w:p w14:paraId="445BDC15" w14:textId="77777777" w:rsidR="009A356E" w:rsidRPr="00C10545" w:rsidRDefault="009A356E" w:rsidP="009A356E">
            <w:pPr>
              <w:jc w:val="right"/>
              <w:rPr>
                <w:color w:val="000000"/>
                <w:sz w:val="16"/>
                <w:szCs w:val="16"/>
                <w:lang w:eastAsia="en-AU"/>
              </w:rPr>
            </w:pPr>
            <w:r w:rsidRPr="00C10545">
              <w:rPr>
                <w:color w:val="000000"/>
                <w:sz w:val="16"/>
                <w:szCs w:val="16"/>
                <w:lang w:eastAsia="en-AU"/>
              </w:rPr>
              <w:t>2.30%</w:t>
            </w:r>
          </w:p>
        </w:tc>
        <w:tc>
          <w:tcPr>
            <w:tcW w:w="374" w:type="pct"/>
            <w:tcBorders>
              <w:top w:val="nil"/>
              <w:left w:val="nil"/>
              <w:bottom w:val="single" w:sz="4" w:space="0" w:color="auto"/>
              <w:right w:val="single" w:sz="8" w:space="0" w:color="auto"/>
            </w:tcBorders>
            <w:shd w:val="clear" w:color="000000" w:fill="00B0F0"/>
            <w:noWrap/>
            <w:vAlign w:val="bottom"/>
            <w:hideMark/>
          </w:tcPr>
          <w:p w14:paraId="1316F74F" w14:textId="77777777" w:rsidR="009A356E" w:rsidRPr="00C10545" w:rsidRDefault="009A356E" w:rsidP="009A356E">
            <w:pPr>
              <w:jc w:val="right"/>
              <w:rPr>
                <w:color w:val="000000"/>
                <w:sz w:val="16"/>
                <w:szCs w:val="16"/>
                <w:lang w:eastAsia="en-AU"/>
              </w:rPr>
            </w:pPr>
            <w:r w:rsidRPr="00C10545">
              <w:rPr>
                <w:color w:val="000000"/>
                <w:sz w:val="16"/>
                <w:szCs w:val="16"/>
                <w:lang w:eastAsia="en-AU"/>
              </w:rPr>
              <w:t>2.77%</w:t>
            </w:r>
          </w:p>
        </w:tc>
      </w:tr>
      <w:tr w:rsidR="009A356E" w:rsidRPr="00C96EAB" w14:paraId="007D323C" w14:textId="77777777" w:rsidTr="009A356E">
        <w:trPr>
          <w:trHeight w:val="225"/>
        </w:trPr>
        <w:tc>
          <w:tcPr>
            <w:tcW w:w="523" w:type="pct"/>
            <w:tcBorders>
              <w:top w:val="nil"/>
              <w:left w:val="single" w:sz="8" w:space="0" w:color="auto"/>
              <w:bottom w:val="single" w:sz="4" w:space="0" w:color="auto"/>
              <w:right w:val="nil"/>
            </w:tcBorders>
            <w:shd w:val="clear" w:color="auto" w:fill="auto"/>
            <w:noWrap/>
            <w:vAlign w:val="bottom"/>
            <w:hideMark/>
          </w:tcPr>
          <w:p w14:paraId="54A860D1" w14:textId="77777777" w:rsidR="009A356E" w:rsidRPr="00C10545" w:rsidRDefault="009A356E" w:rsidP="009A356E">
            <w:pPr>
              <w:rPr>
                <w:color w:val="000000"/>
                <w:sz w:val="16"/>
                <w:szCs w:val="16"/>
                <w:lang w:eastAsia="en-AU"/>
              </w:rPr>
            </w:pPr>
            <w:r w:rsidRPr="00C10545">
              <w:rPr>
                <w:color w:val="000000"/>
                <w:sz w:val="16"/>
                <w:szCs w:val="16"/>
                <w:lang w:eastAsia="en-AU"/>
              </w:rPr>
              <w:t>2013</w:t>
            </w:r>
          </w:p>
        </w:tc>
        <w:tc>
          <w:tcPr>
            <w:tcW w:w="342" w:type="pct"/>
            <w:tcBorders>
              <w:top w:val="nil"/>
              <w:left w:val="single" w:sz="8" w:space="0" w:color="auto"/>
              <w:bottom w:val="single" w:sz="4" w:space="0" w:color="auto"/>
              <w:right w:val="single" w:sz="4" w:space="0" w:color="auto"/>
            </w:tcBorders>
            <w:shd w:val="clear" w:color="000000" w:fill="F2F2F2"/>
            <w:noWrap/>
            <w:vAlign w:val="bottom"/>
            <w:hideMark/>
          </w:tcPr>
          <w:p w14:paraId="5A97150E" w14:textId="77777777" w:rsidR="009A356E" w:rsidRPr="00C10545" w:rsidRDefault="009A356E" w:rsidP="009A356E">
            <w:pPr>
              <w:jc w:val="right"/>
              <w:rPr>
                <w:color w:val="000000"/>
                <w:sz w:val="16"/>
                <w:szCs w:val="16"/>
                <w:lang w:eastAsia="en-AU"/>
              </w:rPr>
            </w:pPr>
            <w:r w:rsidRPr="00C10545">
              <w:rPr>
                <w:color w:val="000000"/>
                <w:sz w:val="16"/>
                <w:szCs w:val="16"/>
                <w:lang w:eastAsia="en-AU"/>
              </w:rPr>
              <w:t>212.1</w:t>
            </w:r>
          </w:p>
        </w:tc>
        <w:tc>
          <w:tcPr>
            <w:tcW w:w="342" w:type="pct"/>
            <w:tcBorders>
              <w:top w:val="nil"/>
              <w:left w:val="nil"/>
              <w:bottom w:val="single" w:sz="4" w:space="0" w:color="auto"/>
              <w:right w:val="single" w:sz="4" w:space="0" w:color="auto"/>
            </w:tcBorders>
            <w:shd w:val="clear" w:color="000000" w:fill="D9D9D9"/>
            <w:noWrap/>
            <w:vAlign w:val="bottom"/>
            <w:hideMark/>
          </w:tcPr>
          <w:p w14:paraId="710F9FD6" w14:textId="77777777" w:rsidR="009A356E" w:rsidRPr="00C10545" w:rsidRDefault="009A356E" w:rsidP="009A356E">
            <w:pPr>
              <w:jc w:val="right"/>
              <w:rPr>
                <w:color w:val="000000"/>
                <w:sz w:val="16"/>
                <w:szCs w:val="16"/>
                <w:lang w:eastAsia="en-AU"/>
              </w:rPr>
            </w:pPr>
            <w:r w:rsidRPr="00C10545">
              <w:rPr>
                <w:color w:val="000000"/>
                <w:sz w:val="16"/>
                <w:szCs w:val="16"/>
                <w:lang w:eastAsia="en-AU"/>
              </w:rPr>
              <w:t>103.5</w:t>
            </w:r>
          </w:p>
        </w:tc>
        <w:tc>
          <w:tcPr>
            <w:tcW w:w="342" w:type="pct"/>
            <w:tcBorders>
              <w:top w:val="nil"/>
              <w:left w:val="nil"/>
              <w:bottom w:val="single" w:sz="4" w:space="0" w:color="auto"/>
              <w:right w:val="single" w:sz="4" w:space="0" w:color="auto"/>
            </w:tcBorders>
            <w:shd w:val="clear" w:color="000000" w:fill="BFBFBF"/>
            <w:noWrap/>
            <w:vAlign w:val="bottom"/>
            <w:hideMark/>
          </w:tcPr>
          <w:p w14:paraId="7F73C834" w14:textId="77777777" w:rsidR="009A356E" w:rsidRPr="00C10545" w:rsidRDefault="009A356E" w:rsidP="009A356E">
            <w:pPr>
              <w:jc w:val="right"/>
              <w:rPr>
                <w:color w:val="000000"/>
                <w:sz w:val="16"/>
                <w:szCs w:val="16"/>
                <w:lang w:eastAsia="en-AU"/>
              </w:rPr>
            </w:pPr>
            <w:r w:rsidRPr="00C10545">
              <w:rPr>
                <w:color w:val="000000"/>
                <w:sz w:val="16"/>
                <w:szCs w:val="16"/>
                <w:lang w:eastAsia="en-AU"/>
              </w:rPr>
              <w:t>315.6</w:t>
            </w:r>
          </w:p>
        </w:tc>
        <w:tc>
          <w:tcPr>
            <w:tcW w:w="374" w:type="pct"/>
            <w:tcBorders>
              <w:top w:val="nil"/>
              <w:left w:val="nil"/>
              <w:bottom w:val="single" w:sz="4" w:space="0" w:color="auto"/>
              <w:right w:val="single" w:sz="8" w:space="0" w:color="auto"/>
            </w:tcBorders>
            <w:shd w:val="clear" w:color="000000" w:fill="BFBFBF"/>
            <w:noWrap/>
            <w:vAlign w:val="bottom"/>
            <w:hideMark/>
          </w:tcPr>
          <w:p w14:paraId="17D46FA6" w14:textId="77777777" w:rsidR="009A356E" w:rsidRPr="00C10545" w:rsidRDefault="009A356E" w:rsidP="009A356E">
            <w:pPr>
              <w:jc w:val="right"/>
              <w:rPr>
                <w:color w:val="000000"/>
                <w:sz w:val="16"/>
                <w:szCs w:val="16"/>
                <w:lang w:eastAsia="en-AU"/>
              </w:rPr>
            </w:pPr>
            <w:r w:rsidRPr="00C10545">
              <w:rPr>
                <w:color w:val="000000"/>
                <w:sz w:val="16"/>
                <w:szCs w:val="16"/>
                <w:lang w:eastAsia="en-AU"/>
              </w:rPr>
              <w:t>1.65%</w:t>
            </w:r>
          </w:p>
        </w:tc>
        <w:tc>
          <w:tcPr>
            <w:tcW w:w="342" w:type="pct"/>
            <w:tcBorders>
              <w:top w:val="nil"/>
              <w:left w:val="nil"/>
              <w:bottom w:val="single" w:sz="4" w:space="0" w:color="auto"/>
              <w:right w:val="single" w:sz="4" w:space="0" w:color="auto"/>
            </w:tcBorders>
            <w:shd w:val="clear" w:color="000000" w:fill="F2F2F2"/>
            <w:noWrap/>
            <w:vAlign w:val="bottom"/>
            <w:hideMark/>
          </w:tcPr>
          <w:p w14:paraId="4BCBF76A" w14:textId="77777777" w:rsidR="009A356E" w:rsidRPr="00C10545" w:rsidRDefault="009A356E" w:rsidP="009A356E">
            <w:pPr>
              <w:jc w:val="right"/>
              <w:rPr>
                <w:color w:val="000000"/>
                <w:sz w:val="16"/>
                <w:szCs w:val="16"/>
                <w:lang w:eastAsia="en-AU"/>
              </w:rPr>
            </w:pPr>
            <w:r w:rsidRPr="00C10545">
              <w:rPr>
                <w:color w:val="000000"/>
                <w:sz w:val="16"/>
                <w:szCs w:val="16"/>
                <w:lang w:eastAsia="en-AU"/>
              </w:rPr>
              <w:t>146.8</w:t>
            </w:r>
          </w:p>
        </w:tc>
        <w:tc>
          <w:tcPr>
            <w:tcW w:w="374" w:type="pct"/>
            <w:tcBorders>
              <w:top w:val="nil"/>
              <w:left w:val="nil"/>
              <w:bottom w:val="single" w:sz="4" w:space="0" w:color="auto"/>
              <w:right w:val="single" w:sz="8" w:space="0" w:color="auto"/>
            </w:tcBorders>
            <w:shd w:val="clear" w:color="000000" w:fill="F2F2F2"/>
            <w:noWrap/>
            <w:vAlign w:val="bottom"/>
            <w:hideMark/>
          </w:tcPr>
          <w:p w14:paraId="6ADF7B9E" w14:textId="77777777" w:rsidR="009A356E" w:rsidRPr="00C10545" w:rsidRDefault="009A356E" w:rsidP="009A356E">
            <w:pPr>
              <w:jc w:val="right"/>
              <w:rPr>
                <w:color w:val="000000"/>
                <w:sz w:val="16"/>
                <w:szCs w:val="16"/>
                <w:lang w:eastAsia="en-AU"/>
              </w:rPr>
            </w:pPr>
            <w:r w:rsidRPr="00C10545">
              <w:rPr>
                <w:color w:val="000000"/>
                <w:sz w:val="16"/>
                <w:szCs w:val="16"/>
                <w:lang w:eastAsia="en-AU"/>
              </w:rPr>
              <w:t>0.76%</w:t>
            </w:r>
          </w:p>
        </w:tc>
        <w:tc>
          <w:tcPr>
            <w:tcW w:w="475" w:type="pct"/>
            <w:tcBorders>
              <w:top w:val="nil"/>
              <w:left w:val="nil"/>
              <w:bottom w:val="single" w:sz="4" w:space="0" w:color="auto"/>
              <w:right w:val="single" w:sz="4" w:space="0" w:color="auto"/>
            </w:tcBorders>
            <w:shd w:val="clear" w:color="000000" w:fill="D9D9D9"/>
            <w:noWrap/>
            <w:vAlign w:val="bottom"/>
            <w:hideMark/>
          </w:tcPr>
          <w:p w14:paraId="1A963BA3" w14:textId="77777777" w:rsidR="009A356E" w:rsidRPr="00C10545" w:rsidRDefault="009A356E" w:rsidP="009A356E">
            <w:pPr>
              <w:rPr>
                <w:color w:val="000000"/>
                <w:sz w:val="16"/>
                <w:szCs w:val="16"/>
                <w:lang w:eastAsia="en-AU"/>
              </w:rPr>
            </w:pPr>
            <w:r w:rsidRPr="00C10545">
              <w:rPr>
                <w:color w:val="000000"/>
                <w:sz w:val="16"/>
                <w:szCs w:val="16"/>
                <w:lang w:eastAsia="en-AU"/>
              </w:rPr>
              <w:t xml:space="preserve">      958.7 </w:t>
            </w:r>
          </w:p>
        </w:tc>
        <w:tc>
          <w:tcPr>
            <w:tcW w:w="422" w:type="pct"/>
            <w:tcBorders>
              <w:top w:val="nil"/>
              <w:left w:val="nil"/>
              <w:bottom w:val="single" w:sz="4" w:space="0" w:color="auto"/>
              <w:right w:val="single" w:sz="8" w:space="0" w:color="auto"/>
            </w:tcBorders>
            <w:shd w:val="clear" w:color="000000" w:fill="D9D9D9"/>
            <w:noWrap/>
            <w:vAlign w:val="bottom"/>
            <w:hideMark/>
          </w:tcPr>
          <w:p w14:paraId="107A8A99" w14:textId="77777777" w:rsidR="009A356E" w:rsidRPr="00C10545" w:rsidRDefault="009A356E" w:rsidP="009A356E">
            <w:pPr>
              <w:jc w:val="right"/>
              <w:rPr>
                <w:color w:val="000000"/>
                <w:sz w:val="16"/>
                <w:szCs w:val="16"/>
                <w:lang w:eastAsia="en-AU"/>
              </w:rPr>
            </w:pPr>
            <w:r w:rsidRPr="00C10545">
              <w:rPr>
                <w:color w:val="000000"/>
                <w:sz w:val="16"/>
                <w:szCs w:val="16"/>
                <w:lang w:eastAsia="en-AU"/>
              </w:rPr>
              <w:t>1.43%</w:t>
            </w:r>
          </w:p>
        </w:tc>
        <w:tc>
          <w:tcPr>
            <w:tcW w:w="342" w:type="pct"/>
            <w:tcBorders>
              <w:top w:val="nil"/>
              <w:left w:val="nil"/>
              <w:bottom w:val="single" w:sz="4" w:space="0" w:color="auto"/>
              <w:right w:val="single" w:sz="4" w:space="0" w:color="auto"/>
            </w:tcBorders>
            <w:shd w:val="clear" w:color="000000" w:fill="BFBFBF"/>
            <w:noWrap/>
            <w:vAlign w:val="bottom"/>
            <w:hideMark/>
          </w:tcPr>
          <w:p w14:paraId="4823D3C4" w14:textId="77777777" w:rsidR="009A356E" w:rsidRPr="00C10545" w:rsidRDefault="009A356E" w:rsidP="009A356E">
            <w:pPr>
              <w:jc w:val="right"/>
              <w:rPr>
                <w:color w:val="000000"/>
                <w:sz w:val="16"/>
                <w:szCs w:val="16"/>
                <w:lang w:eastAsia="en-AU"/>
              </w:rPr>
            </w:pPr>
            <w:r w:rsidRPr="00C10545">
              <w:rPr>
                <w:color w:val="000000"/>
                <w:sz w:val="16"/>
                <w:szCs w:val="16"/>
                <w:lang w:eastAsia="en-AU"/>
              </w:rPr>
              <w:t>218.4</w:t>
            </w:r>
          </w:p>
        </w:tc>
        <w:tc>
          <w:tcPr>
            <w:tcW w:w="374" w:type="pct"/>
            <w:tcBorders>
              <w:top w:val="nil"/>
              <w:left w:val="nil"/>
              <w:bottom w:val="single" w:sz="4" w:space="0" w:color="auto"/>
              <w:right w:val="single" w:sz="8" w:space="0" w:color="auto"/>
            </w:tcBorders>
            <w:shd w:val="clear" w:color="000000" w:fill="BFBFBF"/>
            <w:noWrap/>
            <w:vAlign w:val="bottom"/>
            <w:hideMark/>
          </w:tcPr>
          <w:p w14:paraId="217FEB49" w14:textId="77777777" w:rsidR="009A356E" w:rsidRPr="00C10545" w:rsidRDefault="009A356E" w:rsidP="009A356E">
            <w:pPr>
              <w:jc w:val="right"/>
              <w:rPr>
                <w:color w:val="000000"/>
                <w:sz w:val="16"/>
                <w:szCs w:val="16"/>
                <w:lang w:eastAsia="en-AU"/>
              </w:rPr>
            </w:pPr>
            <w:r w:rsidRPr="00C10545">
              <w:rPr>
                <w:color w:val="000000"/>
                <w:sz w:val="16"/>
                <w:szCs w:val="16"/>
                <w:lang w:eastAsia="en-AU"/>
              </w:rPr>
              <w:t>0.76%</w:t>
            </w:r>
          </w:p>
        </w:tc>
        <w:tc>
          <w:tcPr>
            <w:tcW w:w="374" w:type="pct"/>
            <w:tcBorders>
              <w:top w:val="nil"/>
              <w:left w:val="nil"/>
              <w:bottom w:val="single" w:sz="4" w:space="0" w:color="auto"/>
              <w:right w:val="single" w:sz="4" w:space="0" w:color="auto"/>
            </w:tcBorders>
            <w:shd w:val="clear" w:color="000000" w:fill="95B3D7"/>
            <w:noWrap/>
            <w:vAlign w:val="bottom"/>
            <w:hideMark/>
          </w:tcPr>
          <w:p w14:paraId="43720445" w14:textId="77777777" w:rsidR="009A356E" w:rsidRPr="00C10545" w:rsidRDefault="009A356E" w:rsidP="009A356E">
            <w:pPr>
              <w:jc w:val="right"/>
              <w:rPr>
                <w:color w:val="000000"/>
                <w:sz w:val="16"/>
                <w:szCs w:val="16"/>
                <w:lang w:eastAsia="en-AU"/>
              </w:rPr>
            </w:pPr>
            <w:r w:rsidRPr="00C10545">
              <w:rPr>
                <w:color w:val="000000"/>
                <w:sz w:val="16"/>
                <w:szCs w:val="16"/>
                <w:lang w:eastAsia="en-AU"/>
              </w:rPr>
              <w:t>2.15%</w:t>
            </w:r>
          </w:p>
        </w:tc>
        <w:tc>
          <w:tcPr>
            <w:tcW w:w="374" w:type="pct"/>
            <w:tcBorders>
              <w:top w:val="nil"/>
              <w:left w:val="nil"/>
              <w:bottom w:val="single" w:sz="4" w:space="0" w:color="auto"/>
              <w:right w:val="single" w:sz="8" w:space="0" w:color="auto"/>
            </w:tcBorders>
            <w:shd w:val="clear" w:color="000000" w:fill="00B0F0"/>
            <w:noWrap/>
            <w:vAlign w:val="bottom"/>
            <w:hideMark/>
          </w:tcPr>
          <w:p w14:paraId="081AA01D" w14:textId="77777777" w:rsidR="009A356E" w:rsidRPr="00C10545" w:rsidRDefault="009A356E" w:rsidP="009A356E">
            <w:pPr>
              <w:jc w:val="right"/>
              <w:rPr>
                <w:color w:val="000000"/>
                <w:sz w:val="16"/>
                <w:szCs w:val="16"/>
                <w:lang w:eastAsia="en-AU"/>
              </w:rPr>
            </w:pPr>
            <w:r w:rsidRPr="00C10545">
              <w:rPr>
                <w:color w:val="000000"/>
                <w:sz w:val="16"/>
                <w:szCs w:val="16"/>
                <w:lang w:eastAsia="en-AU"/>
              </w:rPr>
              <w:t>2.59%</w:t>
            </w:r>
          </w:p>
        </w:tc>
      </w:tr>
      <w:tr w:rsidR="009A356E" w:rsidRPr="00C96EAB" w14:paraId="77DB1656" w14:textId="77777777" w:rsidTr="009A356E">
        <w:trPr>
          <w:trHeight w:val="225"/>
        </w:trPr>
        <w:tc>
          <w:tcPr>
            <w:tcW w:w="523" w:type="pct"/>
            <w:tcBorders>
              <w:top w:val="nil"/>
              <w:left w:val="single" w:sz="8" w:space="0" w:color="auto"/>
              <w:bottom w:val="single" w:sz="4" w:space="0" w:color="auto"/>
              <w:right w:val="nil"/>
            </w:tcBorders>
            <w:shd w:val="clear" w:color="auto" w:fill="auto"/>
            <w:noWrap/>
            <w:vAlign w:val="bottom"/>
            <w:hideMark/>
          </w:tcPr>
          <w:p w14:paraId="5DFCD607" w14:textId="77777777" w:rsidR="009A356E" w:rsidRPr="00C10545" w:rsidRDefault="009A356E" w:rsidP="009A356E">
            <w:pPr>
              <w:rPr>
                <w:color w:val="000000"/>
                <w:sz w:val="16"/>
                <w:szCs w:val="16"/>
                <w:lang w:eastAsia="en-AU"/>
              </w:rPr>
            </w:pPr>
            <w:r w:rsidRPr="00C10545">
              <w:rPr>
                <w:color w:val="000000"/>
                <w:sz w:val="16"/>
                <w:szCs w:val="16"/>
                <w:lang w:eastAsia="en-AU"/>
              </w:rPr>
              <w:t>2014</w:t>
            </w:r>
          </w:p>
        </w:tc>
        <w:tc>
          <w:tcPr>
            <w:tcW w:w="342" w:type="pct"/>
            <w:tcBorders>
              <w:top w:val="nil"/>
              <w:left w:val="single" w:sz="8" w:space="0" w:color="auto"/>
              <w:bottom w:val="single" w:sz="4" w:space="0" w:color="auto"/>
              <w:right w:val="single" w:sz="4" w:space="0" w:color="auto"/>
            </w:tcBorders>
            <w:shd w:val="clear" w:color="000000" w:fill="F2F2F2"/>
            <w:noWrap/>
            <w:vAlign w:val="bottom"/>
            <w:hideMark/>
          </w:tcPr>
          <w:p w14:paraId="47ABA728" w14:textId="77777777" w:rsidR="009A356E" w:rsidRPr="00C10545" w:rsidRDefault="009A356E" w:rsidP="009A356E">
            <w:pPr>
              <w:jc w:val="right"/>
              <w:rPr>
                <w:color w:val="000000"/>
                <w:sz w:val="16"/>
                <w:szCs w:val="16"/>
                <w:lang w:eastAsia="en-AU"/>
              </w:rPr>
            </w:pPr>
            <w:r w:rsidRPr="00C10545">
              <w:rPr>
                <w:color w:val="000000"/>
                <w:sz w:val="16"/>
                <w:szCs w:val="16"/>
                <w:lang w:eastAsia="en-AU"/>
              </w:rPr>
              <w:t>218.1</w:t>
            </w:r>
          </w:p>
        </w:tc>
        <w:tc>
          <w:tcPr>
            <w:tcW w:w="342" w:type="pct"/>
            <w:tcBorders>
              <w:top w:val="nil"/>
              <w:left w:val="nil"/>
              <w:bottom w:val="single" w:sz="4" w:space="0" w:color="auto"/>
              <w:right w:val="single" w:sz="4" w:space="0" w:color="auto"/>
            </w:tcBorders>
            <w:shd w:val="clear" w:color="000000" w:fill="D9D9D9"/>
            <w:noWrap/>
            <w:vAlign w:val="bottom"/>
            <w:hideMark/>
          </w:tcPr>
          <w:p w14:paraId="1F387BF4" w14:textId="77777777" w:rsidR="009A356E" w:rsidRPr="00C10545" w:rsidRDefault="009A356E" w:rsidP="009A356E">
            <w:pPr>
              <w:jc w:val="right"/>
              <w:rPr>
                <w:color w:val="000000"/>
                <w:sz w:val="16"/>
                <w:szCs w:val="16"/>
                <w:lang w:eastAsia="en-AU"/>
              </w:rPr>
            </w:pPr>
            <w:r w:rsidRPr="00C10545">
              <w:rPr>
                <w:color w:val="000000"/>
                <w:sz w:val="16"/>
                <w:szCs w:val="16"/>
                <w:lang w:eastAsia="en-AU"/>
              </w:rPr>
              <w:t>107.5</w:t>
            </w:r>
          </w:p>
        </w:tc>
        <w:tc>
          <w:tcPr>
            <w:tcW w:w="342" w:type="pct"/>
            <w:tcBorders>
              <w:top w:val="nil"/>
              <w:left w:val="nil"/>
              <w:bottom w:val="single" w:sz="4" w:space="0" w:color="auto"/>
              <w:right w:val="single" w:sz="4" w:space="0" w:color="auto"/>
            </w:tcBorders>
            <w:shd w:val="clear" w:color="000000" w:fill="BFBFBF"/>
            <w:noWrap/>
            <w:vAlign w:val="bottom"/>
            <w:hideMark/>
          </w:tcPr>
          <w:p w14:paraId="54F811FC" w14:textId="77777777" w:rsidR="009A356E" w:rsidRPr="00C10545" w:rsidRDefault="009A356E" w:rsidP="009A356E">
            <w:pPr>
              <w:jc w:val="right"/>
              <w:rPr>
                <w:color w:val="000000"/>
                <w:sz w:val="16"/>
                <w:szCs w:val="16"/>
                <w:lang w:eastAsia="en-AU"/>
              </w:rPr>
            </w:pPr>
            <w:r w:rsidRPr="00C10545">
              <w:rPr>
                <w:color w:val="000000"/>
                <w:sz w:val="16"/>
                <w:szCs w:val="16"/>
                <w:lang w:eastAsia="en-AU"/>
              </w:rPr>
              <w:t>325.6</w:t>
            </w:r>
          </w:p>
        </w:tc>
        <w:tc>
          <w:tcPr>
            <w:tcW w:w="374" w:type="pct"/>
            <w:tcBorders>
              <w:top w:val="nil"/>
              <w:left w:val="nil"/>
              <w:bottom w:val="single" w:sz="4" w:space="0" w:color="auto"/>
              <w:right w:val="single" w:sz="8" w:space="0" w:color="auto"/>
            </w:tcBorders>
            <w:shd w:val="clear" w:color="000000" w:fill="BFBFBF"/>
            <w:noWrap/>
            <w:vAlign w:val="bottom"/>
            <w:hideMark/>
          </w:tcPr>
          <w:p w14:paraId="4BD6E24A" w14:textId="77777777" w:rsidR="009A356E" w:rsidRPr="00C10545" w:rsidRDefault="009A356E" w:rsidP="009A356E">
            <w:pPr>
              <w:jc w:val="right"/>
              <w:rPr>
                <w:color w:val="000000"/>
                <w:sz w:val="16"/>
                <w:szCs w:val="16"/>
                <w:lang w:eastAsia="en-AU"/>
              </w:rPr>
            </w:pPr>
            <w:r w:rsidRPr="00C10545">
              <w:rPr>
                <w:color w:val="000000"/>
                <w:sz w:val="16"/>
                <w:szCs w:val="16"/>
                <w:lang w:eastAsia="en-AU"/>
              </w:rPr>
              <w:t>3.19%</w:t>
            </w:r>
          </w:p>
        </w:tc>
        <w:tc>
          <w:tcPr>
            <w:tcW w:w="342" w:type="pct"/>
            <w:tcBorders>
              <w:top w:val="nil"/>
              <w:left w:val="nil"/>
              <w:bottom w:val="single" w:sz="4" w:space="0" w:color="auto"/>
              <w:right w:val="single" w:sz="4" w:space="0" w:color="auto"/>
            </w:tcBorders>
            <w:shd w:val="clear" w:color="000000" w:fill="F2F2F2"/>
            <w:noWrap/>
            <w:vAlign w:val="bottom"/>
            <w:hideMark/>
          </w:tcPr>
          <w:p w14:paraId="0DB40063" w14:textId="77777777" w:rsidR="009A356E" w:rsidRPr="00C10545" w:rsidRDefault="009A356E" w:rsidP="009A356E">
            <w:pPr>
              <w:jc w:val="right"/>
              <w:rPr>
                <w:color w:val="000000"/>
                <w:sz w:val="16"/>
                <w:szCs w:val="16"/>
                <w:lang w:eastAsia="en-AU"/>
              </w:rPr>
            </w:pPr>
            <w:r w:rsidRPr="00C10545">
              <w:rPr>
                <w:color w:val="000000"/>
                <w:sz w:val="16"/>
                <w:szCs w:val="16"/>
                <w:lang w:eastAsia="en-AU"/>
              </w:rPr>
              <w:t>149.7</w:t>
            </w:r>
          </w:p>
        </w:tc>
        <w:tc>
          <w:tcPr>
            <w:tcW w:w="374" w:type="pct"/>
            <w:tcBorders>
              <w:top w:val="nil"/>
              <w:left w:val="nil"/>
              <w:bottom w:val="single" w:sz="4" w:space="0" w:color="auto"/>
              <w:right w:val="single" w:sz="8" w:space="0" w:color="auto"/>
            </w:tcBorders>
            <w:shd w:val="clear" w:color="000000" w:fill="F2F2F2"/>
            <w:noWrap/>
            <w:vAlign w:val="bottom"/>
            <w:hideMark/>
          </w:tcPr>
          <w:p w14:paraId="4D7F7EBA" w14:textId="77777777" w:rsidR="009A356E" w:rsidRPr="00C10545" w:rsidRDefault="009A356E" w:rsidP="009A356E">
            <w:pPr>
              <w:jc w:val="right"/>
              <w:rPr>
                <w:color w:val="000000"/>
                <w:sz w:val="16"/>
                <w:szCs w:val="16"/>
                <w:lang w:eastAsia="en-AU"/>
              </w:rPr>
            </w:pPr>
            <w:r w:rsidRPr="00C10545">
              <w:rPr>
                <w:color w:val="000000"/>
                <w:sz w:val="16"/>
                <w:szCs w:val="16"/>
                <w:lang w:eastAsia="en-AU"/>
              </w:rPr>
              <w:t>1.97%</w:t>
            </w:r>
          </w:p>
        </w:tc>
        <w:tc>
          <w:tcPr>
            <w:tcW w:w="475" w:type="pct"/>
            <w:tcBorders>
              <w:top w:val="nil"/>
              <w:left w:val="nil"/>
              <w:bottom w:val="single" w:sz="4" w:space="0" w:color="auto"/>
              <w:right w:val="single" w:sz="4" w:space="0" w:color="auto"/>
            </w:tcBorders>
            <w:shd w:val="clear" w:color="000000" w:fill="D9D9D9"/>
            <w:noWrap/>
            <w:vAlign w:val="bottom"/>
            <w:hideMark/>
          </w:tcPr>
          <w:p w14:paraId="2F2D7838" w14:textId="77777777" w:rsidR="009A356E" w:rsidRPr="00C10545" w:rsidRDefault="009A356E" w:rsidP="009A356E">
            <w:pPr>
              <w:rPr>
                <w:color w:val="000000"/>
                <w:sz w:val="16"/>
                <w:szCs w:val="16"/>
                <w:lang w:eastAsia="en-AU"/>
              </w:rPr>
            </w:pPr>
            <w:r w:rsidRPr="00C10545">
              <w:rPr>
                <w:color w:val="000000"/>
                <w:sz w:val="16"/>
                <w:szCs w:val="16"/>
                <w:lang w:eastAsia="en-AU"/>
              </w:rPr>
              <w:t xml:space="preserve">   1,001.5 </w:t>
            </w:r>
          </w:p>
        </w:tc>
        <w:tc>
          <w:tcPr>
            <w:tcW w:w="422" w:type="pct"/>
            <w:tcBorders>
              <w:top w:val="nil"/>
              <w:left w:val="nil"/>
              <w:bottom w:val="single" w:sz="4" w:space="0" w:color="auto"/>
              <w:right w:val="single" w:sz="8" w:space="0" w:color="auto"/>
            </w:tcBorders>
            <w:shd w:val="clear" w:color="000000" w:fill="D9D9D9"/>
            <w:noWrap/>
            <w:vAlign w:val="bottom"/>
            <w:hideMark/>
          </w:tcPr>
          <w:p w14:paraId="7E69BD3A" w14:textId="77777777" w:rsidR="009A356E" w:rsidRPr="00C10545" w:rsidRDefault="009A356E" w:rsidP="009A356E">
            <w:pPr>
              <w:jc w:val="right"/>
              <w:rPr>
                <w:color w:val="000000"/>
                <w:sz w:val="16"/>
                <w:szCs w:val="16"/>
                <w:lang w:eastAsia="en-AU"/>
              </w:rPr>
            </w:pPr>
            <w:r w:rsidRPr="00C10545">
              <w:rPr>
                <w:color w:val="000000"/>
                <w:sz w:val="16"/>
                <w:szCs w:val="16"/>
                <w:lang w:eastAsia="en-AU"/>
              </w:rPr>
              <w:t>4.47%</w:t>
            </w:r>
          </w:p>
        </w:tc>
        <w:tc>
          <w:tcPr>
            <w:tcW w:w="342" w:type="pct"/>
            <w:tcBorders>
              <w:top w:val="nil"/>
              <w:left w:val="nil"/>
              <w:bottom w:val="single" w:sz="4" w:space="0" w:color="auto"/>
              <w:right w:val="single" w:sz="4" w:space="0" w:color="auto"/>
            </w:tcBorders>
            <w:shd w:val="clear" w:color="000000" w:fill="BFBFBF"/>
            <w:noWrap/>
            <w:vAlign w:val="bottom"/>
            <w:hideMark/>
          </w:tcPr>
          <w:p w14:paraId="398D65D0" w14:textId="77777777" w:rsidR="009A356E" w:rsidRPr="00C10545" w:rsidRDefault="009A356E" w:rsidP="009A356E">
            <w:pPr>
              <w:jc w:val="right"/>
              <w:rPr>
                <w:color w:val="000000"/>
                <w:sz w:val="16"/>
                <w:szCs w:val="16"/>
                <w:lang w:eastAsia="en-AU"/>
              </w:rPr>
            </w:pPr>
            <w:r w:rsidRPr="00C10545">
              <w:rPr>
                <w:color w:val="000000"/>
                <w:sz w:val="16"/>
                <w:szCs w:val="16"/>
                <w:lang w:eastAsia="en-AU"/>
              </w:rPr>
              <w:t>223.6</w:t>
            </w:r>
          </w:p>
        </w:tc>
        <w:tc>
          <w:tcPr>
            <w:tcW w:w="374" w:type="pct"/>
            <w:tcBorders>
              <w:top w:val="nil"/>
              <w:left w:val="nil"/>
              <w:bottom w:val="single" w:sz="4" w:space="0" w:color="auto"/>
              <w:right w:val="single" w:sz="8" w:space="0" w:color="auto"/>
            </w:tcBorders>
            <w:shd w:val="clear" w:color="000000" w:fill="BFBFBF"/>
            <w:noWrap/>
            <w:vAlign w:val="bottom"/>
            <w:hideMark/>
          </w:tcPr>
          <w:p w14:paraId="0087AD44" w14:textId="77777777" w:rsidR="009A356E" w:rsidRPr="00C10545" w:rsidRDefault="009A356E" w:rsidP="009A356E">
            <w:pPr>
              <w:jc w:val="right"/>
              <w:rPr>
                <w:color w:val="000000"/>
                <w:sz w:val="16"/>
                <w:szCs w:val="16"/>
                <w:lang w:eastAsia="en-AU"/>
              </w:rPr>
            </w:pPr>
            <w:r w:rsidRPr="00C10545">
              <w:rPr>
                <w:color w:val="000000"/>
                <w:sz w:val="16"/>
                <w:szCs w:val="16"/>
                <w:lang w:eastAsia="en-AU"/>
              </w:rPr>
              <w:t>2.34%</w:t>
            </w:r>
          </w:p>
        </w:tc>
        <w:tc>
          <w:tcPr>
            <w:tcW w:w="374" w:type="pct"/>
            <w:tcBorders>
              <w:top w:val="nil"/>
              <w:left w:val="nil"/>
              <w:bottom w:val="single" w:sz="4" w:space="0" w:color="auto"/>
              <w:right w:val="single" w:sz="4" w:space="0" w:color="auto"/>
            </w:tcBorders>
            <w:shd w:val="clear" w:color="000000" w:fill="95B3D7"/>
            <w:noWrap/>
            <w:vAlign w:val="bottom"/>
            <w:hideMark/>
          </w:tcPr>
          <w:p w14:paraId="700EAEDD" w14:textId="77777777" w:rsidR="009A356E" w:rsidRPr="00C10545" w:rsidRDefault="009A356E" w:rsidP="009A356E">
            <w:pPr>
              <w:jc w:val="right"/>
              <w:rPr>
                <w:color w:val="000000"/>
                <w:sz w:val="16"/>
                <w:szCs w:val="16"/>
                <w:lang w:eastAsia="en-AU"/>
              </w:rPr>
            </w:pPr>
            <w:r w:rsidRPr="00C10545">
              <w:rPr>
                <w:color w:val="000000"/>
                <w:sz w:val="16"/>
                <w:szCs w:val="16"/>
                <w:lang w:eastAsia="en-AU"/>
              </w:rPr>
              <w:t>2.80%</w:t>
            </w:r>
          </w:p>
        </w:tc>
        <w:tc>
          <w:tcPr>
            <w:tcW w:w="374" w:type="pct"/>
            <w:tcBorders>
              <w:top w:val="nil"/>
              <w:left w:val="nil"/>
              <w:bottom w:val="single" w:sz="4" w:space="0" w:color="auto"/>
              <w:right w:val="single" w:sz="8" w:space="0" w:color="auto"/>
            </w:tcBorders>
            <w:shd w:val="clear" w:color="000000" w:fill="00B0F0"/>
            <w:noWrap/>
            <w:vAlign w:val="bottom"/>
            <w:hideMark/>
          </w:tcPr>
          <w:p w14:paraId="7E575815" w14:textId="77777777" w:rsidR="009A356E" w:rsidRPr="00C10545" w:rsidRDefault="009A356E" w:rsidP="009A356E">
            <w:pPr>
              <w:jc w:val="right"/>
              <w:rPr>
                <w:color w:val="000000"/>
                <w:sz w:val="16"/>
                <w:szCs w:val="16"/>
                <w:lang w:eastAsia="en-AU"/>
              </w:rPr>
            </w:pPr>
            <w:r w:rsidRPr="00C10545">
              <w:rPr>
                <w:color w:val="000000"/>
                <w:sz w:val="16"/>
                <w:szCs w:val="16"/>
                <w:lang w:eastAsia="en-AU"/>
              </w:rPr>
              <w:t>2.77%</w:t>
            </w:r>
          </w:p>
        </w:tc>
      </w:tr>
      <w:tr w:rsidR="009A356E" w:rsidRPr="00C96EAB" w14:paraId="57EA623A" w14:textId="77777777" w:rsidTr="009A356E">
        <w:trPr>
          <w:trHeight w:val="225"/>
        </w:trPr>
        <w:tc>
          <w:tcPr>
            <w:tcW w:w="523" w:type="pct"/>
            <w:tcBorders>
              <w:top w:val="nil"/>
              <w:left w:val="single" w:sz="8" w:space="0" w:color="auto"/>
              <w:bottom w:val="single" w:sz="4" w:space="0" w:color="auto"/>
              <w:right w:val="nil"/>
            </w:tcBorders>
            <w:shd w:val="clear" w:color="auto" w:fill="auto"/>
            <w:noWrap/>
            <w:vAlign w:val="bottom"/>
            <w:hideMark/>
          </w:tcPr>
          <w:p w14:paraId="2AF4D30F" w14:textId="77777777" w:rsidR="009A356E" w:rsidRPr="00C10545" w:rsidRDefault="009A356E" w:rsidP="009A356E">
            <w:pPr>
              <w:rPr>
                <w:color w:val="000000"/>
                <w:sz w:val="16"/>
                <w:szCs w:val="16"/>
                <w:lang w:eastAsia="en-AU"/>
              </w:rPr>
            </w:pPr>
            <w:r w:rsidRPr="00C10545">
              <w:rPr>
                <w:color w:val="000000"/>
                <w:sz w:val="16"/>
                <w:szCs w:val="16"/>
                <w:lang w:eastAsia="en-AU"/>
              </w:rPr>
              <w:t>2015</w:t>
            </w:r>
          </w:p>
        </w:tc>
        <w:tc>
          <w:tcPr>
            <w:tcW w:w="342" w:type="pct"/>
            <w:tcBorders>
              <w:top w:val="nil"/>
              <w:left w:val="single" w:sz="8" w:space="0" w:color="auto"/>
              <w:bottom w:val="single" w:sz="4" w:space="0" w:color="auto"/>
              <w:right w:val="single" w:sz="4" w:space="0" w:color="auto"/>
            </w:tcBorders>
            <w:shd w:val="clear" w:color="000000" w:fill="F2F2F2"/>
            <w:noWrap/>
            <w:vAlign w:val="bottom"/>
            <w:hideMark/>
          </w:tcPr>
          <w:p w14:paraId="0D51BCFF" w14:textId="77777777" w:rsidR="009A356E" w:rsidRPr="00C10545" w:rsidRDefault="009A356E" w:rsidP="009A356E">
            <w:pPr>
              <w:jc w:val="right"/>
              <w:rPr>
                <w:color w:val="000000"/>
                <w:sz w:val="16"/>
                <w:szCs w:val="16"/>
                <w:lang w:eastAsia="en-AU"/>
              </w:rPr>
            </w:pPr>
            <w:r w:rsidRPr="00C10545">
              <w:rPr>
                <w:color w:val="000000"/>
                <w:sz w:val="16"/>
                <w:szCs w:val="16"/>
                <w:lang w:eastAsia="en-AU"/>
              </w:rPr>
              <w:t>221.4</w:t>
            </w:r>
          </w:p>
        </w:tc>
        <w:tc>
          <w:tcPr>
            <w:tcW w:w="342" w:type="pct"/>
            <w:tcBorders>
              <w:top w:val="nil"/>
              <w:left w:val="nil"/>
              <w:bottom w:val="single" w:sz="4" w:space="0" w:color="auto"/>
              <w:right w:val="single" w:sz="4" w:space="0" w:color="auto"/>
            </w:tcBorders>
            <w:shd w:val="clear" w:color="000000" w:fill="D9D9D9"/>
            <w:noWrap/>
            <w:vAlign w:val="bottom"/>
            <w:hideMark/>
          </w:tcPr>
          <w:p w14:paraId="13CC2E3F" w14:textId="77777777" w:rsidR="009A356E" w:rsidRPr="00C10545" w:rsidRDefault="009A356E" w:rsidP="009A356E">
            <w:pPr>
              <w:jc w:val="right"/>
              <w:rPr>
                <w:color w:val="000000"/>
                <w:sz w:val="16"/>
                <w:szCs w:val="16"/>
                <w:lang w:eastAsia="en-AU"/>
              </w:rPr>
            </w:pPr>
            <w:r w:rsidRPr="00C10545">
              <w:rPr>
                <w:color w:val="000000"/>
                <w:sz w:val="16"/>
                <w:szCs w:val="16"/>
                <w:lang w:eastAsia="en-AU"/>
              </w:rPr>
              <w:t>108.9</w:t>
            </w:r>
          </w:p>
        </w:tc>
        <w:tc>
          <w:tcPr>
            <w:tcW w:w="342" w:type="pct"/>
            <w:tcBorders>
              <w:top w:val="nil"/>
              <w:left w:val="nil"/>
              <w:bottom w:val="single" w:sz="4" w:space="0" w:color="auto"/>
              <w:right w:val="single" w:sz="4" w:space="0" w:color="auto"/>
            </w:tcBorders>
            <w:shd w:val="clear" w:color="000000" w:fill="BFBFBF"/>
            <w:noWrap/>
            <w:vAlign w:val="bottom"/>
            <w:hideMark/>
          </w:tcPr>
          <w:p w14:paraId="1B16F5CA" w14:textId="77777777" w:rsidR="009A356E" w:rsidRPr="00C10545" w:rsidRDefault="009A356E" w:rsidP="009A356E">
            <w:pPr>
              <w:jc w:val="right"/>
              <w:rPr>
                <w:color w:val="000000"/>
                <w:sz w:val="16"/>
                <w:szCs w:val="16"/>
                <w:lang w:eastAsia="en-AU"/>
              </w:rPr>
            </w:pPr>
            <w:r w:rsidRPr="00C10545">
              <w:rPr>
                <w:color w:val="000000"/>
                <w:sz w:val="16"/>
                <w:szCs w:val="16"/>
                <w:lang w:eastAsia="en-AU"/>
              </w:rPr>
              <w:t>330.3</w:t>
            </w:r>
          </w:p>
        </w:tc>
        <w:tc>
          <w:tcPr>
            <w:tcW w:w="374" w:type="pct"/>
            <w:tcBorders>
              <w:top w:val="nil"/>
              <w:left w:val="nil"/>
              <w:bottom w:val="single" w:sz="4" w:space="0" w:color="auto"/>
              <w:right w:val="single" w:sz="8" w:space="0" w:color="auto"/>
            </w:tcBorders>
            <w:shd w:val="clear" w:color="000000" w:fill="BFBFBF"/>
            <w:noWrap/>
            <w:vAlign w:val="bottom"/>
            <w:hideMark/>
          </w:tcPr>
          <w:p w14:paraId="5AE0041F" w14:textId="77777777" w:rsidR="009A356E" w:rsidRPr="00C10545" w:rsidRDefault="009A356E" w:rsidP="009A356E">
            <w:pPr>
              <w:jc w:val="right"/>
              <w:rPr>
                <w:color w:val="000000"/>
                <w:sz w:val="16"/>
                <w:szCs w:val="16"/>
                <w:lang w:eastAsia="en-AU"/>
              </w:rPr>
            </w:pPr>
            <w:r w:rsidRPr="00C10545">
              <w:rPr>
                <w:color w:val="000000"/>
                <w:sz w:val="16"/>
                <w:szCs w:val="16"/>
                <w:lang w:eastAsia="en-AU"/>
              </w:rPr>
              <w:t>1.43%</w:t>
            </w:r>
          </w:p>
        </w:tc>
        <w:tc>
          <w:tcPr>
            <w:tcW w:w="342" w:type="pct"/>
            <w:tcBorders>
              <w:top w:val="nil"/>
              <w:left w:val="nil"/>
              <w:bottom w:val="single" w:sz="4" w:space="0" w:color="auto"/>
              <w:right w:val="single" w:sz="4" w:space="0" w:color="auto"/>
            </w:tcBorders>
            <w:shd w:val="clear" w:color="000000" w:fill="F2F2F2"/>
            <w:noWrap/>
            <w:vAlign w:val="bottom"/>
            <w:hideMark/>
          </w:tcPr>
          <w:p w14:paraId="5F0B0CE0" w14:textId="77777777" w:rsidR="009A356E" w:rsidRPr="00C10545" w:rsidRDefault="009A356E" w:rsidP="009A356E">
            <w:pPr>
              <w:jc w:val="right"/>
              <w:rPr>
                <w:color w:val="000000"/>
                <w:sz w:val="16"/>
                <w:szCs w:val="16"/>
                <w:lang w:eastAsia="en-AU"/>
              </w:rPr>
            </w:pPr>
            <w:r w:rsidRPr="00C10545">
              <w:rPr>
                <w:color w:val="000000"/>
                <w:sz w:val="16"/>
                <w:szCs w:val="16"/>
                <w:lang w:eastAsia="en-AU"/>
              </w:rPr>
              <w:t>150.9</w:t>
            </w:r>
          </w:p>
        </w:tc>
        <w:tc>
          <w:tcPr>
            <w:tcW w:w="374" w:type="pct"/>
            <w:tcBorders>
              <w:top w:val="nil"/>
              <w:left w:val="nil"/>
              <w:bottom w:val="single" w:sz="4" w:space="0" w:color="auto"/>
              <w:right w:val="single" w:sz="8" w:space="0" w:color="auto"/>
            </w:tcBorders>
            <w:shd w:val="clear" w:color="000000" w:fill="F2F2F2"/>
            <w:noWrap/>
            <w:vAlign w:val="bottom"/>
            <w:hideMark/>
          </w:tcPr>
          <w:p w14:paraId="45F9D1A1" w14:textId="77777777" w:rsidR="009A356E" w:rsidRPr="00C10545" w:rsidRDefault="009A356E" w:rsidP="009A356E">
            <w:pPr>
              <w:jc w:val="right"/>
              <w:rPr>
                <w:color w:val="000000"/>
                <w:sz w:val="16"/>
                <w:szCs w:val="16"/>
                <w:lang w:eastAsia="en-AU"/>
              </w:rPr>
            </w:pPr>
            <w:r w:rsidRPr="00C10545">
              <w:rPr>
                <w:color w:val="000000"/>
                <w:sz w:val="16"/>
                <w:szCs w:val="16"/>
                <w:lang w:eastAsia="en-AU"/>
              </w:rPr>
              <w:t>0.79%</w:t>
            </w:r>
          </w:p>
        </w:tc>
        <w:tc>
          <w:tcPr>
            <w:tcW w:w="475" w:type="pct"/>
            <w:tcBorders>
              <w:top w:val="nil"/>
              <w:left w:val="nil"/>
              <w:bottom w:val="single" w:sz="4" w:space="0" w:color="auto"/>
              <w:right w:val="single" w:sz="4" w:space="0" w:color="auto"/>
            </w:tcBorders>
            <w:shd w:val="clear" w:color="000000" w:fill="D9D9D9"/>
            <w:noWrap/>
            <w:vAlign w:val="bottom"/>
            <w:hideMark/>
          </w:tcPr>
          <w:p w14:paraId="1BEBE8AE" w14:textId="77777777" w:rsidR="009A356E" w:rsidRPr="00C10545" w:rsidRDefault="009A356E" w:rsidP="009A356E">
            <w:pPr>
              <w:rPr>
                <w:color w:val="000000"/>
                <w:sz w:val="16"/>
                <w:szCs w:val="16"/>
                <w:lang w:eastAsia="en-AU"/>
              </w:rPr>
            </w:pPr>
            <w:r w:rsidRPr="00C10545">
              <w:rPr>
                <w:color w:val="000000"/>
                <w:sz w:val="16"/>
                <w:szCs w:val="16"/>
                <w:lang w:eastAsia="en-AU"/>
              </w:rPr>
              <w:t xml:space="preserve">   1,012.9 </w:t>
            </w:r>
          </w:p>
        </w:tc>
        <w:tc>
          <w:tcPr>
            <w:tcW w:w="422" w:type="pct"/>
            <w:tcBorders>
              <w:top w:val="nil"/>
              <w:left w:val="nil"/>
              <w:bottom w:val="single" w:sz="4" w:space="0" w:color="auto"/>
              <w:right w:val="single" w:sz="8" w:space="0" w:color="auto"/>
            </w:tcBorders>
            <w:shd w:val="clear" w:color="000000" w:fill="D9D9D9"/>
            <w:noWrap/>
            <w:vAlign w:val="bottom"/>
            <w:hideMark/>
          </w:tcPr>
          <w:p w14:paraId="444A10DC" w14:textId="77777777" w:rsidR="009A356E" w:rsidRPr="00C10545" w:rsidRDefault="009A356E" w:rsidP="009A356E">
            <w:pPr>
              <w:jc w:val="right"/>
              <w:rPr>
                <w:color w:val="000000"/>
                <w:sz w:val="16"/>
                <w:szCs w:val="16"/>
                <w:lang w:eastAsia="en-AU"/>
              </w:rPr>
            </w:pPr>
            <w:r w:rsidRPr="00C10545">
              <w:rPr>
                <w:color w:val="000000"/>
                <w:sz w:val="16"/>
                <w:szCs w:val="16"/>
                <w:lang w:eastAsia="en-AU"/>
              </w:rPr>
              <w:t>1.14%</w:t>
            </w:r>
          </w:p>
        </w:tc>
        <w:tc>
          <w:tcPr>
            <w:tcW w:w="342" w:type="pct"/>
            <w:tcBorders>
              <w:top w:val="nil"/>
              <w:left w:val="nil"/>
              <w:bottom w:val="single" w:sz="4" w:space="0" w:color="auto"/>
              <w:right w:val="single" w:sz="4" w:space="0" w:color="auto"/>
            </w:tcBorders>
            <w:shd w:val="clear" w:color="000000" w:fill="BFBFBF"/>
            <w:noWrap/>
            <w:vAlign w:val="bottom"/>
            <w:hideMark/>
          </w:tcPr>
          <w:p w14:paraId="6875A3DB" w14:textId="77777777" w:rsidR="009A356E" w:rsidRPr="00C10545" w:rsidRDefault="009A356E" w:rsidP="009A356E">
            <w:pPr>
              <w:jc w:val="right"/>
              <w:rPr>
                <w:color w:val="000000"/>
                <w:sz w:val="16"/>
                <w:szCs w:val="16"/>
                <w:lang w:eastAsia="en-AU"/>
              </w:rPr>
            </w:pPr>
            <w:r w:rsidRPr="00C10545">
              <w:rPr>
                <w:color w:val="000000"/>
                <w:sz w:val="16"/>
                <w:szCs w:val="16"/>
                <w:lang w:eastAsia="en-AU"/>
              </w:rPr>
              <w:t>225.1</w:t>
            </w:r>
          </w:p>
        </w:tc>
        <w:tc>
          <w:tcPr>
            <w:tcW w:w="374" w:type="pct"/>
            <w:tcBorders>
              <w:top w:val="nil"/>
              <w:left w:val="nil"/>
              <w:bottom w:val="single" w:sz="4" w:space="0" w:color="auto"/>
              <w:right w:val="single" w:sz="8" w:space="0" w:color="auto"/>
            </w:tcBorders>
            <w:shd w:val="clear" w:color="000000" w:fill="BFBFBF"/>
            <w:noWrap/>
            <w:vAlign w:val="bottom"/>
            <w:hideMark/>
          </w:tcPr>
          <w:p w14:paraId="041C03E5" w14:textId="77777777" w:rsidR="009A356E" w:rsidRPr="00C10545" w:rsidRDefault="009A356E" w:rsidP="009A356E">
            <w:pPr>
              <w:jc w:val="right"/>
              <w:rPr>
                <w:color w:val="000000"/>
                <w:sz w:val="16"/>
                <w:szCs w:val="16"/>
                <w:lang w:eastAsia="en-AU"/>
              </w:rPr>
            </w:pPr>
            <w:r w:rsidRPr="00C10545">
              <w:rPr>
                <w:color w:val="000000"/>
                <w:sz w:val="16"/>
                <w:szCs w:val="16"/>
                <w:lang w:eastAsia="en-AU"/>
              </w:rPr>
              <w:t>0.69%</w:t>
            </w:r>
          </w:p>
        </w:tc>
        <w:tc>
          <w:tcPr>
            <w:tcW w:w="374" w:type="pct"/>
            <w:tcBorders>
              <w:top w:val="nil"/>
              <w:left w:val="nil"/>
              <w:bottom w:val="single" w:sz="4" w:space="0" w:color="auto"/>
              <w:right w:val="single" w:sz="4" w:space="0" w:color="auto"/>
            </w:tcBorders>
            <w:shd w:val="clear" w:color="000000" w:fill="95B3D7"/>
            <w:noWrap/>
            <w:vAlign w:val="bottom"/>
            <w:hideMark/>
          </w:tcPr>
          <w:p w14:paraId="41CE1AEB" w14:textId="77777777" w:rsidR="009A356E" w:rsidRPr="00C10545" w:rsidRDefault="009A356E" w:rsidP="009A356E">
            <w:pPr>
              <w:jc w:val="right"/>
              <w:rPr>
                <w:color w:val="000000"/>
                <w:sz w:val="16"/>
                <w:szCs w:val="16"/>
                <w:lang w:eastAsia="en-AU"/>
              </w:rPr>
            </w:pPr>
            <w:r w:rsidRPr="00C10545">
              <w:rPr>
                <w:color w:val="000000"/>
                <w:sz w:val="16"/>
                <w:szCs w:val="16"/>
                <w:lang w:eastAsia="en-AU"/>
              </w:rPr>
              <w:t>1.46%</w:t>
            </w:r>
          </w:p>
        </w:tc>
        <w:tc>
          <w:tcPr>
            <w:tcW w:w="374" w:type="pct"/>
            <w:tcBorders>
              <w:top w:val="nil"/>
              <w:left w:val="nil"/>
              <w:bottom w:val="single" w:sz="4" w:space="0" w:color="auto"/>
              <w:right w:val="single" w:sz="8" w:space="0" w:color="auto"/>
            </w:tcBorders>
            <w:shd w:val="clear" w:color="000000" w:fill="00B0F0"/>
            <w:noWrap/>
            <w:vAlign w:val="bottom"/>
            <w:hideMark/>
          </w:tcPr>
          <w:p w14:paraId="1AEB8217" w14:textId="77777777" w:rsidR="009A356E" w:rsidRPr="00C10545" w:rsidRDefault="009A356E" w:rsidP="009A356E">
            <w:pPr>
              <w:jc w:val="right"/>
              <w:rPr>
                <w:color w:val="000000"/>
                <w:sz w:val="16"/>
                <w:szCs w:val="16"/>
                <w:lang w:eastAsia="en-AU"/>
              </w:rPr>
            </w:pPr>
            <w:r w:rsidRPr="00C10545">
              <w:rPr>
                <w:color w:val="000000"/>
                <w:sz w:val="16"/>
                <w:szCs w:val="16"/>
                <w:lang w:eastAsia="en-AU"/>
              </w:rPr>
              <w:t>1.97%</w:t>
            </w:r>
          </w:p>
        </w:tc>
      </w:tr>
      <w:tr w:rsidR="009A356E" w:rsidRPr="00C96EAB" w14:paraId="71D5124F" w14:textId="77777777" w:rsidTr="009A356E">
        <w:trPr>
          <w:trHeight w:val="240"/>
        </w:trPr>
        <w:tc>
          <w:tcPr>
            <w:tcW w:w="523" w:type="pct"/>
            <w:tcBorders>
              <w:top w:val="nil"/>
              <w:left w:val="single" w:sz="8" w:space="0" w:color="auto"/>
              <w:bottom w:val="nil"/>
              <w:right w:val="nil"/>
            </w:tcBorders>
            <w:shd w:val="clear" w:color="auto" w:fill="auto"/>
            <w:noWrap/>
            <w:vAlign w:val="bottom"/>
            <w:hideMark/>
          </w:tcPr>
          <w:p w14:paraId="55C73BE9" w14:textId="77777777" w:rsidR="009A356E" w:rsidRPr="00C10545" w:rsidRDefault="009A356E" w:rsidP="009A356E">
            <w:pPr>
              <w:rPr>
                <w:color w:val="000000"/>
                <w:sz w:val="16"/>
                <w:szCs w:val="16"/>
                <w:lang w:eastAsia="en-AU"/>
              </w:rPr>
            </w:pPr>
            <w:r w:rsidRPr="00C10545">
              <w:rPr>
                <w:color w:val="000000"/>
                <w:sz w:val="16"/>
                <w:szCs w:val="16"/>
                <w:lang w:eastAsia="en-AU"/>
              </w:rPr>
              <w:t>2016</w:t>
            </w:r>
          </w:p>
        </w:tc>
        <w:tc>
          <w:tcPr>
            <w:tcW w:w="342" w:type="pct"/>
            <w:tcBorders>
              <w:top w:val="nil"/>
              <w:left w:val="single" w:sz="8" w:space="0" w:color="auto"/>
              <w:bottom w:val="nil"/>
              <w:right w:val="single" w:sz="4" w:space="0" w:color="auto"/>
            </w:tcBorders>
            <w:shd w:val="clear" w:color="000000" w:fill="F2F2F2"/>
            <w:noWrap/>
            <w:vAlign w:val="bottom"/>
            <w:hideMark/>
          </w:tcPr>
          <w:p w14:paraId="5752489D" w14:textId="77777777" w:rsidR="009A356E" w:rsidRPr="00C10545" w:rsidRDefault="009A356E" w:rsidP="009A356E">
            <w:pPr>
              <w:jc w:val="right"/>
              <w:rPr>
                <w:color w:val="000000"/>
                <w:sz w:val="16"/>
                <w:szCs w:val="16"/>
                <w:lang w:eastAsia="en-AU"/>
              </w:rPr>
            </w:pPr>
            <w:r w:rsidRPr="00C10545">
              <w:rPr>
                <w:color w:val="000000"/>
                <w:sz w:val="16"/>
                <w:szCs w:val="16"/>
                <w:lang w:eastAsia="en-AU"/>
              </w:rPr>
              <w:t>221.4</w:t>
            </w:r>
          </w:p>
        </w:tc>
        <w:tc>
          <w:tcPr>
            <w:tcW w:w="342" w:type="pct"/>
            <w:tcBorders>
              <w:top w:val="nil"/>
              <w:left w:val="nil"/>
              <w:bottom w:val="nil"/>
              <w:right w:val="single" w:sz="4" w:space="0" w:color="auto"/>
            </w:tcBorders>
            <w:shd w:val="clear" w:color="000000" w:fill="D9D9D9"/>
            <w:noWrap/>
            <w:vAlign w:val="bottom"/>
            <w:hideMark/>
          </w:tcPr>
          <w:p w14:paraId="0AB88941" w14:textId="77777777" w:rsidR="009A356E" w:rsidRPr="00C10545" w:rsidRDefault="009A356E" w:rsidP="009A356E">
            <w:pPr>
              <w:jc w:val="right"/>
              <w:rPr>
                <w:color w:val="000000"/>
                <w:sz w:val="16"/>
                <w:szCs w:val="16"/>
                <w:lang w:eastAsia="en-AU"/>
              </w:rPr>
            </w:pPr>
            <w:r w:rsidRPr="00C10545">
              <w:rPr>
                <w:color w:val="000000"/>
                <w:sz w:val="16"/>
                <w:szCs w:val="16"/>
                <w:lang w:eastAsia="en-AU"/>
              </w:rPr>
              <w:t>108.1</w:t>
            </w:r>
          </w:p>
        </w:tc>
        <w:tc>
          <w:tcPr>
            <w:tcW w:w="342" w:type="pct"/>
            <w:tcBorders>
              <w:top w:val="nil"/>
              <w:left w:val="nil"/>
              <w:bottom w:val="nil"/>
              <w:right w:val="single" w:sz="4" w:space="0" w:color="auto"/>
            </w:tcBorders>
            <w:shd w:val="clear" w:color="000000" w:fill="BFBFBF"/>
            <w:noWrap/>
            <w:vAlign w:val="bottom"/>
            <w:hideMark/>
          </w:tcPr>
          <w:p w14:paraId="64762A66" w14:textId="77777777" w:rsidR="009A356E" w:rsidRPr="00C10545" w:rsidRDefault="009A356E" w:rsidP="009A356E">
            <w:pPr>
              <w:jc w:val="right"/>
              <w:rPr>
                <w:color w:val="000000"/>
                <w:sz w:val="16"/>
                <w:szCs w:val="16"/>
                <w:lang w:eastAsia="en-AU"/>
              </w:rPr>
            </w:pPr>
            <w:r w:rsidRPr="00C10545">
              <w:rPr>
                <w:color w:val="000000"/>
                <w:sz w:val="16"/>
                <w:szCs w:val="16"/>
                <w:lang w:eastAsia="en-AU"/>
              </w:rPr>
              <w:t>329.5</w:t>
            </w:r>
          </w:p>
        </w:tc>
        <w:tc>
          <w:tcPr>
            <w:tcW w:w="374" w:type="pct"/>
            <w:tcBorders>
              <w:top w:val="nil"/>
              <w:left w:val="nil"/>
              <w:bottom w:val="nil"/>
              <w:right w:val="single" w:sz="8" w:space="0" w:color="auto"/>
            </w:tcBorders>
            <w:shd w:val="clear" w:color="000000" w:fill="BFBFBF"/>
            <w:noWrap/>
            <w:vAlign w:val="bottom"/>
            <w:hideMark/>
          </w:tcPr>
          <w:p w14:paraId="24457634" w14:textId="77777777" w:rsidR="009A356E" w:rsidRPr="00C10545" w:rsidRDefault="009A356E" w:rsidP="009A356E">
            <w:pPr>
              <w:jc w:val="right"/>
              <w:rPr>
                <w:color w:val="000000"/>
                <w:sz w:val="16"/>
                <w:szCs w:val="16"/>
                <w:lang w:eastAsia="en-AU"/>
              </w:rPr>
            </w:pPr>
            <w:r w:rsidRPr="00C10545">
              <w:rPr>
                <w:color w:val="000000"/>
                <w:sz w:val="16"/>
                <w:szCs w:val="16"/>
                <w:lang w:eastAsia="en-AU"/>
              </w:rPr>
              <w:t>-0.25%</w:t>
            </w:r>
          </w:p>
        </w:tc>
        <w:tc>
          <w:tcPr>
            <w:tcW w:w="342" w:type="pct"/>
            <w:tcBorders>
              <w:top w:val="nil"/>
              <w:left w:val="nil"/>
              <w:bottom w:val="nil"/>
              <w:right w:val="single" w:sz="4" w:space="0" w:color="auto"/>
            </w:tcBorders>
            <w:shd w:val="clear" w:color="000000" w:fill="F2F2F2"/>
            <w:noWrap/>
            <w:vAlign w:val="bottom"/>
            <w:hideMark/>
          </w:tcPr>
          <w:p w14:paraId="17D478FE" w14:textId="77777777" w:rsidR="009A356E" w:rsidRPr="00C10545" w:rsidRDefault="009A356E" w:rsidP="009A356E">
            <w:pPr>
              <w:jc w:val="right"/>
              <w:rPr>
                <w:color w:val="000000"/>
                <w:sz w:val="16"/>
                <w:szCs w:val="16"/>
                <w:lang w:eastAsia="en-AU"/>
              </w:rPr>
            </w:pPr>
            <w:r w:rsidRPr="00C10545">
              <w:rPr>
                <w:color w:val="000000"/>
                <w:sz w:val="16"/>
                <w:szCs w:val="16"/>
                <w:lang w:eastAsia="en-AU"/>
              </w:rPr>
              <w:t>149.7</w:t>
            </w:r>
          </w:p>
        </w:tc>
        <w:tc>
          <w:tcPr>
            <w:tcW w:w="374" w:type="pct"/>
            <w:tcBorders>
              <w:top w:val="nil"/>
              <w:left w:val="nil"/>
              <w:bottom w:val="nil"/>
              <w:right w:val="single" w:sz="8" w:space="0" w:color="auto"/>
            </w:tcBorders>
            <w:shd w:val="clear" w:color="000000" w:fill="F2F2F2"/>
            <w:noWrap/>
            <w:vAlign w:val="bottom"/>
            <w:hideMark/>
          </w:tcPr>
          <w:p w14:paraId="4D32626B" w14:textId="77777777" w:rsidR="009A356E" w:rsidRPr="00C10545" w:rsidRDefault="009A356E" w:rsidP="009A356E">
            <w:pPr>
              <w:jc w:val="right"/>
              <w:rPr>
                <w:color w:val="000000"/>
                <w:sz w:val="16"/>
                <w:szCs w:val="16"/>
                <w:lang w:eastAsia="en-AU"/>
              </w:rPr>
            </w:pPr>
            <w:r w:rsidRPr="00C10545">
              <w:rPr>
                <w:color w:val="000000"/>
                <w:sz w:val="16"/>
                <w:szCs w:val="16"/>
                <w:lang w:eastAsia="en-AU"/>
              </w:rPr>
              <w:t>-0.77%</w:t>
            </w:r>
          </w:p>
        </w:tc>
        <w:tc>
          <w:tcPr>
            <w:tcW w:w="475" w:type="pct"/>
            <w:tcBorders>
              <w:top w:val="nil"/>
              <w:left w:val="nil"/>
              <w:bottom w:val="nil"/>
              <w:right w:val="single" w:sz="4" w:space="0" w:color="auto"/>
            </w:tcBorders>
            <w:shd w:val="clear" w:color="000000" w:fill="D9D9D9"/>
            <w:noWrap/>
            <w:vAlign w:val="bottom"/>
            <w:hideMark/>
          </w:tcPr>
          <w:p w14:paraId="20F67AEA" w14:textId="77777777" w:rsidR="009A356E" w:rsidRPr="00C10545" w:rsidRDefault="009A356E" w:rsidP="009A356E">
            <w:pPr>
              <w:rPr>
                <w:color w:val="000000"/>
                <w:sz w:val="16"/>
                <w:szCs w:val="16"/>
                <w:lang w:eastAsia="en-AU"/>
              </w:rPr>
            </w:pPr>
            <w:r w:rsidRPr="00C10545">
              <w:rPr>
                <w:color w:val="000000"/>
                <w:sz w:val="16"/>
                <w:szCs w:val="16"/>
                <w:lang w:eastAsia="en-AU"/>
              </w:rPr>
              <w:t xml:space="preserve">   1,005.8 </w:t>
            </w:r>
          </w:p>
        </w:tc>
        <w:tc>
          <w:tcPr>
            <w:tcW w:w="422" w:type="pct"/>
            <w:tcBorders>
              <w:top w:val="nil"/>
              <w:left w:val="nil"/>
              <w:bottom w:val="nil"/>
              <w:right w:val="single" w:sz="8" w:space="0" w:color="auto"/>
            </w:tcBorders>
            <w:shd w:val="clear" w:color="000000" w:fill="D9D9D9"/>
            <w:noWrap/>
            <w:vAlign w:val="bottom"/>
            <w:hideMark/>
          </w:tcPr>
          <w:p w14:paraId="2AD626E5" w14:textId="77777777" w:rsidR="009A356E" w:rsidRPr="00C10545" w:rsidRDefault="009A356E" w:rsidP="009A356E">
            <w:pPr>
              <w:jc w:val="right"/>
              <w:rPr>
                <w:color w:val="000000"/>
                <w:sz w:val="16"/>
                <w:szCs w:val="16"/>
                <w:lang w:eastAsia="en-AU"/>
              </w:rPr>
            </w:pPr>
            <w:r w:rsidRPr="00C10545">
              <w:rPr>
                <w:color w:val="000000"/>
                <w:sz w:val="16"/>
                <w:szCs w:val="16"/>
                <w:lang w:eastAsia="en-AU"/>
              </w:rPr>
              <w:t>-0.70%</w:t>
            </w:r>
          </w:p>
        </w:tc>
        <w:tc>
          <w:tcPr>
            <w:tcW w:w="342" w:type="pct"/>
            <w:tcBorders>
              <w:top w:val="nil"/>
              <w:left w:val="nil"/>
              <w:bottom w:val="nil"/>
              <w:right w:val="single" w:sz="4" w:space="0" w:color="auto"/>
            </w:tcBorders>
            <w:shd w:val="clear" w:color="000000" w:fill="BFBFBF"/>
            <w:noWrap/>
            <w:vAlign w:val="bottom"/>
            <w:hideMark/>
          </w:tcPr>
          <w:p w14:paraId="749EE865" w14:textId="77777777" w:rsidR="009A356E" w:rsidRPr="00C10545" w:rsidRDefault="009A356E" w:rsidP="009A356E">
            <w:pPr>
              <w:jc w:val="right"/>
              <w:rPr>
                <w:color w:val="000000"/>
                <w:sz w:val="16"/>
                <w:szCs w:val="16"/>
                <w:lang w:eastAsia="en-AU"/>
              </w:rPr>
            </w:pPr>
            <w:r w:rsidRPr="00C10545">
              <w:rPr>
                <w:color w:val="000000"/>
                <w:sz w:val="16"/>
                <w:szCs w:val="16"/>
                <w:lang w:eastAsia="en-AU"/>
              </w:rPr>
              <w:t>222.9</w:t>
            </w:r>
          </w:p>
        </w:tc>
        <w:tc>
          <w:tcPr>
            <w:tcW w:w="374" w:type="pct"/>
            <w:tcBorders>
              <w:top w:val="nil"/>
              <w:left w:val="nil"/>
              <w:bottom w:val="nil"/>
              <w:right w:val="single" w:sz="8" w:space="0" w:color="auto"/>
            </w:tcBorders>
            <w:shd w:val="clear" w:color="000000" w:fill="BFBFBF"/>
            <w:noWrap/>
            <w:vAlign w:val="bottom"/>
            <w:hideMark/>
          </w:tcPr>
          <w:p w14:paraId="0F46564B" w14:textId="77777777" w:rsidR="009A356E" w:rsidRPr="00C10545" w:rsidRDefault="009A356E" w:rsidP="009A356E">
            <w:pPr>
              <w:jc w:val="right"/>
              <w:rPr>
                <w:color w:val="000000"/>
                <w:sz w:val="16"/>
                <w:szCs w:val="16"/>
                <w:lang w:eastAsia="en-AU"/>
              </w:rPr>
            </w:pPr>
            <w:r w:rsidRPr="00C10545">
              <w:rPr>
                <w:color w:val="000000"/>
                <w:sz w:val="16"/>
                <w:szCs w:val="16"/>
                <w:lang w:eastAsia="en-AU"/>
              </w:rPr>
              <w:t>-0.99%</w:t>
            </w:r>
          </w:p>
        </w:tc>
        <w:tc>
          <w:tcPr>
            <w:tcW w:w="374" w:type="pct"/>
            <w:tcBorders>
              <w:top w:val="nil"/>
              <w:left w:val="nil"/>
              <w:bottom w:val="nil"/>
              <w:right w:val="single" w:sz="4" w:space="0" w:color="auto"/>
            </w:tcBorders>
            <w:shd w:val="clear" w:color="000000" w:fill="95B3D7"/>
            <w:noWrap/>
            <w:vAlign w:val="bottom"/>
            <w:hideMark/>
          </w:tcPr>
          <w:p w14:paraId="1869286E" w14:textId="77777777" w:rsidR="009A356E" w:rsidRPr="00C10545" w:rsidRDefault="009A356E" w:rsidP="009A356E">
            <w:pPr>
              <w:jc w:val="right"/>
              <w:rPr>
                <w:color w:val="000000"/>
                <w:sz w:val="16"/>
                <w:szCs w:val="16"/>
                <w:lang w:eastAsia="en-AU"/>
              </w:rPr>
            </w:pPr>
            <w:r w:rsidRPr="00C10545">
              <w:rPr>
                <w:color w:val="000000"/>
                <w:sz w:val="16"/>
                <w:szCs w:val="16"/>
                <w:lang w:eastAsia="en-AU"/>
              </w:rPr>
              <w:t>1.54%</w:t>
            </w:r>
          </w:p>
        </w:tc>
        <w:tc>
          <w:tcPr>
            <w:tcW w:w="374" w:type="pct"/>
            <w:tcBorders>
              <w:top w:val="nil"/>
              <w:left w:val="nil"/>
              <w:bottom w:val="nil"/>
              <w:right w:val="single" w:sz="8" w:space="0" w:color="auto"/>
            </w:tcBorders>
            <w:shd w:val="clear" w:color="000000" w:fill="00B0F0"/>
            <w:noWrap/>
            <w:vAlign w:val="bottom"/>
            <w:hideMark/>
          </w:tcPr>
          <w:p w14:paraId="1540CBBF" w14:textId="77777777" w:rsidR="009A356E" w:rsidRPr="00C10545" w:rsidRDefault="009A356E" w:rsidP="009A356E">
            <w:pPr>
              <w:jc w:val="right"/>
              <w:rPr>
                <w:color w:val="000000"/>
                <w:sz w:val="16"/>
                <w:szCs w:val="16"/>
                <w:lang w:eastAsia="en-AU"/>
              </w:rPr>
            </w:pPr>
            <w:r w:rsidRPr="00C10545">
              <w:rPr>
                <w:color w:val="000000"/>
                <w:sz w:val="16"/>
                <w:szCs w:val="16"/>
                <w:lang w:eastAsia="en-AU"/>
              </w:rPr>
              <w:t>1.85%</w:t>
            </w:r>
          </w:p>
        </w:tc>
      </w:tr>
      <w:tr w:rsidR="009A356E" w:rsidRPr="00C96EAB" w14:paraId="04BF6466" w14:textId="77777777" w:rsidTr="009A356E">
        <w:trPr>
          <w:trHeight w:val="225"/>
        </w:trPr>
        <w:tc>
          <w:tcPr>
            <w:tcW w:w="523" w:type="pct"/>
            <w:tcBorders>
              <w:top w:val="single" w:sz="8" w:space="0" w:color="auto"/>
              <w:left w:val="single" w:sz="8" w:space="0" w:color="auto"/>
              <w:bottom w:val="single" w:sz="4" w:space="0" w:color="auto"/>
              <w:right w:val="nil"/>
            </w:tcBorders>
            <w:shd w:val="clear" w:color="auto" w:fill="auto"/>
            <w:noWrap/>
            <w:vAlign w:val="bottom"/>
            <w:hideMark/>
          </w:tcPr>
          <w:p w14:paraId="162C5C2F" w14:textId="77777777" w:rsidR="009A356E" w:rsidRPr="00C10545" w:rsidRDefault="009A356E" w:rsidP="009A356E">
            <w:pPr>
              <w:rPr>
                <w:color w:val="000000"/>
                <w:sz w:val="16"/>
                <w:szCs w:val="16"/>
                <w:lang w:eastAsia="en-AU"/>
              </w:rPr>
            </w:pPr>
            <w:r w:rsidRPr="00C10545">
              <w:rPr>
                <w:color w:val="000000"/>
                <w:sz w:val="16"/>
                <w:szCs w:val="16"/>
                <w:lang w:eastAsia="en-AU"/>
              </w:rPr>
              <w:t>2000-2016</w:t>
            </w:r>
          </w:p>
        </w:tc>
        <w:tc>
          <w:tcPr>
            <w:tcW w:w="342" w:type="pct"/>
            <w:tcBorders>
              <w:top w:val="single" w:sz="8" w:space="0" w:color="auto"/>
              <w:left w:val="single" w:sz="8" w:space="0" w:color="auto"/>
              <w:bottom w:val="single" w:sz="4" w:space="0" w:color="auto"/>
              <w:right w:val="single" w:sz="4" w:space="0" w:color="auto"/>
            </w:tcBorders>
            <w:shd w:val="clear" w:color="000000" w:fill="000000"/>
            <w:noWrap/>
            <w:vAlign w:val="bottom"/>
            <w:hideMark/>
          </w:tcPr>
          <w:p w14:paraId="3ED937BD" w14:textId="77777777" w:rsidR="009A356E" w:rsidRPr="00C10545" w:rsidRDefault="009A356E" w:rsidP="009A356E">
            <w:pPr>
              <w:rPr>
                <w:color w:val="000000"/>
                <w:sz w:val="16"/>
                <w:szCs w:val="16"/>
                <w:lang w:eastAsia="en-AU"/>
              </w:rPr>
            </w:pPr>
            <w:r w:rsidRPr="00C10545">
              <w:rPr>
                <w:color w:val="000000"/>
                <w:sz w:val="16"/>
                <w:szCs w:val="16"/>
                <w:lang w:eastAsia="en-AU"/>
              </w:rPr>
              <w:t> </w:t>
            </w:r>
          </w:p>
        </w:tc>
        <w:tc>
          <w:tcPr>
            <w:tcW w:w="342" w:type="pct"/>
            <w:tcBorders>
              <w:top w:val="single" w:sz="8" w:space="0" w:color="auto"/>
              <w:left w:val="nil"/>
              <w:bottom w:val="single" w:sz="4" w:space="0" w:color="auto"/>
              <w:right w:val="single" w:sz="4" w:space="0" w:color="auto"/>
            </w:tcBorders>
            <w:shd w:val="clear" w:color="000000" w:fill="000000"/>
            <w:noWrap/>
            <w:vAlign w:val="bottom"/>
            <w:hideMark/>
          </w:tcPr>
          <w:p w14:paraId="2E3C1E22" w14:textId="77777777" w:rsidR="009A356E" w:rsidRPr="00C10545" w:rsidRDefault="009A356E" w:rsidP="009A356E">
            <w:pPr>
              <w:rPr>
                <w:color w:val="000000"/>
                <w:sz w:val="16"/>
                <w:szCs w:val="16"/>
                <w:lang w:eastAsia="en-AU"/>
              </w:rPr>
            </w:pPr>
            <w:r w:rsidRPr="00C10545">
              <w:rPr>
                <w:color w:val="000000"/>
                <w:sz w:val="16"/>
                <w:szCs w:val="16"/>
                <w:lang w:eastAsia="en-AU"/>
              </w:rPr>
              <w:t> </w:t>
            </w:r>
          </w:p>
        </w:tc>
        <w:tc>
          <w:tcPr>
            <w:tcW w:w="342" w:type="pct"/>
            <w:tcBorders>
              <w:top w:val="single" w:sz="8" w:space="0" w:color="auto"/>
              <w:left w:val="nil"/>
              <w:bottom w:val="single" w:sz="4" w:space="0" w:color="auto"/>
              <w:right w:val="single" w:sz="4" w:space="0" w:color="auto"/>
            </w:tcBorders>
            <w:shd w:val="clear" w:color="000000" w:fill="000000"/>
            <w:noWrap/>
            <w:vAlign w:val="bottom"/>
            <w:hideMark/>
          </w:tcPr>
          <w:p w14:paraId="535CDB56" w14:textId="77777777" w:rsidR="009A356E" w:rsidRPr="00C10545" w:rsidRDefault="009A356E" w:rsidP="009A356E">
            <w:pPr>
              <w:rPr>
                <w:color w:val="000000"/>
                <w:sz w:val="16"/>
                <w:szCs w:val="16"/>
                <w:lang w:eastAsia="en-AU"/>
              </w:rPr>
            </w:pPr>
            <w:r w:rsidRPr="00C10545">
              <w:rPr>
                <w:color w:val="000000"/>
                <w:sz w:val="16"/>
                <w:szCs w:val="16"/>
                <w:lang w:eastAsia="en-AU"/>
              </w:rPr>
              <w:t> </w:t>
            </w:r>
          </w:p>
        </w:tc>
        <w:tc>
          <w:tcPr>
            <w:tcW w:w="374" w:type="pct"/>
            <w:tcBorders>
              <w:top w:val="single" w:sz="8" w:space="0" w:color="auto"/>
              <w:left w:val="nil"/>
              <w:bottom w:val="single" w:sz="4" w:space="0" w:color="auto"/>
              <w:right w:val="single" w:sz="8" w:space="0" w:color="auto"/>
            </w:tcBorders>
            <w:shd w:val="clear" w:color="auto" w:fill="auto"/>
            <w:noWrap/>
            <w:vAlign w:val="bottom"/>
            <w:hideMark/>
          </w:tcPr>
          <w:p w14:paraId="2C575C0B" w14:textId="77777777" w:rsidR="009A356E" w:rsidRPr="00C10545" w:rsidRDefault="009A356E" w:rsidP="009A356E">
            <w:pPr>
              <w:jc w:val="right"/>
              <w:rPr>
                <w:color w:val="000000"/>
                <w:sz w:val="16"/>
                <w:szCs w:val="16"/>
                <w:lang w:eastAsia="en-AU"/>
              </w:rPr>
            </w:pPr>
            <w:r w:rsidRPr="00C10545">
              <w:rPr>
                <w:color w:val="000000"/>
                <w:sz w:val="16"/>
                <w:szCs w:val="16"/>
                <w:lang w:eastAsia="en-AU"/>
              </w:rPr>
              <w:t>4.50%</w:t>
            </w:r>
          </w:p>
        </w:tc>
        <w:tc>
          <w:tcPr>
            <w:tcW w:w="342" w:type="pct"/>
            <w:tcBorders>
              <w:top w:val="single" w:sz="8" w:space="0" w:color="auto"/>
              <w:left w:val="nil"/>
              <w:bottom w:val="single" w:sz="4" w:space="0" w:color="auto"/>
              <w:right w:val="single" w:sz="4" w:space="0" w:color="auto"/>
            </w:tcBorders>
            <w:shd w:val="clear" w:color="000000" w:fill="000000"/>
            <w:noWrap/>
            <w:vAlign w:val="bottom"/>
            <w:hideMark/>
          </w:tcPr>
          <w:p w14:paraId="2E72D7C1" w14:textId="77777777" w:rsidR="009A356E" w:rsidRPr="00C10545" w:rsidRDefault="009A356E" w:rsidP="009A356E">
            <w:pPr>
              <w:rPr>
                <w:color w:val="000000"/>
                <w:sz w:val="16"/>
                <w:szCs w:val="16"/>
                <w:lang w:eastAsia="en-AU"/>
              </w:rPr>
            </w:pPr>
            <w:r w:rsidRPr="00C10545">
              <w:rPr>
                <w:color w:val="000000"/>
                <w:sz w:val="16"/>
                <w:szCs w:val="16"/>
                <w:lang w:eastAsia="en-AU"/>
              </w:rPr>
              <w:t> </w:t>
            </w:r>
          </w:p>
        </w:tc>
        <w:tc>
          <w:tcPr>
            <w:tcW w:w="374" w:type="pct"/>
            <w:tcBorders>
              <w:top w:val="single" w:sz="8" w:space="0" w:color="auto"/>
              <w:left w:val="nil"/>
              <w:bottom w:val="single" w:sz="4" w:space="0" w:color="auto"/>
              <w:right w:val="single" w:sz="8" w:space="0" w:color="auto"/>
            </w:tcBorders>
            <w:shd w:val="clear" w:color="auto" w:fill="auto"/>
            <w:noWrap/>
            <w:vAlign w:val="bottom"/>
            <w:hideMark/>
          </w:tcPr>
          <w:p w14:paraId="06CBE514" w14:textId="77777777" w:rsidR="009A356E" w:rsidRPr="00C10545" w:rsidRDefault="009A356E" w:rsidP="009A356E">
            <w:pPr>
              <w:jc w:val="right"/>
              <w:rPr>
                <w:color w:val="000000"/>
                <w:sz w:val="16"/>
                <w:szCs w:val="16"/>
                <w:lang w:eastAsia="en-AU"/>
              </w:rPr>
            </w:pPr>
            <w:r w:rsidRPr="00C10545">
              <w:rPr>
                <w:color w:val="000000"/>
                <w:sz w:val="16"/>
                <w:szCs w:val="16"/>
                <w:lang w:eastAsia="en-AU"/>
              </w:rPr>
              <w:t>3.88%</w:t>
            </w:r>
          </w:p>
        </w:tc>
        <w:tc>
          <w:tcPr>
            <w:tcW w:w="475" w:type="pct"/>
            <w:tcBorders>
              <w:top w:val="single" w:sz="8" w:space="0" w:color="auto"/>
              <w:left w:val="nil"/>
              <w:bottom w:val="single" w:sz="4" w:space="0" w:color="auto"/>
              <w:right w:val="single" w:sz="4" w:space="0" w:color="auto"/>
            </w:tcBorders>
            <w:shd w:val="clear" w:color="000000" w:fill="000000"/>
            <w:noWrap/>
            <w:vAlign w:val="bottom"/>
            <w:hideMark/>
          </w:tcPr>
          <w:p w14:paraId="571FDB33" w14:textId="77777777" w:rsidR="009A356E" w:rsidRPr="00C10545" w:rsidRDefault="009A356E" w:rsidP="009A356E">
            <w:pPr>
              <w:rPr>
                <w:color w:val="000000"/>
                <w:sz w:val="16"/>
                <w:szCs w:val="16"/>
                <w:lang w:eastAsia="en-AU"/>
              </w:rPr>
            </w:pPr>
            <w:r w:rsidRPr="00C10545">
              <w:rPr>
                <w:color w:val="000000"/>
                <w:sz w:val="16"/>
                <w:szCs w:val="16"/>
                <w:lang w:eastAsia="en-AU"/>
              </w:rPr>
              <w:t> </w:t>
            </w:r>
          </w:p>
        </w:tc>
        <w:tc>
          <w:tcPr>
            <w:tcW w:w="422" w:type="pct"/>
            <w:tcBorders>
              <w:top w:val="single" w:sz="8" w:space="0" w:color="auto"/>
              <w:left w:val="nil"/>
              <w:bottom w:val="single" w:sz="4" w:space="0" w:color="auto"/>
              <w:right w:val="single" w:sz="8" w:space="0" w:color="auto"/>
            </w:tcBorders>
            <w:shd w:val="clear" w:color="auto" w:fill="auto"/>
            <w:noWrap/>
            <w:vAlign w:val="bottom"/>
            <w:hideMark/>
          </w:tcPr>
          <w:p w14:paraId="7C29106F" w14:textId="77777777" w:rsidR="009A356E" w:rsidRPr="00C10545" w:rsidRDefault="009A356E" w:rsidP="009A356E">
            <w:pPr>
              <w:jc w:val="right"/>
              <w:rPr>
                <w:color w:val="000000"/>
                <w:sz w:val="16"/>
                <w:szCs w:val="16"/>
                <w:lang w:eastAsia="en-AU"/>
              </w:rPr>
            </w:pPr>
            <w:r w:rsidRPr="00C10545">
              <w:rPr>
                <w:color w:val="000000"/>
                <w:sz w:val="16"/>
                <w:szCs w:val="16"/>
                <w:lang w:eastAsia="en-AU"/>
              </w:rPr>
              <w:t>4.33%</w:t>
            </w:r>
          </w:p>
        </w:tc>
        <w:tc>
          <w:tcPr>
            <w:tcW w:w="342" w:type="pct"/>
            <w:tcBorders>
              <w:top w:val="single" w:sz="8" w:space="0" w:color="auto"/>
              <w:left w:val="nil"/>
              <w:bottom w:val="single" w:sz="4" w:space="0" w:color="auto"/>
              <w:right w:val="single" w:sz="4" w:space="0" w:color="auto"/>
            </w:tcBorders>
            <w:shd w:val="clear" w:color="000000" w:fill="000000"/>
            <w:noWrap/>
            <w:vAlign w:val="bottom"/>
            <w:hideMark/>
          </w:tcPr>
          <w:p w14:paraId="4E687B84" w14:textId="77777777" w:rsidR="009A356E" w:rsidRPr="00C10545" w:rsidRDefault="009A356E" w:rsidP="009A356E">
            <w:pPr>
              <w:rPr>
                <w:color w:val="000000"/>
                <w:sz w:val="16"/>
                <w:szCs w:val="16"/>
                <w:lang w:eastAsia="en-AU"/>
              </w:rPr>
            </w:pPr>
            <w:r w:rsidRPr="00C10545">
              <w:rPr>
                <w:color w:val="000000"/>
                <w:sz w:val="16"/>
                <w:szCs w:val="16"/>
                <w:lang w:eastAsia="en-AU"/>
              </w:rPr>
              <w:t> </w:t>
            </w:r>
          </w:p>
        </w:tc>
        <w:tc>
          <w:tcPr>
            <w:tcW w:w="374" w:type="pct"/>
            <w:tcBorders>
              <w:top w:val="single" w:sz="8" w:space="0" w:color="auto"/>
              <w:left w:val="nil"/>
              <w:bottom w:val="single" w:sz="4" w:space="0" w:color="auto"/>
              <w:right w:val="single" w:sz="8" w:space="0" w:color="auto"/>
            </w:tcBorders>
            <w:shd w:val="clear" w:color="auto" w:fill="auto"/>
            <w:noWrap/>
            <w:vAlign w:val="bottom"/>
            <w:hideMark/>
          </w:tcPr>
          <w:p w14:paraId="19576746" w14:textId="77777777" w:rsidR="009A356E" w:rsidRPr="00C10545" w:rsidRDefault="009A356E" w:rsidP="009A356E">
            <w:pPr>
              <w:jc w:val="right"/>
              <w:rPr>
                <w:color w:val="000000"/>
                <w:sz w:val="16"/>
                <w:szCs w:val="16"/>
                <w:lang w:eastAsia="en-AU"/>
              </w:rPr>
            </w:pPr>
            <w:r w:rsidRPr="00C10545">
              <w:rPr>
                <w:color w:val="000000"/>
                <w:sz w:val="16"/>
                <w:szCs w:val="16"/>
                <w:lang w:eastAsia="en-AU"/>
              </w:rPr>
              <w:t>3.80%</w:t>
            </w:r>
          </w:p>
        </w:tc>
        <w:tc>
          <w:tcPr>
            <w:tcW w:w="374" w:type="pct"/>
            <w:tcBorders>
              <w:top w:val="single" w:sz="8" w:space="0" w:color="auto"/>
              <w:left w:val="nil"/>
              <w:bottom w:val="single" w:sz="4" w:space="0" w:color="auto"/>
              <w:right w:val="single" w:sz="4" w:space="0" w:color="auto"/>
            </w:tcBorders>
            <w:shd w:val="clear" w:color="auto" w:fill="auto"/>
            <w:noWrap/>
            <w:vAlign w:val="bottom"/>
            <w:hideMark/>
          </w:tcPr>
          <w:p w14:paraId="4921A69F" w14:textId="77777777" w:rsidR="009A356E" w:rsidRPr="00C10545" w:rsidRDefault="009A356E" w:rsidP="009A356E">
            <w:pPr>
              <w:jc w:val="right"/>
              <w:rPr>
                <w:color w:val="000000"/>
                <w:sz w:val="16"/>
                <w:szCs w:val="16"/>
                <w:lang w:eastAsia="en-AU"/>
              </w:rPr>
            </w:pPr>
            <w:r w:rsidRPr="00C10545">
              <w:rPr>
                <w:color w:val="000000"/>
                <w:sz w:val="16"/>
                <w:szCs w:val="16"/>
                <w:lang w:eastAsia="en-AU"/>
              </w:rPr>
              <w:t>2.61%</w:t>
            </w:r>
          </w:p>
        </w:tc>
        <w:tc>
          <w:tcPr>
            <w:tcW w:w="374" w:type="pct"/>
            <w:tcBorders>
              <w:top w:val="single" w:sz="8" w:space="0" w:color="auto"/>
              <w:left w:val="nil"/>
              <w:bottom w:val="single" w:sz="4" w:space="0" w:color="auto"/>
              <w:right w:val="single" w:sz="8" w:space="0" w:color="auto"/>
            </w:tcBorders>
            <w:shd w:val="clear" w:color="auto" w:fill="auto"/>
            <w:noWrap/>
            <w:vAlign w:val="bottom"/>
            <w:hideMark/>
          </w:tcPr>
          <w:p w14:paraId="2B01F276" w14:textId="77777777" w:rsidR="009A356E" w:rsidRPr="00C10545" w:rsidRDefault="009A356E" w:rsidP="009A356E">
            <w:pPr>
              <w:jc w:val="right"/>
              <w:rPr>
                <w:color w:val="000000"/>
                <w:sz w:val="16"/>
                <w:szCs w:val="16"/>
                <w:lang w:eastAsia="en-AU"/>
              </w:rPr>
            </w:pPr>
            <w:r w:rsidRPr="00C10545">
              <w:rPr>
                <w:color w:val="000000"/>
                <w:sz w:val="16"/>
                <w:szCs w:val="16"/>
                <w:lang w:eastAsia="en-AU"/>
              </w:rPr>
              <w:t>2.91%</w:t>
            </w:r>
          </w:p>
        </w:tc>
      </w:tr>
      <w:tr w:rsidR="009A356E" w:rsidRPr="00C96EAB" w14:paraId="2297FFA7" w14:textId="77777777" w:rsidTr="009A356E">
        <w:trPr>
          <w:trHeight w:val="240"/>
        </w:trPr>
        <w:tc>
          <w:tcPr>
            <w:tcW w:w="523" w:type="pct"/>
            <w:tcBorders>
              <w:top w:val="nil"/>
              <w:left w:val="single" w:sz="8" w:space="0" w:color="auto"/>
              <w:bottom w:val="single" w:sz="8" w:space="0" w:color="auto"/>
              <w:right w:val="nil"/>
            </w:tcBorders>
            <w:shd w:val="clear" w:color="auto" w:fill="auto"/>
            <w:noWrap/>
            <w:vAlign w:val="bottom"/>
            <w:hideMark/>
          </w:tcPr>
          <w:p w14:paraId="3D7B5421" w14:textId="77777777" w:rsidR="009A356E" w:rsidRPr="00C10545" w:rsidRDefault="009A356E" w:rsidP="009A356E">
            <w:pPr>
              <w:rPr>
                <w:color w:val="000000"/>
                <w:sz w:val="16"/>
                <w:szCs w:val="16"/>
                <w:lang w:eastAsia="en-AU"/>
              </w:rPr>
            </w:pPr>
            <w:r w:rsidRPr="00C10545">
              <w:rPr>
                <w:color w:val="000000"/>
                <w:sz w:val="16"/>
                <w:szCs w:val="16"/>
                <w:lang w:eastAsia="en-AU"/>
              </w:rPr>
              <w:t>2011-2016</w:t>
            </w:r>
          </w:p>
        </w:tc>
        <w:tc>
          <w:tcPr>
            <w:tcW w:w="342" w:type="pct"/>
            <w:tcBorders>
              <w:top w:val="nil"/>
              <w:left w:val="single" w:sz="8" w:space="0" w:color="auto"/>
              <w:bottom w:val="single" w:sz="8" w:space="0" w:color="auto"/>
              <w:right w:val="single" w:sz="4" w:space="0" w:color="auto"/>
            </w:tcBorders>
            <w:shd w:val="clear" w:color="000000" w:fill="000000"/>
            <w:noWrap/>
            <w:vAlign w:val="bottom"/>
            <w:hideMark/>
          </w:tcPr>
          <w:p w14:paraId="3F573CDF" w14:textId="77777777" w:rsidR="009A356E" w:rsidRPr="00C10545" w:rsidRDefault="009A356E" w:rsidP="009A356E">
            <w:pPr>
              <w:rPr>
                <w:color w:val="000000"/>
                <w:sz w:val="16"/>
                <w:szCs w:val="16"/>
                <w:lang w:eastAsia="en-AU"/>
              </w:rPr>
            </w:pPr>
            <w:r w:rsidRPr="00C10545">
              <w:rPr>
                <w:color w:val="000000"/>
                <w:sz w:val="16"/>
                <w:szCs w:val="16"/>
                <w:lang w:eastAsia="en-AU"/>
              </w:rPr>
              <w:t> </w:t>
            </w:r>
          </w:p>
        </w:tc>
        <w:tc>
          <w:tcPr>
            <w:tcW w:w="342" w:type="pct"/>
            <w:tcBorders>
              <w:top w:val="nil"/>
              <w:left w:val="nil"/>
              <w:bottom w:val="single" w:sz="8" w:space="0" w:color="auto"/>
              <w:right w:val="single" w:sz="4" w:space="0" w:color="auto"/>
            </w:tcBorders>
            <w:shd w:val="clear" w:color="000000" w:fill="000000"/>
            <w:noWrap/>
            <w:vAlign w:val="bottom"/>
            <w:hideMark/>
          </w:tcPr>
          <w:p w14:paraId="10C70A69" w14:textId="77777777" w:rsidR="009A356E" w:rsidRPr="00C10545" w:rsidRDefault="009A356E" w:rsidP="009A356E">
            <w:pPr>
              <w:rPr>
                <w:color w:val="000000"/>
                <w:sz w:val="16"/>
                <w:szCs w:val="16"/>
                <w:lang w:eastAsia="en-AU"/>
              </w:rPr>
            </w:pPr>
            <w:r w:rsidRPr="00C10545">
              <w:rPr>
                <w:color w:val="000000"/>
                <w:sz w:val="16"/>
                <w:szCs w:val="16"/>
                <w:lang w:eastAsia="en-AU"/>
              </w:rPr>
              <w:t> </w:t>
            </w:r>
          </w:p>
        </w:tc>
        <w:tc>
          <w:tcPr>
            <w:tcW w:w="342" w:type="pct"/>
            <w:tcBorders>
              <w:top w:val="nil"/>
              <w:left w:val="nil"/>
              <w:bottom w:val="single" w:sz="8" w:space="0" w:color="auto"/>
              <w:right w:val="single" w:sz="4" w:space="0" w:color="auto"/>
            </w:tcBorders>
            <w:shd w:val="clear" w:color="000000" w:fill="000000"/>
            <w:noWrap/>
            <w:vAlign w:val="bottom"/>
            <w:hideMark/>
          </w:tcPr>
          <w:p w14:paraId="3EE717FD" w14:textId="77777777" w:rsidR="009A356E" w:rsidRPr="00C10545" w:rsidRDefault="009A356E" w:rsidP="009A356E">
            <w:pPr>
              <w:rPr>
                <w:color w:val="000000"/>
                <w:sz w:val="16"/>
                <w:szCs w:val="16"/>
                <w:lang w:eastAsia="en-AU"/>
              </w:rPr>
            </w:pPr>
            <w:r w:rsidRPr="00C10545">
              <w:rPr>
                <w:color w:val="000000"/>
                <w:sz w:val="16"/>
                <w:szCs w:val="16"/>
                <w:lang w:eastAsia="en-AU"/>
              </w:rPr>
              <w:t> </w:t>
            </w:r>
          </w:p>
        </w:tc>
        <w:tc>
          <w:tcPr>
            <w:tcW w:w="374" w:type="pct"/>
            <w:tcBorders>
              <w:top w:val="nil"/>
              <w:left w:val="nil"/>
              <w:bottom w:val="single" w:sz="8" w:space="0" w:color="auto"/>
              <w:right w:val="single" w:sz="8" w:space="0" w:color="auto"/>
            </w:tcBorders>
            <w:shd w:val="clear" w:color="auto" w:fill="auto"/>
            <w:noWrap/>
            <w:vAlign w:val="bottom"/>
            <w:hideMark/>
          </w:tcPr>
          <w:p w14:paraId="42902771" w14:textId="77777777" w:rsidR="009A356E" w:rsidRPr="00C10545" w:rsidRDefault="009A356E" w:rsidP="009A356E">
            <w:pPr>
              <w:jc w:val="right"/>
              <w:rPr>
                <w:color w:val="000000"/>
                <w:sz w:val="16"/>
                <w:szCs w:val="16"/>
                <w:lang w:eastAsia="en-AU"/>
              </w:rPr>
            </w:pPr>
            <w:r w:rsidRPr="00C10545">
              <w:rPr>
                <w:color w:val="000000"/>
                <w:sz w:val="16"/>
                <w:szCs w:val="16"/>
                <w:lang w:eastAsia="en-AU"/>
              </w:rPr>
              <w:t>1.80%</w:t>
            </w:r>
          </w:p>
        </w:tc>
        <w:tc>
          <w:tcPr>
            <w:tcW w:w="342" w:type="pct"/>
            <w:tcBorders>
              <w:top w:val="nil"/>
              <w:left w:val="nil"/>
              <w:bottom w:val="single" w:sz="8" w:space="0" w:color="auto"/>
              <w:right w:val="single" w:sz="4" w:space="0" w:color="auto"/>
            </w:tcBorders>
            <w:shd w:val="clear" w:color="000000" w:fill="000000"/>
            <w:noWrap/>
            <w:vAlign w:val="bottom"/>
            <w:hideMark/>
          </w:tcPr>
          <w:p w14:paraId="2F45EE6C" w14:textId="77777777" w:rsidR="009A356E" w:rsidRPr="00C10545" w:rsidRDefault="009A356E" w:rsidP="009A356E">
            <w:pPr>
              <w:rPr>
                <w:color w:val="000000"/>
                <w:sz w:val="16"/>
                <w:szCs w:val="16"/>
                <w:lang w:eastAsia="en-AU"/>
              </w:rPr>
            </w:pPr>
            <w:r w:rsidRPr="00C10545">
              <w:rPr>
                <w:color w:val="000000"/>
                <w:sz w:val="16"/>
                <w:szCs w:val="16"/>
                <w:lang w:eastAsia="en-AU"/>
              </w:rPr>
              <w:t> </w:t>
            </w:r>
          </w:p>
        </w:tc>
        <w:tc>
          <w:tcPr>
            <w:tcW w:w="374" w:type="pct"/>
            <w:tcBorders>
              <w:top w:val="nil"/>
              <w:left w:val="nil"/>
              <w:bottom w:val="single" w:sz="8" w:space="0" w:color="auto"/>
              <w:right w:val="single" w:sz="8" w:space="0" w:color="auto"/>
            </w:tcBorders>
            <w:shd w:val="clear" w:color="auto" w:fill="auto"/>
            <w:noWrap/>
            <w:vAlign w:val="bottom"/>
            <w:hideMark/>
          </w:tcPr>
          <w:p w14:paraId="28D86CF1" w14:textId="77777777" w:rsidR="009A356E" w:rsidRPr="00C10545" w:rsidRDefault="009A356E" w:rsidP="009A356E">
            <w:pPr>
              <w:jc w:val="right"/>
              <w:rPr>
                <w:color w:val="000000"/>
                <w:sz w:val="16"/>
                <w:szCs w:val="16"/>
                <w:lang w:eastAsia="en-AU"/>
              </w:rPr>
            </w:pPr>
            <w:r w:rsidRPr="00C10545">
              <w:rPr>
                <w:color w:val="000000"/>
                <w:sz w:val="16"/>
                <w:szCs w:val="16"/>
                <w:lang w:eastAsia="en-AU"/>
              </w:rPr>
              <w:t>0.92%</w:t>
            </w:r>
          </w:p>
        </w:tc>
        <w:tc>
          <w:tcPr>
            <w:tcW w:w="475" w:type="pct"/>
            <w:tcBorders>
              <w:top w:val="nil"/>
              <w:left w:val="nil"/>
              <w:bottom w:val="single" w:sz="8" w:space="0" w:color="auto"/>
              <w:right w:val="single" w:sz="4" w:space="0" w:color="auto"/>
            </w:tcBorders>
            <w:shd w:val="clear" w:color="000000" w:fill="000000"/>
            <w:noWrap/>
            <w:vAlign w:val="bottom"/>
            <w:hideMark/>
          </w:tcPr>
          <w:p w14:paraId="11D82CE0" w14:textId="77777777" w:rsidR="009A356E" w:rsidRPr="00C10545" w:rsidRDefault="009A356E" w:rsidP="009A356E">
            <w:pPr>
              <w:rPr>
                <w:color w:val="000000"/>
                <w:sz w:val="16"/>
                <w:szCs w:val="16"/>
                <w:lang w:eastAsia="en-AU"/>
              </w:rPr>
            </w:pPr>
            <w:r w:rsidRPr="00C10545">
              <w:rPr>
                <w:color w:val="000000"/>
                <w:sz w:val="16"/>
                <w:szCs w:val="16"/>
                <w:lang w:eastAsia="en-AU"/>
              </w:rPr>
              <w:t> </w:t>
            </w:r>
          </w:p>
        </w:tc>
        <w:tc>
          <w:tcPr>
            <w:tcW w:w="422" w:type="pct"/>
            <w:tcBorders>
              <w:top w:val="nil"/>
              <w:left w:val="nil"/>
              <w:bottom w:val="single" w:sz="8" w:space="0" w:color="auto"/>
              <w:right w:val="single" w:sz="8" w:space="0" w:color="auto"/>
            </w:tcBorders>
            <w:shd w:val="clear" w:color="auto" w:fill="auto"/>
            <w:noWrap/>
            <w:vAlign w:val="bottom"/>
            <w:hideMark/>
          </w:tcPr>
          <w:p w14:paraId="2D3E4041" w14:textId="77777777" w:rsidR="009A356E" w:rsidRPr="00C10545" w:rsidRDefault="009A356E" w:rsidP="009A356E">
            <w:pPr>
              <w:jc w:val="right"/>
              <w:rPr>
                <w:color w:val="000000"/>
                <w:sz w:val="16"/>
                <w:szCs w:val="16"/>
                <w:lang w:eastAsia="en-AU"/>
              </w:rPr>
            </w:pPr>
            <w:r w:rsidRPr="00C10545">
              <w:rPr>
                <w:color w:val="000000"/>
                <w:sz w:val="16"/>
                <w:szCs w:val="16"/>
                <w:lang w:eastAsia="en-AU"/>
              </w:rPr>
              <w:t>1.82%</w:t>
            </w:r>
          </w:p>
        </w:tc>
        <w:tc>
          <w:tcPr>
            <w:tcW w:w="342" w:type="pct"/>
            <w:tcBorders>
              <w:top w:val="nil"/>
              <w:left w:val="nil"/>
              <w:bottom w:val="single" w:sz="8" w:space="0" w:color="auto"/>
              <w:right w:val="single" w:sz="4" w:space="0" w:color="auto"/>
            </w:tcBorders>
            <w:shd w:val="clear" w:color="000000" w:fill="000000"/>
            <w:noWrap/>
            <w:vAlign w:val="bottom"/>
            <w:hideMark/>
          </w:tcPr>
          <w:p w14:paraId="4833BDE7" w14:textId="77777777" w:rsidR="009A356E" w:rsidRPr="00C10545" w:rsidRDefault="009A356E" w:rsidP="009A356E">
            <w:pPr>
              <w:rPr>
                <w:color w:val="000000"/>
                <w:sz w:val="16"/>
                <w:szCs w:val="16"/>
                <w:lang w:eastAsia="en-AU"/>
              </w:rPr>
            </w:pPr>
            <w:r w:rsidRPr="00C10545">
              <w:rPr>
                <w:color w:val="000000"/>
                <w:sz w:val="16"/>
                <w:szCs w:val="16"/>
                <w:lang w:eastAsia="en-AU"/>
              </w:rPr>
              <w:t> </w:t>
            </w:r>
          </w:p>
        </w:tc>
        <w:tc>
          <w:tcPr>
            <w:tcW w:w="374" w:type="pct"/>
            <w:tcBorders>
              <w:top w:val="nil"/>
              <w:left w:val="nil"/>
              <w:bottom w:val="single" w:sz="8" w:space="0" w:color="auto"/>
              <w:right w:val="single" w:sz="8" w:space="0" w:color="auto"/>
            </w:tcBorders>
            <w:shd w:val="clear" w:color="auto" w:fill="auto"/>
            <w:noWrap/>
            <w:vAlign w:val="bottom"/>
            <w:hideMark/>
          </w:tcPr>
          <w:p w14:paraId="04091AEB" w14:textId="77777777" w:rsidR="009A356E" w:rsidRPr="00C10545" w:rsidRDefault="009A356E" w:rsidP="009A356E">
            <w:pPr>
              <w:jc w:val="right"/>
              <w:rPr>
                <w:color w:val="000000"/>
                <w:sz w:val="16"/>
                <w:szCs w:val="16"/>
                <w:lang w:eastAsia="en-AU"/>
              </w:rPr>
            </w:pPr>
            <w:r w:rsidRPr="00C10545">
              <w:rPr>
                <w:color w:val="000000"/>
                <w:sz w:val="16"/>
                <w:szCs w:val="16"/>
                <w:lang w:eastAsia="en-AU"/>
              </w:rPr>
              <w:t>0.96%</w:t>
            </w:r>
          </w:p>
        </w:tc>
        <w:tc>
          <w:tcPr>
            <w:tcW w:w="374" w:type="pct"/>
            <w:tcBorders>
              <w:top w:val="nil"/>
              <w:left w:val="nil"/>
              <w:bottom w:val="single" w:sz="8" w:space="0" w:color="auto"/>
              <w:right w:val="single" w:sz="4" w:space="0" w:color="auto"/>
            </w:tcBorders>
            <w:shd w:val="clear" w:color="auto" w:fill="auto"/>
            <w:noWrap/>
            <w:vAlign w:val="bottom"/>
            <w:hideMark/>
          </w:tcPr>
          <w:p w14:paraId="6C5A4E3C" w14:textId="77777777" w:rsidR="009A356E" w:rsidRPr="00C10545" w:rsidRDefault="009A356E" w:rsidP="009A356E">
            <w:pPr>
              <w:jc w:val="right"/>
              <w:rPr>
                <w:color w:val="000000"/>
                <w:sz w:val="16"/>
                <w:szCs w:val="16"/>
                <w:lang w:eastAsia="en-AU"/>
              </w:rPr>
            </w:pPr>
            <w:r w:rsidRPr="00C10545">
              <w:rPr>
                <w:color w:val="000000"/>
                <w:sz w:val="16"/>
                <w:szCs w:val="16"/>
                <w:lang w:eastAsia="en-AU"/>
              </w:rPr>
              <w:t>2.05%</w:t>
            </w:r>
          </w:p>
        </w:tc>
        <w:tc>
          <w:tcPr>
            <w:tcW w:w="374" w:type="pct"/>
            <w:tcBorders>
              <w:top w:val="nil"/>
              <w:left w:val="nil"/>
              <w:bottom w:val="single" w:sz="8" w:space="0" w:color="auto"/>
              <w:right w:val="single" w:sz="8" w:space="0" w:color="auto"/>
            </w:tcBorders>
            <w:shd w:val="clear" w:color="auto" w:fill="auto"/>
            <w:noWrap/>
            <w:vAlign w:val="bottom"/>
            <w:hideMark/>
          </w:tcPr>
          <w:p w14:paraId="5F783BB9" w14:textId="77777777" w:rsidR="009A356E" w:rsidRPr="00C10545" w:rsidRDefault="009A356E" w:rsidP="009A356E">
            <w:pPr>
              <w:jc w:val="right"/>
              <w:rPr>
                <w:color w:val="000000"/>
                <w:sz w:val="16"/>
                <w:szCs w:val="16"/>
                <w:lang w:eastAsia="en-AU"/>
              </w:rPr>
            </w:pPr>
            <w:r w:rsidRPr="00C10545">
              <w:rPr>
                <w:color w:val="000000"/>
                <w:sz w:val="16"/>
                <w:szCs w:val="16"/>
                <w:lang w:eastAsia="en-AU"/>
              </w:rPr>
              <w:t>2.39%</w:t>
            </w:r>
          </w:p>
        </w:tc>
      </w:tr>
    </w:tbl>
    <w:p w14:paraId="3C375C2C" w14:textId="77777777" w:rsidR="009A356E" w:rsidRDefault="009A356E" w:rsidP="009A356E"/>
    <w:p w14:paraId="32D7C7CC" w14:textId="77777777" w:rsidR="009A356E" w:rsidRDefault="009A356E" w:rsidP="009A356E">
      <w:r>
        <w:t>The following observations are relevant with respect to FAGs:</w:t>
      </w:r>
    </w:p>
    <w:p w14:paraId="1B189F59" w14:textId="77777777" w:rsidR="009A356E" w:rsidRDefault="009A356E" w:rsidP="009A356E">
      <w:pPr>
        <w:pStyle w:val="ListParagraph"/>
        <w:numPr>
          <w:ilvl w:val="0"/>
          <w:numId w:val="36"/>
        </w:numPr>
        <w:spacing w:after="200" w:line="276" w:lineRule="auto"/>
      </w:pPr>
      <w:r>
        <w:t>quantum funding is well short of the amount which would allow full equalisation across all councils;</w:t>
      </w:r>
    </w:p>
    <w:p w14:paraId="1AA5E2B0" w14:textId="320623C6" w:rsidR="009A356E" w:rsidRDefault="009A356E" w:rsidP="009A356E">
      <w:pPr>
        <w:pStyle w:val="ListParagraph"/>
        <w:numPr>
          <w:ilvl w:val="0"/>
          <w:numId w:val="36"/>
        </w:numPr>
        <w:spacing w:after="200" w:line="276" w:lineRule="auto"/>
      </w:pPr>
      <w:r>
        <w:t xml:space="preserve">there has been a shift in funding shares from metropolitan councils and the majority of regional councils to rural councils; </w:t>
      </w:r>
    </w:p>
    <w:p w14:paraId="68F64D1B" w14:textId="77777777" w:rsidR="009A356E" w:rsidRDefault="009A356E" w:rsidP="009A356E">
      <w:pPr>
        <w:pStyle w:val="ListParagraph"/>
        <w:numPr>
          <w:ilvl w:val="0"/>
          <w:numId w:val="36"/>
        </w:numPr>
        <w:spacing w:after="200" w:line="276" w:lineRule="auto"/>
      </w:pPr>
      <w:r>
        <w:t>there has been a real decline in FAGs over time; and</w:t>
      </w:r>
    </w:p>
    <w:p w14:paraId="4BF8F679" w14:textId="77777777" w:rsidR="009A356E" w:rsidRPr="00C03DF9" w:rsidRDefault="009A356E" w:rsidP="009A356E">
      <w:pPr>
        <w:pStyle w:val="ListParagraph"/>
        <w:numPr>
          <w:ilvl w:val="0"/>
          <w:numId w:val="36"/>
        </w:numPr>
        <w:spacing w:after="200" w:line="276" w:lineRule="auto"/>
      </w:pPr>
      <w:r>
        <w:t>there is considerable variation in the year on year allocations to individual councils.</w:t>
      </w:r>
    </w:p>
    <w:p w14:paraId="29146EDA" w14:textId="77777777" w:rsidR="009A356E" w:rsidRDefault="009A356E" w:rsidP="009A356E"/>
    <w:p w14:paraId="0FED7472" w14:textId="1E6F26A6" w:rsidR="009A356E" w:rsidRDefault="009A356E" w:rsidP="009A356E">
      <w:r w:rsidRPr="00A30863">
        <w:t xml:space="preserve">The share of </w:t>
      </w:r>
      <w:r>
        <w:t xml:space="preserve">total Victorian </w:t>
      </w:r>
      <w:r w:rsidRPr="00A30863">
        <w:t>FAGs distributed to rural and regional councils increased from 55</w:t>
      </w:r>
      <w:r w:rsidR="00370D38">
        <w:t xml:space="preserve"> per cent</w:t>
      </w:r>
      <w:r w:rsidRPr="00A30863">
        <w:t xml:space="preserve"> to 61</w:t>
      </w:r>
      <w:r w:rsidR="00370D38">
        <w:t xml:space="preserve"> per cent</w:t>
      </w:r>
      <w:r w:rsidRPr="00A30863">
        <w:t xml:space="preserve"> between 1999-00 and 2015-16.</w:t>
      </w:r>
    </w:p>
    <w:p w14:paraId="42F058A7" w14:textId="77777777" w:rsidR="00370D38" w:rsidRDefault="00370D38" w:rsidP="009A356E"/>
    <w:p w14:paraId="2398E553" w14:textId="77777777" w:rsidR="009A356E" w:rsidRPr="00536F48" w:rsidRDefault="009A356E" w:rsidP="009A356E">
      <w:pPr>
        <w:rPr>
          <w:b/>
          <w:sz w:val="20"/>
        </w:rPr>
      </w:pPr>
      <w:r w:rsidRPr="00536F48">
        <w:rPr>
          <w:b/>
          <w:sz w:val="20"/>
        </w:rPr>
        <w:t>Table 3: FAGs Breakdown by Broad Council Type – Selected Years</w:t>
      </w:r>
    </w:p>
    <w:tbl>
      <w:tblPr>
        <w:tblW w:w="9102" w:type="dxa"/>
        <w:tblInd w:w="103" w:type="dxa"/>
        <w:tblLook w:val="04A0" w:firstRow="1" w:lastRow="0" w:firstColumn="1" w:lastColumn="0" w:noHBand="0" w:noVBand="1"/>
      </w:tblPr>
      <w:tblGrid>
        <w:gridCol w:w="2520"/>
        <w:gridCol w:w="717"/>
        <w:gridCol w:w="697"/>
        <w:gridCol w:w="697"/>
        <w:gridCol w:w="267"/>
        <w:gridCol w:w="717"/>
        <w:gridCol w:w="697"/>
        <w:gridCol w:w="697"/>
        <w:gridCol w:w="267"/>
        <w:gridCol w:w="717"/>
        <w:gridCol w:w="697"/>
        <w:gridCol w:w="697"/>
      </w:tblGrid>
      <w:tr w:rsidR="009A356E" w:rsidRPr="00824954" w14:paraId="4F66BEE0" w14:textId="77777777" w:rsidTr="009A356E">
        <w:trPr>
          <w:trHeight w:val="240"/>
        </w:trPr>
        <w:tc>
          <w:tcPr>
            <w:tcW w:w="2520" w:type="dxa"/>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3BA26590" w14:textId="77777777" w:rsidR="009A356E" w:rsidRPr="00C10545" w:rsidRDefault="009A356E" w:rsidP="009A356E">
            <w:pPr>
              <w:rPr>
                <w:sz w:val="18"/>
                <w:szCs w:val="18"/>
                <w:lang w:eastAsia="en-AU"/>
              </w:rPr>
            </w:pPr>
            <w:r w:rsidRPr="00C10545">
              <w:rPr>
                <w:sz w:val="18"/>
                <w:szCs w:val="18"/>
                <w:lang w:eastAsia="en-AU"/>
              </w:rPr>
              <w:t> </w:t>
            </w:r>
          </w:p>
        </w:tc>
        <w:tc>
          <w:tcPr>
            <w:tcW w:w="2020" w:type="dxa"/>
            <w:gridSpan w:val="3"/>
            <w:tcBorders>
              <w:top w:val="single" w:sz="4" w:space="0" w:color="auto"/>
              <w:left w:val="nil"/>
              <w:bottom w:val="single" w:sz="4" w:space="0" w:color="auto"/>
              <w:right w:val="single" w:sz="4" w:space="0" w:color="auto"/>
            </w:tcBorders>
            <w:shd w:val="clear" w:color="auto" w:fill="auto"/>
            <w:noWrap/>
            <w:vAlign w:val="bottom"/>
            <w:hideMark/>
          </w:tcPr>
          <w:p w14:paraId="601F18EE" w14:textId="77777777" w:rsidR="009A356E" w:rsidRPr="00C10545" w:rsidRDefault="009A356E" w:rsidP="009A356E">
            <w:pPr>
              <w:jc w:val="center"/>
              <w:rPr>
                <w:b/>
                <w:bCs/>
                <w:sz w:val="18"/>
                <w:szCs w:val="18"/>
                <w:lang w:eastAsia="en-AU"/>
              </w:rPr>
            </w:pPr>
            <w:r w:rsidRPr="00C10545">
              <w:rPr>
                <w:b/>
                <w:bCs/>
                <w:sz w:val="18"/>
                <w:szCs w:val="18"/>
                <w:lang w:eastAsia="en-AU"/>
              </w:rPr>
              <w:t>1999-00</w:t>
            </w:r>
          </w:p>
        </w:tc>
        <w:tc>
          <w:tcPr>
            <w:tcW w:w="261" w:type="dxa"/>
            <w:tcBorders>
              <w:top w:val="single" w:sz="4" w:space="0" w:color="auto"/>
              <w:left w:val="nil"/>
              <w:bottom w:val="single" w:sz="4" w:space="0" w:color="auto"/>
              <w:right w:val="nil"/>
            </w:tcBorders>
            <w:shd w:val="clear" w:color="000000" w:fill="000000"/>
            <w:noWrap/>
            <w:vAlign w:val="bottom"/>
            <w:hideMark/>
          </w:tcPr>
          <w:p w14:paraId="240C5793" w14:textId="77777777" w:rsidR="009A356E" w:rsidRPr="00C10545" w:rsidRDefault="009A356E" w:rsidP="009A356E">
            <w:pPr>
              <w:jc w:val="center"/>
              <w:rPr>
                <w:b/>
                <w:bCs/>
                <w:sz w:val="18"/>
                <w:szCs w:val="18"/>
                <w:lang w:eastAsia="en-AU"/>
              </w:rPr>
            </w:pPr>
            <w:r w:rsidRPr="00C10545">
              <w:rPr>
                <w:b/>
                <w:bCs/>
                <w:sz w:val="18"/>
                <w:szCs w:val="18"/>
                <w:lang w:eastAsia="en-AU"/>
              </w:rPr>
              <w:t> </w:t>
            </w:r>
          </w:p>
        </w:tc>
        <w:tc>
          <w:tcPr>
            <w:tcW w:w="202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8887893" w14:textId="77777777" w:rsidR="009A356E" w:rsidRPr="00C10545" w:rsidRDefault="009A356E" w:rsidP="009A356E">
            <w:pPr>
              <w:jc w:val="center"/>
              <w:rPr>
                <w:b/>
                <w:bCs/>
                <w:sz w:val="18"/>
                <w:szCs w:val="18"/>
                <w:lang w:eastAsia="en-AU"/>
              </w:rPr>
            </w:pPr>
            <w:r w:rsidRPr="00C10545">
              <w:rPr>
                <w:b/>
                <w:bCs/>
                <w:sz w:val="18"/>
                <w:szCs w:val="18"/>
                <w:lang w:eastAsia="en-AU"/>
              </w:rPr>
              <w:t>2014-15</w:t>
            </w:r>
          </w:p>
        </w:tc>
        <w:tc>
          <w:tcPr>
            <w:tcW w:w="261" w:type="dxa"/>
            <w:tcBorders>
              <w:top w:val="single" w:sz="4" w:space="0" w:color="auto"/>
              <w:left w:val="nil"/>
              <w:bottom w:val="single" w:sz="4" w:space="0" w:color="auto"/>
              <w:right w:val="single" w:sz="4" w:space="0" w:color="auto"/>
            </w:tcBorders>
            <w:shd w:val="clear" w:color="000000" w:fill="000000"/>
            <w:noWrap/>
            <w:vAlign w:val="bottom"/>
            <w:hideMark/>
          </w:tcPr>
          <w:p w14:paraId="76864E87" w14:textId="77777777" w:rsidR="009A356E" w:rsidRPr="00C10545" w:rsidRDefault="009A356E" w:rsidP="009A356E">
            <w:pPr>
              <w:jc w:val="center"/>
              <w:rPr>
                <w:b/>
                <w:bCs/>
                <w:sz w:val="18"/>
                <w:szCs w:val="18"/>
                <w:lang w:eastAsia="en-AU"/>
              </w:rPr>
            </w:pPr>
            <w:r w:rsidRPr="00C10545">
              <w:rPr>
                <w:b/>
                <w:bCs/>
                <w:sz w:val="18"/>
                <w:szCs w:val="18"/>
                <w:lang w:eastAsia="en-AU"/>
              </w:rPr>
              <w:t> </w:t>
            </w:r>
          </w:p>
        </w:tc>
        <w:tc>
          <w:tcPr>
            <w:tcW w:w="2020" w:type="dxa"/>
            <w:gridSpan w:val="3"/>
            <w:tcBorders>
              <w:top w:val="single" w:sz="4" w:space="0" w:color="auto"/>
              <w:left w:val="nil"/>
              <w:bottom w:val="single" w:sz="4" w:space="0" w:color="auto"/>
              <w:right w:val="single" w:sz="4" w:space="0" w:color="auto"/>
            </w:tcBorders>
            <w:shd w:val="clear" w:color="auto" w:fill="auto"/>
            <w:noWrap/>
            <w:vAlign w:val="bottom"/>
            <w:hideMark/>
          </w:tcPr>
          <w:p w14:paraId="197F9AEA" w14:textId="77777777" w:rsidR="009A356E" w:rsidRPr="00C10545" w:rsidRDefault="009A356E" w:rsidP="009A356E">
            <w:pPr>
              <w:jc w:val="center"/>
              <w:rPr>
                <w:b/>
                <w:bCs/>
                <w:sz w:val="18"/>
                <w:szCs w:val="18"/>
                <w:lang w:eastAsia="en-AU"/>
              </w:rPr>
            </w:pPr>
            <w:r w:rsidRPr="00C10545">
              <w:rPr>
                <w:b/>
                <w:bCs/>
                <w:sz w:val="18"/>
                <w:szCs w:val="18"/>
                <w:lang w:eastAsia="en-AU"/>
              </w:rPr>
              <w:t>2015-16 (</w:t>
            </w:r>
            <w:proofErr w:type="spellStart"/>
            <w:r w:rsidRPr="00C10545">
              <w:rPr>
                <w:b/>
                <w:bCs/>
                <w:sz w:val="18"/>
                <w:szCs w:val="18"/>
                <w:lang w:eastAsia="en-AU"/>
              </w:rPr>
              <w:t>est</w:t>
            </w:r>
            <w:proofErr w:type="spellEnd"/>
            <w:r w:rsidRPr="00C10545">
              <w:rPr>
                <w:b/>
                <w:bCs/>
                <w:sz w:val="18"/>
                <w:szCs w:val="18"/>
                <w:lang w:eastAsia="en-AU"/>
              </w:rPr>
              <w:t>)</w:t>
            </w:r>
          </w:p>
        </w:tc>
      </w:tr>
      <w:tr w:rsidR="009A356E" w:rsidRPr="00824954" w14:paraId="51B48C27" w14:textId="77777777" w:rsidTr="009A356E">
        <w:trPr>
          <w:trHeight w:val="240"/>
        </w:trPr>
        <w:tc>
          <w:tcPr>
            <w:tcW w:w="2520" w:type="dxa"/>
            <w:tcBorders>
              <w:top w:val="nil"/>
              <w:left w:val="single" w:sz="4" w:space="0" w:color="auto"/>
              <w:bottom w:val="single" w:sz="4" w:space="0" w:color="auto"/>
              <w:right w:val="single" w:sz="4" w:space="0" w:color="auto"/>
            </w:tcBorders>
            <w:shd w:val="clear" w:color="000000" w:fill="000000"/>
            <w:noWrap/>
            <w:vAlign w:val="bottom"/>
            <w:hideMark/>
          </w:tcPr>
          <w:p w14:paraId="33B5763C" w14:textId="77777777" w:rsidR="009A356E" w:rsidRPr="00C10545" w:rsidRDefault="009A356E" w:rsidP="009A356E">
            <w:pPr>
              <w:rPr>
                <w:sz w:val="18"/>
                <w:szCs w:val="18"/>
                <w:lang w:eastAsia="en-AU"/>
              </w:rPr>
            </w:pPr>
            <w:r w:rsidRPr="00C10545">
              <w:rPr>
                <w:sz w:val="18"/>
                <w:szCs w:val="18"/>
                <w:lang w:eastAsia="en-AU"/>
              </w:rPr>
              <w:t> </w:t>
            </w:r>
          </w:p>
        </w:tc>
        <w:tc>
          <w:tcPr>
            <w:tcW w:w="677" w:type="dxa"/>
            <w:tcBorders>
              <w:top w:val="nil"/>
              <w:left w:val="nil"/>
              <w:bottom w:val="single" w:sz="4" w:space="0" w:color="auto"/>
              <w:right w:val="single" w:sz="4" w:space="0" w:color="auto"/>
            </w:tcBorders>
            <w:shd w:val="clear" w:color="auto" w:fill="auto"/>
            <w:noWrap/>
            <w:vAlign w:val="bottom"/>
            <w:hideMark/>
          </w:tcPr>
          <w:p w14:paraId="5385B3FD" w14:textId="77777777" w:rsidR="009A356E" w:rsidRPr="00C10545" w:rsidRDefault="009A356E" w:rsidP="009A356E">
            <w:pPr>
              <w:jc w:val="center"/>
              <w:rPr>
                <w:b/>
                <w:bCs/>
                <w:sz w:val="18"/>
                <w:szCs w:val="18"/>
                <w:lang w:eastAsia="en-AU"/>
              </w:rPr>
            </w:pPr>
            <w:r w:rsidRPr="00C10545">
              <w:rPr>
                <w:b/>
                <w:bCs/>
                <w:sz w:val="18"/>
                <w:szCs w:val="18"/>
                <w:lang w:eastAsia="en-AU"/>
              </w:rPr>
              <w:t>GPGs</w:t>
            </w:r>
          </w:p>
        </w:tc>
        <w:tc>
          <w:tcPr>
            <w:tcW w:w="677" w:type="dxa"/>
            <w:tcBorders>
              <w:top w:val="nil"/>
              <w:left w:val="nil"/>
              <w:bottom w:val="single" w:sz="4" w:space="0" w:color="auto"/>
              <w:right w:val="single" w:sz="4" w:space="0" w:color="auto"/>
            </w:tcBorders>
            <w:shd w:val="clear" w:color="auto" w:fill="auto"/>
            <w:noWrap/>
            <w:vAlign w:val="bottom"/>
            <w:hideMark/>
          </w:tcPr>
          <w:p w14:paraId="4B56C2BB" w14:textId="77777777" w:rsidR="009A356E" w:rsidRPr="00C10545" w:rsidRDefault="009A356E" w:rsidP="009A356E">
            <w:pPr>
              <w:jc w:val="center"/>
              <w:rPr>
                <w:b/>
                <w:bCs/>
                <w:sz w:val="18"/>
                <w:szCs w:val="18"/>
                <w:lang w:eastAsia="en-AU"/>
              </w:rPr>
            </w:pPr>
            <w:r w:rsidRPr="00C10545">
              <w:rPr>
                <w:b/>
                <w:bCs/>
                <w:sz w:val="18"/>
                <w:szCs w:val="18"/>
                <w:lang w:eastAsia="en-AU"/>
              </w:rPr>
              <w:t>LRGs</w:t>
            </w:r>
          </w:p>
        </w:tc>
        <w:tc>
          <w:tcPr>
            <w:tcW w:w="666" w:type="dxa"/>
            <w:tcBorders>
              <w:top w:val="nil"/>
              <w:left w:val="nil"/>
              <w:bottom w:val="single" w:sz="4" w:space="0" w:color="auto"/>
              <w:right w:val="single" w:sz="4" w:space="0" w:color="auto"/>
            </w:tcBorders>
            <w:shd w:val="clear" w:color="auto" w:fill="auto"/>
            <w:noWrap/>
            <w:vAlign w:val="bottom"/>
            <w:hideMark/>
          </w:tcPr>
          <w:p w14:paraId="5A796742" w14:textId="77777777" w:rsidR="009A356E" w:rsidRPr="00C10545" w:rsidRDefault="009A356E" w:rsidP="009A356E">
            <w:pPr>
              <w:jc w:val="center"/>
              <w:rPr>
                <w:b/>
                <w:bCs/>
                <w:sz w:val="18"/>
                <w:szCs w:val="18"/>
                <w:lang w:eastAsia="en-AU"/>
              </w:rPr>
            </w:pPr>
            <w:r w:rsidRPr="00C10545">
              <w:rPr>
                <w:b/>
                <w:bCs/>
                <w:sz w:val="18"/>
                <w:szCs w:val="18"/>
                <w:lang w:eastAsia="en-AU"/>
              </w:rPr>
              <w:t>FAGs</w:t>
            </w:r>
          </w:p>
        </w:tc>
        <w:tc>
          <w:tcPr>
            <w:tcW w:w="261" w:type="dxa"/>
            <w:tcBorders>
              <w:top w:val="nil"/>
              <w:left w:val="nil"/>
              <w:bottom w:val="single" w:sz="4" w:space="0" w:color="auto"/>
              <w:right w:val="single" w:sz="4" w:space="0" w:color="auto"/>
            </w:tcBorders>
            <w:shd w:val="clear" w:color="000000" w:fill="000000"/>
            <w:noWrap/>
            <w:vAlign w:val="bottom"/>
            <w:hideMark/>
          </w:tcPr>
          <w:p w14:paraId="7E7B3B52" w14:textId="77777777" w:rsidR="009A356E" w:rsidRPr="00C10545" w:rsidRDefault="009A356E" w:rsidP="009A356E">
            <w:pPr>
              <w:jc w:val="center"/>
              <w:rPr>
                <w:b/>
                <w:bCs/>
                <w:sz w:val="18"/>
                <w:szCs w:val="18"/>
                <w:lang w:eastAsia="en-AU"/>
              </w:rPr>
            </w:pPr>
            <w:r w:rsidRPr="00C10545">
              <w:rPr>
                <w:b/>
                <w:bCs/>
                <w:sz w:val="18"/>
                <w:szCs w:val="18"/>
                <w:lang w:eastAsia="en-AU"/>
              </w:rPr>
              <w:t> </w:t>
            </w:r>
          </w:p>
        </w:tc>
        <w:tc>
          <w:tcPr>
            <w:tcW w:w="677" w:type="dxa"/>
            <w:tcBorders>
              <w:top w:val="nil"/>
              <w:left w:val="nil"/>
              <w:bottom w:val="single" w:sz="4" w:space="0" w:color="auto"/>
              <w:right w:val="single" w:sz="4" w:space="0" w:color="auto"/>
            </w:tcBorders>
            <w:shd w:val="clear" w:color="auto" w:fill="auto"/>
            <w:noWrap/>
            <w:vAlign w:val="bottom"/>
            <w:hideMark/>
          </w:tcPr>
          <w:p w14:paraId="589FABA7" w14:textId="77777777" w:rsidR="009A356E" w:rsidRPr="00C10545" w:rsidRDefault="009A356E" w:rsidP="009A356E">
            <w:pPr>
              <w:jc w:val="center"/>
              <w:rPr>
                <w:b/>
                <w:bCs/>
                <w:sz w:val="18"/>
                <w:szCs w:val="18"/>
                <w:lang w:eastAsia="en-AU"/>
              </w:rPr>
            </w:pPr>
            <w:r w:rsidRPr="00C10545">
              <w:rPr>
                <w:b/>
                <w:bCs/>
                <w:sz w:val="18"/>
                <w:szCs w:val="18"/>
                <w:lang w:eastAsia="en-AU"/>
              </w:rPr>
              <w:t>GPGs</w:t>
            </w:r>
          </w:p>
        </w:tc>
        <w:tc>
          <w:tcPr>
            <w:tcW w:w="677" w:type="dxa"/>
            <w:tcBorders>
              <w:top w:val="nil"/>
              <w:left w:val="nil"/>
              <w:bottom w:val="single" w:sz="4" w:space="0" w:color="auto"/>
              <w:right w:val="single" w:sz="4" w:space="0" w:color="auto"/>
            </w:tcBorders>
            <w:shd w:val="clear" w:color="auto" w:fill="auto"/>
            <w:noWrap/>
            <w:vAlign w:val="bottom"/>
            <w:hideMark/>
          </w:tcPr>
          <w:p w14:paraId="0089110B" w14:textId="77777777" w:rsidR="009A356E" w:rsidRPr="00C10545" w:rsidRDefault="009A356E" w:rsidP="009A356E">
            <w:pPr>
              <w:jc w:val="center"/>
              <w:rPr>
                <w:b/>
                <w:bCs/>
                <w:sz w:val="18"/>
                <w:szCs w:val="18"/>
                <w:lang w:eastAsia="en-AU"/>
              </w:rPr>
            </w:pPr>
            <w:r w:rsidRPr="00C10545">
              <w:rPr>
                <w:b/>
                <w:bCs/>
                <w:sz w:val="18"/>
                <w:szCs w:val="18"/>
                <w:lang w:eastAsia="en-AU"/>
              </w:rPr>
              <w:t>LRGs</w:t>
            </w:r>
          </w:p>
        </w:tc>
        <w:tc>
          <w:tcPr>
            <w:tcW w:w="666" w:type="dxa"/>
            <w:tcBorders>
              <w:top w:val="nil"/>
              <w:left w:val="nil"/>
              <w:bottom w:val="single" w:sz="4" w:space="0" w:color="auto"/>
              <w:right w:val="single" w:sz="4" w:space="0" w:color="auto"/>
            </w:tcBorders>
            <w:shd w:val="clear" w:color="auto" w:fill="auto"/>
            <w:noWrap/>
            <w:vAlign w:val="bottom"/>
            <w:hideMark/>
          </w:tcPr>
          <w:p w14:paraId="255F91A3" w14:textId="77777777" w:rsidR="009A356E" w:rsidRPr="00C10545" w:rsidRDefault="009A356E" w:rsidP="009A356E">
            <w:pPr>
              <w:jc w:val="center"/>
              <w:rPr>
                <w:b/>
                <w:bCs/>
                <w:sz w:val="18"/>
                <w:szCs w:val="18"/>
                <w:lang w:eastAsia="en-AU"/>
              </w:rPr>
            </w:pPr>
            <w:r w:rsidRPr="00C10545">
              <w:rPr>
                <w:b/>
                <w:bCs/>
                <w:sz w:val="18"/>
                <w:szCs w:val="18"/>
                <w:lang w:eastAsia="en-AU"/>
              </w:rPr>
              <w:t>FAGs</w:t>
            </w:r>
          </w:p>
        </w:tc>
        <w:tc>
          <w:tcPr>
            <w:tcW w:w="261" w:type="dxa"/>
            <w:tcBorders>
              <w:top w:val="nil"/>
              <w:left w:val="nil"/>
              <w:bottom w:val="single" w:sz="4" w:space="0" w:color="auto"/>
              <w:right w:val="single" w:sz="4" w:space="0" w:color="auto"/>
            </w:tcBorders>
            <w:shd w:val="clear" w:color="000000" w:fill="000000"/>
            <w:noWrap/>
            <w:vAlign w:val="bottom"/>
            <w:hideMark/>
          </w:tcPr>
          <w:p w14:paraId="5E62EE5C" w14:textId="77777777" w:rsidR="009A356E" w:rsidRPr="00C10545" w:rsidRDefault="009A356E" w:rsidP="009A356E">
            <w:pPr>
              <w:jc w:val="center"/>
              <w:rPr>
                <w:b/>
                <w:bCs/>
                <w:sz w:val="18"/>
                <w:szCs w:val="18"/>
                <w:lang w:eastAsia="en-AU"/>
              </w:rPr>
            </w:pPr>
            <w:r w:rsidRPr="00C10545">
              <w:rPr>
                <w:b/>
                <w:bCs/>
                <w:sz w:val="18"/>
                <w:szCs w:val="18"/>
                <w:lang w:eastAsia="en-AU"/>
              </w:rPr>
              <w:t> </w:t>
            </w:r>
          </w:p>
        </w:tc>
        <w:tc>
          <w:tcPr>
            <w:tcW w:w="677" w:type="dxa"/>
            <w:tcBorders>
              <w:top w:val="nil"/>
              <w:left w:val="nil"/>
              <w:bottom w:val="single" w:sz="4" w:space="0" w:color="auto"/>
              <w:right w:val="single" w:sz="4" w:space="0" w:color="auto"/>
            </w:tcBorders>
            <w:shd w:val="clear" w:color="auto" w:fill="auto"/>
            <w:noWrap/>
            <w:vAlign w:val="bottom"/>
            <w:hideMark/>
          </w:tcPr>
          <w:p w14:paraId="145F2417" w14:textId="77777777" w:rsidR="009A356E" w:rsidRPr="00C10545" w:rsidRDefault="009A356E" w:rsidP="009A356E">
            <w:pPr>
              <w:jc w:val="center"/>
              <w:rPr>
                <w:b/>
                <w:bCs/>
                <w:sz w:val="18"/>
                <w:szCs w:val="18"/>
                <w:lang w:eastAsia="en-AU"/>
              </w:rPr>
            </w:pPr>
            <w:r w:rsidRPr="00C10545">
              <w:rPr>
                <w:b/>
                <w:bCs/>
                <w:sz w:val="18"/>
                <w:szCs w:val="18"/>
                <w:lang w:eastAsia="en-AU"/>
              </w:rPr>
              <w:t>GPGs</w:t>
            </w:r>
          </w:p>
        </w:tc>
        <w:tc>
          <w:tcPr>
            <w:tcW w:w="677" w:type="dxa"/>
            <w:tcBorders>
              <w:top w:val="nil"/>
              <w:left w:val="nil"/>
              <w:bottom w:val="single" w:sz="4" w:space="0" w:color="auto"/>
              <w:right w:val="single" w:sz="4" w:space="0" w:color="auto"/>
            </w:tcBorders>
            <w:shd w:val="clear" w:color="auto" w:fill="auto"/>
            <w:noWrap/>
            <w:vAlign w:val="bottom"/>
            <w:hideMark/>
          </w:tcPr>
          <w:p w14:paraId="20F84E5D" w14:textId="77777777" w:rsidR="009A356E" w:rsidRPr="00C10545" w:rsidRDefault="009A356E" w:rsidP="009A356E">
            <w:pPr>
              <w:jc w:val="center"/>
              <w:rPr>
                <w:b/>
                <w:bCs/>
                <w:sz w:val="18"/>
                <w:szCs w:val="18"/>
                <w:lang w:eastAsia="en-AU"/>
              </w:rPr>
            </w:pPr>
            <w:r w:rsidRPr="00C10545">
              <w:rPr>
                <w:b/>
                <w:bCs/>
                <w:sz w:val="18"/>
                <w:szCs w:val="18"/>
                <w:lang w:eastAsia="en-AU"/>
              </w:rPr>
              <w:t>LRGs</w:t>
            </w:r>
          </w:p>
        </w:tc>
        <w:tc>
          <w:tcPr>
            <w:tcW w:w="666" w:type="dxa"/>
            <w:tcBorders>
              <w:top w:val="nil"/>
              <w:left w:val="nil"/>
              <w:bottom w:val="single" w:sz="4" w:space="0" w:color="auto"/>
              <w:right w:val="single" w:sz="4" w:space="0" w:color="auto"/>
            </w:tcBorders>
            <w:shd w:val="clear" w:color="auto" w:fill="auto"/>
            <w:noWrap/>
            <w:vAlign w:val="bottom"/>
            <w:hideMark/>
          </w:tcPr>
          <w:p w14:paraId="70E30E9D" w14:textId="77777777" w:rsidR="009A356E" w:rsidRPr="00C10545" w:rsidRDefault="009A356E" w:rsidP="009A356E">
            <w:pPr>
              <w:jc w:val="center"/>
              <w:rPr>
                <w:b/>
                <w:bCs/>
                <w:sz w:val="18"/>
                <w:szCs w:val="18"/>
                <w:lang w:eastAsia="en-AU"/>
              </w:rPr>
            </w:pPr>
            <w:r w:rsidRPr="00C10545">
              <w:rPr>
                <w:b/>
                <w:bCs/>
                <w:sz w:val="18"/>
                <w:szCs w:val="18"/>
                <w:lang w:eastAsia="en-AU"/>
              </w:rPr>
              <w:t>FAGs</w:t>
            </w:r>
          </w:p>
        </w:tc>
      </w:tr>
      <w:tr w:rsidR="009A356E" w:rsidRPr="00824954" w14:paraId="482EAA1E" w14:textId="77777777" w:rsidTr="009A356E">
        <w:trPr>
          <w:trHeight w:val="24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16719C65" w14:textId="77777777" w:rsidR="009A356E" w:rsidRPr="00C10545" w:rsidRDefault="009A356E" w:rsidP="009A356E">
            <w:pPr>
              <w:rPr>
                <w:sz w:val="18"/>
                <w:szCs w:val="18"/>
                <w:lang w:eastAsia="en-AU"/>
              </w:rPr>
            </w:pPr>
            <w:r w:rsidRPr="00C10545">
              <w:rPr>
                <w:sz w:val="18"/>
                <w:szCs w:val="18"/>
                <w:lang w:eastAsia="en-AU"/>
              </w:rPr>
              <w:t>$m</w:t>
            </w:r>
          </w:p>
        </w:tc>
        <w:tc>
          <w:tcPr>
            <w:tcW w:w="677" w:type="dxa"/>
            <w:tcBorders>
              <w:top w:val="nil"/>
              <w:left w:val="nil"/>
              <w:bottom w:val="single" w:sz="4" w:space="0" w:color="auto"/>
              <w:right w:val="single" w:sz="4" w:space="0" w:color="auto"/>
            </w:tcBorders>
            <w:shd w:val="clear" w:color="auto" w:fill="auto"/>
            <w:noWrap/>
            <w:vAlign w:val="bottom"/>
            <w:hideMark/>
          </w:tcPr>
          <w:p w14:paraId="1F899B92" w14:textId="77777777" w:rsidR="009A356E" w:rsidRPr="00C10545" w:rsidRDefault="009A356E" w:rsidP="009A356E">
            <w:pPr>
              <w:jc w:val="right"/>
              <w:rPr>
                <w:sz w:val="18"/>
                <w:szCs w:val="18"/>
                <w:lang w:eastAsia="en-AU"/>
              </w:rPr>
            </w:pPr>
            <w:r w:rsidRPr="00C10545">
              <w:rPr>
                <w:sz w:val="18"/>
                <w:szCs w:val="18"/>
                <w:lang w:eastAsia="en-AU"/>
              </w:rPr>
              <w:t>108.2</w:t>
            </w:r>
          </w:p>
        </w:tc>
        <w:tc>
          <w:tcPr>
            <w:tcW w:w="677" w:type="dxa"/>
            <w:tcBorders>
              <w:top w:val="nil"/>
              <w:left w:val="nil"/>
              <w:bottom w:val="single" w:sz="4" w:space="0" w:color="auto"/>
              <w:right w:val="single" w:sz="4" w:space="0" w:color="auto"/>
            </w:tcBorders>
            <w:shd w:val="clear" w:color="auto" w:fill="auto"/>
            <w:noWrap/>
            <w:vAlign w:val="bottom"/>
            <w:hideMark/>
          </w:tcPr>
          <w:p w14:paraId="7D21F173" w14:textId="77777777" w:rsidR="009A356E" w:rsidRPr="00C10545" w:rsidRDefault="009A356E" w:rsidP="009A356E">
            <w:pPr>
              <w:jc w:val="right"/>
              <w:rPr>
                <w:sz w:val="18"/>
                <w:szCs w:val="18"/>
                <w:lang w:eastAsia="en-AU"/>
              </w:rPr>
            </w:pPr>
            <w:r w:rsidRPr="00C10545">
              <w:rPr>
                <w:sz w:val="18"/>
                <w:szCs w:val="18"/>
                <w:lang w:eastAsia="en-AU"/>
              </w:rPr>
              <w:t>54.8</w:t>
            </w:r>
          </w:p>
        </w:tc>
        <w:tc>
          <w:tcPr>
            <w:tcW w:w="666" w:type="dxa"/>
            <w:tcBorders>
              <w:top w:val="nil"/>
              <w:left w:val="nil"/>
              <w:bottom w:val="single" w:sz="4" w:space="0" w:color="auto"/>
              <w:right w:val="single" w:sz="4" w:space="0" w:color="auto"/>
            </w:tcBorders>
            <w:shd w:val="clear" w:color="auto" w:fill="auto"/>
            <w:noWrap/>
            <w:vAlign w:val="bottom"/>
            <w:hideMark/>
          </w:tcPr>
          <w:p w14:paraId="1A38B893" w14:textId="77777777" w:rsidR="009A356E" w:rsidRPr="00C10545" w:rsidRDefault="009A356E" w:rsidP="009A356E">
            <w:pPr>
              <w:jc w:val="right"/>
              <w:rPr>
                <w:sz w:val="18"/>
                <w:szCs w:val="18"/>
                <w:lang w:eastAsia="en-AU"/>
              </w:rPr>
            </w:pPr>
            <w:r w:rsidRPr="00C10545">
              <w:rPr>
                <w:sz w:val="18"/>
                <w:szCs w:val="18"/>
                <w:lang w:eastAsia="en-AU"/>
              </w:rPr>
              <w:t>163.0</w:t>
            </w:r>
          </w:p>
        </w:tc>
        <w:tc>
          <w:tcPr>
            <w:tcW w:w="261" w:type="dxa"/>
            <w:tcBorders>
              <w:top w:val="nil"/>
              <w:left w:val="nil"/>
              <w:bottom w:val="single" w:sz="4" w:space="0" w:color="auto"/>
              <w:right w:val="single" w:sz="4" w:space="0" w:color="auto"/>
            </w:tcBorders>
            <w:shd w:val="clear" w:color="000000" w:fill="000000"/>
            <w:noWrap/>
            <w:vAlign w:val="bottom"/>
            <w:hideMark/>
          </w:tcPr>
          <w:p w14:paraId="0D0D932E" w14:textId="77777777" w:rsidR="009A356E" w:rsidRPr="00C10545" w:rsidRDefault="009A356E" w:rsidP="009A356E">
            <w:pPr>
              <w:rPr>
                <w:sz w:val="18"/>
                <w:szCs w:val="18"/>
                <w:lang w:eastAsia="en-AU"/>
              </w:rPr>
            </w:pPr>
            <w:r w:rsidRPr="00C10545">
              <w:rPr>
                <w:sz w:val="18"/>
                <w:szCs w:val="18"/>
                <w:lang w:eastAsia="en-AU"/>
              </w:rPr>
              <w:t> </w:t>
            </w:r>
          </w:p>
        </w:tc>
        <w:tc>
          <w:tcPr>
            <w:tcW w:w="677" w:type="dxa"/>
            <w:tcBorders>
              <w:top w:val="nil"/>
              <w:left w:val="nil"/>
              <w:bottom w:val="single" w:sz="4" w:space="0" w:color="auto"/>
              <w:right w:val="single" w:sz="4" w:space="0" w:color="auto"/>
            </w:tcBorders>
            <w:shd w:val="clear" w:color="auto" w:fill="auto"/>
            <w:noWrap/>
            <w:vAlign w:val="bottom"/>
            <w:hideMark/>
          </w:tcPr>
          <w:p w14:paraId="5CD412E4" w14:textId="77777777" w:rsidR="009A356E" w:rsidRPr="00C10545" w:rsidRDefault="009A356E" w:rsidP="009A356E">
            <w:pPr>
              <w:jc w:val="right"/>
              <w:rPr>
                <w:sz w:val="18"/>
                <w:szCs w:val="18"/>
                <w:lang w:eastAsia="en-AU"/>
              </w:rPr>
            </w:pPr>
            <w:r w:rsidRPr="00C10545">
              <w:rPr>
                <w:sz w:val="18"/>
                <w:szCs w:val="18"/>
                <w:lang w:eastAsia="en-AU"/>
              </w:rPr>
              <w:t>221.4</w:t>
            </w:r>
          </w:p>
        </w:tc>
        <w:tc>
          <w:tcPr>
            <w:tcW w:w="677" w:type="dxa"/>
            <w:tcBorders>
              <w:top w:val="nil"/>
              <w:left w:val="nil"/>
              <w:bottom w:val="single" w:sz="4" w:space="0" w:color="auto"/>
              <w:right w:val="single" w:sz="4" w:space="0" w:color="auto"/>
            </w:tcBorders>
            <w:shd w:val="clear" w:color="auto" w:fill="auto"/>
            <w:noWrap/>
            <w:vAlign w:val="bottom"/>
            <w:hideMark/>
          </w:tcPr>
          <w:p w14:paraId="4EE5A419" w14:textId="77777777" w:rsidR="009A356E" w:rsidRPr="00C10545" w:rsidRDefault="009A356E" w:rsidP="009A356E">
            <w:pPr>
              <w:jc w:val="right"/>
              <w:rPr>
                <w:sz w:val="18"/>
                <w:szCs w:val="18"/>
                <w:lang w:eastAsia="en-AU"/>
              </w:rPr>
            </w:pPr>
            <w:r w:rsidRPr="00C10545">
              <w:rPr>
                <w:sz w:val="18"/>
                <w:szCs w:val="18"/>
                <w:lang w:eastAsia="en-AU"/>
              </w:rPr>
              <w:t>108.9</w:t>
            </w:r>
          </w:p>
        </w:tc>
        <w:tc>
          <w:tcPr>
            <w:tcW w:w="666" w:type="dxa"/>
            <w:tcBorders>
              <w:top w:val="nil"/>
              <w:left w:val="nil"/>
              <w:bottom w:val="single" w:sz="4" w:space="0" w:color="auto"/>
              <w:right w:val="single" w:sz="4" w:space="0" w:color="auto"/>
            </w:tcBorders>
            <w:shd w:val="clear" w:color="auto" w:fill="auto"/>
            <w:noWrap/>
            <w:vAlign w:val="bottom"/>
            <w:hideMark/>
          </w:tcPr>
          <w:p w14:paraId="5AD522CE" w14:textId="77777777" w:rsidR="009A356E" w:rsidRPr="00C10545" w:rsidRDefault="009A356E" w:rsidP="009A356E">
            <w:pPr>
              <w:jc w:val="right"/>
              <w:rPr>
                <w:sz w:val="18"/>
                <w:szCs w:val="18"/>
                <w:lang w:eastAsia="en-AU"/>
              </w:rPr>
            </w:pPr>
            <w:r w:rsidRPr="00C10545">
              <w:rPr>
                <w:sz w:val="18"/>
                <w:szCs w:val="18"/>
                <w:lang w:eastAsia="en-AU"/>
              </w:rPr>
              <w:t>330.3</w:t>
            </w:r>
          </w:p>
        </w:tc>
        <w:tc>
          <w:tcPr>
            <w:tcW w:w="261" w:type="dxa"/>
            <w:tcBorders>
              <w:top w:val="nil"/>
              <w:left w:val="nil"/>
              <w:bottom w:val="single" w:sz="4" w:space="0" w:color="auto"/>
              <w:right w:val="single" w:sz="4" w:space="0" w:color="auto"/>
            </w:tcBorders>
            <w:shd w:val="clear" w:color="000000" w:fill="000000"/>
            <w:noWrap/>
            <w:vAlign w:val="bottom"/>
            <w:hideMark/>
          </w:tcPr>
          <w:p w14:paraId="3DA51CDE" w14:textId="77777777" w:rsidR="009A356E" w:rsidRPr="00C10545" w:rsidRDefault="009A356E" w:rsidP="009A356E">
            <w:pPr>
              <w:rPr>
                <w:sz w:val="18"/>
                <w:szCs w:val="18"/>
                <w:lang w:eastAsia="en-AU"/>
              </w:rPr>
            </w:pPr>
            <w:r w:rsidRPr="00C10545">
              <w:rPr>
                <w:sz w:val="18"/>
                <w:szCs w:val="18"/>
                <w:lang w:eastAsia="en-AU"/>
              </w:rPr>
              <w:t> </w:t>
            </w:r>
          </w:p>
        </w:tc>
        <w:tc>
          <w:tcPr>
            <w:tcW w:w="677" w:type="dxa"/>
            <w:tcBorders>
              <w:top w:val="nil"/>
              <w:left w:val="nil"/>
              <w:bottom w:val="single" w:sz="4" w:space="0" w:color="auto"/>
              <w:right w:val="single" w:sz="4" w:space="0" w:color="auto"/>
            </w:tcBorders>
            <w:shd w:val="clear" w:color="auto" w:fill="auto"/>
            <w:noWrap/>
            <w:vAlign w:val="bottom"/>
            <w:hideMark/>
          </w:tcPr>
          <w:p w14:paraId="025136EF" w14:textId="77777777" w:rsidR="009A356E" w:rsidRPr="00C10545" w:rsidRDefault="009A356E" w:rsidP="009A356E">
            <w:pPr>
              <w:jc w:val="right"/>
              <w:rPr>
                <w:sz w:val="18"/>
                <w:szCs w:val="18"/>
                <w:lang w:eastAsia="en-AU"/>
              </w:rPr>
            </w:pPr>
            <w:r w:rsidRPr="00C10545">
              <w:rPr>
                <w:sz w:val="18"/>
                <w:szCs w:val="18"/>
                <w:lang w:eastAsia="en-AU"/>
              </w:rPr>
              <w:t>221.6</w:t>
            </w:r>
          </w:p>
        </w:tc>
        <w:tc>
          <w:tcPr>
            <w:tcW w:w="677" w:type="dxa"/>
            <w:tcBorders>
              <w:top w:val="nil"/>
              <w:left w:val="nil"/>
              <w:bottom w:val="single" w:sz="4" w:space="0" w:color="auto"/>
              <w:right w:val="single" w:sz="4" w:space="0" w:color="auto"/>
            </w:tcBorders>
            <w:shd w:val="clear" w:color="auto" w:fill="auto"/>
            <w:noWrap/>
            <w:vAlign w:val="bottom"/>
            <w:hideMark/>
          </w:tcPr>
          <w:p w14:paraId="00B530D7" w14:textId="77777777" w:rsidR="009A356E" w:rsidRPr="00C10545" w:rsidRDefault="009A356E" w:rsidP="009A356E">
            <w:pPr>
              <w:jc w:val="right"/>
              <w:rPr>
                <w:sz w:val="18"/>
                <w:szCs w:val="18"/>
                <w:lang w:eastAsia="en-AU"/>
              </w:rPr>
            </w:pPr>
            <w:r w:rsidRPr="00C10545">
              <w:rPr>
                <w:sz w:val="18"/>
                <w:szCs w:val="18"/>
                <w:lang w:eastAsia="en-AU"/>
              </w:rPr>
              <w:t>108.1</w:t>
            </w:r>
          </w:p>
        </w:tc>
        <w:tc>
          <w:tcPr>
            <w:tcW w:w="666" w:type="dxa"/>
            <w:tcBorders>
              <w:top w:val="nil"/>
              <w:left w:val="nil"/>
              <w:bottom w:val="single" w:sz="4" w:space="0" w:color="auto"/>
              <w:right w:val="single" w:sz="4" w:space="0" w:color="auto"/>
            </w:tcBorders>
            <w:shd w:val="clear" w:color="auto" w:fill="auto"/>
            <w:noWrap/>
            <w:vAlign w:val="bottom"/>
            <w:hideMark/>
          </w:tcPr>
          <w:p w14:paraId="421F5C8F" w14:textId="77777777" w:rsidR="009A356E" w:rsidRPr="00C10545" w:rsidRDefault="009A356E" w:rsidP="009A356E">
            <w:pPr>
              <w:jc w:val="right"/>
              <w:rPr>
                <w:sz w:val="18"/>
                <w:szCs w:val="18"/>
                <w:lang w:eastAsia="en-AU"/>
              </w:rPr>
            </w:pPr>
            <w:r w:rsidRPr="00C10545">
              <w:rPr>
                <w:sz w:val="18"/>
                <w:szCs w:val="18"/>
                <w:lang w:eastAsia="en-AU"/>
              </w:rPr>
              <w:t>329.7</w:t>
            </w:r>
          </w:p>
        </w:tc>
      </w:tr>
      <w:tr w:rsidR="009A356E" w:rsidRPr="00824954" w14:paraId="1E48831B" w14:textId="77777777" w:rsidTr="009A356E">
        <w:trPr>
          <w:trHeight w:val="240"/>
        </w:trPr>
        <w:tc>
          <w:tcPr>
            <w:tcW w:w="2520" w:type="dxa"/>
            <w:tcBorders>
              <w:top w:val="nil"/>
              <w:left w:val="single" w:sz="4" w:space="0" w:color="auto"/>
              <w:bottom w:val="single" w:sz="4" w:space="0" w:color="auto"/>
              <w:right w:val="single" w:sz="4" w:space="0" w:color="auto"/>
            </w:tcBorders>
            <w:shd w:val="clear" w:color="000000" w:fill="000000"/>
            <w:noWrap/>
            <w:vAlign w:val="bottom"/>
            <w:hideMark/>
          </w:tcPr>
          <w:p w14:paraId="41411545" w14:textId="77777777" w:rsidR="009A356E" w:rsidRPr="00C10545" w:rsidRDefault="009A356E" w:rsidP="009A356E">
            <w:pPr>
              <w:rPr>
                <w:sz w:val="18"/>
                <w:szCs w:val="18"/>
                <w:lang w:eastAsia="en-AU"/>
              </w:rPr>
            </w:pPr>
            <w:r w:rsidRPr="00C10545">
              <w:rPr>
                <w:sz w:val="18"/>
                <w:szCs w:val="18"/>
                <w:lang w:eastAsia="en-AU"/>
              </w:rPr>
              <w:t> </w:t>
            </w:r>
          </w:p>
        </w:tc>
        <w:tc>
          <w:tcPr>
            <w:tcW w:w="677" w:type="dxa"/>
            <w:tcBorders>
              <w:top w:val="nil"/>
              <w:left w:val="nil"/>
              <w:bottom w:val="single" w:sz="4" w:space="0" w:color="auto"/>
              <w:right w:val="single" w:sz="4" w:space="0" w:color="auto"/>
            </w:tcBorders>
            <w:shd w:val="clear" w:color="000000" w:fill="000000"/>
            <w:noWrap/>
            <w:vAlign w:val="bottom"/>
            <w:hideMark/>
          </w:tcPr>
          <w:p w14:paraId="78D9BFC5" w14:textId="77777777" w:rsidR="009A356E" w:rsidRPr="00C10545" w:rsidRDefault="009A356E" w:rsidP="009A356E">
            <w:pPr>
              <w:rPr>
                <w:sz w:val="18"/>
                <w:szCs w:val="18"/>
                <w:lang w:eastAsia="en-AU"/>
              </w:rPr>
            </w:pPr>
            <w:r w:rsidRPr="00C10545">
              <w:rPr>
                <w:sz w:val="18"/>
                <w:szCs w:val="18"/>
                <w:lang w:eastAsia="en-AU"/>
              </w:rPr>
              <w:t> </w:t>
            </w:r>
          </w:p>
        </w:tc>
        <w:tc>
          <w:tcPr>
            <w:tcW w:w="677" w:type="dxa"/>
            <w:tcBorders>
              <w:top w:val="nil"/>
              <w:left w:val="nil"/>
              <w:bottom w:val="single" w:sz="4" w:space="0" w:color="auto"/>
              <w:right w:val="single" w:sz="4" w:space="0" w:color="auto"/>
            </w:tcBorders>
            <w:shd w:val="clear" w:color="000000" w:fill="000000"/>
            <w:noWrap/>
            <w:vAlign w:val="bottom"/>
            <w:hideMark/>
          </w:tcPr>
          <w:p w14:paraId="549EE240" w14:textId="77777777" w:rsidR="009A356E" w:rsidRPr="00C10545" w:rsidRDefault="009A356E" w:rsidP="009A356E">
            <w:pPr>
              <w:rPr>
                <w:sz w:val="18"/>
                <w:szCs w:val="18"/>
                <w:lang w:eastAsia="en-AU"/>
              </w:rPr>
            </w:pPr>
            <w:r w:rsidRPr="00C10545">
              <w:rPr>
                <w:sz w:val="18"/>
                <w:szCs w:val="18"/>
                <w:lang w:eastAsia="en-AU"/>
              </w:rPr>
              <w:t> </w:t>
            </w:r>
          </w:p>
        </w:tc>
        <w:tc>
          <w:tcPr>
            <w:tcW w:w="666" w:type="dxa"/>
            <w:tcBorders>
              <w:top w:val="nil"/>
              <w:left w:val="nil"/>
              <w:bottom w:val="single" w:sz="4" w:space="0" w:color="auto"/>
              <w:right w:val="single" w:sz="4" w:space="0" w:color="auto"/>
            </w:tcBorders>
            <w:shd w:val="clear" w:color="000000" w:fill="000000"/>
            <w:noWrap/>
            <w:vAlign w:val="bottom"/>
            <w:hideMark/>
          </w:tcPr>
          <w:p w14:paraId="6E5A8A7D" w14:textId="77777777" w:rsidR="009A356E" w:rsidRPr="00C10545" w:rsidRDefault="009A356E" w:rsidP="009A356E">
            <w:pPr>
              <w:rPr>
                <w:sz w:val="18"/>
                <w:szCs w:val="18"/>
                <w:lang w:eastAsia="en-AU"/>
              </w:rPr>
            </w:pPr>
            <w:r w:rsidRPr="00C10545">
              <w:rPr>
                <w:sz w:val="18"/>
                <w:szCs w:val="18"/>
                <w:lang w:eastAsia="en-AU"/>
              </w:rPr>
              <w:t> </w:t>
            </w:r>
          </w:p>
        </w:tc>
        <w:tc>
          <w:tcPr>
            <w:tcW w:w="261" w:type="dxa"/>
            <w:tcBorders>
              <w:top w:val="nil"/>
              <w:left w:val="nil"/>
              <w:bottom w:val="single" w:sz="4" w:space="0" w:color="auto"/>
              <w:right w:val="single" w:sz="4" w:space="0" w:color="auto"/>
            </w:tcBorders>
            <w:shd w:val="clear" w:color="000000" w:fill="000000"/>
            <w:noWrap/>
            <w:vAlign w:val="bottom"/>
            <w:hideMark/>
          </w:tcPr>
          <w:p w14:paraId="227FC410" w14:textId="77777777" w:rsidR="009A356E" w:rsidRPr="00C10545" w:rsidRDefault="009A356E" w:rsidP="009A356E">
            <w:pPr>
              <w:rPr>
                <w:sz w:val="18"/>
                <w:szCs w:val="18"/>
                <w:lang w:eastAsia="en-AU"/>
              </w:rPr>
            </w:pPr>
            <w:r w:rsidRPr="00C10545">
              <w:rPr>
                <w:sz w:val="18"/>
                <w:szCs w:val="18"/>
                <w:lang w:eastAsia="en-AU"/>
              </w:rPr>
              <w:t> </w:t>
            </w:r>
          </w:p>
        </w:tc>
        <w:tc>
          <w:tcPr>
            <w:tcW w:w="677" w:type="dxa"/>
            <w:tcBorders>
              <w:top w:val="nil"/>
              <w:left w:val="nil"/>
              <w:bottom w:val="single" w:sz="4" w:space="0" w:color="auto"/>
              <w:right w:val="single" w:sz="4" w:space="0" w:color="auto"/>
            </w:tcBorders>
            <w:shd w:val="clear" w:color="000000" w:fill="000000"/>
            <w:noWrap/>
            <w:vAlign w:val="bottom"/>
            <w:hideMark/>
          </w:tcPr>
          <w:p w14:paraId="1A916DCF" w14:textId="77777777" w:rsidR="009A356E" w:rsidRPr="00C10545" w:rsidRDefault="009A356E" w:rsidP="009A356E">
            <w:pPr>
              <w:rPr>
                <w:sz w:val="18"/>
                <w:szCs w:val="18"/>
                <w:lang w:eastAsia="en-AU"/>
              </w:rPr>
            </w:pPr>
            <w:r w:rsidRPr="00C10545">
              <w:rPr>
                <w:sz w:val="18"/>
                <w:szCs w:val="18"/>
                <w:lang w:eastAsia="en-AU"/>
              </w:rPr>
              <w:t> </w:t>
            </w:r>
          </w:p>
        </w:tc>
        <w:tc>
          <w:tcPr>
            <w:tcW w:w="677" w:type="dxa"/>
            <w:tcBorders>
              <w:top w:val="nil"/>
              <w:left w:val="nil"/>
              <w:bottom w:val="single" w:sz="4" w:space="0" w:color="auto"/>
              <w:right w:val="single" w:sz="4" w:space="0" w:color="auto"/>
            </w:tcBorders>
            <w:shd w:val="clear" w:color="000000" w:fill="000000"/>
            <w:noWrap/>
            <w:vAlign w:val="bottom"/>
            <w:hideMark/>
          </w:tcPr>
          <w:p w14:paraId="582E696D" w14:textId="77777777" w:rsidR="009A356E" w:rsidRPr="00C10545" w:rsidRDefault="009A356E" w:rsidP="009A356E">
            <w:pPr>
              <w:rPr>
                <w:sz w:val="18"/>
                <w:szCs w:val="18"/>
                <w:lang w:eastAsia="en-AU"/>
              </w:rPr>
            </w:pPr>
            <w:r w:rsidRPr="00C10545">
              <w:rPr>
                <w:sz w:val="18"/>
                <w:szCs w:val="18"/>
                <w:lang w:eastAsia="en-AU"/>
              </w:rPr>
              <w:t> </w:t>
            </w:r>
          </w:p>
        </w:tc>
        <w:tc>
          <w:tcPr>
            <w:tcW w:w="666" w:type="dxa"/>
            <w:tcBorders>
              <w:top w:val="nil"/>
              <w:left w:val="nil"/>
              <w:bottom w:val="single" w:sz="4" w:space="0" w:color="auto"/>
              <w:right w:val="single" w:sz="4" w:space="0" w:color="auto"/>
            </w:tcBorders>
            <w:shd w:val="clear" w:color="000000" w:fill="000000"/>
            <w:noWrap/>
            <w:vAlign w:val="bottom"/>
            <w:hideMark/>
          </w:tcPr>
          <w:p w14:paraId="078F6287" w14:textId="77777777" w:rsidR="009A356E" w:rsidRPr="00C10545" w:rsidRDefault="009A356E" w:rsidP="009A356E">
            <w:pPr>
              <w:rPr>
                <w:sz w:val="18"/>
                <w:szCs w:val="18"/>
                <w:lang w:eastAsia="en-AU"/>
              </w:rPr>
            </w:pPr>
            <w:r w:rsidRPr="00C10545">
              <w:rPr>
                <w:sz w:val="18"/>
                <w:szCs w:val="18"/>
                <w:lang w:eastAsia="en-AU"/>
              </w:rPr>
              <w:t> </w:t>
            </w:r>
          </w:p>
        </w:tc>
        <w:tc>
          <w:tcPr>
            <w:tcW w:w="261" w:type="dxa"/>
            <w:tcBorders>
              <w:top w:val="nil"/>
              <w:left w:val="nil"/>
              <w:bottom w:val="single" w:sz="4" w:space="0" w:color="auto"/>
              <w:right w:val="single" w:sz="4" w:space="0" w:color="auto"/>
            </w:tcBorders>
            <w:shd w:val="clear" w:color="000000" w:fill="000000"/>
            <w:noWrap/>
            <w:vAlign w:val="bottom"/>
            <w:hideMark/>
          </w:tcPr>
          <w:p w14:paraId="22C3860C" w14:textId="77777777" w:rsidR="009A356E" w:rsidRPr="00C10545" w:rsidRDefault="009A356E" w:rsidP="009A356E">
            <w:pPr>
              <w:rPr>
                <w:sz w:val="18"/>
                <w:szCs w:val="18"/>
                <w:lang w:eastAsia="en-AU"/>
              </w:rPr>
            </w:pPr>
            <w:r w:rsidRPr="00C10545">
              <w:rPr>
                <w:sz w:val="18"/>
                <w:szCs w:val="18"/>
                <w:lang w:eastAsia="en-AU"/>
              </w:rPr>
              <w:t> </w:t>
            </w:r>
          </w:p>
        </w:tc>
        <w:tc>
          <w:tcPr>
            <w:tcW w:w="677" w:type="dxa"/>
            <w:tcBorders>
              <w:top w:val="nil"/>
              <w:left w:val="nil"/>
              <w:bottom w:val="single" w:sz="4" w:space="0" w:color="auto"/>
              <w:right w:val="single" w:sz="4" w:space="0" w:color="auto"/>
            </w:tcBorders>
            <w:shd w:val="clear" w:color="000000" w:fill="000000"/>
            <w:noWrap/>
            <w:vAlign w:val="bottom"/>
            <w:hideMark/>
          </w:tcPr>
          <w:p w14:paraId="41FA4C42" w14:textId="77777777" w:rsidR="009A356E" w:rsidRPr="00C10545" w:rsidRDefault="009A356E" w:rsidP="009A356E">
            <w:pPr>
              <w:rPr>
                <w:sz w:val="18"/>
                <w:szCs w:val="18"/>
                <w:lang w:eastAsia="en-AU"/>
              </w:rPr>
            </w:pPr>
            <w:r w:rsidRPr="00C10545">
              <w:rPr>
                <w:sz w:val="18"/>
                <w:szCs w:val="18"/>
                <w:lang w:eastAsia="en-AU"/>
              </w:rPr>
              <w:t> </w:t>
            </w:r>
          </w:p>
        </w:tc>
        <w:tc>
          <w:tcPr>
            <w:tcW w:w="677" w:type="dxa"/>
            <w:tcBorders>
              <w:top w:val="nil"/>
              <w:left w:val="nil"/>
              <w:bottom w:val="single" w:sz="4" w:space="0" w:color="auto"/>
              <w:right w:val="single" w:sz="4" w:space="0" w:color="auto"/>
            </w:tcBorders>
            <w:shd w:val="clear" w:color="000000" w:fill="000000"/>
            <w:noWrap/>
            <w:vAlign w:val="bottom"/>
            <w:hideMark/>
          </w:tcPr>
          <w:p w14:paraId="3A4C47E9" w14:textId="77777777" w:rsidR="009A356E" w:rsidRPr="00C10545" w:rsidRDefault="009A356E" w:rsidP="009A356E">
            <w:pPr>
              <w:rPr>
                <w:sz w:val="18"/>
                <w:szCs w:val="18"/>
                <w:lang w:eastAsia="en-AU"/>
              </w:rPr>
            </w:pPr>
            <w:r w:rsidRPr="00C10545">
              <w:rPr>
                <w:sz w:val="18"/>
                <w:szCs w:val="18"/>
                <w:lang w:eastAsia="en-AU"/>
              </w:rPr>
              <w:t> </w:t>
            </w:r>
          </w:p>
        </w:tc>
        <w:tc>
          <w:tcPr>
            <w:tcW w:w="666" w:type="dxa"/>
            <w:tcBorders>
              <w:top w:val="nil"/>
              <w:left w:val="nil"/>
              <w:bottom w:val="single" w:sz="4" w:space="0" w:color="auto"/>
              <w:right w:val="single" w:sz="4" w:space="0" w:color="auto"/>
            </w:tcBorders>
            <w:shd w:val="clear" w:color="000000" w:fill="000000"/>
            <w:noWrap/>
            <w:vAlign w:val="bottom"/>
            <w:hideMark/>
          </w:tcPr>
          <w:p w14:paraId="1B6F7782" w14:textId="77777777" w:rsidR="009A356E" w:rsidRPr="00C10545" w:rsidRDefault="009A356E" w:rsidP="009A356E">
            <w:pPr>
              <w:rPr>
                <w:sz w:val="18"/>
                <w:szCs w:val="18"/>
                <w:lang w:eastAsia="en-AU"/>
              </w:rPr>
            </w:pPr>
            <w:r w:rsidRPr="00C10545">
              <w:rPr>
                <w:sz w:val="18"/>
                <w:szCs w:val="18"/>
                <w:lang w:eastAsia="en-AU"/>
              </w:rPr>
              <w:t> </w:t>
            </w:r>
          </w:p>
        </w:tc>
      </w:tr>
      <w:tr w:rsidR="009A356E" w:rsidRPr="00824954" w14:paraId="02BFD595" w14:textId="77777777" w:rsidTr="009A356E">
        <w:trPr>
          <w:trHeight w:val="24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5EDA6438" w14:textId="77777777" w:rsidR="009A356E" w:rsidRPr="00C10545" w:rsidRDefault="009A356E" w:rsidP="009A356E">
            <w:pPr>
              <w:rPr>
                <w:sz w:val="18"/>
                <w:szCs w:val="18"/>
                <w:lang w:eastAsia="en-AU"/>
              </w:rPr>
            </w:pPr>
            <w:r w:rsidRPr="00C10545">
              <w:rPr>
                <w:sz w:val="18"/>
                <w:szCs w:val="18"/>
                <w:lang w:eastAsia="en-AU"/>
              </w:rPr>
              <w:t>Inner Metro</w:t>
            </w:r>
          </w:p>
        </w:tc>
        <w:tc>
          <w:tcPr>
            <w:tcW w:w="677" w:type="dxa"/>
            <w:tcBorders>
              <w:top w:val="nil"/>
              <w:left w:val="nil"/>
              <w:bottom w:val="single" w:sz="4" w:space="0" w:color="auto"/>
              <w:right w:val="single" w:sz="4" w:space="0" w:color="auto"/>
            </w:tcBorders>
            <w:shd w:val="clear" w:color="auto" w:fill="auto"/>
            <w:noWrap/>
            <w:vAlign w:val="bottom"/>
            <w:hideMark/>
          </w:tcPr>
          <w:p w14:paraId="7B43A822" w14:textId="77777777" w:rsidR="009A356E" w:rsidRPr="00C10545" w:rsidRDefault="009A356E" w:rsidP="009A356E">
            <w:pPr>
              <w:jc w:val="right"/>
              <w:rPr>
                <w:sz w:val="18"/>
                <w:szCs w:val="18"/>
                <w:lang w:eastAsia="en-AU"/>
              </w:rPr>
            </w:pPr>
            <w:r w:rsidRPr="00C10545">
              <w:rPr>
                <w:sz w:val="18"/>
                <w:szCs w:val="18"/>
                <w:lang w:eastAsia="en-AU"/>
              </w:rPr>
              <w:t>24%</w:t>
            </w:r>
          </w:p>
        </w:tc>
        <w:tc>
          <w:tcPr>
            <w:tcW w:w="677" w:type="dxa"/>
            <w:tcBorders>
              <w:top w:val="nil"/>
              <w:left w:val="nil"/>
              <w:bottom w:val="single" w:sz="4" w:space="0" w:color="auto"/>
              <w:right w:val="single" w:sz="4" w:space="0" w:color="auto"/>
            </w:tcBorders>
            <w:shd w:val="clear" w:color="auto" w:fill="auto"/>
            <w:noWrap/>
            <w:vAlign w:val="bottom"/>
            <w:hideMark/>
          </w:tcPr>
          <w:p w14:paraId="6D9620DA" w14:textId="77777777" w:rsidR="009A356E" w:rsidRPr="00C10545" w:rsidRDefault="009A356E" w:rsidP="009A356E">
            <w:pPr>
              <w:jc w:val="right"/>
              <w:rPr>
                <w:sz w:val="18"/>
                <w:szCs w:val="18"/>
                <w:lang w:eastAsia="en-AU"/>
              </w:rPr>
            </w:pPr>
            <w:r w:rsidRPr="00C10545">
              <w:rPr>
                <w:sz w:val="18"/>
                <w:szCs w:val="18"/>
                <w:lang w:eastAsia="en-AU"/>
              </w:rPr>
              <w:t>14%</w:t>
            </w:r>
          </w:p>
        </w:tc>
        <w:tc>
          <w:tcPr>
            <w:tcW w:w="666" w:type="dxa"/>
            <w:tcBorders>
              <w:top w:val="nil"/>
              <w:left w:val="nil"/>
              <w:bottom w:val="single" w:sz="4" w:space="0" w:color="auto"/>
              <w:right w:val="single" w:sz="4" w:space="0" w:color="auto"/>
            </w:tcBorders>
            <w:shd w:val="clear" w:color="auto" w:fill="auto"/>
            <w:noWrap/>
            <w:vAlign w:val="bottom"/>
            <w:hideMark/>
          </w:tcPr>
          <w:p w14:paraId="337738D1" w14:textId="77777777" w:rsidR="009A356E" w:rsidRPr="00C10545" w:rsidRDefault="009A356E" w:rsidP="009A356E">
            <w:pPr>
              <w:jc w:val="right"/>
              <w:rPr>
                <w:sz w:val="18"/>
                <w:szCs w:val="18"/>
                <w:lang w:eastAsia="en-AU"/>
              </w:rPr>
            </w:pPr>
            <w:r w:rsidRPr="00C10545">
              <w:rPr>
                <w:sz w:val="18"/>
                <w:szCs w:val="18"/>
                <w:lang w:eastAsia="en-AU"/>
              </w:rPr>
              <w:t>21%</w:t>
            </w:r>
          </w:p>
        </w:tc>
        <w:tc>
          <w:tcPr>
            <w:tcW w:w="261" w:type="dxa"/>
            <w:tcBorders>
              <w:top w:val="nil"/>
              <w:left w:val="nil"/>
              <w:bottom w:val="single" w:sz="4" w:space="0" w:color="auto"/>
              <w:right w:val="single" w:sz="4" w:space="0" w:color="auto"/>
            </w:tcBorders>
            <w:shd w:val="clear" w:color="000000" w:fill="000000"/>
            <w:noWrap/>
            <w:vAlign w:val="bottom"/>
            <w:hideMark/>
          </w:tcPr>
          <w:p w14:paraId="7FCB79DF" w14:textId="77777777" w:rsidR="009A356E" w:rsidRPr="00C10545" w:rsidRDefault="009A356E" w:rsidP="009A356E">
            <w:pPr>
              <w:rPr>
                <w:sz w:val="18"/>
                <w:szCs w:val="18"/>
                <w:lang w:eastAsia="en-AU"/>
              </w:rPr>
            </w:pPr>
            <w:r w:rsidRPr="00C10545">
              <w:rPr>
                <w:sz w:val="18"/>
                <w:szCs w:val="18"/>
                <w:lang w:eastAsia="en-AU"/>
              </w:rPr>
              <w:t> </w:t>
            </w:r>
          </w:p>
        </w:tc>
        <w:tc>
          <w:tcPr>
            <w:tcW w:w="677" w:type="dxa"/>
            <w:tcBorders>
              <w:top w:val="nil"/>
              <w:left w:val="nil"/>
              <w:bottom w:val="single" w:sz="4" w:space="0" w:color="auto"/>
              <w:right w:val="single" w:sz="4" w:space="0" w:color="auto"/>
            </w:tcBorders>
            <w:shd w:val="clear" w:color="auto" w:fill="auto"/>
            <w:noWrap/>
            <w:vAlign w:val="bottom"/>
            <w:hideMark/>
          </w:tcPr>
          <w:p w14:paraId="3C0F58F2" w14:textId="77777777" w:rsidR="009A356E" w:rsidRPr="00C10545" w:rsidRDefault="009A356E" w:rsidP="009A356E">
            <w:pPr>
              <w:jc w:val="right"/>
              <w:rPr>
                <w:sz w:val="18"/>
                <w:szCs w:val="18"/>
                <w:lang w:eastAsia="en-AU"/>
              </w:rPr>
            </w:pPr>
            <w:r w:rsidRPr="00C10545">
              <w:rPr>
                <w:sz w:val="18"/>
                <w:szCs w:val="18"/>
                <w:lang w:eastAsia="en-AU"/>
              </w:rPr>
              <w:t>14%</w:t>
            </w:r>
          </w:p>
        </w:tc>
        <w:tc>
          <w:tcPr>
            <w:tcW w:w="677" w:type="dxa"/>
            <w:tcBorders>
              <w:top w:val="nil"/>
              <w:left w:val="nil"/>
              <w:bottom w:val="single" w:sz="4" w:space="0" w:color="auto"/>
              <w:right w:val="single" w:sz="4" w:space="0" w:color="auto"/>
            </w:tcBorders>
            <w:shd w:val="clear" w:color="auto" w:fill="auto"/>
            <w:noWrap/>
            <w:vAlign w:val="bottom"/>
            <w:hideMark/>
          </w:tcPr>
          <w:p w14:paraId="33D41C33" w14:textId="77777777" w:rsidR="009A356E" w:rsidRPr="00C10545" w:rsidRDefault="009A356E" w:rsidP="009A356E">
            <w:pPr>
              <w:jc w:val="right"/>
              <w:rPr>
                <w:sz w:val="18"/>
                <w:szCs w:val="18"/>
                <w:lang w:eastAsia="en-AU"/>
              </w:rPr>
            </w:pPr>
            <w:r w:rsidRPr="00C10545">
              <w:rPr>
                <w:sz w:val="18"/>
                <w:szCs w:val="18"/>
                <w:lang w:eastAsia="en-AU"/>
              </w:rPr>
              <w:t>9%</w:t>
            </w:r>
          </w:p>
        </w:tc>
        <w:tc>
          <w:tcPr>
            <w:tcW w:w="666" w:type="dxa"/>
            <w:tcBorders>
              <w:top w:val="nil"/>
              <w:left w:val="nil"/>
              <w:bottom w:val="single" w:sz="4" w:space="0" w:color="auto"/>
              <w:right w:val="single" w:sz="4" w:space="0" w:color="auto"/>
            </w:tcBorders>
            <w:shd w:val="clear" w:color="auto" w:fill="auto"/>
            <w:noWrap/>
            <w:vAlign w:val="bottom"/>
            <w:hideMark/>
          </w:tcPr>
          <w:p w14:paraId="6B4A93A9" w14:textId="77777777" w:rsidR="009A356E" w:rsidRPr="00C10545" w:rsidRDefault="009A356E" w:rsidP="009A356E">
            <w:pPr>
              <w:jc w:val="right"/>
              <w:rPr>
                <w:sz w:val="18"/>
                <w:szCs w:val="18"/>
                <w:lang w:eastAsia="en-AU"/>
              </w:rPr>
            </w:pPr>
            <w:r w:rsidRPr="00C10545">
              <w:rPr>
                <w:sz w:val="18"/>
                <w:szCs w:val="18"/>
                <w:lang w:eastAsia="en-AU"/>
              </w:rPr>
              <w:t>12%</w:t>
            </w:r>
          </w:p>
        </w:tc>
        <w:tc>
          <w:tcPr>
            <w:tcW w:w="261" w:type="dxa"/>
            <w:tcBorders>
              <w:top w:val="nil"/>
              <w:left w:val="nil"/>
              <w:bottom w:val="single" w:sz="4" w:space="0" w:color="auto"/>
              <w:right w:val="single" w:sz="4" w:space="0" w:color="auto"/>
            </w:tcBorders>
            <w:shd w:val="clear" w:color="000000" w:fill="000000"/>
            <w:noWrap/>
            <w:vAlign w:val="bottom"/>
            <w:hideMark/>
          </w:tcPr>
          <w:p w14:paraId="270FB102" w14:textId="77777777" w:rsidR="009A356E" w:rsidRPr="00C10545" w:rsidRDefault="009A356E" w:rsidP="009A356E">
            <w:pPr>
              <w:rPr>
                <w:sz w:val="18"/>
                <w:szCs w:val="18"/>
                <w:lang w:eastAsia="en-AU"/>
              </w:rPr>
            </w:pPr>
            <w:r w:rsidRPr="00C10545">
              <w:rPr>
                <w:sz w:val="18"/>
                <w:szCs w:val="18"/>
                <w:lang w:eastAsia="en-AU"/>
              </w:rPr>
              <w:t> </w:t>
            </w:r>
          </w:p>
        </w:tc>
        <w:tc>
          <w:tcPr>
            <w:tcW w:w="677" w:type="dxa"/>
            <w:tcBorders>
              <w:top w:val="nil"/>
              <w:left w:val="nil"/>
              <w:bottom w:val="single" w:sz="4" w:space="0" w:color="auto"/>
              <w:right w:val="single" w:sz="4" w:space="0" w:color="auto"/>
            </w:tcBorders>
            <w:shd w:val="clear" w:color="auto" w:fill="auto"/>
            <w:noWrap/>
            <w:vAlign w:val="bottom"/>
            <w:hideMark/>
          </w:tcPr>
          <w:p w14:paraId="200661E3" w14:textId="77777777" w:rsidR="009A356E" w:rsidRPr="00C10545" w:rsidRDefault="009A356E" w:rsidP="009A356E">
            <w:pPr>
              <w:jc w:val="right"/>
              <w:rPr>
                <w:sz w:val="18"/>
                <w:szCs w:val="18"/>
                <w:lang w:eastAsia="en-AU"/>
              </w:rPr>
            </w:pPr>
            <w:r w:rsidRPr="00C10545">
              <w:rPr>
                <w:sz w:val="18"/>
                <w:szCs w:val="18"/>
                <w:lang w:eastAsia="en-AU"/>
              </w:rPr>
              <w:t>13%</w:t>
            </w:r>
          </w:p>
        </w:tc>
        <w:tc>
          <w:tcPr>
            <w:tcW w:w="677" w:type="dxa"/>
            <w:tcBorders>
              <w:top w:val="nil"/>
              <w:left w:val="nil"/>
              <w:bottom w:val="single" w:sz="4" w:space="0" w:color="auto"/>
              <w:right w:val="single" w:sz="4" w:space="0" w:color="auto"/>
            </w:tcBorders>
            <w:shd w:val="clear" w:color="auto" w:fill="auto"/>
            <w:noWrap/>
            <w:vAlign w:val="bottom"/>
            <w:hideMark/>
          </w:tcPr>
          <w:p w14:paraId="2FE5F1DF" w14:textId="77777777" w:rsidR="009A356E" w:rsidRPr="00C10545" w:rsidRDefault="009A356E" w:rsidP="009A356E">
            <w:pPr>
              <w:jc w:val="right"/>
              <w:rPr>
                <w:sz w:val="18"/>
                <w:szCs w:val="18"/>
                <w:lang w:eastAsia="en-AU"/>
              </w:rPr>
            </w:pPr>
            <w:r w:rsidRPr="00C10545">
              <w:rPr>
                <w:sz w:val="18"/>
                <w:szCs w:val="18"/>
                <w:lang w:eastAsia="en-AU"/>
              </w:rPr>
              <w:t>9%</w:t>
            </w:r>
          </w:p>
        </w:tc>
        <w:tc>
          <w:tcPr>
            <w:tcW w:w="666" w:type="dxa"/>
            <w:tcBorders>
              <w:top w:val="nil"/>
              <w:left w:val="nil"/>
              <w:bottom w:val="single" w:sz="4" w:space="0" w:color="auto"/>
              <w:right w:val="single" w:sz="4" w:space="0" w:color="auto"/>
            </w:tcBorders>
            <w:shd w:val="clear" w:color="auto" w:fill="auto"/>
            <w:noWrap/>
            <w:vAlign w:val="bottom"/>
            <w:hideMark/>
          </w:tcPr>
          <w:p w14:paraId="237CB887" w14:textId="77777777" w:rsidR="009A356E" w:rsidRPr="00C10545" w:rsidRDefault="009A356E" w:rsidP="009A356E">
            <w:pPr>
              <w:jc w:val="right"/>
              <w:rPr>
                <w:sz w:val="18"/>
                <w:szCs w:val="18"/>
                <w:lang w:eastAsia="en-AU"/>
              </w:rPr>
            </w:pPr>
            <w:r w:rsidRPr="00C10545">
              <w:rPr>
                <w:sz w:val="18"/>
                <w:szCs w:val="18"/>
                <w:lang w:eastAsia="en-AU"/>
              </w:rPr>
              <w:t>12%</w:t>
            </w:r>
          </w:p>
        </w:tc>
      </w:tr>
      <w:tr w:rsidR="009A356E" w:rsidRPr="00824954" w14:paraId="19DEBBD6" w14:textId="77777777" w:rsidTr="009A356E">
        <w:trPr>
          <w:trHeight w:val="24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147173FF" w14:textId="77777777" w:rsidR="009A356E" w:rsidRPr="00C10545" w:rsidRDefault="009A356E" w:rsidP="009A356E">
            <w:pPr>
              <w:rPr>
                <w:sz w:val="18"/>
                <w:szCs w:val="18"/>
                <w:lang w:eastAsia="en-AU"/>
              </w:rPr>
            </w:pPr>
            <w:r w:rsidRPr="00C10545">
              <w:rPr>
                <w:sz w:val="18"/>
                <w:szCs w:val="18"/>
                <w:lang w:eastAsia="en-AU"/>
              </w:rPr>
              <w:t>Large Shires</w:t>
            </w:r>
          </w:p>
        </w:tc>
        <w:tc>
          <w:tcPr>
            <w:tcW w:w="677" w:type="dxa"/>
            <w:tcBorders>
              <w:top w:val="nil"/>
              <w:left w:val="nil"/>
              <w:bottom w:val="single" w:sz="4" w:space="0" w:color="auto"/>
              <w:right w:val="single" w:sz="4" w:space="0" w:color="auto"/>
            </w:tcBorders>
            <w:shd w:val="clear" w:color="auto" w:fill="auto"/>
            <w:noWrap/>
            <w:vAlign w:val="bottom"/>
            <w:hideMark/>
          </w:tcPr>
          <w:p w14:paraId="5F7BC053" w14:textId="77777777" w:rsidR="009A356E" w:rsidRPr="00C10545" w:rsidRDefault="009A356E" w:rsidP="009A356E">
            <w:pPr>
              <w:jc w:val="right"/>
              <w:rPr>
                <w:sz w:val="18"/>
                <w:szCs w:val="18"/>
                <w:lang w:eastAsia="en-AU"/>
              </w:rPr>
            </w:pPr>
            <w:r w:rsidRPr="00C10545">
              <w:rPr>
                <w:sz w:val="18"/>
                <w:szCs w:val="18"/>
                <w:lang w:eastAsia="en-AU"/>
              </w:rPr>
              <w:t>17%</w:t>
            </w:r>
          </w:p>
        </w:tc>
        <w:tc>
          <w:tcPr>
            <w:tcW w:w="677" w:type="dxa"/>
            <w:tcBorders>
              <w:top w:val="nil"/>
              <w:left w:val="nil"/>
              <w:bottom w:val="single" w:sz="4" w:space="0" w:color="auto"/>
              <w:right w:val="single" w:sz="4" w:space="0" w:color="auto"/>
            </w:tcBorders>
            <w:shd w:val="clear" w:color="auto" w:fill="auto"/>
            <w:noWrap/>
            <w:vAlign w:val="bottom"/>
            <w:hideMark/>
          </w:tcPr>
          <w:p w14:paraId="298E13F5" w14:textId="77777777" w:rsidR="009A356E" w:rsidRPr="00C10545" w:rsidRDefault="009A356E" w:rsidP="009A356E">
            <w:pPr>
              <w:jc w:val="right"/>
              <w:rPr>
                <w:sz w:val="18"/>
                <w:szCs w:val="18"/>
                <w:lang w:eastAsia="en-AU"/>
              </w:rPr>
            </w:pPr>
            <w:r w:rsidRPr="00C10545">
              <w:rPr>
                <w:sz w:val="18"/>
                <w:szCs w:val="18"/>
                <w:lang w:eastAsia="en-AU"/>
              </w:rPr>
              <w:t>29%</w:t>
            </w:r>
          </w:p>
        </w:tc>
        <w:tc>
          <w:tcPr>
            <w:tcW w:w="666" w:type="dxa"/>
            <w:tcBorders>
              <w:top w:val="nil"/>
              <w:left w:val="nil"/>
              <w:bottom w:val="single" w:sz="4" w:space="0" w:color="auto"/>
              <w:right w:val="single" w:sz="4" w:space="0" w:color="auto"/>
            </w:tcBorders>
            <w:shd w:val="clear" w:color="auto" w:fill="auto"/>
            <w:noWrap/>
            <w:vAlign w:val="bottom"/>
            <w:hideMark/>
          </w:tcPr>
          <w:p w14:paraId="4AA075BF" w14:textId="77777777" w:rsidR="009A356E" w:rsidRPr="00C10545" w:rsidRDefault="009A356E" w:rsidP="009A356E">
            <w:pPr>
              <w:jc w:val="right"/>
              <w:rPr>
                <w:sz w:val="18"/>
                <w:szCs w:val="18"/>
                <w:lang w:eastAsia="en-AU"/>
              </w:rPr>
            </w:pPr>
            <w:r w:rsidRPr="00C10545">
              <w:rPr>
                <w:sz w:val="18"/>
                <w:szCs w:val="18"/>
                <w:lang w:eastAsia="en-AU"/>
              </w:rPr>
              <w:t>20%</w:t>
            </w:r>
          </w:p>
        </w:tc>
        <w:tc>
          <w:tcPr>
            <w:tcW w:w="261" w:type="dxa"/>
            <w:tcBorders>
              <w:top w:val="nil"/>
              <w:left w:val="nil"/>
              <w:bottom w:val="single" w:sz="4" w:space="0" w:color="auto"/>
              <w:right w:val="single" w:sz="4" w:space="0" w:color="auto"/>
            </w:tcBorders>
            <w:shd w:val="clear" w:color="000000" w:fill="000000"/>
            <w:noWrap/>
            <w:vAlign w:val="bottom"/>
            <w:hideMark/>
          </w:tcPr>
          <w:p w14:paraId="08D1EEC4" w14:textId="77777777" w:rsidR="009A356E" w:rsidRPr="00C10545" w:rsidRDefault="009A356E" w:rsidP="009A356E">
            <w:pPr>
              <w:rPr>
                <w:sz w:val="18"/>
                <w:szCs w:val="18"/>
                <w:lang w:eastAsia="en-AU"/>
              </w:rPr>
            </w:pPr>
            <w:r w:rsidRPr="00C10545">
              <w:rPr>
                <w:sz w:val="18"/>
                <w:szCs w:val="18"/>
                <w:lang w:eastAsia="en-AU"/>
              </w:rPr>
              <w:t> </w:t>
            </w:r>
          </w:p>
        </w:tc>
        <w:tc>
          <w:tcPr>
            <w:tcW w:w="677" w:type="dxa"/>
            <w:tcBorders>
              <w:top w:val="nil"/>
              <w:left w:val="nil"/>
              <w:bottom w:val="single" w:sz="4" w:space="0" w:color="auto"/>
              <w:right w:val="single" w:sz="4" w:space="0" w:color="auto"/>
            </w:tcBorders>
            <w:shd w:val="clear" w:color="auto" w:fill="auto"/>
            <w:noWrap/>
            <w:vAlign w:val="bottom"/>
            <w:hideMark/>
          </w:tcPr>
          <w:p w14:paraId="78C18887" w14:textId="77777777" w:rsidR="009A356E" w:rsidRPr="00C10545" w:rsidRDefault="009A356E" w:rsidP="009A356E">
            <w:pPr>
              <w:jc w:val="right"/>
              <w:rPr>
                <w:sz w:val="18"/>
                <w:szCs w:val="18"/>
                <w:lang w:eastAsia="en-AU"/>
              </w:rPr>
            </w:pPr>
            <w:r w:rsidRPr="00C10545">
              <w:rPr>
                <w:sz w:val="18"/>
                <w:szCs w:val="18"/>
                <w:lang w:eastAsia="en-AU"/>
              </w:rPr>
              <w:t>20%</w:t>
            </w:r>
          </w:p>
        </w:tc>
        <w:tc>
          <w:tcPr>
            <w:tcW w:w="677" w:type="dxa"/>
            <w:tcBorders>
              <w:top w:val="nil"/>
              <w:left w:val="nil"/>
              <w:bottom w:val="single" w:sz="4" w:space="0" w:color="auto"/>
              <w:right w:val="single" w:sz="4" w:space="0" w:color="auto"/>
            </w:tcBorders>
            <w:shd w:val="clear" w:color="auto" w:fill="auto"/>
            <w:noWrap/>
            <w:vAlign w:val="bottom"/>
            <w:hideMark/>
          </w:tcPr>
          <w:p w14:paraId="339F8D24" w14:textId="77777777" w:rsidR="009A356E" w:rsidRPr="00C10545" w:rsidRDefault="009A356E" w:rsidP="009A356E">
            <w:pPr>
              <w:jc w:val="right"/>
              <w:rPr>
                <w:sz w:val="18"/>
                <w:szCs w:val="18"/>
                <w:lang w:eastAsia="en-AU"/>
              </w:rPr>
            </w:pPr>
            <w:r w:rsidRPr="00C10545">
              <w:rPr>
                <w:sz w:val="18"/>
                <w:szCs w:val="18"/>
                <w:lang w:eastAsia="en-AU"/>
              </w:rPr>
              <w:t>32%</w:t>
            </w:r>
          </w:p>
        </w:tc>
        <w:tc>
          <w:tcPr>
            <w:tcW w:w="666" w:type="dxa"/>
            <w:tcBorders>
              <w:top w:val="nil"/>
              <w:left w:val="nil"/>
              <w:bottom w:val="single" w:sz="4" w:space="0" w:color="auto"/>
              <w:right w:val="single" w:sz="4" w:space="0" w:color="auto"/>
            </w:tcBorders>
            <w:shd w:val="clear" w:color="auto" w:fill="auto"/>
            <w:noWrap/>
            <w:vAlign w:val="bottom"/>
            <w:hideMark/>
          </w:tcPr>
          <w:p w14:paraId="0AF67FB7" w14:textId="77777777" w:rsidR="009A356E" w:rsidRPr="00C10545" w:rsidRDefault="009A356E" w:rsidP="009A356E">
            <w:pPr>
              <w:jc w:val="right"/>
              <w:rPr>
                <w:sz w:val="18"/>
                <w:szCs w:val="18"/>
                <w:lang w:eastAsia="en-AU"/>
              </w:rPr>
            </w:pPr>
            <w:r w:rsidRPr="00C10545">
              <w:rPr>
                <w:sz w:val="18"/>
                <w:szCs w:val="18"/>
                <w:lang w:eastAsia="en-AU"/>
              </w:rPr>
              <w:t>23%</w:t>
            </w:r>
          </w:p>
        </w:tc>
        <w:tc>
          <w:tcPr>
            <w:tcW w:w="261" w:type="dxa"/>
            <w:tcBorders>
              <w:top w:val="nil"/>
              <w:left w:val="nil"/>
              <w:bottom w:val="single" w:sz="4" w:space="0" w:color="auto"/>
              <w:right w:val="single" w:sz="4" w:space="0" w:color="auto"/>
            </w:tcBorders>
            <w:shd w:val="clear" w:color="000000" w:fill="000000"/>
            <w:noWrap/>
            <w:vAlign w:val="bottom"/>
            <w:hideMark/>
          </w:tcPr>
          <w:p w14:paraId="2D8E3698" w14:textId="77777777" w:rsidR="009A356E" w:rsidRPr="00C10545" w:rsidRDefault="009A356E" w:rsidP="009A356E">
            <w:pPr>
              <w:rPr>
                <w:sz w:val="18"/>
                <w:szCs w:val="18"/>
                <w:lang w:eastAsia="en-AU"/>
              </w:rPr>
            </w:pPr>
            <w:r w:rsidRPr="00C10545">
              <w:rPr>
                <w:sz w:val="18"/>
                <w:szCs w:val="18"/>
                <w:lang w:eastAsia="en-AU"/>
              </w:rPr>
              <w:t> </w:t>
            </w:r>
          </w:p>
        </w:tc>
        <w:tc>
          <w:tcPr>
            <w:tcW w:w="677" w:type="dxa"/>
            <w:tcBorders>
              <w:top w:val="nil"/>
              <w:left w:val="nil"/>
              <w:bottom w:val="single" w:sz="4" w:space="0" w:color="auto"/>
              <w:right w:val="single" w:sz="4" w:space="0" w:color="auto"/>
            </w:tcBorders>
            <w:shd w:val="clear" w:color="auto" w:fill="auto"/>
            <w:noWrap/>
            <w:vAlign w:val="bottom"/>
            <w:hideMark/>
          </w:tcPr>
          <w:p w14:paraId="43D13804" w14:textId="77777777" w:rsidR="009A356E" w:rsidRPr="00C10545" w:rsidRDefault="009A356E" w:rsidP="009A356E">
            <w:pPr>
              <w:jc w:val="right"/>
              <w:rPr>
                <w:sz w:val="18"/>
                <w:szCs w:val="18"/>
                <w:lang w:eastAsia="en-AU"/>
              </w:rPr>
            </w:pPr>
            <w:r w:rsidRPr="00C10545">
              <w:rPr>
                <w:sz w:val="18"/>
                <w:szCs w:val="18"/>
                <w:lang w:eastAsia="en-AU"/>
              </w:rPr>
              <w:t>20%</w:t>
            </w:r>
          </w:p>
        </w:tc>
        <w:tc>
          <w:tcPr>
            <w:tcW w:w="677" w:type="dxa"/>
            <w:tcBorders>
              <w:top w:val="nil"/>
              <w:left w:val="nil"/>
              <w:bottom w:val="single" w:sz="4" w:space="0" w:color="auto"/>
              <w:right w:val="single" w:sz="4" w:space="0" w:color="auto"/>
            </w:tcBorders>
            <w:shd w:val="clear" w:color="auto" w:fill="auto"/>
            <w:noWrap/>
            <w:vAlign w:val="bottom"/>
            <w:hideMark/>
          </w:tcPr>
          <w:p w14:paraId="4C5EC047" w14:textId="77777777" w:rsidR="009A356E" w:rsidRPr="00C10545" w:rsidRDefault="009A356E" w:rsidP="009A356E">
            <w:pPr>
              <w:jc w:val="right"/>
              <w:rPr>
                <w:sz w:val="18"/>
                <w:szCs w:val="18"/>
                <w:lang w:eastAsia="en-AU"/>
              </w:rPr>
            </w:pPr>
            <w:r w:rsidRPr="00C10545">
              <w:rPr>
                <w:sz w:val="18"/>
                <w:szCs w:val="18"/>
                <w:lang w:eastAsia="en-AU"/>
              </w:rPr>
              <w:t>32%</w:t>
            </w:r>
          </w:p>
        </w:tc>
        <w:tc>
          <w:tcPr>
            <w:tcW w:w="666" w:type="dxa"/>
            <w:tcBorders>
              <w:top w:val="nil"/>
              <w:left w:val="nil"/>
              <w:bottom w:val="single" w:sz="4" w:space="0" w:color="auto"/>
              <w:right w:val="single" w:sz="4" w:space="0" w:color="auto"/>
            </w:tcBorders>
            <w:shd w:val="clear" w:color="auto" w:fill="auto"/>
            <w:noWrap/>
            <w:vAlign w:val="bottom"/>
            <w:hideMark/>
          </w:tcPr>
          <w:p w14:paraId="6A0340ED" w14:textId="77777777" w:rsidR="009A356E" w:rsidRPr="00C10545" w:rsidRDefault="009A356E" w:rsidP="009A356E">
            <w:pPr>
              <w:jc w:val="right"/>
              <w:rPr>
                <w:sz w:val="18"/>
                <w:szCs w:val="18"/>
                <w:lang w:eastAsia="en-AU"/>
              </w:rPr>
            </w:pPr>
            <w:r w:rsidRPr="00C10545">
              <w:rPr>
                <w:sz w:val="18"/>
                <w:szCs w:val="18"/>
                <w:lang w:eastAsia="en-AU"/>
              </w:rPr>
              <w:t>23%</w:t>
            </w:r>
          </w:p>
        </w:tc>
      </w:tr>
      <w:tr w:rsidR="009A356E" w:rsidRPr="00824954" w14:paraId="5AC5C962" w14:textId="77777777" w:rsidTr="009A356E">
        <w:trPr>
          <w:trHeight w:val="24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10D8BE43" w14:textId="77777777" w:rsidR="009A356E" w:rsidRPr="00C10545" w:rsidRDefault="009A356E" w:rsidP="009A356E">
            <w:pPr>
              <w:rPr>
                <w:sz w:val="18"/>
                <w:szCs w:val="18"/>
                <w:lang w:eastAsia="en-AU"/>
              </w:rPr>
            </w:pPr>
            <w:r w:rsidRPr="00C10545">
              <w:rPr>
                <w:sz w:val="18"/>
                <w:szCs w:val="18"/>
                <w:lang w:eastAsia="en-AU"/>
              </w:rPr>
              <w:t>Outer Metro</w:t>
            </w:r>
          </w:p>
        </w:tc>
        <w:tc>
          <w:tcPr>
            <w:tcW w:w="677" w:type="dxa"/>
            <w:tcBorders>
              <w:top w:val="nil"/>
              <w:left w:val="nil"/>
              <w:bottom w:val="single" w:sz="4" w:space="0" w:color="auto"/>
              <w:right w:val="single" w:sz="4" w:space="0" w:color="auto"/>
            </w:tcBorders>
            <w:shd w:val="clear" w:color="auto" w:fill="auto"/>
            <w:noWrap/>
            <w:vAlign w:val="bottom"/>
            <w:hideMark/>
          </w:tcPr>
          <w:p w14:paraId="6607C8AF" w14:textId="77777777" w:rsidR="009A356E" w:rsidRPr="00C10545" w:rsidRDefault="009A356E" w:rsidP="009A356E">
            <w:pPr>
              <w:jc w:val="right"/>
              <w:rPr>
                <w:sz w:val="18"/>
                <w:szCs w:val="18"/>
                <w:lang w:eastAsia="en-AU"/>
              </w:rPr>
            </w:pPr>
            <w:r w:rsidRPr="00C10545">
              <w:rPr>
                <w:sz w:val="18"/>
                <w:szCs w:val="18"/>
                <w:lang w:eastAsia="en-AU"/>
              </w:rPr>
              <w:t>26%</w:t>
            </w:r>
          </w:p>
        </w:tc>
        <w:tc>
          <w:tcPr>
            <w:tcW w:w="677" w:type="dxa"/>
            <w:tcBorders>
              <w:top w:val="nil"/>
              <w:left w:val="nil"/>
              <w:bottom w:val="single" w:sz="4" w:space="0" w:color="auto"/>
              <w:right w:val="single" w:sz="4" w:space="0" w:color="auto"/>
            </w:tcBorders>
            <w:shd w:val="clear" w:color="auto" w:fill="auto"/>
            <w:noWrap/>
            <w:vAlign w:val="bottom"/>
            <w:hideMark/>
          </w:tcPr>
          <w:p w14:paraId="53AAD231" w14:textId="77777777" w:rsidR="009A356E" w:rsidRPr="00C10545" w:rsidRDefault="009A356E" w:rsidP="009A356E">
            <w:pPr>
              <w:jc w:val="right"/>
              <w:rPr>
                <w:sz w:val="18"/>
                <w:szCs w:val="18"/>
                <w:lang w:eastAsia="en-AU"/>
              </w:rPr>
            </w:pPr>
            <w:r w:rsidRPr="00C10545">
              <w:rPr>
                <w:sz w:val="18"/>
                <w:szCs w:val="18"/>
                <w:lang w:eastAsia="en-AU"/>
              </w:rPr>
              <w:t>18%</w:t>
            </w:r>
          </w:p>
        </w:tc>
        <w:tc>
          <w:tcPr>
            <w:tcW w:w="666" w:type="dxa"/>
            <w:tcBorders>
              <w:top w:val="nil"/>
              <w:left w:val="nil"/>
              <w:bottom w:val="single" w:sz="4" w:space="0" w:color="auto"/>
              <w:right w:val="single" w:sz="4" w:space="0" w:color="auto"/>
            </w:tcBorders>
            <w:shd w:val="clear" w:color="auto" w:fill="auto"/>
            <w:noWrap/>
            <w:vAlign w:val="bottom"/>
            <w:hideMark/>
          </w:tcPr>
          <w:p w14:paraId="5B4E7BDD" w14:textId="77777777" w:rsidR="009A356E" w:rsidRPr="00C10545" w:rsidRDefault="009A356E" w:rsidP="009A356E">
            <w:pPr>
              <w:jc w:val="right"/>
              <w:rPr>
                <w:sz w:val="18"/>
                <w:szCs w:val="18"/>
                <w:lang w:eastAsia="en-AU"/>
              </w:rPr>
            </w:pPr>
            <w:r w:rsidRPr="00C10545">
              <w:rPr>
                <w:sz w:val="18"/>
                <w:szCs w:val="18"/>
                <w:lang w:eastAsia="en-AU"/>
              </w:rPr>
              <w:t>24%</w:t>
            </w:r>
          </w:p>
        </w:tc>
        <w:tc>
          <w:tcPr>
            <w:tcW w:w="261" w:type="dxa"/>
            <w:tcBorders>
              <w:top w:val="nil"/>
              <w:left w:val="nil"/>
              <w:bottom w:val="single" w:sz="4" w:space="0" w:color="auto"/>
              <w:right w:val="single" w:sz="4" w:space="0" w:color="auto"/>
            </w:tcBorders>
            <w:shd w:val="clear" w:color="000000" w:fill="000000"/>
            <w:noWrap/>
            <w:vAlign w:val="bottom"/>
            <w:hideMark/>
          </w:tcPr>
          <w:p w14:paraId="6CF2B3DC" w14:textId="77777777" w:rsidR="009A356E" w:rsidRPr="00C10545" w:rsidRDefault="009A356E" w:rsidP="009A356E">
            <w:pPr>
              <w:rPr>
                <w:sz w:val="18"/>
                <w:szCs w:val="18"/>
                <w:lang w:eastAsia="en-AU"/>
              </w:rPr>
            </w:pPr>
            <w:r w:rsidRPr="00C10545">
              <w:rPr>
                <w:sz w:val="18"/>
                <w:szCs w:val="18"/>
                <w:lang w:eastAsia="en-AU"/>
              </w:rPr>
              <w:t> </w:t>
            </w:r>
          </w:p>
        </w:tc>
        <w:tc>
          <w:tcPr>
            <w:tcW w:w="677" w:type="dxa"/>
            <w:tcBorders>
              <w:top w:val="nil"/>
              <w:left w:val="nil"/>
              <w:bottom w:val="single" w:sz="4" w:space="0" w:color="auto"/>
              <w:right w:val="single" w:sz="4" w:space="0" w:color="auto"/>
            </w:tcBorders>
            <w:shd w:val="clear" w:color="auto" w:fill="auto"/>
            <w:noWrap/>
            <w:vAlign w:val="bottom"/>
            <w:hideMark/>
          </w:tcPr>
          <w:p w14:paraId="35EAF250" w14:textId="77777777" w:rsidR="009A356E" w:rsidRPr="00C10545" w:rsidRDefault="009A356E" w:rsidP="009A356E">
            <w:pPr>
              <w:jc w:val="right"/>
              <w:rPr>
                <w:sz w:val="18"/>
                <w:szCs w:val="18"/>
                <w:lang w:eastAsia="en-AU"/>
              </w:rPr>
            </w:pPr>
            <w:r w:rsidRPr="00C10545">
              <w:rPr>
                <w:sz w:val="18"/>
                <w:szCs w:val="18"/>
                <w:lang w:eastAsia="en-AU"/>
              </w:rPr>
              <w:t>30%</w:t>
            </w:r>
          </w:p>
        </w:tc>
        <w:tc>
          <w:tcPr>
            <w:tcW w:w="677" w:type="dxa"/>
            <w:tcBorders>
              <w:top w:val="nil"/>
              <w:left w:val="nil"/>
              <w:bottom w:val="single" w:sz="4" w:space="0" w:color="auto"/>
              <w:right w:val="single" w:sz="4" w:space="0" w:color="auto"/>
            </w:tcBorders>
            <w:shd w:val="clear" w:color="auto" w:fill="auto"/>
            <w:noWrap/>
            <w:vAlign w:val="bottom"/>
            <w:hideMark/>
          </w:tcPr>
          <w:p w14:paraId="115EB66A" w14:textId="77777777" w:rsidR="009A356E" w:rsidRPr="00C10545" w:rsidRDefault="009A356E" w:rsidP="009A356E">
            <w:pPr>
              <w:jc w:val="right"/>
              <w:rPr>
                <w:sz w:val="18"/>
                <w:szCs w:val="18"/>
                <w:lang w:eastAsia="en-AU"/>
              </w:rPr>
            </w:pPr>
            <w:r w:rsidRPr="00C10545">
              <w:rPr>
                <w:sz w:val="18"/>
                <w:szCs w:val="18"/>
                <w:lang w:eastAsia="en-AU"/>
              </w:rPr>
              <w:t>16%</w:t>
            </w:r>
          </w:p>
        </w:tc>
        <w:tc>
          <w:tcPr>
            <w:tcW w:w="666" w:type="dxa"/>
            <w:tcBorders>
              <w:top w:val="nil"/>
              <w:left w:val="nil"/>
              <w:bottom w:val="single" w:sz="4" w:space="0" w:color="auto"/>
              <w:right w:val="single" w:sz="4" w:space="0" w:color="auto"/>
            </w:tcBorders>
            <w:shd w:val="clear" w:color="auto" w:fill="auto"/>
            <w:noWrap/>
            <w:vAlign w:val="bottom"/>
            <w:hideMark/>
          </w:tcPr>
          <w:p w14:paraId="7988C1B1" w14:textId="77777777" w:rsidR="009A356E" w:rsidRPr="00C10545" w:rsidRDefault="009A356E" w:rsidP="009A356E">
            <w:pPr>
              <w:jc w:val="right"/>
              <w:rPr>
                <w:sz w:val="18"/>
                <w:szCs w:val="18"/>
                <w:lang w:eastAsia="en-AU"/>
              </w:rPr>
            </w:pPr>
            <w:r w:rsidRPr="00C10545">
              <w:rPr>
                <w:sz w:val="18"/>
                <w:szCs w:val="18"/>
                <w:lang w:eastAsia="en-AU"/>
              </w:rPr>
              <w:t>27%</w:t>
            </w:r>
          </w:p>
        </w:tc>
        <w:tc>
          <w:tcPr>
            <w:tcW w:w="261" w:type="dxa"/>
            <w:tcBorders>
              <w:top w:val="nil"/>
              <w:left w:val="nil"/>
              <w:bottom w:val="single" w:sz="4" w:space="0" w:color="auto"/>
              <w:right w:val="single" w:sz="4" w:space="0" w:color="auto"/>
            </w:tcBorders>
            <w:shd w:val="clear" w:color="000000" w:fill="000000"/>
            <w:noWrap/>
            <w:vAlign w:val="bottom"/>
            <w:hideMark/>
          </w:tcPr>
          <w:p w14:paraId="0E7BA48E" w14:textId="77777777" w:rsidR="009A356E" w:rsidRPr="00C10545" w:rsidRDefault="009A356E" w:rsidP="009A356E">
            <w:pPr>
              <w:rPr>
                <w:sz w:val="18"/>
                <w:szCs w:val="18"/>
                <w:lang w:eastAsia="en-AU"/>
              </w:rPr>
            </w:pPr>
            <w:r w:rsidRPr="00C10545">
              <w:rPr>
                <w:sz w:val="18"/>
                <w:szCs w:val="18"/>
                <w:lang w:eastAsia="en-AU"/>
              </w:rPr>
              <w:t> </w:t>
            </w:r>
          </w:p>
        </w:tc>
        <w:tc>
          <w:tcPr>
            <w:tcW w:w="677" w:type="dxa"/>
            <w:tcBorders>
              <w:top w:val="nil"/>
              <w:left w:val="nil"/>
              <w:bottom w:val="single" w:sz="4" w:space="0" w:color="auto"/>
              <w:right w:val="single" w:sz="4" w:space="0" w:color="auto"/>
            </w:tcBorders>
            <w:shd w:val="clear" w:color="auto" w:fill="auto"/>
            <w:noWrap/>
            <w:vAlign w:val="bottom"/>
            <w:hideMark/>
          </w:tcPr>
          <w:p w14:paraId="38649BCD" w14:textId="77777777" w:rsidR="009A356E" w:rsidRPr="00C10545" w:rsidRDefault="009A356E" w:rsidP="009A356E">
            <w:pPr>
              <w:jc w:val="right"/>
              <w:rPr>
                <w:sz w:val="18"/>
                <w:szCs w:val="18"/>
                <w:lang w:eastAsia="en-AU"/>
              </w:rPr>
            </w:pPr>
            <w:r w:rsidRPr="00C10545">
              <w:rPr>
                <w:sz w:val="18"/>
                <w:szCs w:val="18"/>
                <w:lang w:eastAsia="en-AU"/>
              </w:rPr>
              <w:t>30%</w:t>
            </w:r>
          </w:p>
        </w:tc>
        <w:tc>
          <w:tcPr>
            <w:tcW w:w="677" w:type="dxa"/>
            <w:tcBorders>
              <w:top w:val="nil"/>
              <w:left w:val="nil"/>
              <w:bottom w:val="single" w:sz="4" w:space="0" w:color="auto"/>
              <w:right w:val="single" w:sz="4" w:space="0" w:color="auto"/>
            </w:tcBorders>
            <w:shd w:val="clear" w:color="auto" w:fill="auto"/>
            <w:noWrap/>
            <w:vAlign w:val="bottom"/>
            <w:hideMark/>
          </w:tcPr>
          <w:p w14:paraId="06B9D481" w14:textId="77777777" w:rsidR="009A356E" w:rsidRPr="00C10545" w:rsidRDefault="009A356E" w:rsidP="009A356E">
            <w:pPr>
              <w:jc w:val="right"/>
              <w:rPr>
                <w:sz w:val="18"/>
                <w:szCs w:val="18"/>
                <w:lang w:eastAsia="en-AU"/>
              </w:rPr>
            </w:pPr>
            <w:r w:rsidRPr="00C10545">
              <w:rPr>
                <w:sz w:val="18"/>
                <w:szCs w:val="18"/>
                <w:lang w:eastAsia="en-AU"/>
              </w:rPr>
              <w:t>16%</w:t>
            </w:r>
          </w:p>
        </w:tc>
        <w:tc>
          <w:tcPr>
            <w:tcW w:w="666" w:type="dxa"/>
            <w:tcBorders>
              <w:top w:val="nil"/>
              <w:left w:val="nil"/>
              <w:bottom w:val="single" w:sz="4" w:space="0" w:color="auto"/>
              <w:right w:val="single" w:sz="4" w:space="0" w:color="auto"/>
            </w:tcBorders>
            <w:shd w:val="clear" w:color="auto" w:fill="auto"/>
            <w:noWrap/>
            <w:vAlign w:val="bottom"/>
            <w:hideMark/>
          </w:tcPr>
          <w:p w14:paraId="221A01DA" w14:textId="77777777" w:rsidR="009A356E" w:rsidRPr="00C10545" w:rsidRDefault="009A356E" w:rsidP="009A356E">
            <w:pPr>
              <w:jc w:val="right"/>
              <w:rPr>
                <w:sz w:val="18"/>
                <w:szCs w:val="18"/>
                <w:lang w:eastAsia="en-AU"/>
              </w:rPr>
            </w:pPr>
            <w:r w:rsidRPr="00C10545">
              <w:rPr>
                <w:sz w:val="18"/>
                <w:szCs w:val="18"/>
                <w:lang w:eastAsia="en-AU"/>
              </w:rPr>
              <w:t>27%</w:t>
            </w:r>
          </w:p>
        </w:tc>
      </w:tr>
      <w:tr w:rsidR="009A356E" w:rsidRPr="00824954" w14:paraId="41F7E024" w14:textId="77777777" w:rsidTr="009A356E">
        <w:trPr>
          <w:trHeight w:val="24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70CB8F7D" w14:textId="77777777" w:rsidR="009A356E" w:rsidRPr="00C10545" w:rsidRDefault="009A356E" w:rsidP="009A356E">
            <w:pPr>
              <w:rPr>
                <w:sz w:val="18"/>
                <w:szCs w:val="18"/>
                <w:lang w:eastAsia="en-AU"/>
              </w:rPr>
            </w:pPr>
            <w:r w:rsidRPr="00C10545">
              <w:rPr>
                <w:sz w:val="18"/>
                <w:szCs w:val="18"/>
                <w:lang w:eastAsia="en-AU"/>
              </w:rPr>
              <w:t xml:space="preserve">Regional Cities </w:t>
            </w:r>
          </w:p>
        </w:tc>
        <w:tc>
          <w:tcPr>
            <w:tcW w:w="677" w:type="dxa"/>
            <w:tcBorders>
              <w:top w:val="nil"/>
              <w:left w:val="nil"/>
              <w:bottom w:val="single" w:sz="4" w:space="0" w:color="auto"/>
              <w:right w:val="single" w:sz="4" w:space="0" w:color="auto"/>
            </w:tcBorders>
            <w:shd w:val="clear" w:color="auto" w:fill="auto"/>
            <w:noWrap/>
            <w:vAlign w:val="bottom"/>
            <w:hideMark/>
          </w:tcPr>
          <w:p w14:paraId="4C4C94E9" w14:textId="77777777" w:rsidR="009A356E" w:rsidRPr="00C10545" w:rsidRDefault="009A356E" w:rsidP="009A356E">
            <w:pPr>
              <w:jc w:val="right"/>
              <w:rPr>
                <w:sz w:val="18"/>
                <w:szCs w:val="18"/>
                <w:lang w:eastAsia="en-AU"/>
              </w:rPr>
            </w:pPr>
            <w:r w:rsidRPr="00C10545">
              <w:rPr>
                <w:sz w:val="18"/>
                <w:szCs w:val="18"/>
                <w:lang w:eastAsia="en-AU"/>
              </w:rPr>
              <w:t>21%</w:t>
            </w:r>
          </w:p>
        </w:tc>
        <w:tc>
          <w:tcPr>
            <w:tcW w:w="677" w:type="dxa"/>
            <w:tcBorders>
              <w:top w:val="nil"/>
              <w:left w:val="nil"/>
              <w:bottom w:val="single" w:sz="4" w:space="0" w:color="auto"/>
              <w:right w:val="single" w:sz="4" w:space="0" w:color="auto"/>
            </w:tcBorders>
            <w:shd w:val="clear" w:color="auto" w:fill="auto"/>
            <w:noWrap/>
            <w:vAlign w:val="bottom"/>
            <w:hideMark/>
          </w:tcPr>
          <w:p w14:paraId="30F99B11" w14:textId="77777777" w:rsidR="009A356E" w:rsidRPr="00C10545" w:rsidRDefault="009A356E" w:rsidP="009A356E">
            <w:pPr>
              <w:jc w:val="right"/>
              <w:rPr>
                <w:sz w:val="18"/>
                <w:szCs w:val="18"/>
                <w:lang w:eastAsia="en-AU"/>
              </w:rPr>
            </w:pPr>
            <w:r w:rsidRPr="00C10545">
              <w:rPr>
                <w:sz w:val="18"/>
                <w:szCs w:val="18"/>
                <w:lang w:eastAsia="en-AU"/>
              </w:rPr>
              <w:t>20%</w:t>
            </w:r>
          </w:p>
        </w:tc>
        <w:tc>
          <w:tcPr>
            <w:tcW w:w="666" w:type="dxa"/>
            <w:tcBorders>
              <w:top w:val="nil"/>
              <w:left w:val="nil"/>
              <w:bottom w:val="single" w:sz="4" w:space="0" w:color="auto"/>
              <w:right w:val="single" w:sz="4" w:space="0" w:color="auto"/>
            </w:tcBorders>
            <w:shd w:val="clear" w:color="auto" w:fill="auto"/>
            <w:noWrap/>
            <w:vAlign w:val="bottom"/>
            <w:hideMark/>
          </w:tcPr>
          <w:p w14:paraId="72BEAEA5" w14:textId="77777777" w:rsidR="009A356E" w:rsidRPr="00C10545" w:rsidRDefault="009A356E" w:rsidP="009A356E">
            <w:pPr>
              <w:jc w:val="right"/>
              <w:rPr>
                <w:sz w:val="18"/>
                <w:szCs w:val="18"/>
                <w:lang w:eastAsia="en-AU"/>
              </w:rPr>
            </w:pPr>
            <w:r w:rsidRPr="00C10545">
              <w:rPr>
                <w:sz w:val="18"/>
                <w:szCs w:val="18"/>
                <w:lang w:eastAsia="en-AU"/>
              </w:rPr>
              <w:t>21%</w:t>
            </w:r>
          </w:p>
        </w:tc>
        <w:tc>
          <w:tcPr>
            <w:tcW w:w="261" w:type="dxa"/>
            <w:tcBorders>
              <w:top w:val="nil"/>
              <w:left w:val="nil"/>
              <w:bottom w:val="single" w:sz="4" w:space="0" w:color="auto"/>
              <w:right w:val="single" w:sz="4" w:space="0" w:color="auto"/>
            </w:tcBorders>
            <w:shd w:val="clear" w:color="000000" w:fill="000000"/>
            <w:noWrap/>
            <w:vAlign w:val="bottom"/>
            <w:hideMark/>
          </w:tcPr>
          <w:p w14:paraId="183ED71F" w14:textId="77777777" w:rsidR="009A356E" w:rsidRPr="00C10545" w:rsidRDefault="009A356E" w:rsidP="009A356E">
            <w:pPr>
              <w:rPr>
                <w:sz w:val="18"/>
                <w:szCs w:val="18"/>
                <w:lang w:eastAsia="en-AU"/>
              </w:rPr>
            </w:pPr>
            <w:r w:rsidRPr="00C10545">
              <w:rPr>
                <w:sz w:val="18"/>
                <w:szCs w:val="18"/>
                <w:lang w:eastAsia="en-AU"/>
              </w:rPr>
              <w:t> </w:t>
            </w:r>
          </w:p>
        </w:tc>
        <w:tc>
          <w:tcPr>
            <w:tcW w:w="677" w:type="dxa"/>
            <w:tcBorders>
              <w:top w:val="nil"/>
              <w:left w:val="nil"/>
              <w:bottom w:val="single" w:sz="4" w:space="0" w:color="auto"/>
              <w:right w:val="single" w:sz="4" w:space="0" w:color="auto"/>
            </w:tcBorders>
            <w:shd w:val="clear" w:color="auto" w:fill="auto"/>
            <w:noWrap/>
            <w:vAlign w:val="bottom"/>
            <w:hideMark/>
          </w:tcPr>
          <w:p w14:paraId="3DCF7862" w14:textId="77777777" w:rsidR="009A356E" w:rsidRPr="00C10545" w:rsidRDefault="009A356E" w:rsidP="009A356E">
            <w:pPr>
              <w:jc w:val="right"/>
              <w:rPr>
                <w:sz w:val="18"/>
                <w:szCs w:val="18"/>
                <w:lang w:eastAsia="en-AU"/>
              </w:rPr>
            </w:pPr>
            <w:r w:rsidRPr="00C10545">
              <w:rPr>
                <w:sz w:val="18"/>
                <w:szCs w:val="18"/>
                <w:lang w:eastAsia="en-AU"/>
              </w:rPr>
              <w:t>21%</w:t>
            </w:r>
          </w:p>
        </w:tc>
        <w:tc>
          <w:tcPr>
            <w:tcW w:w="677" w:type="dxa"/>
            <w:tcBorders>
              <w:top w:val="nil"/>
              <w:left w:val="nil"/>
              <w:bottom w:val="single" w:sz="4" w:space="0" w:color="auto"/>
              <w:right w:val="single" w:sz="4" w:space="0" w:color="auto"/>
            </w:tcBorders>
            <w:shd w:val="clear" w:color="auto" w:fill="auto"/>
            <w:noWrap/>
            <w:vAlign w:val="bottom"/>
            <w:hideMark/>
          </w:tcPr>
          <w:p w14:paraId="5B4A2350" w14:textId="77777777" w:rsidR="009A356E" w:rsidRPr="00C10545" w:rsidRDefault="009A356E" w:rsidP="009A356E">
            <w:pPr>
              <w:jc w:val="right"/>
              <w:rPr>
                <w:sz w:val="18"/>
                <w:szCs w:val="18"/>
                <w:lang w:eastAsia="en-AU"/>
              </w:rPr>
            </w:pPr>
            <w:r w:rsidRPr="00C10545">
              <w:rPr>
                <w:sz w:val="18"/>
                <w:szCs w:val="18"/>
                <w:lang w:eastAsia="en-AU"/>
              </w:rPr>
              <w:t>18%</w:t>
            </w:r>
          </w:p>
        </w:tc>
        <w:tc>
          <w:tcPr>
            <w:tcW w:w="666" w:type="dxa"/>
            <w:tcBorders>
              <w:top w:val="nil"/>
              <w:left w:val="nil"/>
              <w:bottom w:val="single" w:sz="4" w:space="0" w:color="auto"/>
              <w:right w:val="single" w:sz="4" w:space="0" w:color="auto"/>
            </w:tcBorders>
            <w:shd w:val="clear" w:color="auto" w:fill="auto"/>
            <w:noWrap/>
            <w:vAlign w:val="bottom"/>
            <w:hideMark/>
          </w:tcPr>
          <w:p w14:paraId="46399A7D" w14:textId="77777777" w:rsidR="009A356E" w:rsidRPr="00C10545" w:rsidRDefault="009A356E" w:rsidP="009A356E">
            <w:pPr>
              <w:jc w:val="right"/>
              <w:rPr>
                <w:sz w:val="18"/>
                <w:szCs w:val="18"/>
                <w:lang w:eastAsia="en-AU"/>
              </w:rPr>
            </w:pPr>
            <w:r w:rsidRPr="00C10545">
              <w:rPr>
                <w:sz w:val="18"/>
                <w:szCs w:val="18"/>
                <w:lang w:eastAsia="en-AU"/>
              </w:rPr>
              <w:t>20%</w:t>
            </w:r>
          </w:p>
        </w:tc>
        <w:tc>
          <w:tcPr>
            <w:tcW w:w="261" w:type="dxa"/>
            <w:tcBorders>
              <w:top w:val="nil"/>
              <w:left w:val="nil"/>
              <w:bottom w:val="single" w:sz="4" w:space="0" w:color="auto"/>
              <w:right w:val="single" w:sz="4" w:space="0" w:color="auto"/>
            </w:tcBorders>
            <w:shd w:val="clear" w:color="000000" w:fill="000000"/>
            <w:noWrap/>
            <w:vAlign w:val="bottom"/>
            <w:hideMark/>
          </w:tcPr>
          <w:p w14:paraId="2AE892DD" w14:textId="77777777" w:rsidR="009A356E" w:rsidRPr="00C10545" w:rsidRDefault="009A356E" w:rsidP="009A356E">
            <w:pPr>
              <w:rPr>
                <w:sz w:val="18"/>
                <w:szCs w:val="18"/>
                <w:lang w:eastAsia="en-AU"/>
              </w:rPr>
            </w:pPr>
            <w:r w:rsidRPr="00C10545">
              <w:rPr>
                <w:sz w:val="18"/>
                <w:szCs w:val="18"/>
                <w:lang w:eastAsia="en-AU"/>
              </w:rPr>
              <w:t> </w:t>
            </w:r>
          </w:p>
        </w:tc>
        <w:tc>
          <w:tcPr>
            <w:tcW w:w="677" w:type="dxa"/>
            <w:tcBorders>
              <w:top w:val="nil"/>
              <w:left w:val="nil"/>
              <w:bottom w:val="single" w:sz="4" w:space="0" w:color="auto"/>
              <w:right w:val="single" w:sz="4" w:space="0" w:color="auto"/>
            </w:tcBorders>
            <w:shd w:val="clear" w:color="auto" w:fill="auto"/>
            <w:noWrap/>
            <w:vAlign w:val="bottom"/>
            <w:hideMark/>
          </w:tcPr>
          <w:p w14:paraId="3756FFE1" w14:textId="77777777" w:rsidR="009A356E" w:rsidRPr="00C10545" w:rsidRDefault="009A356E" w:rsidP="009A356E">
            <w:pPr>
              <w:jc w:val="right"/>
              <w:rPr>
                <w:sz w:val="18"/>
                <w:szCs w:val="18"/>
                <w:lang w:eastAsia="en-AU"/>
              </w:rPr>
            </w:pPr>
            <w:r w:rsidRPr="00C10545">
              <w:rPr>
                <w:sz w:val="18"/>
                <w:szCs w:val="18"/>
                <w:lang w:eastAsia="en-AU"/>
              </w:rPr>
              <w:t>21%</w:t>
            </w:r>
          </w:p>
        </w:tc>
        <w:tc>
          <w:tcPr>
            <w:tcW w:w="677" w:type="dxa"/>
            <w:tcBorders>
              <w:top w:val="nil"/>
              <w:left w:val="nil"/>
              <w:bottom w:val="single" w:sz="4" w:space="0" w:color="auto"/>
              <w:right w:val="single" w:sz="4" w:space="0" w:color="auto"/>
            </w:tcBorders>
            <w:shd w:val="clear" w:color="auto" w:fill="auto"/>
            <w:noWrap/>
            <w:vAlign w:val="bottom"/>
            <w:hideMark/>
          </w:tcPr>
          <w:p w14:paraId="1FA31B2E" w14:textId="77777777" w:rsidR="009A356E" w:rsidRPr="00C10545" w:rsidRDefault="009A356E" w:rsidP="009A356E">
            <w:pPr>
              <w:jc w:val="right"/>
              <w:rPr>
                <w:sz w:val="18"/>
                <w:szCs w:val="18"/>
                <w:lang w:eastAsia="en-AU"/>
              </w:rPr>
            </w:pPr>
            <w:r w:rsidRPr="00C10545">
              <w:rPr>
                <w:sz w:val="18"/>
                <w:szCs w:val="18"/>
                <w:lang w:eastAsia="en-AU"/>
              </w:rPr>
              <w:t>18%</w:t>
            </w:r>
          </w:p>
        </w:tc>
        <w:tc>
          <w:tcPr>
            <w:tcW w:w="666" w:type="dxa"/>
            <w:tcBorders>
              <w:top w:val="nil"/>
              <w:left w:val="nil"/>
              <w:bottom w:val="single" w:sz="4" w:space="0" w:color="auto"/>
              <w:right w:val="single" w:sz="4" w:space="0" w:color="auto"/>
            </w:tcBorders>
            <w:shd w:val="clear" w:color="auto" w:fill="auto"/>
            <w:noWrap/>
            <w:vAlign w:val="bottom"/>
            <w:hideMark/>
          </w:tcPr>
          <w:p w14:paraId="4F566F47" w14:textId="77777777" w:rsidR="009A356E" w:rsidRPr="00C10545" w:rsidRDefault="009A356E" w:rsidP="009A356E">
            <w:pPr>
              <w:jc w:val="right"/>
              <w:rPr>
                <w:sz w:val="18"/>
                <w:szCs w:val="18"/>
                <w:lang w:eastAsia="en-AU"/>
              </w:rPr>
            </w:pPr>
            <w:r w:rsidRPr="00C10545">
              <w:rPr>
                <w:sz w:val="18"/>
                <w:szCs w:val="18"/>
                <w:lang w:eastAsia="en-AU"/>
              </w:rPr>
              <w:t>20%</w:t>
            </w:r>
          </w:p>
        </w:tc>
      </w:tr>
      <w:tr w:rsidR="009A356E" w:rsidRPr="00824954" w14:paraId="163DD43C" w14:textId="77777777" w:rsidTr="009A356E">
        <w:trPr>
          <w:trHeight w:val="24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5D5EADC0" w14:textId="77777777" w:rsidR="009A356E" w:rsidRPr="00C10545" w:rsidRDefault="009A356E" w:rsidP="009A356E">
            <w:pPr>
              <w:rPr>
                <w:sz w:val="18"/>
                <w:szCs w:val="18"/>
                <w:lang w:eastAsia="en-AU"/>
              </w:rPr>
            </w:pPr>
            <w:r w:rsidRPr="00C10545">
              <w:rPr>
                <w:sz w:val="18"/>
                <w:szCs w:val="18"/>
                <w:lang w:eastAsia="en-AU"/>
              </w:rPr>
              <w:t>Small Shires</w:t>
            </w:r>
          </w:p>
        </w:tc>
        <w:tc>
          <w:tcPr>
            <w:tcW w:w="677" w:type="dxa"/>
            <w:tcBorders>
              <w:top w:val="nil"/>
              <w:left w:val="nil"/>
              <w:bottom w:val="single" w:sz="4" w:space="0" w:color="auto"/>
              <w:right w:val="single" w:sz="4" w:space="0" w:color="auto"/>
            </w:tcBorders>
            <w:shd w:val="clear" w:color="auto" w:fill="auto"/>
            <w:noWrap/>
            <w:vAlign w:val="bottom"/>
            <w:hideMark/>
          </w:tcPr>
          <w:p w14:paraId="143C9570" w14:textId="77777777" w:rsidR="009A356E" w:rsidRPr="00C10545" w:rsidRDefault="009A356E" w:rsidP="009A356E">
            <w:pPr>
              <w:jc w:val="right"/>
              <w:rPr>
                <w:sz w:val="18"/>
                <w:szCs w:val="18"/>
                <w:lang w:eastAsia="en-AU"/>
              </w:rPr>
            </w:pPr>
            <w:r w:rsidRPr="00C10545">
              <w:rPr>
                <w:sz w:val="18"/>
                <w:szCs w:val="18"/>
                <w:lang w:eastAsia="en-AU"/>
              </w:rPr>
              <w:t>11%</w:t>
            </w:r>
          </w:p>
        </w:tc>
        <w:tc>
          <w:tcPr>
            <w:tcW w:w="677" w:type="dxa"/>
            <w:tcBorders>
              <w:top w:val="nil"/>
              <w:left w:val="nil"/>
              <w:bottom w:val="single" w:sz="4" w:space="0" w:color="auto"/>
              <w:right w:val="single" w:sz="4" w:space="0" w:color="auto"/>
            </w:tcBorders>
            <w:shd w:val="clear" w:color="auto" w:fill="auto"/>
            <w:noWrap/>
            <w:vAlign w:val="bottom"/>
            <w:hideMark/>
          </w:tcPr>
          <w:p w14:paraId="733DB8BC" w14:textId="77777777" w:rsidR="009A356E" w:rsidRPr="00C10545" w:rsidRDefault="009A356E" w:rsidP="009A356E">
            <w:pPr>
              <w:jc w:val="right"/>
              <w:rPr>
                <w:sz w:val="18"/>
                <w:szCs w:val="18"/>
                <w:lang w:eastAsia="en-AU"/>
              </w:rPr>
            </w:pPr>
            <w:r w:rsidRPr="00C10545">
              <w:rPr>
                <w:sz w:val="18"/>
                <w:szCs w:val="18"/>
                <w:lang w:eastAsia="en-AU"/>
              </w:rPr>
              <w:t>20%</w:t>
            </w:r>
          </w:p>
        </w:tc>
        <w:tc>
          <w:tcPr>
            <w:tcW w:w="666" w:type="dxa"/>
            <w:tcBorders>
              <w:top w:val="nil"/>
              <w:left w:val="nil"/>
              <w:bottom w:val="single" w:sz="4" w:space="0" w:color="auto"/>
              <w:right w:val="single" w:sz="4" w:space="0" w:color="auto"/>
            </w:tcBorders>
            <w:shd w:val="clear" w:color="auto" w:fill="auto"/>
            <w:noWrap/>
            <w:vAlign w:val="bottom"/>
            <w:hideMark/>
          </w:tcPr>
          <w:p w14:paraId="21E4F657" w14:textId="77777777" w:rsidR="009A356E" w:rsidRPr="00C10545" w:rsidRDefault="009A356E" w:rsidP="009A356E">
            <w:pPr>
              <w:jc w:val="right"/>
              <w:rPr>
                <w:sz w:val="18"/>
                <w:szCs w:val="18"/>
                <w:lang w:eastAsia="en-AU"/>
              </w:rPr>
            </w:pPr>
            <w:r w:rsidRPr="00C10545">
              <w:rPr>
                <w:sz w:val="18"/>
                <w:szCs w:val="18"/>
                <w:lang w:eastAsia="en-AU"/>
              </w:rPr>
              <w:t>13%</w:t>
            </w:r>
          </w:p>
        </w:tc>
        <w:tc>
          <w:tcPr>
            <w:tcW w:w="261" w:type="dxa"/>
            <w:tcBorders>
              <w:top w:val="nil"/>
              <w:left w:val="nil"/>
              <w:bottom w:val="single" w:sz="4" w:space="0" w:color="auto"/>
              <w:right w:val="single" w:sz="4" w:space="0" w:color="auto"/>
            </w:tcBorders>
            <w:shd w:val="clear" w:color="000000" w:fill="000000"/>
            <w:noWrap/>
            <w:vAlign w:val="bottom"/>
            <w:hideMark/>
          </w:tcPr>
          <w:p w14:paraId="67CB2C9D" w14:textId="77777777" w:rsidR="009A356E" w:rsidRPr="00C10545" w:rsidRDefault="009A356E" w:rsidP="009A356E">
            <w:pPr>
              <w:rPr>
                <w:sz w:val="18"/>
                <w:szCs w:val="18"/>
                <w:lang w:eastAsia="en-AU"/>
              </w:rPr>
            </w:pPr>
            <w:r w:rsidRPr="00C10545">
              <w:rPr>
                <w:sz w:val="18"/>
                <w:szCs w:val="18"/>
                <w:lang w:eastAsia="en-AU"/>
              </w:rPr>
              <w:t> </w:t>
            </w:r>
          </w:p>
        </w:tc>
        <w:tc>
          <w:tcPr>
            <w:tcW w:w="677" w:type="dxa"/>
            <w:tcBorders>
              <w:top w:val="nil"/>
              <w:left w:val="nil"/>
              <w:bottom w:val="single" w:sz="4" w:space="0" w:color="auto"/>
              <w:right w:val="single" w:sz="4" w:space="0" w:color="auto"/>
            </w:tcBorders>
            <w:shd w:val="clear" w:color="auto" w:fill="auto"/>
            <w:noWrap/>
            <w:vAlign w:val="bottom"/>
            <w:hideMark/>
          </w:tcPr>
          <w:p w14:paraId="787B6809" w14:textId="77777777" w:rsidR="009A356E" w:rsidRPr="00C10545" w:rsidRDefault="009A356E" w:rsidP="009A356E">
            <w:pPr>
              <w:jc w:val="right"/>
              <w:rPr>
                <w:sz w:val="18"/>
                <w:szCs w:val="18"/>
                <w:lang w:eastAsia="en-AU"/>
              </w:rPr>
            </w:pPr>
            <w:r w:rsidRPr="00C10545">
              <w:rPr>
                <w:sz w:val="18"/>
                <w:szCs w:val="18"/>
                <w:lang w:eastAsia="en-AU"/>
              </w:rPr>
              <w:t>15%</w:t>
            </w:r>
          </w:p>
        </w:tc>
        <w:tc>
          <w:tcPr>
            <w:tcW w:w="677" w:type="dxa"/>
            <w:tcBorders>
              <w:top w:val="nil"/>
              <w:left w:val="nil"/>
              <w:bottom w:val="single" w:sz="4" w:space="0" w:color="auto"/>
              <w:right w:val="single" w:sz="4" w:space="0" w:color="auto"/>
            </w:tcBorders>
            <w:shd w:val="clear" w:color="auto" w:fill="auto"/>
            <w:noWrap/>
            <w:vAlign w:val="bottom"/>
            <w:hideMark/>
          </w:tcPr>
          <w:p w14:paraId="31531BC7" w14:textId="77777777" w:rsidR="009A356E" w:rsidRPr="00C10545" w:rsidRDefault="009A356E" w:rsidP="009A356E">
            <w:pPr>
              <w:jc w:val="right"/>
              <w:rPr>
                <w:sz w:val="18"/>
                <w:szCs w:val="18"/>
                <w:lang w:eastAsia="en-AU"/>
              </w:rPr>
            </w:pPr>
            <w:r w:rsidRPr="00C10545">
              <w:rPr>
                <w:sz w:val="18"/>
                <w:szCs w:val="18"/>
                <w:lang w:eastAsia="en-AU"/>
              </w:rPr>
              <w:t>25%</w:t>
            </w:r>
          </w:p>
        </w:tc>
        <w:tc>
          <w:tcPr>
            <w:tcW w:w="666" w:type="dxa"/>
            <w:tcBorders>
              <w:top w:val="nil"/>
              <w:left w:val="nil"/>
              <w:bottom w:val="single" w:sz="4" w:space="0" w:color="auto"/>
              <w:right w:val="single" w:sz="4" w:space="0" w:color="auto"/>
            </w:tcBorders>
            <w:shd w:val="clear" w:color="auto" w:fill="auto"/>
            <w:noWrap/>
            <w:vAlign w:val="bottom"/>
            <w:hideMark/>
          </w:tcPr>
          <w:p w14:paraId="5C5D7A88" w14:textId="77777777" w:rsidR="009A356E" w:rsidRPr="00C10545" w:rsidRDefault="009A356E" w:rsidP="009A356E">
            <w:pPr>
              <w:jc w:val="right"/>
              <w:rPr>
                <w:sz w:val="18"/>
                <w:szCs w:val="18"/>
                <w:lang w:eastAsia="en-AU"/>
              </w:rPr>
            </w:pPr>
            <w:r w:rsidRPr="00C10545">
              <w:rPr>
                <w:sz w:val="18"/>
                <w:szCs w:val="18"/>
                <w:lang w:eastAsia="en-AU"/>
              </w:rPr>
              <w:t>18%</w:t>
            </w:r>
          </w:p>
        </w:tc>
        <w:tc>
          <w:tcPr>
            <w:tcW w:w="261" w:type="dxa"/>
            <w:tcBorders>
              <w:top w:val="nil"/>
              <w:left w:val="nil"/>
              <w:bottom w:val="single" w:sz="4" w:space="0" w:color="auto"/>
              <w:right w:val="single" w:sz="4" w:space="0" w:color="auto"/>
            </w:tcBorders>
            <w:shd w:val="clear" w:color="000000" w:fill="000000"/>
            <w:noWrap/>
            <w:vAlign w:val="bottom"/>
            <w:hideMark/>
          </w:tcPr>
          <w:p w14:paraId="09329A10" w14:textId="77777777" w:rsidR="009A356E" w:rsidRPr="00C10545" w:rsidRDefault="009A356E" w:rsidP="009A356E">
            <w:pPr>
              <w:rPr>
                <w:sz w:val="18"/>
                <w:szCs w:val="18"/>
                <w:lang w:eastAsia="en-AU"/>
              </w:rPr>
            </w:pPr>
            <w:r w:rsidRPr="00C10545">
              <w:rPr>
                <w:sz w:val="18"/>
                <w:szCs w:val="18"/>
                <w:lang w:eastAsia="en-AU"/>
              </w:rPr>
              <w:t> </w:t>
            </w:r>
          </w:p>
        </w:tc>
        <w:tc>
          <w:tcPr>
            <w:tcW w:w="677" w:type="dxa"/>
            <w:tcBorders>
              <w:top w:val="nil"/>
              <w:left w:val="nil"/>
              <w:bottom w:val="single" w:sz="4" w:space="0" w:color="auto"/>
              <w:right w:val="single" w:sz="4" w:space="0" w:color="auto"/>
            </w:tcBorders>
            <w:shd w:val="clear" w:color="auto" w:fill="auto"/>
            <w:noWrap/>
            <w:vAlign w:val="bottom"/>
            <w:hideMark/>
          </w:tcPr>
          <w:p w14:paraId="754D0571" w14:textId="77777777" w:rsidR="009A356E" w:rsidRPr="00C10545" w:rsidRDefault="009A356E" w:rsidP="009A356E">
            <w:pPr>
              <w:jc w:val="right"/>
              <w:rPr>
                <w:sz w:val="18"/>
                <w:szCs w:val="18"/>
                <w:lang w:eastAsia="en-AU"/>
              </w:rPr>
            </w:pPr>
            <w:r w:rsidRPr="00C10545">
              <w:rPr>
                <w:sz w:val="18"/>
                <w:szCs w:val="18"/>
                <w:lang w:eastAsia="en-AU"/>
              </w:rPr>
              <w:t>15%</w:t>
            </w:r>
          </w:p>
        </w:tc>
        <w:tc>
          <w:tcPr>
            <w:tcW w:w="677" w:type="dxa"/>
            <w:tcBorders>
              <w:top w:val="nil"/>
              <w:left w:val="nil"/>
              <w:bottom w:val="single" w:sz="4" w:space="0" w:color="auto"/>
              <w:right w:val="single" w:sz="4" w:space="0" w:color="auto"/>
            </w:tcBorders>
            <w:shd w:val="clear" w:color="auto" w:fill="auto"/>
            <w:noWrap/>
            <w:vAlign w:val="bottom"/>
            <w:hideMark/>
          </w:tcPr>
          <w:p w14:paraId="26D6B1A5" w14:textId="77777777" w:rsidR="009A356E" w:rsidRPr="00C10545" w:rsidRDefault="009A356E" w:rsidP="009A356E">
            <w:pPr>
              <w:jc w:val="right"/>
              <w:rPr>
                <w:sz w:val="18"/>
                <w:szCs w:val="18"/>
                <w:lang w:eastAsia="en-AU"/>
              </w:rPr>
            </w:pPr>
            <w:r w:rsidRPr="00C10545">
              <w:rPr>
                <w:sz w:val="18"/>
                <w:szCs w:val="18"/>
                <w:lang w:eastAsia="en-AU"/>
              </w:rPr>
              <w:t>25%</w:t>
            </w:r>
          </w:p>
        </w:tc>
        <w:tc>
          <w:tcPr>
            <w:tcW w:w="666" w:type="dxa"/>
            <w:tcBorders>
              <w:top w:val="nil"/>
              <w:left w:val="nil"/>
              <w:bottom w:val="single" w:sz="4" w:space="0" w:color="auto"/>
              <w:right w:val="single" w:sz="4" w:space="0" w:color="auto"/>
            </w:tcBorders>
            <w:shd w:val="clear" w:color="auto" w:fill="auto"/>
            <w:noWrap/>
            <w:vAlign w:val="bottom"/>
            <w:hideMark/>
          </w:tcPr>
          <w:p w14:paraId="1569C882" w14:textId="77777777" w:rsidR="009A356E" w:rsidRPr="00C10545" w:rsidRDefault="009A356E" w:rsidP="009A356E">
            <w:pPr>
              <w:jc w:val="right"/>
              <w:rPr>
                <w:sz w:val="18"/>
                <w:szCs w:val="18"/>
                <w:lang w:eastAsia="en-AU"/>
              </w:rPr>
            </w:pPr>
            <w:r w:rsidRPr="00C10545">
              <w:rPr>
                <w:sz w:val="18"/>
                <w:szCs w:val="18"/>
                <w:lang w:eastAsia="en-AU"/>
              </w:rPr>
              <w:t>18%</w:t>
            </w:r>
          </w:p>
        </w:tc>
      </w:tr>
      <w:tr w:rsidR="009A356E" w:rsidRPr="00824954" w14:paraId="1FFC4298" w14:textId="77777777" w:rsidTr="009A356E">
        <w:trPr>
          <w:trHeight w:val="24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5D03AD54" w14:textId="77777777" w:rsidR="009A356E" w:rsidRPr="00C10545" w:rsidRDefault="009A356E" w:rsidP="009A356E">
            <w:pPr>
              <w:rPr>
                <w:sz w:val="18"/>
                <w:szCs w:val="18"/>
                <w:lang w:eastAsia="en-AU"/>
              </w:rPr>
            </w:pPr>
            <w:r w:rsidRPr="00C10545">
              <w:rPr>
                <w:sz w:val="18"/>
                <w:szCs w:val="18"/>
                <w:lang w:eastAsia="en-AU"/>
              </w:rPr>
              <w:t>All</w:t>
            </w:r>
          </w:p>
        </w:tc>
        <w:tc>
          <w:tcPr>
            <w:tcW w:w="677" w:type="dxa"/>
            <w:tcBorders>
              <w:top w:val="nil"/>
              <w:left w:val="nil"/>
              <w:bottom w:val="single" w:sz="4" w:space="0" w:color="auto"/>
              <w:right w:val="single" w:sz="4" w:space="0" w:color="auto"/>
            </w:tcBorders>
            <w:shd w:val="clear" w:color="auto" w:fill="auto"/>
            <w:noWrap/>
            <w:vAlign w:val="bottom"/>
            <w:hideMark/>
          </w:tcPr>
          <w:p w14:paraId="711D5DCF" w14:textId="77777777" w:rsidR="009A356E" w:rsidRPr="00C10545" w:rsidRDefault="009A356E" w:rsidP="009A356E">
            <w:pPr>
              <w:jc w:val="right"/>
              <w:rPr>
                <w:sz w:val="18"/>
                <w:szCs w:val="18"/>
                <w:lang w:eastAsia="en-AU"/>
              </w:rPr>
            </w:pPr>
            <w:r w:rsidRPr="00C10545">
              <w:rPr>
                <w:sz w:val="18"/>
                <w:szCs w:val="18"/>
                <w:lang w:eastAsia="en-AU"/>
              </w:rPr>
              <w:t>100%</w:t>
            </w:r>
          </w:p>
        </w:tc>
        <w:tc>
          <w:tcPr>
            <w:tcW w:w="677" w:type="dxa"/>
            <w:tcBorders>
              <w:top w:val="nil"/>
              <w:left w:val="nil"/>
              <w:bottom w:val="single" w:sz="4" w:space="0" w:color="auto"/>
              <w:right w:val="single" w:sz="4" w:space="0" w:color="auto"/>
            </w:tcBorders>
            <w:shd w:val="clear" w:color="auto" w:fill="auto"/>
            <w:noWrap/>
            <w:vAlign w:val="bottom"/>
            <w:hideMark/>
          </w:tcPr>
          <w:p w14:paraId="0EA4B66E" w14:textId="77777777" w:rsidR="009A356E" w:rsidRPr="00C10545" w:rsidRDefault="009A356E" w:rsidP="009A356E">
            <w:pPr>
              <w:jc w:val="right"/>
              <w:rPr>
                <w:sz w:val="18"/>
                <w:szCs w:val="18"/>
                <w:lang w:eastAsia="en-AU"/>
              </w:rPr>
            </w:pPr>
            <w:r w:rsidRPr="00C10545">
              <w:rPr>
                <w:sz w:val="18"/>
                <w:szCs w:val="18"/>
                <w:lang w:eastAsia="en-AU"/>
              </w:rPr>
              <w:t>100%</w:t>
            </w:r>
          </w:p>
        </w:tc>
        <w:tc>
          <w:tcPr>
            <w:tcW w:w="666" w:type="dxa"/>
            <w:tcBorders>
              <w:top w:val="nil"/>
              <w:left w:val="nil"/>
              <w:bottom w:val="single" w:sz="4" w:space="0" w:color="auto"/>
              <w:right w:val="single" w:sz="4" w:space="0" w:color="auto"/>
            </w:tcBorders>
            <w:shd w:val="clear" w:color="auto" w:fill="auto"/>
            <w:noWrap/>
            <w:vAlign w:val="bottom"/>
            <w:hideMark/>
          </w:tcPr>
          <w:p w14:paraId="5FF7408C" w14:textId="77777777" w:rsidR="009A356E" w:rsidRPr="00C10545" w:rsidRDefault="009A356E" w:rsidP="009A356E">
            <w:pPr>
              <w:jc w:val="right"/>
              <w:rPr>
                <w:sz w:val="18"/>
                <w:szCs w:val="18"/>
                <w:lang w:eastAsia="en-AU"/>
              </w:rPr>
            </w:pPr>
            <w:r w:rsidRPr="00C10545">
              <w:rPr>
                <w:sz w:val="18"/>
                <w:szCs w:val="18"/>
                <w:lang w:eastAsia="en-AU"/>
              </w:rPr>
              <w:t>100%</w:t>
            </w:r>
          </w:p>
        </w:tc>
        <w:tc>
          <w:tcPr>
            <w:tcW w:w="261" w:type="dxa"/>
            <w:tcBorders>
              <w:top w:val="nil"/>
              <w:left w:val="nil"/>
              <w:bottom w:val="single" w:sz="4" w:space="0" w:color="auto"/>
              <w:right w:val="single" w:sz="4" w:space="0" w:color="auto"/>
            </w:tcBorders>
            <w:shd w:val="clear" w:color="000000" w:fill="000000"/>
            <w:noWrap/>
            <w:vAlign w:val="bottom"/>
            <w:hideMark/>
          </w:tcPr>
          <w:p w14:paraId="2B74299B" w14:textId="77777777" w:rsidR="009A356E" w:rsidRPr="00C10545" w:rsidRDefault="009A356E" w:rsidP="009A356E">
            <w:pPr>
              <w:rPr>
                <w:sz w:val="18"/>
                <w:szCs w:val="18"/>
                <w:lang w:eastAsia="en-AU"/>
              </w:rPr>
            </w:pPr>
            <w:r w:rsidRPr="00C10545">
              <w:rPr>
                <w:sz w:val="18"/>
                <w:szCs w:val="18"/>
                <w:lang w:eastAsia="en-AU"/>
              </w:rPr>
              <w:t> </w:t>
            </w:r>
          </w:p>
        </w:tc>
        <w:tc>
          <w:tcPr>
            <w:tcW w:w="677" w:type="dxa"/>
            <w:tcBorders>
              <w:top w:val="nil"/>
              <w:left w:val="nil"/>
              <w:bottom w:val="single" w:sz="4" w:space="0" w:color="auto"/>
              <w:right w:val="single" w:sz="4" w:space="0" w:color="auto"/>
            </w:tcBorders>
            <w:shd w:val="clear" w:color="auto" w:fill="auto"/>
            <w:noWrap/>
            <w:vAlign w:val="bottom"/>
            <w:hideMark/>
          </w:tcPr>
          <w:p w14:paraId="226CE49F" w14:textId="77777777" w:rsidR="009A356E" w:rsidRPr="00C10545" w:rsidRDefault="009A356E" w:rsidP="009A356E">
            <w:pPr>
              <w:jc w:val="right"/>
              <w:rPr>
                <w:sz w:val="18"/>
                <w:szCs w:val="18"/>
                <w:lang w:eastAsia="en-AU"/>
              </w:rPr>
            </w:pPr>
            <w:r w:rsidRPr="00C10545">
              <w:rPr>
                <w:sz w:val="18"/>
                <w:szCs w:val="18"/>
                <w:lang w:eastAsia="en-AU"/>
              </w:rPr>
              <w:t>100%</w:t>
            </w:r>
          </w:p>
        </w:tc>
        <w:tc>
          <w:tcPr>
            <w:tcW w:w="677" w:type="dxa"/>
            <w:tcBorders>
              <w:top w:val="nil"/>
              <w:left w:val="nil"/>
              <w:bottom w:val="single" w:sz="4" w:space="0" w:color="auto"/>
              <w:right w:val="single" w:sz="4" w:space="0" w:color="auto"/>
            </w:tcBorders>
            <w:shd w:val="clear" w:color="auto" w:fill="auto"/>
            <w:noWrap/>
            <w:vAlign w:val="bottom"/>
            <w:hideMark/>
          </w:tcPr>
          <w:p w14:paraId="468B5BE9" w14:textId="77777777" w:rsidR="009A356E" w:rsidRPr="00C10545" w:rsidRDefault="009A356E" w:rsidP="009A356E">
            <w:pPr>
              <w:jc w:val="right"/>
              <w:rPr>
                <w:sz w:val="18"/>
                <w:szCs w:val="18"/>
                <w:lang w:eastAsia="en-AU"/>
              </w:rPr>
            </w:pPr>
            <w:r w:rsidRPr="00C10545">
              <w:rPr>
                <w:sz w:val="18"/>
                <w:szCs w:val="18"/>
                <w:lang w:eastAsia="en-AU"/>
              </w:rPr>
              <w:t>100%</w:t>
            </w:r>
          </w:p>
        </w:tc>
        <w:tc>
          <w:tcPr>
            <w:tcW w:w="666" w:type="dxa"/>
            <w:tcBorders>
              <w:top w:val="nil"/>
              <w:left w:val="nil"/>
              <w:bottom w:val="single" w:sz="4" w:space="0" w:color="auto"/>
              <w:right w:val="single" w:sz="4" w:space="0" w:color="auto"/>
            </w:tcBorders>
            <w:shd w:val="clear" w:color="auto" w:fill="auto"/>
            <w:noWrap/>
            <w:vAlign w:val="bottom"/>
            <w:hideMark/>
          </w:tcPr>
          <w:p w14:paraId="6B51E3AA" w14:textId="77777777" w:rsidR="009A356E" w:rsidRPr="00C10545" w:rsidRDefault="009A356E" w:rsidP="009A356E">
            <w:pPr>
              <w:jc w:val="right"/>
              <w:rPr>
                <w:sz w:val="18"/>
                <w:szCs w:val="18"/>
                <w:lang w:eastAsia="en-AU"/>
              </w:rPr>
            </w:pPr>
            <w:r w:rsidRPr="00C10545">
              <w:rPr>
                <w:sz w:val="18"/>
                <w:szCs w:val="18"/>
                <w:lang w:eastAsia="en-AU"/>
              </w:rPr>
              <w:t>100%</w:t>
            </w:r>
          </w:p>
        </w:tc>
        <w:tc>
          <w:tcPr>
            <w:tcW w:w="261" w:type="dxa"/>
            <w:tcBorders>
              <w:top w:val="nil"/>
              <w:left w:val="nil"/>
              <w:bottom w:val="single" w:sz="4" w:space="0" w:color="auto"/>
              <w:right w:val="single" w:sz="4" w:space="0" w:color="auto"/>
            </w:tcBorders>
            <w:shd w:val="clear" w:color="000000" w:fill="000000"/>
            <w:noWrap/>
            <w:vAlign w:val="bottom"/>
            <w:hideMark/>
          </w:tcPr>
          <w:p w14:paraId="3F97F1C9" w14:textId="77777777" w:rsidR="009A356E" w:rsidRPr="00C10545" w:rsidRDefault="009A356E" w:rsidP="009A356E">
            <w:pPr>
              <w:rPr>
                <w:sz w:val="18"/>
                <w:szCs w:val="18"/>
                <w:lang w:eastAsia="en-AU"/>
              </w:rPr>
            </w:pPr>
            <w:r w:rsidRPr="00C10545">
              <w:rPr>
                <w:sz w:val="18"/>
                <w:szCs w:val="18"/>
                <w:lang w:eastAsia="en-AU"/>
              </w:rPr>
              <w:t> </w:t>
            </w:r>
          </w:p>
        </w:tc>
        <w:tc>
          <w:tcPr>
            <w:tcW w:w="677" w:type="dxa"/>
            <w:tcBorders>
              <w:top w:val="nil"/>
              <w:left w:val="nil"/>
              <w:bottom w:val="single" w:sz="4" w:space="0" w:color="auto"/>
              <w:right w:val="single" w:sz="4" w:space="0" w:color="auto"/>
            </w:tcBorders>
            <w:shd w:val="clear" w:color="auto" w:fill="auto"/>
            <w:noWrap/>
            <w:vAlign w:val="bottom"/>
            <w:hideMark/>
          </w:tcPr>
          <w:p w14:paraId="43237D9E" w14:textId="77777777" w:rsidR="009A356E" w:rsidRPr="00C10545" w:rsidRDefault="009A356E" w:rsidP="009A356E">
            <w:pPr>
              <w:jc w:val="right"/>
              <w:rPr>
                <w:sz w:val="18"/>
                <w:szCs w:val="18"/>
                <w:lang w:eastAsia="en-AU"/>
              </w:rPr>
            </w:pPr>
            <w:r w:rsidRPr="00C10545">
              <w:rPr>
                <w:sz w:val="18"/>
                <w:szCs w:val="18"/>
                <w:lang w:eastAsia="en-AU"/>
              </w:rPr>
              <w:t>100%</w:t>
            </w:r>
          </w:p>
        </w:tc>
        <w:tc>
          <w:tcPr>
            <w:tcW w:w="677" w:type="dxa"/>
            <w:tcBorders>
              <w:top w:val="nil"/>
              <w:left w:val="nil"/>
              <w:bottom w:val="single" w:sz="4" w:space="0" w:color="auto"/>
              <w:right w:val="single" w:sz="4" w:space="0" w:color="auto"/>
            </w:tcBorders>
            <w:shd w:val="clear" w:color="auto" w:fill="auto"/>
            <w:noWrap/>
            <w:vAlign w:val="bottom"/>
            <w:hideMark/>
          </w:tcPr>
          <w:p w14:paraId="4396E8D2" w14:textId="77777777" w:rsidR="009A356E" w:rsidRPr="00C10545" w:rsidRDefault="009A356E" w:rsidP="009A356E">
            <w:pPr>
              <w:jc w:val="right"/>
              <w:rPr>
                <w:sz w:val="18"/>
                <w:szCs w:val="18"/>
                <w:lang w:eastAsia="en-AU"/>
              </w:rPr>
            </w:pPr>
            <w:r w:rsidRPr="00C10545">
              <w:rPr>
                <w:sz w:val="18"/>
                <w:szCs w:val="18"/>
                <w:lang w:eastAsia="en-AU"/>
              </w:rPr>
              <w:t>100%</w:t>
            </w:r>
          </w:p>
        </w:tc>
        <w:tc>
          <w:tcPr>
            <w:tcW w:w="666" w:type="dxa"/>
            <w:tcBorders>
              <w:top w:val="nil"/>
              <w:left w:val="nil"/>
              <w:bottom w:val="single" w:sz="4" w:space="0" w:color="auto"/>
              <w:right w:val="single" w:sz="4" w:space="0" w:color="auto"/>
            </w:tcBorders>
            <w:shd w:val="clear" w:color="auto" w:fill="auto"/>
            <w:noWrap/>
            <w:vAlign w:val="bottom"/>
            <w:hideMark/>
          </w:tcPr>
          <w:p w14:paraId="0F6E92A3" w14:textId="77777777" w:rsidR="009A356E" w:rsidRPr="00C10545" w:rsidRDefault="009A356E" w:rsidP="009A356E">
            <w:pPr>
              <w:jc w:val="right"/>
              <w:rPr>
                <w:sz w:val="18"/>
                <w:szCs w:val="18"/>
                <w:lang w:eastAsia="en-AU"/>
              </w:rPr>
            </w:pPr>
            <w:r w:rsidRPr="00C10545">
              <w:rPr>
                <w:sz w:val="18"/>
                <w:szCs w:val="18"/>
                <w:lang w:eastAsia="en-AU"/>
              </w:rPr>
              <w:t>100%</w:t>
            </w:r>
          </w:p>
        </w:tc>
      </w:tr>
      <w:tr w:rsidR="009A356E" w:rsidRPr="00824954" w14:paraId="0057B360" w14:textId="77777777" w:rsidTr="009A356E">
        <w:trPr>
          <w:trHeight w:val="240"/>
        </w:trPr>
        <w:tc>
          <w:tcPr>
            <w:tcW w:w="2520" w:type="dxa"/>
            <w:tcBorders>
              <w:top w:val="nil"/>
              <w:left w:val="single" w:sz="4" w:space="0" w:color="auto"/>
              <w:bottom w:val="single" w:sz="4" w:space="0" w:color="auto"/>
              <w:right w:val="single" w:sz="4" w:space="0" w:color="auto"/>
            </w:tcBorders>
            <w:shd w:val="clear" w:color="000000" w:fill="000000"/>
            <w:noWrap/>
            <w:vAlign w:val="bottom"/>
            <w:hideMark/>
          </w:tcPr>
          <w:p w14:paraId="2B9390B8" w14:textId="77777777" w:rsidR="009A356E" w:rsidRPr="00C10545" w:rsidRDefault="009A356E" w:rsidP="009A356E">
            <w:pPr>
              <w:rPr>
                <w:sz w:val="18"/>
                <w:szCs w:val="18"/>
                <w:lang w:eastAsia="en-AU"/>
              </w:rPr>
            </w:pPr>
            <w:r w:rsidRPr="00C10545">
              <w:rPr>
                <w:sz w:val="18"/>
                <w:szCs w:val="18"/>
                <w:lang w:eastAsia="en-AU"/>
              </w:rPr>
              <w:t> </w:t>
            </w:r>
          </w:p>
        </w:tc>
        <w:tc>
          <w:tcPr>
            <w:tcW w:w="677" w:type="dxa"/>
            <w:tcBorders>
              <w:top w:val="nil"/>
              <w:left w:val="nil"/>
              <w:bottom w:val="single" w:sz="4" w:space="0" w:color="auto"/>
              <w:right w:val="single" w:sz="4" w:space="0" w:color="auto"/>
            </w:tcBorders>
            <w:shd w:val="clear" w:color="000000" w:fill="000000"/>
            <w:noWrap/>
            <w:vAlign w:val="bottom"/>
            <w:hideMark/>
          </w:tcPr>
          <w:p w14:paraId="5723B1F8" w14:textId="77777777" w:rsidR="009A356E" w:rsidRPr="00C10545" w:rsidRDefault="009A356E" w:rsidP="009A356E">
            <w:pPr>
              <w:rPr>
                <w:sz w:val="18"/>
                <w:szCs w:val="18"/>
                <w:lang w:eastAsia="en-AU"/>
              </w:rPr>
            </w:pPr>
            <w:r w:rsidRPr="00C10545">
              <w:rPr>
                <w:sz w:val="18"/>
                <w:szCs w:val="18"/>
                <w:lang w:eastAsia="en-AU"/>
              </w:rPr>
              <w:t> </w:t>
            </w:r>
          </w:p>
        </w:tc>
        <w:tc>
          <w:tcPr>
            <w:tcW w:w="677" w:type="dxa"/>
            <w:tcBorders>
              <w:top w:val="nil"/>
              <w:left w:val="nil"/>
              <w:bottom w:val="single" w:sz="4" w:space="0" w:color="auto"/>
              <w:right w:val="single" w:sz="4" w:space="0" w:color="auto"/>
            </w:tcBorders>
            <w:shd w:val="clear" w:color="000000" w:fill="000000"/>
            <w:noWrap/>
            <w:vAlign w:val="bottom"/>
            <w:hideMark/>
          </w:tcPr>
          <w:p w14:paraId="0F6F49BE" w14:textId="77777777" w:rsidR="009A356E" w:rsidRPr="00C10545" w:rsidRDefault="009A356E" w:rsidP="009A356E">
            <w:pPr>
              <w:rPr>
                <w:sz w:val="18"/>
                <w:szCs w:val="18"/>
                <w:lang w:eastAsia="en-AU"/>
              </w:rPr>
            </w:pPr>
            <w:r w:rsidRPr="00C10545">
              <w:rPr>
                <w:sz w:val="18"/>
                <w:szCs w:val="18"/>
                <w:lang w:eastAsia="en-AU"/>
              </w:rPr>
              <w:t> </w:t>
            </w:r>
          </w:p>
        </w:tc>
        <w:tc>
          <w:tcPr>
            <w:tcW w:w="666" w:type="dxa"/>
            <w:tcBorders>
              <w:top w:val="nil"/>
              <w:left w:val="nil"/>
              <w:bottom w:val="single" w:sz="4" w:space="0" w:color="auto"/>
              <w:right w:val="single" w:sz="4" w:space="0" w:color="auto"/>
            </w:tcBorders>
            <w:shd w:val="clear" w:color="000000" w:fill="000000"/>
            <w:noWrap/>
            <w:vAlign w:val="bottom"/>
            <w:hideMark/>
          </w:tcPr>
          <w:p w14:paraId="3B6CBEE9" w14:textId="77777777" w:rsidR="009A356E" w:rsidRPr="00C10545" w:rsidRDefault="009A356E" w:rsidP="009A356E">
            <w:pPr>
              <w:rPr>
                <w:sz w:val="18"/>
                <w:szCs w:val="18"/>
                <w:lang w:eastAsia="en-AU"/>
              </w:rPr>
            </w:pPr>
            <w:r w:rsidRPr="00C10545">
              <w:rPr>
                <w:sz w:val="18"/>
                <w:szCs w:val="18"/>
                <w:lang w:eastAsia="en-AU"/>
              </w:rPr>
              <w:t> </w:t>
            </w:r>
          </w:p>
        </w:tc>
        <w:tc>
          <w:tcPr>
            <w:tcW w:w="261" w:type="dxa"/>
            <w:tcBorders>
              <w:top w:val="nil"/>
              <w:left w:val="nil"/>
              <w:bottom w:val="single" w:sz="4" w:space="0" w:color="auto"/>
              <w:right w:val="single" w:sz="4" w:space="0" w:color="auto"/>
            </w:tcBorders>
            <w:shd w:val="clear" w:color="000000" w:fill="000000"/>
            <w:noWrap/>
            <w:vAlign w:val="bottom"/>
            <w:hideMark/>
          </w:tcPr>
          <w:p w14:paraId="55E4D606" w14:textId="77777777" w:rsidR="009A356E" w:rsidRPr="00C10545" w:rsidRDefault="009A356E" w:rsidP="009A356E">
            <w:pPr>
              <w:rPr>
                <w:sz w:val="18"/>
                <w:szCs w:val="18"/>
                <w:lang w:eastAsia="en-AU"/>
              </w:rPr>
            </w:pPr>
            <w:r w:rsidRPr="00C10545">
              <w:rPr>
                <w:sz w:val="18"/>
                <w:szCs w:val="18"/>
                <w:lang w:eastAsia="en-AU"/>
              </w:rPr>
              <w:t> </w:t>
            </w:r>
          </w:p>
        </w:tc>
        <w:tc>
          <w:tcPr>
            <w:tcW w:w="677" w:type="dxa"/>
            <w:tcBorders>
              <w:top w:val="nil"/>
              <w:left w:val="nil"/>
              <w:bottom w:val="single" w:sz="4" w:space="0" w:color="auto"/>
              <w:right w:val="single" w:sz="4" w:space="0" w:color="auto"/>
            </w:tcBorders>
            <w:shd w:val="clear" w:color="000000" w:fill="000000"/>
            <w:noWrap/>
            <w:vAlign w:val="bottom"/>
            <w:hideMark/>
          </w:tcPr>
          <w:p w14:paraId="46F374CD" w14:textId="77777777" w:rsidR="009A356E" w:rsidRPr="00C10545" w:rsidRDefault="009A356E" w:rsidP="009A356E">
            <w:pPr>
              <w:rPr>
                <w:sz w:val="18"/>
                <w:szCs w:val="18"/>
                <w:lang w:eastAsia="en-AU"/>
              </w:rPr>
            </w:pPr>
            <w:r w:rsidRPr="00C10545">
              <w:rPr>
                <w:sz w:val="18"/>
                <w:szCs w:val="18"/>
                <w:lang w:eastAsia="en-AU"/>
              </w:rPr>
              <w:t> </w:t>
            </w:r>
          </w:p>
        </w:tc>
        <w:tc>
          <w:tcPr>
            <w:tcW w:w="677" w:type="dxa"/>
            <w:tcBorders>
              <w:top w:val="nil"/>
              <w:left w:val="nil"/>
              <w:bottom w:val="single" w:sz="4" w:space="0" w:color="auto"/>
              <w:right w:val="single" w:sz="4" w:space="0" w:color="auto"/>
            </w:tcBorders>
            <w:shd w:val="clear" w:color="000000" w:fill="000000"/>
            <w:noWrap/>
            <w:vAlign w:val="bottom"/>
            <w:hideMark/>
          </w:tcPr>
          <w:p w14:paraId="04D4C766" w14:textId="77777777" w:rsidR="009A356E" w:rsidRPr="00C10545" w:rsidRDefault="009A356E" w:rsidP="009A356E">
            <w:pPr>
              <w:rPr>
                <w:sz w:val="18"/>
                <w:szCs w:val="18"/>
                <w:lang w:eastAsia="en-AU"/>
              </w:rPr>
            </w:pPr>
            <w:r w:rsidRPr="00C10545">
              <w:rPr>
                <w:sz w:val="18"/>
                <w:szCs w:val="18"/>
                <w:lang w:eastAsia="en-AU"/>
              </w:rPr>
              <w:t> </w:t>
            </w:r>
          </w:p>
        </w:tc>
        <w:tc>
          <w:tcPr>
            <w:tcW w:w="666" w:type="dxa"/>
            <w:tcBorders>
              <w:top w:val="nil"/>
              <w:left w:val="nil"/>
              <w:bottom w:val="single" w:sz="4" w:space="0" w:color="auto"/>
              <w:right w:val="single" w:sz="4" w:space="0" w:color="auto"/>
            </w:tcBorders>
            <w:shd w:val="clear" w:color="000000" w:fill="000000"/>
            <w:noWrap/>
            <w:vAlign w:val="bottom"/>
            <w:hideMark/>
          </w:tcPr>
          <w:p w14:paraId="71F24F3F" w14:textId="77777777" w:rsidR="009A356E" w:rsidRPr="00C10545" w:rsidRDefault="009A356E" w:rsidP="009A356E">
            <w:pPr>
              <w:rPr>
                <w:sz w:val="18"/>
                <w:szCs w:val="18"/>
                <w:lang w:eastAsia="en-AU"/>
              </w:rPr>
            </w:pPr>
            <w:r w:rsidRPr="00C10545">
              <w:rPr>
                <w:sz w:val="18"/>
                <w:szCs w:val="18"/>
                <w:lang w:eastAsia="en-AU"/>
              </w:rPr>
              <w:t> </w:t>
            </w:r>
          </w:p>
        </w:tc>
        <w:tc>
          <w:tcPr>
            <w:tcW w:w="261" w:type="dxa"/>
            <w:tcBorders>
              <w:top w:val="nil"/>
              <w:left w:val="nil"/>
              <w:bottom w:val="single" w:sz="4" w:space="0" w:color="auto"/>
              <w:right w:val="single" w:sz="4" w:space="0" w:color="auto"/>
            </w:tcBorders>
            <w:shd w:val="clear" w:color="000000" w:fill="000000"/>
            <w:noWrap/>
            <w:vAlign w:val="bottom"/>
            <w:hideMark/>
          </w:tcPr>
          <w:p w14:paraId="77D710C1" w14:textId="77777777" w:rsidR="009A356E" w:rsidRPr="00C10545" w:rsidRDefault="009A356E" w:rsidP="009A356E">
            <w:pPr>
              <w:rPr>
                <w:sz w:val="18"/>
                <w:szCs w:val="18"/>
                <w:lang w:eastAsia="en-AU"/>
              </w:rPr>
            </w:pPr>
            <w:r w:rsidRPr="00C10545">
              <w:rPr>
                <w:sz w:val="18"/>
                <w:szCs w:val="18"/>
                <w:lang w:eastAsia="en-AU"/>
              </w:rPr>
              <w:t> </w:t>
            </w:r>
          </w:p>
        </w:tc>
        <w:tc>
          <w:tcPr>
            <w:tcW w:w="677" w:type="dxa"/>
            <w:tcBorders>
              <w:top w:val="nil"/>
              <w:left w:val="nil"/>
              <w:bottom w:val="single" w:sz="4" w:space="0" w:color="auto"/>
              <w:right w:val="single" w:sz="4" w:space="0" w:color="auto"/>
            </w:tcBorders>
            <w:shd w:val="clear" w:color="000000" w:fill="000000"/>
            <w:noWrap/>
            <w:vAlign w:val="bottom"/>
            <w:hideMark/>
          </w:tcPr>
          <w:p w14:paraId="10AAB979" w14:textId="77777777" w:rsidR="009A356E" w:rsidRPr="00C10545" w:rsidRDefault="009A356E" w:rsidP="009A356E">
            <w:pPr>
              <w:rPr>
                <w:sz w:val="18"/>
                <w:szCs w:val="18"/>
                <w:lang w:eastAsia="en-AU"/>
              </w:rPr>
            </w:pPr>
            <w:r w:rsidRPr="00C10545">
              <w:rPr>
                <w:sz w:val="18"/>
                <w:szCs w:val="18"/>
                <w:lang w:eastAsia="en-AU"/>
              </w:rPr>
              <w:t> </w:t>
            </w:r>
          </w:p>
        </w:tc>
        <w:tc>
          <w:tcPr>
            <w:tcW w:w="677" w:type="dxa"/>
            <w:tcBorders>
              <w:top w:val="nil"/>
              <w:left w:val="nil"/>
              <w:bottom w:val="single" w:sz="4" w:space="0" w:color="auto"/>
              <w:right w:val="single" w:sz="4" w:space="0" w:color="auto"/>
            </w:tcBorders>
            <w:shd w:val="clear" w:color="000000" w:fill="000000"/>
            <w:noWrap/>
            <w:vAlign w:val="bottom"/>
            <w:hideMark/>
          </w:tcPr>
          <w:p w14:paraId="009A0617" w14:textId="77777777" w:rsidR="009A356E" w:rsidRPr="00C10545" w:rsidRDefault="009A356E" w:rsidP="009A356E">
            <w:pPr>
              <w:rPr>
                <w:sz w:val="18"/>
                <w:szCs w:val="18"/>
                <w:lang w:eastAsia="en-AU"/>
              </w:rPr>
            </w:pPr>
            <w:r w:rsidRPr="00C10545">
              <w:rPr>
                <w:sz w:val="18"/>
                <w:szCs w:val="18"/>
                <w:lang w:eastAsia="en-AU"/>
              </w:rPr>
              <w:t> </w:t>
            </w:r>
          </w:p>
        </w:tc>
        <w:tc>
          <w:tcPr>
            <w:tcW w:w="666" w:type="dxa"/>
            <w:tcBorders>
              <w:top w:val="nil"/>
              <w:left w:val="nil"/>
              <w:bottom w:val="single" w:sz="4" w:space="0" w:color="auto"/>
              <w:right w:val="single" w:sz="4" w:space="0" w:color="auto"/>
            </w:tcBorders>
            <w:shd w:val="clear" w:color="000000" w:fill="000000"/>
            <w:noWrap/>
            <w:vAlign w:val="bottom"/>
            <w:hideMark/>
          </w:tcPr>
          <w:p w14:paraId="2FE85D80" w14:textId="77777777" w:rsidR="009A356E" w:rsidRPr="00C10545" w:rsidRDefault="009A356E" w:rsidP="009A356E">
            <w:pPr>
              <w:rPr>
                <w:sz w:val="18"/>
                <w:szCs w:val="18"/>
                <w:lang w:eastAsia="en-AU"/>
              </w:rPr>
            </w:pPr>
            <w:r w:rsidRPr="00C10545">
              <w:rPr>
                <w:sz w:val="18"/>
                <w:szCs w:val="18"/>
                <w:lang w:eastAsia="en-AU"/>
              </w:rPr>
              <w:t> </w:t>
            </w:r>
          </w:p>
        </w:tc>
      </w:tr>
      <w:tr w:rsidR="009A356E" w:rsidRPr="00824954" w14:paraId="36CE353C" w14:textId="77777777" w:rsidTr="009A356E">
        <w:trPr>
          <w:trHeight w:val="240"/>
        </w:trPr>
        <w:tc>
          <w:tcPr>
            <w:tcW w:w="2520" w:type="dxa"/>
            <w:tcBorders>
              <w:top w:val="nil"/>
              <w:left w:val="single" w:sz="4" w:space="0" w:color="auto"/>
              <w:bottom w:val="single" w:sz="4" w:space="0" w:color="auto"/>
              <w:right w:val="single" w:sz="4" w:space="0" w:color="auto"/>
            </w:tcBorders>
            <w:shd w:val="clear" w:color="000000" w:fill="000000"/>
            <w:noWrap/>
            <w:vAlign w:val="bottom"/>
            <w:hideMark/>
          </w:tcPr>
          <w:p w14:paraId="3F890782" w14:textId="77777777" w:rsidR="009A356E" w:rsidRPr="00C10545" w:rsidRDefault="009A356E" w:rsidP="009A356E">
            <w:pPr>
              <w:rPr>
                <w:sz w:val="18"/>
                <w:szCs w:val="18"/>
                <w:lang w:eastAsia="en-AU"/>
              </w:rPr>
            </w:pPr>
            <w:r w:rsidRPr="00C10545">
              <w:rPr>
                <w:sz w:val="18"/>
                <w:szCs w:val="18"/>
                <w:lang w:eastAsia="en-AU"/>
              </w:rPr>
              <w:t> </w:t>
            </w:r>
          </w:p>
        </w:tc>
        <w:tc>
          <w:tcPr>
            <w:tcW w:w="677" w:type="dxa"/>
            <w:tcBorders>
              <w:top w:val="nil"/>
              <w:left w:val="nil"/>
              <w:bottom w:val="single" w:sz="4" w:space="0" w:color="auto"/>
              <w:right w:val="single" w:sz="4" w:space="0" w:color="auto"/>
            </w:tcBorders>
            <w:shd w:val="clear" w:color="000000" w:fill="000000"/>
            <w:noWrap/>
            <w:vAlign w:val="bottom"/>
            <w:hideMark/>
          </w:tcPr>
          <w:p w14:paraId="06F1ED12" w14:textId="77777777" w:rsidR="009A356E" w:rsidRPr="00C10545" w:rsidRDefault="009A356E" w:rsidP="009A356E">
            <w:pPr>
              <w:rPr>
                <w:sz w:val="18"/>
                <w:szCs w:val="18"/>
                <w:lang w:eastAsia="en-AU"/>
              </w:rPr>
            </w:pPr>
            <w:r w:rsidRPr="00C10545">
              <w:rPr>
                <w:sz w:val="18"/>
                <w:szCs w:val="18"/>
                <w:lang w:eastAsia="en-AU"/>
              </w:rPr>
              <w:t> </w:t>
            </w:r>
          </w:p>
        </w:tc>
        <w:tc>
          <w:tcPr>
            <w:tcW w:w="677" w:type="dxa"/>
            <w:tcBorders>
              <w:top w:val="nil"/>
              <w:left w:val="nil"/>
              <w:bottom w:val="single" w:sz="4" w:space="0" w:color="auto"/>
              <w:right w:val="single" w:sz="4" w:space="0" w:color="auto"/>
            </w:tcBorders>
            <w:shd w:val="clear" w:color="000000" w:fill="000000"/>
            <w:noWrap/>
            <w:vAlign w:val="bottom"/>
            <w:hideMark/>
          </w:tcPr>
          <w:p w14:paraId="0A2085C3" w14:textId="77777777" w:rsidR="009A356E" w:rsidRPr="00C10545" w:rsidRDefault="009A356E" w:rsidP="009A356E">
            <w:pPr>
              <w:rPr>
                <w:sz w:val="18"/>
                <w:szCs w:val="18"/>
                <w:lang w:eastAsia="en-AU"/>
              </w:rPr>
            </w:pPr>
            <w:r w:rsidRPr="00C10545">
              <w:rPr>
                <w:sz w:val="18"/>
                <w:szCs w:val="18"/>
                <w:lang w:eastAsia="en-AU"/>
              </w:rPr>
              <w:t> </w:t>
            </w:r>
          </w:p>
        </w:tc>
        <w:tc>
          <w:tcPr>
            <w:tcW w:w="666" w:type="dxa"/>
            <w:tcBorders>
              <w:top w:val="nil"/>
              <w:left w:val="nil"/>
              <w:bottom w:val="single" w:sz="4" w:space="0" w:color="auto"/>
              <w:right w:val="single" w:sz="4" w:space="0" w:color="auto"/>
            </w:tcBorders>
            <w:shd w:val="clear" w:color="000000" w:fill="000000"/>
            <w:noWrap/>
            <w:vAlign w:val="bottom"/>
            <w:hideMark/>
          </w:tcPr>
          <w:p w14:paraId="1CB8427D" w14:textId="77777777" w:rsidR="009A356E" w:rsidRPr="00C10545" w:rsidRDefault="009A356E" w:rsidP="009A356E">
            <w:pPr>
              <w:rPr>
                <w:sz w:val="18"/>
                <w:szCs w:val="18"/>
                <w:lang w:eastAsia="en-AU"/>
              </w:rPr>
            </w:pPr>
            <w:r w:rsidRPr="00C10545">
              <w:rPr>
                <w:sz w:val="18"/>
                <w:szCs w:val="18"/>
                <w:lang w:eastAsia="en-AU"/>
              </w:rPr>
              <w:t> </w:t>
            </w:r>
          </w:p>
        </w:tc>
        <w:tc>
          <w:tcPr>
            <w:tcW w:w="261" w:type="dxa"/>
            <w:tcBorders>
              <w:top w:val="nil"/>
              <w:left w:val="nil"/>
              <w:bottom w:val="single" w:sz="4" w:space="0" w:color="auto"/>
              <w:right w:val="single" w:sz="4" w:space="0" w:color="auto"/>
            </w:tcBorders>
            <w:shd w:val="clear" w:color="000000" w:fill="000000"/>
            <w:noWrap/>
            <w:vAlign w:val="bottom"/>
            <w:hideMark/>
          </w:tcPr>
          <w:p w14:paraId="63DB752C" w14:textId="77777777" w:rsidR="009A356E" w:rsidRPr="00C10545" w:rsidRDefault="009A356E" w:rsidP="009A356E">
            <w:pPr>
              <w:rPr>
                <w:sz w:val="18"/>
                <w:szCs w:val="18"/>
                <w:lang w:eastAsia="en-AU"/>
              </w:rPr>
            </w:pPr>
            <w:r w:rsidRPr="00C10545">
              <w:rPr>
                <w:sz w:val="18"/>
                <w:szCs w:val="18"/>
                <w:lang w:eastAsia="en-AU"/>
              </w:rPr>
              <w:t> </w:t>
            </w:r>
          </w:p>
        </w:tc>
        <w:tc>
          <w:tcPr>
            <w:tcW w:w="677" w:type="dxa"/>
            <w:tcBorders>
              <w:top w:val="nil"/>
              <w:left w:val="nil"/>
              <w:bottom w:val="single" w:sz="4" w:space="0" w:color="auto"/>
              <w:right w:val="single" w:sz="4" w:space="0" w:color="auto"/>
            </w:tcBorders>
            <w:shd w:val="clear" w:color="000000" w:fill="000000"/>
            <w:noWrap/>
            <w:vAlign w:val="bottom"/>
            <w:hideMark/>
          </w:tcPr>
          <w:p w14:paraId="752B08ED" w14:textId="77777777" w:rsidR="009A356E" w:rsidRPr="00C10545" w:rsidRDefault="009A356E" w:rsidP="009A356E">
            <w:pPr>
              <w:rPr>
                <w:sz w:val="18"/>
                <w:szCs w:val="18"/>
                <w:lang w:eastAsia="en-AU"/>
              </w:rPr>
            </w:pPr>
            <w:r w:rsidRPr="00C10545">
              <w:rPr>
                <w:sz w:val="18"/>
                <w:szCs w:val="18"/>
                <w:lang w:eastAsia="en-AU"/>
              </w:rPr>
              <w:t> </w:t>
            </w:r>
          </w:p>
        </w:tc>
        <w:tc>
          <w:tcPr>
            <w:tcW w:w="677" w:type="dxa"/>
            <w:tcBorders>
              <w:top w:val="nil"/>
              <w:left w:val="nil"/>
              <w:bottom w:val="single" w:sz="4" w:space="0" w:color="auto"/>
              <w:right w:val="single" w:sz="4" w:space="0" w:color="auto"/>
            </w:tcBorders>
            <w:shd w:val="clear" w:color="000000" w:fill="000000"/>
            <w:noWrap/>
            <w:vAlign w:val="bottom"/>
            <w:hideMark/>
          </w:tcPr>
          <w:p w14:paraId="0F02542D" w14:textId="77777777" w:rsidR="009A356E" w:rsidRPr="00C10545" w:rsidRDefault="009A356E" w:rsidP="009A356E">
            <w:pPr>
              <w:rPr>
                <w:sz w:val="18"/>
                <w:szCs w:val="18"/>
                <w:lang w:eastAsia="en-AU"/>
              </w:rPr>
            </w:pPr>
            <w:r w:rsidRPr="00C10545">
              <w:rPr>
                <w:sz w:val="18"/>
                <w:szCs w:val="18"/>
                <w:lang w:eastAsia="en-AU"/>
              </w:rPr>
              <w:t> </w:t>
            </w:r>
          </w:p>
        </w:tc>
        <w:tc>
          <w:tcPr>
            <w:tcW w:w="666" w:type="dxa"/>
            <w:tcBorders>
              <w:top w:val="nil"/>
              <w:left w:val="nil"/>
              <w:bottom w:val="single" w:sz="4" w:space="0" w:color="auto"/>
              <w:right w:val="single" w:sz="4" w:space="0" w:color="auto"/>
            </w:tcBorders>
            <w:shd w:val="clear" w:color="000000" w:fill="000000"/>
            <w:noWrap/>
            <w:vAlign w:val="bottom"/>
            <w:hideMark/>
          </w:tcPr>
          <w:p w14:paraId="6764015C" w14:textId="77777777" w:rsidR="009A356E" w:rsidRPr="00C10545" w:rsidRDefault="009A356E" w:rsidP="009A356E">
            <w:pPr>
              <w:rPr>
                <w:sz w:val="18"/>
                <w:szCs w:val="18"/>
                <w:lang w:eastAsia="en-AU"/>
              </w:rPr>
            </w:pPr>
            <w:r w:rsidRPr="00C10545">
              <w:rPr>
                <w:sz w:val="18"/>
                <w:szCs w:val="18"/>
                <w:lang w:eastAsia="en-AU"/>
              </w:rPr>
              <w:t> </w:t>
            </w:r>
          </w:p>
        </w:tc>
        <w:tc>
          <w:tcPr>
            <w:tcW w:w="261" w:type="dxa"/>
            <w:tcBorders>
              <w:top w:val="nil"/>
              <w:left w:val="nil"/>
              <w:bottom w:val="single" w:sz="4" w:space="0" w:color="auto"/>
              <w:right w:val="single" w:sz="4" w:space="0" w:color="auto"/>
            </w:tcBorders>
            <w:shd w:val="clear" w:color="000000" w:fill="000000"/>
            <w:noWrap/>
            <w:vAlign w:val="bottom"/>
            <w:hideMark/>
          </w:tcPr>
          <w:p w14:paraId="02951D69" w14:textId="77777777" w:rsidR="009A356E" w:rsidRPr="00C10545" w:rsidRDefault="009A356E" w:rsidP="009A356E">
            <w:pPr>
              <w:rPr>
                <w:sz w:val="18"/>
                <w:szCs w:val="18"/>
                <w:lang w:eastAsia="en-AU"/>
              </w:rPr>
            </w:pPr>
            <w:r w:rsidRPr="00C10545">
              <w:rPr>
                <w:sz w:val="18"/>
                <w:szCs w:val="18"/>
                <w:lang w:eastAsia="en-AU"/>
              </w:rPr>
              <w:t> </w:t>
            </w:r>
          </w:p>
        </w:tc>
        <w:tc>
          <w:tcPr>
            <w:tcW w:w="677" w:type="dxa"/>
            <w:tcBorders>
              <w:top w:val="nil"/>
              <w:left w:val="nil"/>
              <w:bottom w:val="single" w:sz="4" w:space="0" w:color="auto"/>
              <w:right w:val="single" w:sz="4" w:space="0" w:color="auto"/>
            </w:tcBorders>
            <w:shd w:val="clear" w:color="000000" w:fill="000000"/>
            <w:noWrap/>
            <w:vAlign w:val="bottom"/>
            <w:hideMark/>
          </w:tcPr>
          <w:p w14:paraId="2D9609B5" w14:textId="77777777" w:rsidR="009A356E" w:rsidRPr="00C10545" w:rsidRDefault="009A356E" w:rsidP="009A356E">
            <w:pPr>
              <w:rPr>
                <w:sz w:val="18"/>
                <w:szCs w:val="18"/>
                <w:lang w:eastAsia="en-AU"/>
              </w:rPr>
            </w:pPr>
            <w:r w:rsidRPr="00C10545">
              <w:rPr>
                <w:sz w:val="18"/>
                <w:szCs w:val="18"/>
                <w:lang w:eastAsia="en-AU"/>
              </w:rPr>
              <w:t> </w:t>
            </w:r>
          </w:p>
        </w:tc>
        <w:tc>
          <w:tcPr>
            <w:tcW w:w="677" w:type="dxa"/>
            <w:tcBorders>
              <w:top w:val="nil"/>
              <w:left w:val="nil"/>
              <w:bottom w:val="single" w:sz="4" w:space="0" w:color="auto"/>
              <w:right w:val="single" w:sz="4" w:space="0" w:color="auto"/>
            </w:tcBorders>
            <w:shd w:val="clear" w:color="000000" w:fill="000000"/>
            <w:noWrap/>
            <w:vAlign w:val="bottom"/>
            <w:hideMark/>
          </w:tcPr>
          <w:p w14:paraId="6FFF1FF2" w14:textId="77777777" w:rsidR="009A356E" w:rsidRPr="00C10545" w:rsidRDefault="009A356E" w:rsidP="009A356E">
            <w:pPr>
              <w:rPr>
                <w:sz w:val="18"/>
                <w:szCs w:val="18"/>
                <w:lang w:eastAsia="en-AU"/>
              </w:rPr>
            </w:pPr>
            <w:r w:rsidRPr="00C10545">
              <w:rPr>
                <w:sz w:val="18"/>
                <w:szCs w:val="18"/>
                <w:lang w:eastAsia="en-AU"/>
              </w:rPr>
              <w:t> </w:t>
            </w:r>
          </w:p>
        </w:tc>
        <w:tc>
          <w:tcPr>
            <w:tcW w:w="666" w:type="dxa"/>
            <w:tcBorders>
              <w:top w:val="nil"/>
              <w:left w:val="nil"/>
              <w:bottom w:val="single" w:sz="4" w:space="0" w:color="auto"/>
              <w:right w:val="single" w:sz="4" w:space="0" w:color="auto"/>
            </w:tcBorders>
            <w:shd w:val="clear" w:color="000000" w:fill="000000"/>
            <w:noWrap/>
            <w:vAlign w:val="bottom"/>
            <w:hideMark/>
          </w:tcPr>
          <w:p w14:paraId="29798ACA" w14:textId="77777777" w:rsidR="009A356E" w:rsidRPr="00C10545" w:rsidRDefault="009A356E" w:rsidP="009A356E">
            <w:pPr>
              <w:rPr>
                <w:sz w:val="18"/>
                <w:szCs w:val="18"/>
                <w:lang w:eastAsia="en-AU"/>
              </w:rPr>
            </w:pPr>
            <w:r w:rsidRPr="00C10545">
              <w:rPr>
                <w:sz w:val="18"/>
                <w:szCs w:val="18"/>
                <w:lang w:eastAsia="en-AU"/>
              </w:rPr>
              <w:t> </w:t>
            </w:r>
          </w:p>
        </w:tc>
      </w:tr>
      <w:tr w:rsidR="009A356E" w:rsidRPr="00824954" w14:paraId="4E2584ED" w14:textId="77777777" w:rsidTr="009A356E">
        <w:trPr>
          <w:trHeight w:val="240"/>
        </w:trPr>
        <w:tc>
          <w:tcPr>
            <w:tcW w:w="2520" w:type="dxa"/>
            <w:tcBorders>
              <w:top w:val="nil"/>
              <w:left w:val="single" w:sz="4" w:space="0" w:color="auto"/>
              <w:bottom w:val="single" w:sz="4" w:space="0" w:color="auto"/>
              <w:right w:val="single" w:sz="4" w:space="0" w:color="auto"/>
            </w:tcBorders>
            <w:shd w:val="clear" w:color="000000" w:fill="000000"/>
            <w:noWrap/>
            <w:vAlign w:val="bottom"/>
            <w:hideMark/>
          </w:tcPr>
          <w:p w14:paraId="1FDD0E13" w14:textId="77777777" w:rsidR="009A356E" w:rsidRPr="00C10545" w:rsidRDefault="009A356E" w:rsidP="009A356E">
            <w:pPr>
              <w:rPr>
                <w:sz w:val="18"/>
                <w:szCs w:val="18"/>
                <w:lang w:eastAsia="en-AU"/>
              </w:rPr>
            </w:pPr>
            <w:r w:rsidRPr="00C10545">
              <w:rPr>
                <w:sz w:val="18"/>
                <w:szCs w:val="18"/>
                <w:lang w:eastAsia="en-AU"/>
              </w:rPr>
              <w:t> </w:t>
            </w:r>
          </w:p>
        </w:tc>
        <w:tc>
          <w:tcPr>
            <w:tcW w:w="677" w:type="dxa"/>
            <w:tcBorders>
              <w:top w:val="nil"/>
              <w:left w:val="nil"/>
              <w:bottom w:val="single" w:sz="4" w:space="0" w:color="auto"/>
              <w:right w:val="single" w:sz="4" w:space="0" w:color="auto"/>
            </w:tcBorders>
            <w:shd w:val="clear" w:color="000000" w:fill="000000"/>
            <w:noWrap/>
            <w:vAlign w:val="bottom"/>
            <w:hideMark/>
          </w:tcPr>
          <w:p w14:paraId="7E71A91E" w14:textId="77777777" w:rsidR="009A356E" w:rsidRPr="00C10545" w:rsidRDefault="009A356E" w:rsidP="009A356E">
            <w:pPr>
              <w:rPr>
                <w:sz w:val="18"/>
                <w:szCs w:val="18"/>
                <w:lang w:eastAsia="en-AU"/>
              </w:rPr>
            </w:pPr>
            <w:r w:rsidRPr="00C10545">
              <w:rPr>
                <w:sz w:val="18"/>
                <w:szCs w:val="18"/>
                <w:lang w:eastAsia="en-AU"/>
              </w:rPr>
              <w:t> </w:t>
            </w:r>
          </w:p>
        </w:tc>
        <w:tc>
          <w:tcPr>
            <w:tcW w:w="677" w:type="dxa"/>
            <w:tcBorders>
              <w:top w:val="nil"/>
              <w:left w:val="nil"/>
              <w:bottom w:val="single" w:sz="4" w:space="0" w:color="auto"/>
              <w:right w:val="single" w:sz="4" w:space="0" w:color="auto"/>
            </w:tcBorders>
            <w:shd w:val="clear" w:color="000000" w:fill="000000"/>
            <w:noWrap/>
            <w:vAlign w:val="bottom"/>
            <w:hideMark/>
          </w:tcPr>
          <w:p w14:paraId="6971E945" w14:textId="77777777" w:rsidR="009A356E" w:rsidRPr="00C10545" w:rsidRDefault="009A356E" w:rsidP="009A356E">
            <w:pPr>
              <w:rPr>
                <w:sz w:val="18"/>
                <w:szCs w:val="18"/>
                <w:lang w:eastAsia="en-AU"/>
              </w:rPr>
            </w:pPr>
            <w:r w:rsidRPr="00C10545">
              <w:rPr>
                <w:sz w:val="18"/>
                <w:szCs w:val="18"/>
                <w:lang w:eastAsia="en-AU"/>
              </w:rPr>
              <w:t> </w:t>
            </w:r>
          </w:p>
        </w:tc>
        <w:tc>
          <w:tcPr>
            <w:tcW w:w="666" w:type="dxa"/>
            <w:tcBorders>
              <w:top w:val="nil"/>
              <w:left w:val="nil"/>
              <w:bottom w:val="single" w:sz="4" w:space="0" w:color="auto"/>
              <w:right w:val="single" w:sz="4" w:space="0" w:color="auto"/>
            </w:tcBorders>
            <w:shd w:val="clear" w:color="000000" w:fill="000000"/>
            <w:noWrap/>
            <w:vAlign w:val="bottom"/>
            <w:hideMark/>
          </w:tcPr>
          <w:p w14:paraId="520EE231" w14:textId="77777777" w:rsidR="009A356E" w:rsidRPr="00C10545" w:rsidRDefault="009A356E" w:rsidP="009A356E">
            <w:pPr>
              <w:rPr>
                <w:sz w:val="18"/>
                <w:szCs w:val="18"/>
                <w:lang w:eastAsia="en-AU"/>
              </w:rPr>
            </w:pPr>
            <w:r w:rsidRPr="00C10545">
              <w:rPr>
                <w:sz w:val="18"/>
                <w:szCs w:val="18"/>
                <w:lang w:eastAsia="en-AU"/>
              </w:rPr>
              <w:t> </w:t>
            </w:r>
          </w:p>
        </w:tc>
        <w:tc>
          <w:tcPr>
            <w:tcW w:w="261" w:type="dxa"/>
            <w:tcBorders>
              <w:top w:val="nil"/>
              <w:left w:val="nil"/>
              <w:bottom w:val="single" w:sz="4" w:space="0" w:color="auto"/>
              <w:right w:val="single" w:sz="4" w:space="0" w:color="auto"/>
            </w:tcBorders>
            <w:shd w:val="clear" w:color="000000" w:fill="000000"/>
            <w:noWrap/>
            <w:vAlign w:val="bottom"/>
            <w:hideMark/>
          </w:tcPr>
          <w:p w14:paraId="200861BF" w14:textId="77777777" w:rsidR="009A356E" w:rsidRPr="00C10545" w:rsidRDefault="009A356E" w:rsidP="009A356E">
            <w:pPr>
              <w:rPr>
                <w:sz w:val="18"/>
                <w:szCs w:val="18"/>
                <w:lang w:eastAsia="en-AU"/>
              </w:rPr>
            </w:pPr>
            <w:r w:rsidRPr="00C10545">
              <w:rPr>
                <w:sz w:val="18"/>
                <w:szCs w:val="18"/>
                <w:lang w:eastAsia="en-AU"/>
              </w:rPr>
              <w:t> </w:t>
            </w:r>
          </w:p>
        </w:tc>
        <w:tc>
          <w:tcPr>
            <w:tcW w:w="677" w:type="dxa"/>
            <w:tcBorders>
              <w:top w:val="nil"/>
              <w:left w:val="nil"/>
              <w:bottom w:val="single" w:sz="4" w:space="0" w:color="auto"/>
              <w:right w:val="single" w:sz="4" w:space="0" w:color="auto"/>
            </w:tcBorders>
            <w:shd w:val="clear" w:color="000000" w:fill="000000"/>
            <w:noWrap/>
            <w:vAlign w:val="bottom"/>
            <w:hideMark/>
          </w:tcPr>
          <w:p w14:paraId="7C9A9E18" w14:textId="77777777" w:rsidR="009A356E" w:rsidRPr="00C10545" w:rsidRDefault="009A356E" w:rsidP="009A356E">
            <w:pPr>
              <w:rPr>
                <w:sz w:val="18"/>
                <w:szCs w:val="18"/>
                <w:lang w:eastAsia="en-AU"/>
              </w:rPr>
            </w:pPr>
            <w:r w:rsidRPr="00C10545">
              <w:rPr>
                <w:sz w:val="18"/>
                <w:szCs w:val="18"/>
                <w:lang w:eastAsia="en-AU"/>
              </w:rPr>
              <w:t> </w:t>
            </w:r>
          </w:p>
        </w:tc>
        <w:tc>
          <w:tcPr>
            <w:tcW w:w="677" w:type="dxa"/>
            <w:tcBorders>
              <w:top w:val="nil"/>
              <w:left w:val="nil"/>
              <w:bottom w:val="single" w:sz="4" w:space="0" w:color="auto"/>
              <w:right w:val="single" w:sz="4" w:space="0" w:color="auto"/>
            </w:tcBorders>
            <w:shd w:val="clear" w:color="000000" w:fill="000000"/>
            <w:noWrap/>
            <w:vAlign w:val="bottom"/>
            <w:hideMark/>
          </w:tcPr>
          <w:p w14:paraId="52B00A62" w14:textId="77777777" w:rsidR="009A356E" w:rsidRPr="00C10545" w:rsidRDefault="009A356E" w:rsidP="009A356E">
            <w:pPr>
              <w:rPr>
                <w:sz w:val="18"/>
                <w:szCs w:val="18"/>
                <w:lang w:eastAsia="en-AU"/>
              </w:rPr>
            </w:pPr>
            <w:r w:rsidRPr="00C10545">
              <w:rPr>
                <w:sz w:val="18"/>
                <w:szCs w:val="18"/>
                <w:lang w:eastAsia="en-AU"/>
              </w:rPr>
              <w:t> </w:t>
            </w:r>
          </w:p>
        </w:tc>
        <w:tc>
          <w:tcPr>
            <w:tcW w:w="666" w:type="dxa"/>
            <w:tcBorders>
              <w:top w:val="nil"/>
              <w:left w:val="nil"/>
              <w:bottom w:val="single" w:sz="4" w:space="0" w:color="auto"/>
              <w:right w:val="single" w:sz="4" w:space="0" w:color="auto"/>
            </w:tcBorders>
            <w:shd w:val="clear" w:color="000000" w:fill="000000"/>
            <w:noWrap/>
            <w:vAlign w:val="bottom"/>
            <w:hideMark/>
          </w:tcPr>
          <w:p w14:paraId="468B419F" w14:textId="77777777" w:rsidR="009A356E" w:rsidRPr="00C10545" w:rsidRDefault="009A356E" w:rsidP="009A356E">
            <w:pPr>
              <w:rPr>
                <w:sz w:val="18"/>
                <w:szCs w:val="18"/>
                <w:lang w:eastAsia="en-AU"/>
              </w:rPr>
            </w:pPr>
            <w:r w:rsidRPr="00C10545">
              <w:rPr>
                <w:sz w:val="18"/>
                <w:szCs w:val="18"/>
                <w:lang w:eastAsia="en-AU"/>
              </w:rPr>
              <w:t> </w:t>
            </w:r>
          </w:p>
        </w:tc>
        <w:tc>
          <w:tcPr>
            <w:tcW w:w="261" w:type="dxa"/>
            <w:tcBorders>
              <w:top w:val="nil"/>
              <w:left w:val="nil"/>
              <w:bottom w:val="single" w:sz="4" w:space="0" w:color="auto"/>
              <w:right w:val="single" w:sz="4" w:space="0" w:color="auto"/>
            </w:tcBorders>
            <w:shd w:val="clear" w:color="000000" w:fill="000000"/>
            <w:noWrap/>
            <w:vAlign w:val="bottom"/>
            <w:hideMark/>
          </w:tcPr>
          <w:p w14:paraId="67613971" w14:textId="77777777" w:rsidR="009A356E" w:rsidRPr="00C10545" w:rsidRDefault="009A356E" w:rsidP="009A356E">
            <w:pPr>
              <w:rPr>
                <w:sz w:val="18"/>
                <w:szCs w:val="18"/>
                <w:lang w:eastAsia="en-AU"/>
              </w:rPr>
            </w:pPr>
            <w:r w:rsidRPr="00C10545">
              <w:rPr>
                <w:sz w:val="18"/>
                <w:szCs w:val="18"/>
                <w:lang w:eastAsia="en-AU"/>
              </w:rPr>
              <w:t> </w:t>
            </w:r>
          </w:p>
        </w:tc>
        <w:tc>
          <w:tcPr>
            <w:tcW w:w="677" w:type="dxa"/>
            <w:tcBorders>
              <w:top w:val="nil"/>
              <w:left w:val="nil"/>
              <w:bottom w:val="single" w:sz="4" w:space="0" w:color="auto"/>
              <w:right w:val="single" w:sz="4" w:space="0" w:color="auto"/>
            </w:tcBorders>
            <w:shd w:val="clear" w:color="000000" w:fill="000000"/>
            <w:noWrap/>
            <w:vAlign w:val="bottom"/>
            <w:hideMark/>
          </w:tcPr>
          <w:p w14:paraId="17E5853C" w14:textId="77777777" w:rsidR="009A356E" w:rsidRPr="00C10545" w:rsidRDefault="009A356E" w:rsidP="009A356E">
            <w:pPr>
              <w:rPr>
                <w:sz w:val="18"/>
                <w:szCs w:val="18"/>
                <w:lang w:eastAsia="en-AU"/>
              </w:rPr>
            </w:pPr>
            <w:r w:rsidRPr="00C10545">
              <w:rPr>
                <w:sz w:val="18"/>
                <w:szCs w:val="18"/>
                <w:lang w:eastAsia="en-AU"/>
              </w:rPr>
              <w:t> </w:t>
            </w:r>
          </w:p>
        </w:tc>
        <w:tc>
          <w:tcPr>
            <w:tcW w:w="677" w:type="dxa"/>
            <w:tcBorders>
              <w:top w:val="nil"/>
              <w:left w:val="nil"/>
              <w:bottom w:val="single" w:sz="4" w:space="0" w:color="auto"/>
              <w:right w:val="single" w:sz="4" w:space="0" w:color="auto"/>
            </w:tcBorders>
            <w:shd w:val="clear" w:color="000000" w:fill="000000"/>
            <w:noWrap/>
            <w:vAlign w:val="bottom"/>
            <w:hideMark/>
          </w:tcPr>
          <w:p w14:paraId="5B3518D3" w14:textId="77777777" w:rsidR="009A356E" w:rsidRPr="00C10545" w:rsidRDefault="009A356E" w:rsidP="009A356E">
            <w:pPr>
              <w:rPr>
                <w:sz w:val="18"/>
                <w:szCs w:val="18"/>
                <w:lang w:eastAsia="en-AU"/>
              </w:rPr>
            </w:pPr>
            <w:r w:rsidRPr="00C10545">
              <w:rPr>
                <w:sz w:val="18"/>
                <w:szCs w:val="18"/>
                <w:lang w:eastAsia="en-AU"/>
              </w:rPr>
              <w:t> </w:t>
            </w:r>
          </w:p>
        </w:tc>
        <w:tc>
          <w:tcPr>
            <w:tcW w:w="666" w:type="dxa"/>
            <w:tcBorders>
              <w:top w:val="nil"/>
              <w:left w:val="nil"/>
              <w:bottom w:val="single" w:sz="4" w:space="0" w:color="auto"/>
              <w:right w:val="single" w:sz="4" w:space="0" w:color="auto"/>
            </w:tcBorders>
            <w:shd w:val="clear" w:color="000000" w:fill="000000"/>
            <w:noWrap/>
            <w:vAlign w:val="bottom"/>
            <w:hideMark/>
          </w:tcPr>
          <w:p w14:paraId="1F06422D" w14:textId="77777777" w:rsidR="009A356E" w:rsidRPr="00C10545" w:rsidRDefault="009A356E" w:rsidP="009A356E">
            <w:pPr>
              <w:rPr>
                <w:sz w:val="18"/>
                <w:szCs w:val="18"/>
                <w:lang w:eastAsia="en-AU"/>
              </w:rPr>
            </w:pPr>
            <w:r w:rsidRPr="00C10545">
              <w:rPr>
                <w:sz w:val="18"/>
                <w:szCs w:val="18"/>
                <w:lang w:eastAsia="en-AU"/>
              </w:rPr>
              <w:t> </w:t>
            </w:r>
          </w:p>
        </w:tc>
      </w:tr>
      <w:tr w:rsidR="009A356E" w:rsidRPr="00824954" w14:paraId="276B168B" w14:textId="77777777" w:rsidTr="009A356E">
        <w:trPr>
          <w:trHeight w:val="240"/>
        </w:trPr>
        <w:tc>
          <w:tcPr>
            <w:tcW w:w="2520" w:type="dxa"/>
            <w:tcBorders>
              <w:top w:val="nil"/>
              <w:left w:val="single" w:sz="4" w:space="0" w:color="auto"/>
              <w:bottom w:val="single" w:sz="4" w:space="0" w:color="auto"/>
              <w:right w:val="single" w:sz="4" w:space="0" w:color="auto"/>
            </w:tcBorders>
            <w:shd w:val="clear" w:color="000000" w:fill="92D050"/>
            <w:noWrap/>
            <w:vAlign w:val="bottom"/>
            <w:hideMark/>
          </w:tcPr>
          <w:p w14:paraId="10694401" w14:textId="77777777" w:rsidR="009A356E" w:rsidRPr="00C10545" w:rsidRDefault="009A356E" w:rsidP="009A356E">
            <w:pPr>
              <w:rPr>
                <w:sz w:val="18"/>
                <w:szCs w:val="18"/>
                <w:lang w:eastAsia="en-AU"/>
              </w:rPr>
            </w:pPr>
            <w:r w:rsidRPr="00C10545">
              <w:rPr>
                <w:sz w:val="18"/>
                <w:szCs w:val="18"/>
                <w:lang w:eastAsia="en-AU"/>
              </w:rPr>
              <w:t>Rural &amp; Regional</w:t>
            </w:r>
          </w:p>
        </w:tc>
        <w:tc>
          <w:tcPr>
            <w:tcW w:w="677" w:type="dxa"/>
            <w:tcBorders>
              <w:top w:val="nil"/>
              <w:left w:val="nil"/>
              <w:bottom w:val="single" w:sz="4" w:space="0" w:color="auto"/>
              <w:right w:val="single" w:sz="4" w:space="0" w:color="auto"/>
            </w:tcBorders>
            <w:shd w:val="clear" w:color="auto" w:fill="92D050"/>
            <w:noWrap/>
            <w:vAlign w:val="bottom"/>
            <w:hideMark/>
          </w:tcPr>
          <w:p w14:paraId="31628DEA" w14:textId="77777777" w:rsidR="009A356E" w:rsidRPr="00C10545" w:rsidRDefault="009A356E" w:rsidP="009A356E">
            <w:pPr>
              <w:jc w:val="right"/>
              <w:rPr>
                <w:sz w:val="18"/>
                <w:szCs w:val="18"/>
                <w:lang w:eastAsia="en-AU"/>
              </w:rPr>
            </w:pPr>
            <w:r w:rsidRPr="00C10545">
              <w:rPr>
                <w:sz w:val="18"/>
                <w:szCs w:val="18"/>
                <w:lang w:eastAsia="en-AU"/>
              </w:rPr>
              <w:t>50%</w:t>
            </w:r>
          </w:p>
        </w:tc>
        <w:tc>
          <w:tcPr>
            <w:tcW w:w="677" w:type="dxa"/>
            <w:tcBorders>
              <w:top w:val="nil"/>
              <w:left w:val="nil"/>
              <w:bottom w:val="single" w:sz="4" w:space="0" w:color="auto"/>
              <w:right w:val="single" w:sz="4" w:space="0" w:color="auto"/>
            </w:tcBorders>
            <w:shd w:val="clear" w:color="auto" w:fill="92D050"/>
            <w:noWrap/>
            <w:vAlign w:val="bottom"/>
            <w:hideMark/>
          </w:tcPr>
          <w:p w14:paraId="2CEB22A6" w14:textId="77777777" w:rsidR="009A356E" w:rsidRPr="00C10545" w:rsidRDefault="009A356E" w:rsidP="009A356E">
            <w:pPr>
              <w:jc w:val="right"/>
              <w:rPr>
                <w:sz w:val="18"/>
                <w:szCs w:val="18"/>
                <w:lang w:eastAsia="en-AU"/>
              </w:rPr>
            </w:pPr>
            <w:r w:rsidRPr="00C10545">
              <w:rPr>
                <w:sz w:val="18"/>
                <w:szCs w:val="18"/>
                <w:lang w:eastAsia="en-AU"/>
              </w:rPr>
              <w:t>68%</w:t>
            </w:r>
          </w:p>
        </w:tc>
        <w:tc>
          <w:tcPr>
            <w:tcW w:w="666" w:type="dxa"/>
            <w:tcBorders>
              <w:top w:val="nil"/>
              <w:left w:val="nil"/>
              <w:bottom w:val="single" w:sz="4" w:space="0" w:color="auto"/>
              <w:right w:val="single" w:sz="4" w:space="0" w:color="auto"/>
            </w:tcBorders>
            <w:shd w:val="clear" w:color="auto" w:fill="92D050"/>
            <w:noWrap/>
            <w:vAlign w:val="bottom"/>
            <w:hideMark/>
          </w:tcPr>
          <w:p w14:paraId="539D0F92" w14:textId="77777777" w:rsidR="009A356E" w:rsidRPr="00C10545" w:rsidRDefault="009A356E" w:rsidP="009A356E">
            <w:pPr>
              <w:jc w:val="right"/>
              <w:rPr>
                <w:sz w:val="18"/>
                <w:szCs w:val="18"/>
                <w:lang w:eastAsia="en-AU"/>
              </w:rPr>
            </w:pPr>
            <w:r w:rsidRPr="00C10545">
              <w:rPr>
                <w:sz w:val="18"/>
                <w:szCs w:val="18"/>
                <w:lang w:eastAsia="en-AU"/>
              </w:rPr>
              <w:t>55%</w:t>
            </w:r>
          </w:p>
        </w:tc>
        <w:tc>
          <w:tcPr>
            <w:tcW w:w="261" w:type="dxa"/>
            <w:tcBorders>
              <w:top w:val="nil"/>
              <w:left w:val="nil"/>
              <w:bottom w:val="single" w:sz="4" w:space="0" w:color="auto"/>
              <w:right w:val="single" w:sz="4" w:space="0" w:color="auto"/>
            </w:tcBorders>
            <w:shd w:val="clear" w:color="000000" w:fill="000000"/>
            <w:noWrap/>
            <w:vAlign w:val="bottom"/>
            <w:hideMark/>
          </w:tcPr>
          <w:p w14:paraId="4B6B4900" w14:textId="77777777" w:rsidR="009A356E" w:rsidRPr="00C10545" w:rsidRDefault="009A356E" w:rsidP="009A356E">
            <w:pPr>
              <w:rPr>
                <w:sz w:val="18"/>
                <w:szCs w:val="18"/>
                <w:lang w:eastAsia="en-AU"/>
              </w:rPr>
            </w:pPr>
            <w:r w:rsidRPr="00C10545">
              <w:rPr>
                <w:sz w:val="18"/>
                <w:szCs w:val="18"/>
                <w:lang w:eastAsia="en-AU"/>
              </w:rPr>
              <w:t> </w:t>
            </w:r>
          </w:p>
        </w:tc>
        <w:tc>
          <w:tcPr>
            <w:tcW w:w="677" w:type="dxa"/>
            <w:tcBorders>
              <w:top w:val="nil"/>
              <w:left w:val="nil"/>
              <w:bottom w:val="single" w:sz="4" w:space="0" w:color="auto"/>
              <w:right w:val="single" w:sz="4" w:space="0" w:color="auto"/>
            </w:tcBorders>
            <w:shd w:val="clear" w:color="auto" w:fill="92D050"/>
            <w:noWrap/>
            <w:vAlign w:val="bottom"/>
            <w:hideMark/>
          </w:tcPr>
          <w:p w14:paraId="6DDC7397" w14:textId="77777777" w:rsidR="009A356E" w:rsidRPr="00C10545" w:rsidRDefault="009A356E" w:rsidP="009A356E">
            <w:pPr>
              <w:jc w:val="right"/>
              <w:rPr>
                <w:sz w:val="18"/>
                <w:szCs w:val="18"/>
                <w:lang w:eastAsia="en-AU"/>
              </w:rPr>
            </w:pPr>
            <w:r w:rsidRPr="00C10545">
              <w:rPr>
                <w:sz w:val="18"/>
                <w:szCs w:val="18"/>
                <w:lang w:eastAsia="en-AU"/>
              </w:rPr>
              <w:t>56%</w:t>
            </w:r>
          </w:p>
        </w:tc>
        <w:tc>
          <w:tcPr>
            <w:tcW w:w="677" w:type="dxa"/>
            <w:tcBorders>
              <w:top w:val="nil"/>
              <w:left w:val="nil"/>
              <w:bottom w:val="single" w:sz="4" w:space="0" w:color="auto"/>
              <w:right w:val="single" w:sz="4" w:space="0" w:color="auto"/>
            </w:tcBorders>
            <w:shd w:val="clear" w:color="auto" w:fill="92D050"/>
            <w:noWrap/>
            <w:vAlign w:val="bottom"/>
            <w:hideMark/>
          </w:tcPr>
          <w:p w14:paraId="3D4B6BF4" w14:textId="77777777" w:rsidR="009A356E" w:rsidRPr="00C10545" w:rsidRDefault="009A356E" w:rsidP="009A356E">
            <w:pPr>
              <w:jc w:val="right"/>
              <w:rPr>
                <w:sz w:val="18"/>
                <w:szCs w:val="18"/>
                <w:lang w:eastAsia="en-AU"/>
              </w:rPr>
            </w:pPr>
            <w:r w:rsidRPr="00C10545">
              <w:rPr>
                <w:sz w:val="18"/>
                <w:szCs w:val="18"/>
                <w:lang w:eastAsia="en-AU"/>
              </w:rPr>
              <w:t>75%</w:t>
            </w:r>
          </w:p>
        </w:tc>
        <w:tc>
          <w:tcPr>
            <w:tcW w:w="666" w:type="dxa"/>
            <w:tcBorders>
              <w:top w:val="nil"/>
              <w:left w:val="nil"/>
              <w:bottom w:val="single" w:sz="4" w:space="0" w:color="auto"/>
              <w:right w:val="single" w:sz="4" w:space="0" w:color="auto"/>
            </w:tcBorders>
            <w:shd w:val="clear" w:color="auto" w:fill="92D050"/>
            <w:noWrap/>
            <w:vAlign w:val="bottom"/>
            <w:hideMark/>
          </w:tcPr>
          <w:p w14:paraId="11795279" w14:textId="77777777" w:rsidR="009A356E" w:rsidRPr="00C10545" w:rsidRDefault="009A356E" w:rsidP="009A356E">
            <w:pPr>
              <w:jc w:val="right"/>
              <w:rPr>
                <w:sz w:val="18"/>
                <w:szCs w:val="18"/>
                <w:lang w:eastAsia="en-AU"/>
              </w:rPr>
            </w:pPr>
            <w:r w:rsidRPr="00C10545">
              <w:rPr>
                <w:sz w:val="18"/>
                <w:szCs w:val="18"/>
                <w:lang w:eastAsia="en-AU"/>
              </w:rPr>
              <w:t>61%</w:t>
            </w:r>
          </w:p>
        </w:tc>
        <w:tc>
          <w:tcPr>
            <w:tcW w:w="261" w:type="dxa"/>
            <w:tcBorders>
              <w:top w:val="nil"/>
              <w:left w:val="nil"/>
              <w:bottom w:val="single" w:sz="4" w:space="0" w:color="auto"/>
              <w:right w:val="single" w:sz="4" w:space="0" w:color="auto"/>
            </w:tcBorders>
            <w:shd w:val="clear" w:color="000000" w:fill="000000"/>
            <w:noWrap/>
            <w:vAlign w:val="bottom"/>
            <w:hideMark/>
          </w:tcPr>
          <w:p w14:paraId="765DB5D5" w14:textId="77777777" w:rsidR="009A356E" w:rsidRPr="00C10545" w:rsidRDefault="009A356E" w:rsidP="009A356E">
            <w:pPr>
              <w:rPr>
                <w:sz w:val="18"/>
                <w:szCs w:val="18"/>
                <w:lang w:eastAsia="en-AU"/>
              </w:rPr>
            </w:pPr>
            <w:r w:rsidRPr="00C10545">
              <w:rPr>
                <w:sz w:val="18"/>
                <w:szCs w:val="18"/>
                <w:lang w:eastAsia="en-AU"/>
              </w:rPr>
              <w:t> </w:t>
            </w:r>
          </w:p>
        </w:tc>
        <w:tc>
          <w:tcPr>
            <w:tcW w:w="677" w:type="dxa"/>
            <w:tcBorders>
              <w:top w:val="nil"/>
              <w:left w:val="nil"/>
              <w:bottom w:val="single" w:sz="4" w:space="0" w:color="auto"/>
              <w:right w:val="single" w:sz="4" w:space="0" w:color="auto"/>
            </w:tcBorders>
            <w:shd w:val="clear" w:color="auto" w:fill="92D050"/>
            <w:noWrap/>
            <w:vAlign w:val="bottom"/>
            <w:hideMark/>
          </w:tcPr>
          <w:p w14:paraId="0415B055" w14:textId="77777777" w:rsidR="009A356E" w:rsidRPr="00C10545" w:rsidRDefault="009A356E" w:rsidP="009A356E">
            <w:pPr>
              <w:jc w:val="right"/>
              <w:rPr>
                <w:sz w:val="18"/>
                <w:szCs w:val="18"/>
                <w:lang w:eastAsia="en-AU"/>
              </w:rPr>
            </w:pPr>
            <w:r w:rsidRPr="00C10545">
              <w:rPr>
                <w:sz w:val="18"/>
                <w:szCs w:val="18"/>
                <w:lang w:eastAsia="en-AU"/>
              </w:rPr>
              <w:t>56%</w:t>
            </w:r>
          </w:p>
        </w:tc>
        <w:tc>
          <w:tcPr>
            <w:tcW w:w="677" w:type="dxa"/>
            <w:tcBorders>
              <w:top w:val="nil"/>
              <w:left w:val="nil"/>
              <w:bottom w:val="single" w:sz="4" w:space="0" w:color="auto"/>
              <w:right w:val="single" w:sz="4" w:space="0" w:color="auto"/>
            </w:tcBorders>
            <w:shd w:val="clear" w:color="auto" w:fill="92D050"/>
            <w:noWrap/>
            <w:vAlign w:val="bottom"/>
            <w:hideMark/>
          </w:tcPr>
          <w:p w14:paraId="4F1A5B69" w14:textId="77777777" w:rsidR="009A356E" w:rsidRPr="00C10545" w:rsidRDefault="009A356E" w:rsidP="009A356E">
            <w:pPr>
              <w:jc w:val="right"/>
              <w:rPr>
                <w:sz w:val="18"/>
                <w:szCs w:val="18"/>
                <w:lang w:eastAsia="en-AU"/>
              </w:rPr>
            </w:pPr>
            <w:r w:rsidRPr="00C10545">
              <w:rPr>
                <w:sz w:val="18"/>
                <w:szCs w:val="18"/>
                <w:lang w:eastAsia="en-AU"/>
              </w:rPr>
              <w:t>75%</w:t>
            </w:r>
          </w:p>
        </w:tc>
        <w:tc>
          <w:tcPr>
            <w:tcW w:w="666" w:type="dxa"/>
            <w:tcBorders>
              <w:top w:val="nil"/>
              <w:left w:val="nil"/>
              <w:bottom w:val="single" w:sz="4" w:space="0" w:color="auto"/>
              <w:right w:val="single" w:sz="4" w:space="0" w:color="auto"/>
            </w:tcBorders>
            <w:shd w:val="clear" w:color="auto" w:fill="92D050"/>
            <w:noWrap/>
            <w:vAlign w:val="bottom"/>
            <w:hideMark/>
          </w:tcPr>
          <w:p w14:paraId="41319D44" w14:textId="77777777" w:rsidR="009A356E" w:rsidRPr="00C10545" w:rsidRDefault="009A356E" w:rsidP="009A356E">
            <w:pPr>
              <w:jc w:val="right"/>
              <w:rPr>
                <w:sz w:val="18"/>
                <w:szCs w:val="18"/>
                <w:lang w:eastAsia="en-AU"/>
              </w:rPr>
            </w:pPr>
            <w:r w:rsidRPr="00C10545">
              <w:rPr>
                <w:sz w:val="18"/>
                <w:szCs w:val="18"/>
                <w:lang w:eastAsia="en-AU"/>
              </w:rPr>
              <w:t>61%</w:t>
            </w:r>
          </w:p>
        </w:tc>
      </w:tr>
    </w:tbl>
    <w:p w14:paraId="524C87FE" w14:textId="77777777" w:rsidR="009A356E" w:rsidRDefault="009A356E" w:rsidP="009A356E">
      <w:pPr>
        <w:rPr>
          <w:b/>
        </w:rPr>
      </w:pPr>
    </w:p>
    <w:p w14:paraId="5D0A0FA3" w14:textId="0113FE86" w:rsidR="009A356E" w:rsidRDefault="009A356E" w:rsidP="009A356E">
      <w:r w:rsidRPr="00824954">
        <w:t xml:space="preserve">FAGs </w:t>
      </w:r>
      <w:r>
        <w:t>have declined in real terms</w:t>
      </w:r>
      <w:r w:rsidRPr="00824954">
        <w:t xml:space="preserve"> </w:t>
      </w:r>
      <w:r>
        <w:t>when discounted for cost/inflationary increases.  Analysis of data from 1999-00 to 2015-16 that discounts for movements in the CPI and 60</w:t>
      </w:r>
      <w:r w:rsidR="00370D38">
        <w:t xml:space="preserve"> per cent</w:t>
      </w:r>
      <w:r>
        <w:t xml:space="preserve"> CPI/40</w:t>
      </w:r>
      <w:r w:rsidR="00370D38">
        <w:t xml:space="preserve"> per cent</w:t>
      </w:r>
      <w:r>
        <w:t xml:space="preserve"> Wages Price Index (</w:t>
      </w:r>
      <w:r w:rsidR="00370D38">
        <w:t xml:space="preserve">which is </w:t>
      </w:r>
      <w:r>
        <w:t>the ESC recommended basis for current rate capping in their final report to the State) indicates that FAGs per head have fallen from levels recorded in earlier years.  When discounted for CPI, FAGs per head for rural and regional councils fell from a high of $155.80 in 2010-11 to $147.7 in 2015-16. When discounted for combined CP/WP index they fell from a high of $144.40 in 2010-11 to $131.30 in 2015-16.</w:t>
      </w:r>
    </w:p>
    <w:p w14:paraId="292A6B00" w14:textId="77777777" w:rsidR="00370D38" w:rsidRDefault="00370D38" w:rsidP="009A356E"/>
    <w:p w14:paraId="6606BD6C" w14:textId="77777777" w:rsidR="009A356E" w:rsidRPr="00C10545" w:rsidRDefault="009A356E" w:rsidP="009A356E">
      <w:pPr>
        <w:rPr>
          <w:b/>
          <w:sz w:val="20"/>
        </w:rPr>
      </w:pPr>
      <w:r w:rsidRPr="00C10545">
        <w:rPr>
          <w:b/>
          <w:sz w:val="20"/>
        </w:rPr>
        <w:t>Figure 1</w:t>
      </w:r>
    </w:p>
    <w:p w14:paraId="2B9DD6F1" w14:textId="77777777" w:rsidR="009A356E" w:rsidRDefault="009A356E" w:rsidP="009A356E">
      <w:r>
        <w:rPr>
          <w:noProof/>
          <w:lang w:eastAsia="en-AU"/>
        </w:rPr>
        <w:drawing>
          <wp:inline distT="0" distB="0" distL="0" distR="0" wp14:anchorId="51115AC0" wp14:editId="21D3649F">
            <wp:extent cx="5731510" cy="3743852"/>
            <wp:effectExtent l="0" t="0" r="21590" b="952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14B94F2" w14:textId="77777777" w:rsidR="009A356E" w:rsidRDefault="009A356E" w:rsidP="009A356E"/>
    <w:p w14:paraId="2B9DE700" w14:textId="77777777" w:rsidR="009A356E" w:rsidRDefault="009A356E" w:rsidP="009A356E">
      <w:r>
        <w:t xml:space="preserve">More detailed analysis shows that while real FAGs per head for rural and regional councils have increased generally, the effect has been driven largely by the outcome for large and small shires with real declines being recorded by regional councils.   </w:t>
      </w:r>
    </w:p>
    <w:p w14:paraId="7717F8B9" w14:textId="77777777" w:rsidR="00370D38" w:rsidRDefault="00370D38" w:rsidP="009A356E"/>
    <w:p w14:paraId="63B3B1BB" w14:textId="77777777" w:rsidR="009A356E" w:rsidRDefault="009A356E" w:rsidP="009A356E">
      <w:r>
        <w:t xml:space="preserve">Historic MAV work has shown that sector costs have more closely paralleled movements in average weekly earnings. Hence the findings of real loss based on CPI and CPI/WPI composite may be considered conservative.  </w:t>
      </w:r>
    </w:p>
    <w:p w14:paraId="7FB63EC0" w14:textId="77777777" w:rsidR="009A356E" w:rsidRDefault="009A356E" w:rsidP="009A356E"/>
    <w:p w14:paraId="0D925A91" w14:textId="77777777" w:rsidR="009A356E" w:rsidRPr="00536F48" w:rsidRDefault="009A356E" w:rsidP="009A356E">
      <w:pPr>
        <w:rPr>
          <w:b/>
          <w:sz w:val="20"/>
        </w:rPr>
      </w:pPr>
      <w:r w:rsidRPr="00536F48">
        <w:rPr>
          <w:b/>
          <w:sz w:val="20"/>
        </w:rPr>
        <w:t>Table 4</w:t>
      </w:r>
      <w:r>
        <w:rPr>
          <w:b/>
          <w:sz w:val="20"/>
        </w:rPr>
        <w:t>:</w:t>
      </w:r>
      <w:r w:rsidRPr="00536F48">
        <w:rPr>
          <w:b/>
          <w:sz w:val="20"/>
        </w:rPr>
        <w:t xml:space="preserve"> Nominal &amp; Real FAGs per Head by Broad Council Type – Selected Years ($ Year 2000)</w:t>
      </w:r>
    </w:p>
    <w:tbl>
      <w:tblPr>
        <w:tblW w:w="5000" w:type="pct"/>
        <w:tblLook w:val="04A0" w:firstRow="1" w:lastRow="0" w:firstColumn="1" w:lastColumn="0" w:noHBand="0" w:noVBand="1"/>
      </w:tblPr>
      <w:tblGrid>
        <w:gridCol w:w="2918"/>
        <w:gridCol w:w="936"/>
        <w:gridCol w:w="936"/>
        <w:gridCol w:w="936"/>
        <w:gridCol w:w="936"/>
        <w:gridCol w:w="936"/>
        <w:gridCol w:w="931"/>
      </w:tblGrid>
      <w:tr w:rsidR="009A356E" w:rsidRPr="00D60D2D" w14:paraId="61ED04EA" w14:textId="77777777" w:rsidTr="009A356E">
        <w:trPr>
          <w:trHeight w:val="255"/>
          <w:tblHeader/>
        </w:trPr>
        <w:tc>
          <w:tcPr>
            <w:tcW w:w="1517" w:type="pct"/>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14:paraId="42A92818" w14:textId="77777777" w:rsidR="009A356E" w:rsidRPr="00C10545" w:rsidRDefault="009A356E" w:rsidP="009A356E">
            <w:pPr>
              <w:rPr>
                <w:b/>
                <w:bCs/>
                <w:sz w:val="18"/>
                <w:szCs w:val="18"/>
                <w:lang w:eastAsia="en-AU"/>
              </w:rPr>
            </w:pPr>
          </w:p>
        </w:tc>
        <w:tc>
          <w:tcPr>
            <w:tcW w:w="581" w:type="pct"/>
            <w:tcBorders>
              <w:top w:val="single" w:sz="4" w:space="0" w:color="auto"/>
              <w:left w:val="nil"/>
              <w:bottom w:val="single" w:sz="4" w:space="0" w:color="auto"/>
              <w:right w:val="single" w:sz="4" w:space="0" w:color="auto"/>
            </w:tcBorders>
            <w:shd w:val="clear" w:color="auto" w:fill="auto"/>
            <w:noWrap/>
            <w:vAlign w:val="bottom"/>
            <w:hideMark/>
          </w:tcPr>
          <w:p w14:paraId="6E73FC21" w14:textId="77777777" w:rsidR="009A356E" w:rsidRPr="00C10545" w:rsidRDefault="009A356E" w:rsidP="009A356E">
            <w:pPr>
              <w:jc w:val="right"/>
              <w:rPr>
                <w:b/>
                <w:bCs/>
                <w:sz w:val="18"/>
                <w:szCs w:val="18"/>
                <w:lang w:eastAsia="en-AU"/>
              </w:rPr>
            </w:pPr>
            <w:r w:rsidRPr="00C10545">
              <w:rPr>
                <w:b/>
                <w:bCs/>
                <w:sz w:val="18"/>
                <w:szCs w:val="18"/>
                <w:lang w:eastAsia="en-AU"/>
              </w:rPr>
              <w:t>2000</w:t>
            </w:r>
          </w:p>
        </w:tc>
        <w:tc>
          <w:tcPr>
            <w:tcW w:w="581" w:type="pct"/>
            <w:tcBorders>
              <w:top w:val="single" w:sz="4" w:space="0" w:color="auto"/>
              <w:left w:val="nil"/>
              <w:bottom w:val="single" w:sz="4" w:space="0" w:color="auto"/>
              <w:right w:val="single" w:sz="4" w:space="0" w:color="auto"/>
            </w:tcBorders>
            <w:shd w:val="clear" w:color="auto" w:fill="auto"/>
            <w:noWrap/>
            <w:vAlign w:val="bottom"/>
            <w:hideMark/>
          </w:tcPr>
          <w:p w14:paraId="729C6EE7" w14:textId="77777777" w:rsidR="009A356E" w:rsidRPr="00C10545" w:rsidRDefault="009A356E" w:rsidP="009A356E">
            <w:pPr>
              <w:jc w:val="right"/>
              <w:rPr>
                <w:b/>
                <w:bCs/>
                <w:sz w:val="18"/>
                <w:szCs w:val="18"/>
                <w:lang w:eastAsia="en-AU"/>
              </w:rPr>
            </w:pPr>
            <w:r w:rsidRPr="00C10545">
              <w:rPr>
                <w:b/>
                <w:bCs/>
                <w:sz w:val="18"/>
                <w:szCs w:val="18"/>
                <w:lang w:eastAsia="en-AU"/>
              </w:rPr>
              <w:t>2001</w:t>
            </w:r>
          </w:p>
        </w:tc>
        <w:tc>
          <w:tcPr>
            <w:tcW w:w="581" w:type="pct"/>
            <w:tcBorders>
              <w:top w:val="single" w:sz="4" w:space="0" w:color="auto"/>
              <w:left w:val="nil"/>
              <w:bottom w:val="single" w:sz="4" w:space="0" w:color="auto"/>
              <w:right w:val="single" w:sz="4" w:space="0" w:color="auto"/>
            </w:tcBorders>
            <w:shd w:val="clear" w:color="auto" w:fill="auto"/>
            <w:noWrap/>
            <w:vAlign w:val="bottom"/>
            <w:hideMark/>
          </w:tcPr>
          <w:p w14:paraId="765789ED" w14:textId="77777777" w:rsidR="009A356E" w:rsidRPr="00C10545" w:rsidRDefault="009A356E" w:rsidP="009A356E">
            <w:pPr>
              <w:jc w:val="right"/>
              <w:rPr>
                <w:b/>
                <w:bCs/>
                <w:sz w:val="18"/>
                <w:szCs w:val="18"/>
                <w:lang w:eastAsia="en-AU"/>
              </w:rPr>
            </w:pPr>
            <w:r w:rsidRPr="00C10545">
              <w:rPr>
                <w:b/>
                <w:bCs/>
                <w:sz w:val="18"/>
                <w:szCs w:val="18"/>
                <w:lang w:eastAsia="en-AU"/>
              </w:rPr>
              <w:t>2003</w:t>
            </w:r>
          </w:p>
        </w:tc>
        <w:tc>
          <w:tcPr>
            <w:tcW w:w="581" w:type="pct"/>
            <w:tcBorders>
              <w:top w:val="single" w:sz="4" w:space="0" w:color="auto"/>
              <w:left w:val="nil"/>
              <w:bottom w:val="single" w:sz="4" w:space="0" w:color="auto"/>
              <w:right w:val="single" w:sz="4" w:space="0" w:color="auto"/>
            </w:tcBorders>
            <w:shd w:val="clear" w:color="auto" w:fill="auto"/>
            <w:noWrap/>
            <w:vAlign w:val="bottom"/>
            <w:hideMark/>
          </w:tcPr>
          <w:p w14:paraId="17534C9A" w14:textId="77777777" w:rsidR="009A356E" w:rsidRPr="00C10545" w:rsidRDefault="009A356E" w:rsidP="009A356E">
            <w:pPr>
              <w:jc w:val="right"/>
              <w:rPr>
                <w:b/>
                <w:bCs/>
                <w:sz w:val="18"/>
                <w:szCs w:val="18"/>
                <w:lang w:eastAsia="en-AU"/>
              </w:rPr>
            </w:pPr>
            <w:r w:rsidRPr="00C10545">
              <w:rPr>
                <w:b/>
                <w:bCs/>
                <w:sz w:val="18"/>
                <w:szCs w:val="18"/>
                <w:lang w:eastAsia="en-AU"/>
              </w:rPr>
              <w:t>2011</w:t>
            </w:r>
          </w:p>
        </w:tc>
        <w:tc>
          <w:tcPr>
            <w:tcW w:w="581" w:type="pct"/>
            <w:tcBorders>
              <w:top w:val="single" w:sz="4" w:space="0" w:color="auto"/>
              <w:left w:val="nil"/>
              <w:bottom w:val="single" w:sz="4" w:space="0" w:color="auto"/>
              <w:right w:val="single" w:sz="4" w:space="0" w:color="auto"/>
            </w:tcBorders>
            <w:shd w:val="clear" w:color="auto" w:fill="auto"/>
            <w:noWrap/>
            <w:vAlign w:val="bottom"/>
            <w:hideMark/>
          </w:tcPr>
          <w:p w14:paraId="71AE5B07" w14:textId="77777777" w:rsidR="009A356E" w:rsidRPr="00C10545" w:rsidRDefault="009A356E" w:rsidP="009A356E">
            <w:pPr>
              <w:jc w:val="right"/>
              <w:rPr>
                <w:b/>
                <w:bCs/>
                <w:sz w:val="18"/>
                <w:szCs w:val="18"/>
                <w:lang w:eastAsia="en-AU"/>
              </w:rPr>
            </w:pPr>
            <w:r w:rsidRPr="00C10545">
              <w:rPr>
                <w:b/>
                <w:bCs/>
                <w:sz w:val="18"/>
                <w:szCs w:val="18"/>
                <w:lang w:eastAsia="en-AU"/>
              </w:rPr>
              <w:t>2015</w:t>
            </w:r>
          </w:p>
        </w:tc>
        <w:tc>
          <w:tcPr>
            <w:tcW w:w="578" w:type="pct"/>
            <w:tcBorders>
              <w:top w:val="single" w:sz="4" w:space="0" w:color="auto"/>
              <w:left w:val="nil"/>
              <w:bottom w:val="single" w:sz="4" w:space="0" w:color="auto"/>
              <w:right w:val="single" w:sz="4" w:space="0" w:color="auto"/>
            </w:tcBorders>
            <w:shd w:val="clear" w:color="auto" w:fill="auto"/>
            <w:noWrap/>
            <w:vAlign w:val="bottom"/>
            <w:hideMark/>
          </w:tcPr>
          <w:p w14:paraId="48E70664" w14:textId="77777777" w:rsidR="009A356E" w:rsidRPr="00C10545" w:rsidRDefault="009A356E" w:rsidP="009A356E">
            <w:pPr>
              <w:jc w:val="right"/>
              <w:rPr>
                <w:b/>
                <w:bCs/>
                <w:sz w:val="18"/>
                <w:szCs w:val="18"/>
                <w:lang w:eastAsia="en-AU"/>
              </w:rPr>
            </w:pPr>
            <w:r w:rsidRPr="00C10545">
              <w:rPr>
                <w:b/>
                <w:bCs/>
                <w:sz w:val="18"/>
                <w:szCs w:val="18"/>
                <w:lang w:eastAsia="en-AU"/>
              </w:rPr>
              <w:t>2016</w:t>
            </w:r>
          </w:p>
        </w:tc>
      </w:tr>
      <w:tr w:rsidR="009A356E" w:rsidRPr="00D60D2D" w14:paraId="1E7EF5A7" w14:textId="77777777" w:rsidTr="009A356E">
        <w:trPr>
          <w:trHeight w:val="255"/>
        </w:trPr>
        <w:tc>
          <w:tcPr>
            <w:tcW w:w="1517" w:type="pct"/>
            <w:tcBorders>
              <w:top w:val="nil"/>
              <w:left w:val="single" w:sz="4" w:space="0" w:color="auto"/>
              <w:bottom w:val="single" w:sz="4" w:space="0" w:color="auto"/>
              <w:right w:val="single" w:sz="4" w:space="0" w:color="auto"/>
            </w:tcBorders>
            <w:shd w:val="clear" w:color="000000" w:fill="FDE9D9"/>
            <w:noWrap/>
            <w:vAlign w:val="bottom"/>
            <w:hideMark/>
          </w:tcPr>
          <w:p w14:paraId="5CE27600" w14:textId="77777777" w:rsidR="009A356E" w:rsidRPr="00C10545" w:rsidRDefault="009A356E" w:rsidP="009A356E">
            <w:pPr>
              <w:rPr>
                <w:b/>
                <w:bCs/>
                <w:sz w:val="18"/>
                <w:szCs w:val="18"/>
                <w:lang w:eastAsia="en-AU"/>
              </w:rPr>
            </w:pPr>
            <w:r w:rsidRPr="00C10545">
              <w:rPr>
                <w:b/>
                <w:bCs/>
                <w:sz w:val="18"/>
                <w:szCs w:val="18"/>
                <w:lang w:eastAsia="en-AU"/>
              </w:rPr>
              <w:t>All Councils</w:t>
            </w:r>
          </w:p>
        </w:tc>
        <w:tc>
          <w:tcPr>
            <w:tcW w:w="581" w:type="pct"/>
            <w:tcBorders>
              <w:top w:val="nil"/>
              <w:left w:val="nil"/>
              <w:bottom w:val="single" w:sz="4" w:space="0" w:color="auto"/>
              <w:right w:val="single" w:sz="4" w:space="0" w:color="auto"/>
            </w:tcBorders>
            <w:shd w:val="clear" w:color="000000" w:fill="000000"/>
            <w:noWrap/>
            <w:vAlign w:val="bottom"/>
            <w:hideMark/>
          </w:tcPr>
          <w:p w14:paraId="76D5B48A" w14:textId="77777777" w:rsidR="009A356E" w:rsidRPr="00C10545" w:rsidRDefault="009A356E" w:rsidP="009A356E">
            <w:pPr>
              <w:rPr>
                <w:sz w:val="18"/>
                <w:szCs w:val="18"/>
                <w:lang w:eastAsia="en-AU"/>
              </w:rPr>
            </w:pPr>
            <w:r w:rsidRPr="00C10545">
              <w:rPr>
                <w:sz w:val="18"/>
                <w:szCs w:val="18"/>
                <w:lang w:eastAsia="en-AU"/>
              </w:rPr>
              <w:t> </w:t>
            </w:r>
          </w:p>
        </w:tc>
        <w:tc>
          <w:tcPr>
            <w:tcW w:w="581" w:type="pct"/>
            <w:tcBorders>
              <w:top w:val="nil"/>
              <w:left w:val="nil"/>
              <w:bottom w:val="single" w:sz="4" w:space="0" w:color="auto"/>
              <w:right w:val="single" w:sz="4" w:space="0" w:color="auto"/>
            </w:tcBorders>
            <w:shd w:val="clear" w:color="000000" w:fill="000000"/>
            <w:noWrap/>
            <w:vAlign w:val="bottom"/>
            <w:hideMark/>
          </w:tcPr>
          <w:p w14:paraId="7F7C0A77" w14:textId="77777777" w:rsidR="009A356E" w:rsidRPr="00C10545" w:rsidRDefault="009A356E" w:rsidP="009A356E">
            <w:pPr>
              <w:rPr>
                <w:sz w:val="18"/>
                <w:szCs w:val="18"/>
                <w:lang w:eastAsia="en-AU"/>
              </w:rPr>
            </w:pPr>
            <w:r w:rsidRPr="00C10545">
              <w:rPr>
                <w:sz w:val="18"/>
                <w:szCs w:val="18"/>
                <w:lang w:eastAsia="en-AU"/>
              </w:rPr>
              <w:t> </w:t>
            </w:r>
          </w:p>
        </w:tc>
        <w:tc>
          <w:tcPr>
            <w:tcW w:w="581" w:type="pct"/>
            <w:tcBorders>
              <w:top w:val="nil"/>
              <w:left w:val="nil"/>
              <w:bottom w:val="single" w:sz="4" w:space="0" w:color="auto"/>
              <w:right w:val="single" w:sz="4" w:space="0" w:color="auto"/>
            </w:tcBorders>
            <w:shd w:val="clear" w:color="000000" w:fill="000000"/>
            <w:noWrap/>
            <w:vAlign w:val="bottom"/>
            <w:hideMark/>
          </w:tcPr>
          <w:p w14:paraId="54AA6C7E" w14:textId="77777777" w:rsidR="009A356E" w:rsidRPr="00C10545" w:rsidRDefault="009A356E" w:rsidP="009A356E">
            <w:pPr>
              <w:rPr>
                <w:sz w:val="18"/>
                <w:szCs w:val="18"/>
                <w:lang w:eastAsia="en-AU"/>
              </w:rPr>
            </w:pPr>
            <w:r w:rsidRPr="00C10545">
              <w:rPr>
                <w:sz w:val="18"/>
                <w:szCs w:val="18"/>
                <w:lang w:eastAsia="en-AU"/>
              </w:rPr>
              <w:t> </w:t>
            </w:r>
          </w:p>
        </w:tc>
        <w:tc>
          <w:tcPr>
            <w:tcW w:w="581" w:type="pct"/>
            <w:tcBorders>
              <w:top w:val="nil"/>
              <w:left w:val="nil"/>
              <w:bottom w:val="single" w:sz="4" w:space="0" w:color="auto"/>
              <w:right w:val="single" w:sz="4" w:space="0" w:color="auto"/>
            </w:tcBorders>
            <w:shd w:val="clear" w:color="000000" w:fill="000000"/>
            <w:noWrap/>
            <w:vAlign w:val="bottom"/>
            <w:hideMark/>
          </w:tcPr>
          <w:p w14:paraId="291101F4" w14:textId="77777777" w:rsidR="009A356E" w:rsidRPr="00C10545" w:rsidRDefault="009A356E" w:rsidP="009A356E">
            <w:pPr>
              <w:rPr>
                <w:sz w:val="18"/>
                <w:szCs w:val="18"/>
                <w:lang w:eastAsia="en-AU"/>
              </w:rPr>
            </w:pPr>
            <w:r w:rsidRPr="00C10545">
              <w:rPr>
                <w:sz w:val="18"/>
                <w:szCs w:val="18"/>
                <w:lang w:eastAsia="en-AU"/>
              </w:rPr>
              <w:t> </w:t>
            </w:r>
          </w:p>
        </w:tc>
        <w:tc>
          <w:tcPr>
            <w:tcW w:w="581" w:type="pct"/>
            <w:tcBorders>
              <w:top w:val="nil"/>
              <w:left w:val="nil"/>
              <w:bottom w:val="single" w:sz="4" w:space="0" w:color="auto"/>
              <w:right w:val="single" w:sz="4" w:space="0" w:color="auto"/>
            </w:tcBorders>
            <w:shd w:val="clear" w:color="000000" w:fill="000000"/>
            <w:noWrap/>
            <w:vAlign w:val="bottom"/>
            <w:hideMark/>
          </w:tcPr>
          <w:p w14:paraId="0C84C1DD" w14:textId="77777777" w:rsidR="009A356E" w:rsidRPr="00C10545" w:rsidRDefault="009A356E" w:rsidP="009A356E">
            <w:pPr>
              <w:rPr>
                <w:sz w:val="18"/>
                <w:szCs w:val="18"/>
                <w:lang w:eastAsia="en-AU"/>
              </w:rPr>
            </w:pPr>
            <w:r w:rsidRPr="00C10545">
              <w:rPr>
                <w:sz w:val="18"/>
                <w:szCs w:val="18"/>
                <w:lang w:eastAsia="en-AU"/>
              </w:rPr>
              <w:t> </w:t>
            </w:r>
          </w:p>
        </w:tc>
        <w:tc>
          <w:tcPr>
            <w:tcW w:w="578" w:type="pct"/>
            <w:tcBorders>
              <w:top w:val="nil"/>
              <w:left w:val="nil"/>
              <w:bottom w:val="single" w:sz="4" w:space="0" w:color="auto"/>
              <w:right w:val="single" w:sz="4" w:space="0" w:color="auto"/>
            </w:tcBorders>
            <w:shd w:val="clear" w:color="000000" w:fill="000000"/>
            <w:noWrap/>
            <w:vAlign w:val="bottom"/>
            <w:hideMark/>
          </w:tcPr>
          <w:p w14:paraId="5C0DF50E" w14:textId="77777777" w:rsidR="009A356E" w:rsidRPr="00C10545" w:rsidRDefault="009A356E" w:rsidP="009A356E">
            <w:pPr>
              <w:rPr>
                <w:sz w:val="18"/>
                <w:szCs w:val="18"/>
                <w:lang w:eastAsia="en-AU"/>
              </w:rPr>
            </w:pPr>
            <w:r w:rsidRPr="00C10545">
              <w:rPr>
                <w:sz w:val="18"/>
                <w:szCs w:val="18"/>
                <w:lang w:eastAsia="en-AU"/>
              </w:rPr>
              <w:t> </w:t>
            </w:r>
          </w:p>
        </w:tc>
      </w:tr>
      <w:tr w:rsidR="009A356E" w:rsidRPr="00D60D2D" w14:paraId="6A6FC9E6" w14:textId="77777777" w:rsidTr="009A356E">
        <w:trPr>
          <w:trHeight w:val="255"/>
        </w:trPr>
        <w:tc>
          <w:tcPr>
            <w:tcW w:w="1517" w:type="pct"/>
            <w:tcBorders>
              <w:top w:val="nil"/>
              <w:left w:val="single" w:sz="4" w:space="0" w:color="auto"/>
              <w:bottom w:val="single" w:sz="4" w:space="0" w:color="auto"/>
              <w:right w:val="single" w:sz="4" w:space="0" w:color="auto"/>
            </w:tcBorders>
            <w:shd w:val="clear" w:color="auto" w:fill="auto"/>
            <w:noWrap/>
            <w:vAlign w:val="bottom"/>
            <w:hideMark/>
          </w:tcPr>
          <w:p w14:paraId="07A2B9CC" w14:textId="77777777" w:rsidR="009A356E" w:rsidRPr="00C10545" w:rsidRDefault="009A356E" w:rsidP="009A356E">
            <w:pPr>
              <w:rPr>
                <w:sz w:val="18"/>
                <w:szCs w:val="18"/>
                <w:lang w:eastAsia="en-AU"/>
              </w:rPr>
            </w:pPr>
            <w:r w:rsidRPr="00C10545">
              <w:rPr>
                <w:sz w:val="18"/>
                <w:szCs w:val="18"/>
                <w:lang w:eastAsia="en-AU"/>
              </w:rPr>
              <w:t>Nominal</w:t>
            </w:r>
          </w:p>
        </w:tc>
        <w:tc>
          <w:tcPr>
            <w:tcW w:w="581" w:type="pct"/>
            <w:tcBorders>
              <w:top w:val="nil"/>
              <w:left w:val="nil"/>
              <w:bottom w:val="single" w:sz="4" w:space="0" w:color="auto"/>
              <w:right w:val="single" w:sz="4" w:space="0" w:color="auto"/>
            </w:tcBorders>
            <w:shd w:val="clear" w:color="auto" w:fill="auto"/>
            <w:noWrap/>
            <w:vAlign w:val="bottom"/>
            <w:hideMark/>
          </w:tcPr>
          <w:p w14:paraId="08BE8E72" w14:textId="77777777" w:rsidR="009A356E" w:rsidRPr="00C10545" w:rsidRDefault="009A356E" w:rsidP="009A356E">
            <w:pPr>
              <w:jc w:val="right"/>
              <w:rPr>
                <w:sz w:val="18"/>
                <w:szCs w:val="18"/>
                <w:lang w:eastAsia="en-AU"/>
              </w:rPr>
            </w:pPr>
            <w:r w:rsidRPr="00C10545">
              <w:rPr>
                <w:sz w:val="18"/>
                <w:szCs w:val="18"/>
                <w:lang w:eastAsia="en-AU"/>
              </w:rPr>
              <w:t>62.9</w:t>
            </w:r>
          </w:p>
        </w:tc>
        <w:tc>
          <w:tcPr>
            <w:tcW w:w="581" w:type="pct"/>
            <w:tcBorders>
              <w:top w:val="nil"/>
              <w:left w:val="nil"/>
              <w:bottom w:val="single" w:sz="4" w:space="0" w:color="auto"/>
              <w:right w:val="single" w:sz="4" w:space="0" w:color="auto"/>
            </w:tcBorders>
            <w:shd w:val="clear" w:color="auto" w:fill="auto"/>
            <w:noWrap/>
            <w:vAlign w:val="bottom"/>
            <w:hideMark/>
          </w:tcPr>
          <w:p w14:paraId="116B5BE5" w14:textId="77777777" w:rsidR="009A356E" w:rsidRPr="00C10545" w:rsidRDefault="009A356E" w:rsidP="009A356E">
            <w:pPr>
              <w:jc w:val="right"/>
              <w:rPr>
                <w:sz w:val="18"/>
                <w:szCs w:val="18"/>
                <w:lang w:eastAsia="en-AU"/>
              </w:rPr>
            </w:pPr>
            <w:r w:rsidRPr="00C10545">
              <w:rPr>
                <w:sz w:val="18"/>
                <w:szCs w:val="18"/>
                <w:lang w:eastAsia="en-AU"/>
              </w:rPr>
              <w:t>65.3</w:t>
            </w:r>
          </w:p>
        </w:tc>
        <w:tc>
          <w:tcPr>
            <w:tcW w:w="581" w:type="pct"/>
            <w:tcBorders>
              <w:top w:val="nil"/>
              <w:left w:val="nil"/>
              <w:bottom w:val="single" w:sz="4" w:space="0" w:color="auto"/>
              <w:right w:val="single" w:sz="4" w:space="0" w:color="auto"/>
            </w:tcBorders>
            <w:shd w:val="clear" w:color="auto" w:fill="auto"/>
            <w:noWrap/>
            <w:vAlign w:val="bottom"/>
            <w:hideMark/>
          </w:tcPr>
          <w:p w14:paraId="5EB127AC" w14:textId="77777777" w:rsidR="009A356E" w:rsidRPr="00C10545" w:rsidRDefault="009A356E" w:rsidP="009A356E">
            <w:pPr>
              <w:jc w:val="right"/>
              <w:rPr>
                <w:sz w:val="18"/>
                <w:szCs w:val="18"/>
                <w:lang w:eastAsia="en-AU"/>
              </w:rPr>
            </w:pPr>
            <w:r w:rsidRPr="00C10545">
              <w:rPr>
                <w:sz w:val="18"/>
                <w:szCs w:val="18"/>
                <w:lang w:eastAsia="en-AU"/>
              </w:rPr>
              <w:t>70.6</w:t>
            </w:r>
          </w:p>
        </w:tc>
        <w:tc>
          <w:tcPr>
            <w:tcW w:w="581" w:type="pct"/>
            <w:tcBorders>
              <w:top w:val="nil"/>
              <w:left w:val="nil"/>
              <w:bottom w:val="single" w:sz="4" w:space="0" w:color="auto"/>
              <w:right w:val="single" w:sz="4" w:space="0" w:color="auto"/>
            </w:tcBorders>
            <w:shd w:val="clear" w:color="auto" w:fill="auto"/>
            <w:noWrap/>
            <w:vAlign w:val="bottom"/>
            <w:hideMark/>
          </w:tcPr>
          <w:p w14:paraId="4D4BD643" w14:textId="77777777" w:rsidR="009A356E" w:rsidRPr="00C10545" w:rsidRDefault="009A356E" w:rsidP="009A356E">
            <w:pPr>
              <w:jc w:val="right"/>
              <w:rPr>
                <w:sz w:val="18"/>
                <w:szCs w:val="18"/>
                <w:lang w:eastAsia="en-AU"/>
              </w:rPr>
            </w:pPr>
            <w:r w:rsidRPr="00C10545">
              <w:rPr>
                <w:sz w:val="18"/>
                <w:szCs w:val="18"/>
                <w:lang w:eastAsia="en-AU"/>
              </w:rPr>
              <w:t>89.0</w:t>
            </w:r>
          </w:p>
        </w:tc>
        <w:tc>
          <w:tcPr>
            <w:tcW w:w="581" w:type="pct"/>
            <w:tcBorders>
              <w:top w:val="nil"/>
              <w:left w:val="nil"/>
              <w:bottom w:val="single" w:sz="4" w:space="0" w:color="auto"/>
              <w:right w:val="single" w:sz="4" w:space="0" w:color="auto"/>
            </w:tcBorders>
            <w:shd w:val="clear" w:color="auto" w:fill="auto"/>
            <w:noWrap/>
            <w:vAlign w:val="bottom"/>
            <w:hideMark/>
          </w:tcPr>
          <w:p w14:paraId="7167ADF1" w14:textId="77777777" w:rsidR="009A356E" w:rsidRPr="00C10545" w:rsidRDefault="009A356E" w:rsidP="009A356E">
            <w:pPr>
              <w:jc w:val="right"/>
              <w:rPr>
                <w:sz w:val="18"/>
                <w:szCs w:val="18"/>
                <w:lang w:eastAsia="en-AU"/>
              </w:rPr>
            </w:pPr>
            <w:r w:rsidRPr="00C10545">
              <w:rPr>
                <w:sz w:val="18"/>
                <w:szCs w:val="18"/>
                <w:lang w:eastAsia="en-AU"/>
              </w:rPr>
              <w:t>92.0</w:t>
            </w:r>
          </w:p>
        </w:tc>
        <w:tc>
          <w:tcPr>
            <w:tcW w:w="578" w:type="pct"/>
            <w:tcBorders>
              <w:top w:val="nil"/>
              <w:left w:val="nil"/>
              <w:bottom w:val="single" w:sz="4" w:space="0" w:color="auto"/>
              <w:right w:val="single" w:sz="4" w:space="0" w:color="auto"/>
            </w:tcBorders>
            <w:shd w:val="clear" w:color="auto" w:fill="auto"/>
            <w:noWrap/>
            <w:vAlign w:val="bottom"/>
            <w:hideMark/>
          </w:tcPr>
          <w:p w14:paraId="3188DC14" w14:textId="77777777" w:rsidR="009A356E" w:rsidRPr="00C10545" w:rsidRDefault="009A356E" w:rsidP="009A356E">
            <w:pPr>
              <w:jc w:val="right"/>
              <w:rPr>
                <w:sz w:val="18"/>
                <w:szCs w:val="18"/>
                <w:lang w:eastAsia="en-AU"/>
              </w:rPr>
            </w:pPr>
            <w:r w:rsidRPr="00C10545">
              <w:rPr>
                <w:sz w:val="18"/>
                <w:szCs w:val="18"/>
                <w:lang w:eastAsia="en-AU"/>
              </w:rPr>
              <w:t>90.1</w:t>
            </w:r>
          </w:p>
        </w:tc>
      </w:tr>
      <w:tr w:rsidR="009A356E" w:rsidRPr="00D60D2D" w14:paraId="0F40F578" w14:textId="77777777" w:rsidTr="009A356E">
        <w:trPr>
          <w:trHeight w:val="255"/>
        </w:trPr>
        <w:tc>
          <w:tcPr>
            <w:tcW w:w="1517" w:type="pct"/>
            <w:tcBorders>
              <w:top w:val="nil"/>
              <w:left w:val="single" w:sz="4" w:space="0" w:color="auto"/>
              <w:bottom w:val="single" w:sz="4" w:space="0" w:color="auto"/>
              <w:right w:val="single" w:sz="4" w:space="0" w:color="auto"/>
            </w:tcBorders>
            <w:shd w:val="clear" w:color="auto" w:fill="auto"/>
            <w:noWrap/>
            <w:vAlign w:val="bottom"/>
            <w:hideMark/>
          </w:tcPr>
          <w:p w14:paraId="5DA16634" w14:textId="77777777" w:rsidR="009A356E" w:rsidRPr="00C10545" w:rsidRDefault="009A356E" w:rsidP="009A356E">
            <w:pPr>
              <w:rPr>
                <w:sz w:val="18"/>
                <w:szCs w:val="18"/>
                <w:lang w:eastAsia="en-AU"/>
              </w:rPr>
            </w:pPr>
            <w:r w:rsidRPr="00C10545">
              <w:rPr>
                <w:sz w:val="18"/>
                <w:szCs w:val="18"/>
                <w:lang w:eastAsia="en-AU"/>
              </w:rPr>
              <w:t xml:space="preserve">Discounted by CPI </w:t>
            </w:r>
          </w:p>
        </w:tc>
        <w:tc>
          <w:tcPr>
            <w:tcW w:w="581" w:type="pct"/>
            <w:tcBorders>
              <w:top w:val="nil"/>
              <w:left w:val="nil"/>
              <w:bottom w:val="single" w:sz="4" w:space="0" w:color="auto"/>
              <w:right w:val="single" w:sz="4" w:space="0" w:color="auto"/>
            </w:tcBorders>
            <w:shd w:val="clear" w:color="auto" w:fill="auto"/>
            <w:noWrap/>
            <w:vAlign w:val="bottom"/>
            <w:hideMark/>
          </w:tcPr>
          <w:p w14:paraId="13DAB714" w14:textId="77777777" w:rsidR="009A356E" w:rsidRPr="00C10545" w:rsidRDefault="009A356E" w:rsidP="009A356E">
            <w:pPr>
              <w:jc w:val="right"/>
              <w:rPr>
                <w:sz w:val="18"/>
                <w:szCs w:val="18"/>
                <w:lang w:eastAsia="en-AU"/>
              </w:rPr>
            </w:pPr>
            <w:r w:rsidRPr="00C10545">
              <w:rPr>
                <w:sz w:val="18"/>
                <w:szCs w:val="18"/>
                <w:lang w:eastAsia="en-AU"/>
              </w:rPr>
              <w:t>62.9</w:t>
            </w:r>
          </w:p>
        </w:tc>
        <w:tc>
          <w:tcPr>
            <w:tcW w:w="581" w:type="pct"/>
            <w:tcBorders>
              <w:top w:val="nil"/>
              <w:left w:val="nil"/>
              <w:bottom w:val="single" w:sz="4" w:space="0" w:color="auto"/>
              <w:right w:val="single" w:sz="4" w:space="0" w:color="auto"/>
            </w:tcBorders>
            <w:shd w:val="clear" w:color="auto" w:fill="auto"/>
            <w:noWrap/>
            <w:vAlign w:val="bottom"/>
            <w:hideMark/>
          </w:tcPr>
          <w:p w14:paraId="48AE3A1B" w14:textId="77777777" w:rsidR="009A356E" w:rsidRPr="00C10545" w:rsidRDefault="009A356E" w:rsidP="009A356E">
            <w:pPr>
              <w:jc w:val="right"/>
              <w:rPr>
                <w:sz w:val="18"/>
                <w:szCs w:val="18"/>
                <w:lang w:eastAsia="en-AU"/>
              </w:rPr>
            </w:pPr>
            <w:r w:rsidRPr="00C10545">
              <w:rPr>
                <w:sz w:val="18"/>
                <w:szCs w:val="18"/>
                <w:lang w:eastAsia="en-AU"/>
              </w:rPr>
              <w:t>62.9</w:t>
            </w:r>
          </w:p>
        </w:tc>
        <w:tc>
          <w:tcPr>
            <w:tcW w:w="581" w:type="pct"/>
            <w:tcBorders>
              <w:top w:val="nil"/>
              <w:left w:val="nil"/>
              <w:bottom w:val="single" w:sz="4" w:space="0" w:color="auto"/>
              <w:right w:val="single" w:sz="4" w:space="0" w:color="auto"/>
            </w:tcBorders>
            <w:shd w:val="clear" w:color="auto" w:fill="auto"/>
            <w:noWrap/>
            <w:vAlign w:val="bottom"/>
            <w:hideMark/>
          </w:tcPr>
          <w:p w14:paraId="5EF7EE5B" w14:textId="77777777" w:rsidR="009A356E" w:rsidRPr="00C10545" w:rsidRDefault="009A356E" w:rsidP="009A356E">
            <w:pPr>
              <w:jc w:val="right"/>
              <w:rPr>
                <w:sz w:val="18"/>
                <w:szCs w:val="18"/>
                <w:lang w:eastAsia="en-AU"/>
              </w:rPr>
            </w:pPr>
            <w:r w:rsidRPr="00C10545">
              <w:rPr>
                <w:sz w:val="18"/>
                <w:szCs w:val="18"/>
                <w:lang w:eastAsia="en-AU"/>
              </w:rPr>
              <w:t>64.1</w:t>
            </w:r>
          </w:p>
        </w:tc>
        <w:tc>
          <w:tcPr>
            <w:tcW w:w="581" w:type="pct"/>
            <w:tcBorders>
              <w:top w:val="nil"/>
              <w:left w:val="nil"/>
              <w:bottom w:val="single" w:sz="4" w:space="0" w:color="auto"/>
              <w:right w:val="single" w:sz="4" w:space="0" w:color="auto"/>
            </w:tcBorders>
            <w:shd w:val="clear" w:color="auto" w:fill="auto"/>
            <w:noWrap/>
            <w:vAlign w:val="bottom"/>
            <w:hideMark/>
          </w:tcPr>
          <w:p w14:paraId="687FFD03" w14:textId="77777777" w:rsidR="009A356E" w:rsidRPr="00C10545" w:rsidRDefault="009A356E" w:rsidP="009A356E">
            <w:pPr>
              <w:jc w:val="right"/>
              <w:rPr>
                <w:sz w:val="18"/>
                <w:szCs w:val="18"/>
                <w:lang w:eastAsia="en-AU"/>
              </w:rPr>
            </w:pPr>
            <w:r w:rsidRPr="00C10545">
              <w:rPr>
                <w:sz w:val="18"/>
                <w:szCs w:val="18"/>
                <w:lang w:eastAsia="en-AU"/>
              </w:rPr>
              <w:t>65.3</w:t>
            </w:r>
          </w:p>
        </w:tc>
        <w:tc>
          <w:tcPr>
            <w:tcW w:w="581" w:type="pct"/>
            <w:tcBorders>
              <w:top w:val="nil"/>
              <w:left w:val="nil"/>
              <w:bottom w:val="single" w:sz="4" w:space="0" w:color="auto"/>
              <w:right w:val="single" w:sz="4" w:space="0" w:color="auto"/>
            </w:tcBorders>
            <w:shd w:val="clear" w:color="auto" w:fill="auto"/>
            <w:noWrap/>
            <w:vAlign w:val="bottom"/>
            <w:hideMark/>
          </w:tcPr>
          <w:p w14:paraId="111A41C5" w14:textId="77777777" w:rsidR="009A356E" w:rsidRPr="00C10545" w:rsidRDefault="009A356E" w:rsidP="009A356E">
            <w:pPr>
              <w:jc w:val="right"/>
              <w:rPr>
                <w:sz w:val="18"/>
                <w:szCs w:val="18"/>
                <w:lang w:eastAsia="en-AU"/>
              </w:rPr>
            </w:pPr>
            <w:r w:rsidRPr="00C10545">
              <w:rPr>
                <w:sz w:val="18"/>
                <w:szCs w:val="18"/>
                <w:lang w:eastAsia="en-AU"/>
              </w:rPr>
              <w:t>61.9</w:t>
            </w:r>
          </w:p>
        </w:tc>
        <w:tc>
          <w:tcPr>
            <w:tcW w:w="578" w:type="pct"/>
            <w:tcBorders>
              <w:top w:val="nil"/>
              <w:left w:val="nil"/>
              <w:bottom w:val="single" w:sz="4" w:space="0" w:color="auto"/>
              <w:right w:val="single" w:sz="4" w:space="0" w:color="auto"/>
            </w:tcBorders>
            <w:shd w:val="clear" w:color="auto" w:fill="auto"/>
            <w:noWrap/>
            <w:vAlign w:val="bottom"/>
            <w:hideMark/>
          </w:tcPr>
          <w:p w14:paraId="3759E8B3" w14:textId="77777777" w:rsidR="009A356E" w:rsidRPr="00C10545" w:rsidRDefault="009A356E" w:rsidP="009A356E">
            <w:pPr>
              <w:jc w:val="right"/>
              <w:rPr>
                <w:sz w:val="18"/>
                <w:szCs w:val="18"/>
                <w:lang w:eastAsia="en-AU"/>
              </w:rPr>
            </w:pPr>
            <w:r w:rsidRPr="00C10545">
              <w:rPr>
                <w:sz w:val="18"/>
                <w:szCs w:val="18"/>
                <w:lang w:eastAsia="en-AU"/>
              </w:rPr>
              <w:t>59.7</w:t>
            </w:r>
          </w:p>
        </w:tc>
      </w:tr>
      <w:tr w:rsidR="009A356E" w:rsidRPr="00D60D2D" w14:paraId="1A95426D" w14:textId="77777777" w:rsidTr="009A356E">
        <w:trPr>
          <w:trHeight w:val="255"/>
        </w:trPr>
        <w:tc>
          <w:tcPr>
            <w:tcW w:w="1517" w:type="pct"/>
            <w:tcBorders>
              <w:top w:val="nil"/>
              <w:left w:val="single" w:sz="4" w:space="0" w:color="auto"/>
              <w:bottom w:val="single" w:sz="4" w:space="0" w:color="auto"/>
              <w:right w:val="single" w:sz="4" w:space="0" w:color="auto"/>
            </w:tcBorders>
            <w:shd w:val="clear" w:color="auto" w:fill="auto"/>
            <w:noWrap/>
            <w:vAlign w:val="bottom"/>
            <w:hideMark/>
          </w:tcPr>
          <w:p w14:paraId="4A15B949" w14:textId="77777777" w:rsidR="009A356E" w:rsidRPr="00C10545" w:rsidRDefault="009A356E" w:rsidP="009A356E">
            <w:pPr>
              <w:rPr>
                <w:sz w:val="18"/>
                <w:szCs w:val="18"/>
                <w:lang w:eastAsia="en-AU"/>
              </w:rPr>
            </w:pPr>
            <w:r w:rsidRPr="00C10545">
              <w:rPr>
                <w:sz w:val="18"/>
                <w:szCs w:val="18"/>
                <w:lang w:eastAsia="en-AU"/>
              </w:rPr>
              <w:t>Discounted by AWE</w:t>
            </w:r>
          </w:p>
        </w:tc>
        <w:tc>
          <w:tcPr>
            <w:tcW w:w="581" w:type="pct"/>
            <w:tcBorders>
              <w:top w:val="nil"/>
              <w:left w:val="nil"/>
              <w:bottom w:val="single" w:sz="4" w:space="0" w:color="auto"/>
              <w:right w:val="single" w:sz="4" w:space="0" w:color="auto"/>
            </w:tcBorders>
            <w:shd w:val="clear" w:color="auto" w:fill="auto"/>
            <w:noWrap/>
            <w:vAlign w:val="bottom"/>
            <w:hideMark/>
          </w:tcPr>
          <w:p w14:paraId="3E72044E" w14:textId="77777777" w:rsidR="009A356E" w:rsidRPr="00C10545" w:rsidRDefault="009A356E" w:rsidP="009A356E">
            <w:pPr>
              <w:jc w:val="right"/>
              <w:rPr>
                <w:sz w:val="18"/>
                <w:szCs w:val="18"/>
                <w:lang w:eastAsia="en-AU"/>
              </w:rPr>
            </w:pPr>
            <w:r w:rsidRPr="00C10545">
              <w:rPr>
                <w:sz w:val="18"/>
                <w:szCs w:val="18"/>
                <w:lang w:eastAsia="en-AU"/>
              </w:rPr>
              <w:t>62.9</w:t>
            </w:r>
          </w:p>
        </w:tc>
        <w:tc>
          <w:tcPr>
            <w:tcW w:w="581" w:type="pct"/>
            <w:tcBorders>
              <w:top w:val="nil"/>
              <w:left w:val="nil"/>
              <w:bottom w:val="single" w:sz="4" w:space="0" w:color="auto"/>
              <w:right w:val="single" w:sz="4" w:space="0" w:color="auto"/>
            </w:tcBorders>
            <w:shd w:val="clear" w:color="auto" w:fill="auto"/>
            <w:noWrap/>
            <w:vAlign w:val="bottom"/>
            <w:hideMark/>
          </w:tcPr>
          <w:p w14:paraId="371BF58F" w14:textId="77777777" w:rsidR="009A356E" w:rsidRPr="00C10545" w:rsidRDefault="009A356E" w:rsidP="009A356E">
            <w:pPr>
              <w:jc w:val="right"/>
              <w:rPr>
                <w:sz w:val="18"/>
                <w:szCs w:val="18"/>
                <w:lang w:eastAsia="en-AU"/>
              </w:rPr>
            </w:pPr>
            <w:r w:rsidRPr="00C10545">
              <w:rPr>
                <w:sz w:val="18"/>
                <w:szCs w:val="18"/>
                <w:lang w:eastAsia="en-AU"/>
              </w:rPr>
              <w:t>62.9</w:t>
            </w:r>
          </w:p>
        </w:tc>
        <w:tc>
          <w:tcPr>
            <w:tcW w:w="581" w:type="pct"/>
            <w:tcBorders>
              <w:top w:val="nil"/>
              <w:left w:val="nil"/>
              <w:bottom w:val="single" w:sz="4" w:space="0" w:color="auto"/>
              <w:right w:val="single" w:sz="4" w:space="0" w:color="auto"/>
            </w:tcBorders>
            <w:shd w:val="clear" w:color="auto" w:fill="auto"/>
            <w:noWrap/>
            <w:vAlign w:val="bottom"/>
            <w:hideMark/>
          </w:tcPr>
          <w:p w14:paraId="46A844E4" w14:textId="77777777" w:rsidR="009A356E" w:rsidRPr="00C10545" w:rsidRDefault="009A356E" w:rsidP="009A356E">
            <w:pPr>
              <w:jc w:val="right"/>
              <w:rPr>
                <w:sz w:val="18"/>
                <w:szCs w:val="18"/>
                <w:lang w:eastAsia="en-AU"/>
              </w:rPr>
            </w:pPr>
            <w:r w:rsidRPr="00C10545">
              <w:rPr>
                <w:sz w:val="18"/>
                <w:szCs w:val="18"/>
                <w:lang w:eastAsia="en-AU"/>
              </w:rPr>
              <w:t>59.1</w:t>
            </w:r>
          </w:p>
        </w:tc>
        <w:tc>
          <w:tcPr>
            <w:tcW w:w="581" w:type="pct"/>
            <w:tcBorders>
              <w:top w:val="nil"/>
              <w:left w:val="nil"/>
              <w:bottom w:val="single" w:sz="4" w:space="0" w:color="auto"/>
              <w:right w:val="single" w:sz="4" w:space="0" w:color="auto"/>
            </w:tcBorders>
            <w:shd w:val="clear" w:color="auto" w:fill="auto"/>
            <w:noWrap/>
            <w:vAlign w:val="bottom"/>
            <w:hideMark/>
          </w:tcPr>
          <w:p w14:paraId="4067C5C8" w14:textId="77777777" w:rsidR="009A356E" w:rsidRPr="00C10545" w:rsidRDefault="009A356E" w:rsidP="009A356E">
            <w:pPr>
              <w:jc w:val="right"/>
              <w:rPr>
                <w:sz w:val="18"/>
                <w:szCs w:val="18"/>
                <w:lang w:eastAsia="en-AU"/>
              </w:rPr>
            </w:pPr>
            <w:r w:rsidRPr="00C10545">
              <w:rPr>
                <w:sz w:val="18"/>
                <w:szCs w:val="18"/>
                <w:lang w:eastAsia="en-AU"/>
              </w:rPr>
              <w:t>53.8</w:t>
            </w:r>
          </w:p>
        </w:tc>
        <w:tc>
          <w:tcPr>
            <w:tcW w:w="581" w:type="pct"/>
            <w:tcBorders>
              <w:top w:val="nil"/>
              <w:left w:val="nil"/>
              <w:bottom w:val="single" w:sz="4" w:space="0" w:color="auto"/>
              <w:right w:val="single" w:sz="4" w:space="0" w:color="auto"/>
            </w:tcBorders>
            <w:shd w:val="clear" w:color="auto" w:fill="auto"/>
            <w:noWrap/>
            <w:vAlign w:val="bottom"/>
            <w:hideMark/>
          </w:tcPr>
          <w:p w14:paraId="681B5329" w14:textId="77777777" w:rsidR="009A356E" w:rsidRPr="00C10545" w:rsidRDefault="009A356E" w:rsidP="009A356E">
            <w:pPr>
              <w:jc w:val="right"/>
              <w:rPr>
                <w:sz w:val="18"/>
                <w:szCs w:val="18"/>
                <w:lang w:eastAsia="en-AU"/>
              </w:rPr>
            </w:pPr>
            <w:r w:rsidRPr="00C10545">
              <w:rPr>
                <w:sz w:val="18"/>
                <w:szCs w:val="18"/>
                <w:lang w:eastAsia="en-AU"/>
              </w:rPr>
              <w:t>49.7</w:t>
            </w:r>
          </w:p>
        </w:tc>
        <w:tc>
          <w:tcPr>
            <w:tcW w:w="578" w:type="pct"/>
            <w:tcBorders>
              <w:top w:val="nil"/>
              <w:left w:val="nil"/>
              <w:bottom w:val="single" w:sz="4" w:space="0" w:color="auto"/>
              <w:right w:val="single" w:sz="4" w:space="0" w:color="auto"/>
            </w:tcBorders>
            <w:shd w:val="clear" w:color="auto" w:fill="auto"/>
            <w:noWrap/>
            <w:vAlign w:val="bottom"/>
            <w:hideMark/>
          </w:tcPr>
          <w:p w14:paraId="7B522D00" w14:textId="77777777" w:rsidR="009A356E" w:rsidRPr="00C10545" w:rsidRDefault="009A356E" w:rsidP="009A356E">
            <w:pPr>
              <w:jc w:val="right"/>
              <w:rPr>
                <w:sz w:val="18"/>
                <w:szCs w:val="18"/>
                <w:lang w:eastAsia="en-AU"/>
              </w:rPr>
            </w:pPr>
            <w:r w:rsidRPr="00C10545">
              <w:rPr>
                <w:sz w:val="18"/>
                <w:szCs w:val="18"/>
                <w:lang w:eastAsia="en-AU"/>
              </w:rPr>
              <w:t>47.2</w:t>
            </w:r>
          </w:p>
        </w:tc>
      </w:tr>
      <w:tr w:rsidR="009A356E" w:rsidRPr="00D60D2D" w14:paraId="137F84F2" w14:textId="77777777" w:rsidTr="009A356E">
        <w:trPr>
          <w:trHeight w:val="255"/>
        </w:trPr>
        <w:tc>
          <w:tcPr>
            <w:tcW w:w="1517" w:type="pct"/>
            <w:tcBorders>
              <w:top w:val="nil"/>
              <w:left w:val="single" w:sz="4" w:space="0" w:color="auto"/>
              <w:bottom w:val="single" w:sz="4" w:space="0" w:color="auto"/>
              <w:right w:val="single" w:sz="4" w:space="0" w:color="auto"/>
            </w:tcBorders>
            <w:shd w:val="clear" w:color="auto" w:fill="auto"/>
            <w:noWrap/>
            <w:vAlign w:val="bottom"/>
            <w:hideMark/>
          </w:tcPr>
          <w:p w14:paraId="6B2218F3" w14:textId="77777777" w:rsidR="009A356E" w:rsidRPr="00C10545" w:rsidRDefault="009A356E" w:rsidP="009A356E">
            <w:pPr>
              <w:rPr>
                <w:sz w:val="18"/>
                <w:szCs w:val="18"/>
                <w:lang w:eastAsia="en-AU"/>
              </w:rPr>
            </w:pPr>
            <w:r w:rsidRPr="00C10545">
              <w:rPr>
                <w:sz w:val="18"/>
                <w:szCs w:val="18"/>
                <w:lang w:eastAsia="en-AU"/>
              </w:rPr>
              <w:t>Discounted by 60% CPI/40% WPI</w:t>
            </w:r>
          </w:p>
        </w:tc>
        <w:tc>
          <w:tcPr>
            <w:tcW w:w="581" w:type="pct"/>
            <w:tcBorders>
              <w:top w:val="nil"/>
              <w:left w:val="nil"/>
              <w:bottom w:val="single" w:sz="4" w:space="0" w:color="auto"/>
              <w:right w:val="single" w:sz="4" w:space="0" w:color="auto"/>
            </w:tcBorders>
            <w:shd w:val="clear" w:color="auto" w:fill="auto"/>
            <w:noWrap/>
            <w:vAlign w:val="bottom"/>
            <w:hideMark/>
          </w:tcPr>
          <w:p w14:paraId="16241BD0" w14:textId="77777777" w:rsidR="009A356E" w:rsidRPr="00C10545" w:rsidRDefault="009A356E" w:rsidP="009A356E">
            <w:pPr>
              <w:jc w:val="right"/>
              <w:rPr>
                <w:sz w:val="18"/>
                <w:szCs w:val="18"/>
                <w:lang w:eastAsia="en-AU"/>
              </w:rPr>
            </w:pPr>
            <w:r w:rsidRPr="00C10545">
              <w:rPr>
                <w:sz w:val="18"/>
                <w:szCs w:val="18"/>
                <w:lang w:eastAsia="en-AU"/>
              </w:rPr>
              <w:t>62.9</w:t>
            </w:r>
          </w:p>
        </w:tc>
        <w:tc>
          <w:tcPr>
            <w:tcW w:w="581" w:type="pct"/>
            <w:tcBorders>
              <w:top w:val="nil"/>
              <w:left w:val="nil"/>
              <w:bottom w:val="single" w:sz="4" w:space="0" w:color="auto"/>
              <w:right w:val="single" w:sz="4" w:space="0" w:color="auto"/>
            </w:tcBorders>
            <w:shd w:val="clear" w:color="auto" w:fill="auto"/>
            <w:noWrap/>
            <w:vAlign w:val="bottom"/>
            <w:hideMark/>
          </w:tcPr>
          <w:p w14:paraId="024BC5DF" w14:textId="77777777" w:rsidR="009A356E" w:rsidRPr="00C10545" w:rsidRDefault="009A356E" w:rsidP="009A356E">
            <w:pPr>
              <w:jc w:val="right"/>
              <w:rPr>
                <w:sz w:val="18"/>
                <w:szCs w:val="18"/>
                <w:lang w:eastAsia="en-AU"/>
              </w:rPr>
            </w:pPr>
            <w:r w:rsidRPr="00C10545">
              <w:rPr>
                <w:sz w:val="18"/>
                <w:szCs w:val="18"/>
                <w:lang w:eastAsia="en-AU"/>
              </w:rPr>
              <w:t>63.2</w:t>
            </w:r>
          </w:p>
        </w:tc>
        <w:tc>
          <w:tcPr>
            <w:tcW w:w="581" w:type="pct"/>
            <w:tcBorders>
              <w:top w:val="nil"/>
              <w:left w:val="nil"/>
              <w:bottom w:val="single" w:sz="4" w:space="0" w:color="auto"/>
              <w:right w:val="single" w:sz="4" w:space="0" w:color="auto"/>
            </w:tcBorders>
            <w:shd w:val="clear" w:color="auto" w:fill="auto"/>
            <w:noWrap/>
            <w:vAlign w:val="bottom"/>
            <w:hideMark/>
          </w:tcPr>
          <w:p w14:paraId="2FF29E2E" w14:textId="77777777" w:rsidR="009A356E" w:rsidRPr="00C10545" w:rsidRDefault="009A356E" w:rsidP="009A356E">
            <w:pPr>
              <w:jc w:val="right"/>
              <w:rPr>
                <w:sz w:val="18"/>
                <w:szCs w:val="18"/>
                <w:lang w:eastAsia="en-AU"/>
              </w:rPr>
            </w:pPr>
            <w:r w:rsidRPr="00C10545">
              <w:rPr>
                <w:sz w:val="18"/>
                <w:szCs w:val="18"/>
                <w:lang w:eastAsia="en-AU"/>
              </w:rPr>
              <w:t>63.7</w:t>
            </w:r>
          </w:p>
        </w:tc>
        <w:tc>
          <w:tcPr>
            <w:tcW w:w="581" w:type="pct"/>
            <w:tcBorders>
              <w:top w:val="nil"/>
              <w:left w:val="nil"/>
              <w:bottom w:val="single" w:sz="4" w:space="0" w:color="auto"/>
              <w:right w:val="single" w:sz="4" w:space="0" w:color="auto"/>
            </w:tcBorders>
            <w:shd w:val="clear" w:color="auto" w:fill="auto"/>
            <w:noWrap/>
            <w:vAlign w:val="bottom"/>
            <w:hideMark/>
          </w:tcPr>
          <w:p w14:paraId="09AB1DF6" w14:textId="77777777" w:rsidR="009A356E" w:rsidRPr="00C10545" w:rsidRDefault="009A356E" w:rsidP="009A356E">
            <w:pPr>
              <w:jc w:val="right"/>
              <w:rPr>
                <w:sz w:val="18"/>
                <w:szCs w:val="18"/>
                <w:lang w:eastAsia="en-AU"/>
              </w:rPr>
            </w:pPr>
            <w:r w:rsidRPr="00C10545">
              <w:rPr>
                <w:sz w:val="18"/>
                <w:szCs w:val="18"/>
                <w:lang w:eastAsia="en-AU"/>
              </w:rPr>
              <w:t>60.5</w:t>
            </w:r>
          </w:p>
        </w:tc>
        <w:tc>
          <w:tcPr>
            <w:tcW w:w="581" w:type="pct"/>
            <w:tcBorders>
              <w:top w:val="nil"/>
              <w:left w:val="nil"/>
              <w:bottom w:val="single" w:sz="4" w:space="0" w:color="auto"/>
              <w:right w:val="single" w:sz="4" w:space="0" w:color="auto"/>
            </w:tcBorders>
            <w:shd w:val="clear" w:color="auto" w:fill="auto"/>
            <w:noWrap/>
            <w:vAlign w:val="bottom"/>
            <w:hideMark/>
          </w:tcPr>
          <w:p w14:paraId="04A92948" w14:textId="77777777" w:rsidR="009A356E" w:rsidRPr="00C10545" w:rsidRDefault="009A356E" w:rsidP="009A356E">
            <w:pPr>
              <w:jc w:val="right"/>
              <w:rPr>
                <w:sz w:val="18"/>
                <w:szCs w:val="18"/>
                <w:lang w:eastAsia="en-AU"/>
              </w:rPr>
            </w:pPr>
            <w:r w:rsidRPr="00C10545">
              <w:rPr>
                <w:sz w:val="18"/>
                <w:szCs w:val="18"/>
                <w:lang w:eastAsia="en-AU"/>
              </w:rPr>
              <w:t>55.5</w:t>
            </w:r>
          </w:p>
        </w:tc>
        <w:tc>
          <w:tcPr>
            <w:tcW w:w="578" w:type="pct"/>
            <w:tcBorders>
              <w:top w:val="nil"/>
              <w:left w:val="nil"/>
              <w:bottom w:val="single" w:sz="4" w:space="0" w:color="auto"/>
              <w:right w:val="single" w:sz="4" w:space="0" w:color="auto"/>
            </w:tcBorders>
            <w:shd w:val="clear" w:color="auto" w:fill="auto"/>
            <w:noWrap/>
            <w:vAlign w:val="bottom"/>
            <w:hideMark/>
          </w:tcPr>
          <w:p w14:paraId="68A16A7F" w14:textId="77777777" w:rsidR="009A356E" w:rsidRPr="00C10545" w:rsidRDefault="009A356E" w:rsidP="009A356E">
            <w:pPr>
              <w:jc w:val="right"/>
              <w:rPr>
                <w:sz w:val="18"/>
                <w:szCs w:val="18"/>
                <w:lang w:eastAsia="en-AU"/>
              </w:rPr>
            </w:pPr>
            <w:r w:rsidRPr="00C10545">
              <w:rPr>
                <w:sz w:val="18"/>
                <w:szCs w:val="18"/>
                <w:lang w:eastAsia="en-AU"/>
              </w:rPr>
              <w:t>53.1</w:t>
            </w:r>
          </w:p>
        </w:tc>
      </w:tr>
      <w:tr w:rsidR="009A356E" w:rsidRPr="00D60D2D" w14:paraId="15188BB3" w14:textId="77777777" w:rsidTr="009A356E">
        <w:trPr>
          <w:trHeight w:val="255"/>
        </w:trPr>
        <w:tc>
          <w:tcPr>
            <w:tcW w:w="1517" w:type="pct"/>
            <w:tcBorders>
              <w:top w:val="nil"/>
              <w:left w:val="single" w:sz="4" w:space="0" w:color="auto"/>
              <w:bottom w:val="single" w:sz="4" w:space="0" w:color="auto"/>
              <w:right w:val="single" w:sz="4" w:space="0" w:color="auto"/>
            </w:tcBorders>
            <w:shd w:val="clear" w:color="000000" w:fill="000000"/>
            <w:noWrap/>
            <w:vAlign w:val="bottom"/>
            <w:hideMark/>
          </w:tcPr>
          <w:p w14:paraId="1E1C0697" w14:textId="77777777" w:rsidR="009A356E" w:rsidRPr="00C10545" w:rsidRDefault="009A356E" w:rsidP="009A356E">
            <w:pPr>
              <w:rPr>
                <w:sz w:val="18"/>
                <w:szCs w:val="18"/>
                <w:lang w:eastAsia="en-AU"/>
              </w:rPr>
            </w:pPr>
            <w:r w:rsidRPr="00C10545">
              <w:rPr>
                <w:sz w:val="18"/>
                <w:szCs w:val="18"/>
                <w:lang w:eastAsia="en-AU"/>
              </w:rPr>
              <w:t> </w:t>
            </w:r>
          </w:p>
        </w:tc>
        <w:tc>
          <w:tcPr>
            <w:tcW w:w="581" w:type="pct"/>
            <w:tcBorders>
              <w:top w:val="nil"/>
              <w:left w:val="nil"/>
              <w:bottom w:val="single" w:sz="4" w:space="0" w:color="auto"/>
              <w:right w:val="single" w:sz="4" w:space="0" w:color="auto"/>
            </w:tcBorders>
            <w:shd w:val="clear" w:color="000000" w:fill="000000"/>
            <w:noWrap/>
            <w:vAlign w:val="bottom"/>
            <w:hideMark/>
          </w:tcPr>
          <w:p w14:paraId="34359E0E" w14:textId="77777777" w:rsidR="009A356E" w:rsidRPr="00C10545" w:rsidRDefault="009A356E" w:rsidP="009A356E">
            <w:pPr>
              <w:rPr>
                <w:sz w:val="18"/>
                <w:szCs w:val="18"/>
                <w:lang w:eastAsia="en-AU"/>
              </w:rPr>
            </w:pPr>
            <w:r w:rsidRPr="00C10545">
              <w:rPr>
                <w:sz w:val="18"/>
                <w:szCs w:val="18"/>
                <w:lang w:eastAsia="en-AU"/>
              </w:rPr>
              <w:t> </w:t>
            </w:r>
          </w:p>
        </w:tc>
        <w:tc>
          <w:tcPr>
            <w:tcW w:w="581" w:type="pct"/>
            <w:tcBorders>
              <w:top w:val="nil"/>
              <w:left w:val="nil"/>
              <w:bottom w:val="single" w:sz="4" w:space="0" w:color="auto"/>
              <w:right w:val="single" w:sz="4" w:space="0" w:color="auto"/>
            </w:tcBorders>
            <w:shd w:val="clear" w:color="000000" w:fill="000000"/>
            <w:noWrap/>
            <w:vAlign w:val="bottom"/>
            <w:hideMark/>
          </w:tcPr>
          <w:p w14:paraId="07FD58B4" w14:textId="77777777" w:rsidR="009A356E" w:rsidRPr="00C10545" w:rsidRDefault="009A356E" w:rsidP="009A356E">
            <w:pPr>
              <w:rPr>
                <w:sz w:val="18"/>
                <w:szCs w:val="18"/>
                <w:lang w:eastAsia="en-AU"/>
              </w:rPr>
            </w:pPr>
            <w:r w:rsidRPr="00C10545">
              <w:rPr>
                <w:sz w:val="18"/>
                <w:szCs w:val="18"/>
                <w:lang w:eastAsia="en-AU"/>
              </w:rPr>
              <w:t> </w:t>
            </w:r>
          </w:p>
        </w:tc>
        <w:tc>
          <w:tcPr>
            <w:tcW w:w="581" w:type="pct"/>
            <w:tcBorders>
              <w:top w:val="nil"/>
              <w:left w:val="nil"/>
              <w:bottom w:val="single" w:sz="4" w:space="0" w:color="auto"/>
              <w:right w:val="single" w:sz="4" w:space="0" w:color="auto"/>
            </w:tcBorders>
            <w:shd w:val="clear" w:color="000000" w:fill="000000"/>
            <w:noWrap/>
            <w:vAlign w:val="bottom"/>
            <w:hideMark/>
          </w:tcPr>
          <w:p w14:paraId="1D40AE29" w14:textId="77777777" w:rsidR="009A356E" w:rsidRPr="00C10545" w:rsidRDefault="009A356E" w:rsidP="009A356E">
            <w:pPr>
              <w:rPr>
                <w:sz w:val="18"/>
                <w:szCs w:val="18"/>
                <w:lang w:eastAsia="en-AU"/>
              </w:rPr>
            </w:pPr>
            <w:r w:rsidRPr="00C10545">
              <w:rPr>
                <w:sz w:val="18"/>
                <w:szCs w:val="18"/>
                <w:lang w:eastAsia="en-AU"/>
              </w:rPr>
              <w:t> </w:t>
            </w:r>
          </w:p>
        </w:tc>
        <w:tc>
          <w:tcPr>
            <w:tcW w:w="581" w:type="pct"/>
            <w:tcBorders>
              <w:top w:val="nil"/>
              <w:left w:val="nil"/>
              <w:bottom w:val="single" w:sz="4" w:space="0" w:color="auto"/>
              <w:right w:val="single" w:sz="4" w:space="0" w:color="auto"/>
            </w:tcBorders>
            <w:shd w:val="clear" w:color="000000" w:fill="000000"/>
            <w:noWrap/>
            <w:vAlign w:val="bottom"/>
            <w:hideMark/>
          </w:tcPr>
          <w:p w14:paraId="55661A48" w14:textId="77777777" w:rsidR="009A356E" w:rsidRPr="00C10545" w:rsidRDefault="009A356E" w:rsidP="009A356E">
            <w:pPr>
              <w:rPr>
                <w:sz w:val="18"/>
                <w:szCs w:val="18"/>
                <w:lang w:eastAsia="en-AU"/>
              </w:rPr>
            </w:pPr>
            <w:r w:rsidRPr="00C10545">
              <w:rPr>
                <w:sz w:val="18"/>
                <w:szCs w:val="18"/>
                <w:lang w:eastAsia="en-AU"/>
              </w:rPr>
              <w:t> </w:t>
            </w:r>
          </w:p>
        </w:tc>
        <w:tc>
          <w:tcPr>
            <w:tcW w:w="581" w:type="pct"/>
            <w:tcBorders>
              <w:top w:val="nil"/>
              <w:left w:val="nil"/>
              <w:bottom w:val="single" w:sz="4" w:space="0" w:color="auto"/>
              <w:right w:val="single" w:sz="4" w:space="0" w:color="auto"/>
            </w:tcBorders>
            <w:shd w:val="clear" w:color="000000" w:fill="000000"/>
            <w:noWrap/>
            <w:vAlign w:val="bottom"/>
            <w:hideMark/>
          </w:tcPr>
          <w:p w14:paraId="490B2F9F" w14:textId="77777777" w:rsidR="009A356E" w:rsidRPr="00C10545" w:rsidRDefault="009A356E" w:rsidP="009A356E">
            <w:pPr>
              <w:rPr>
                <w:sz w:val="18"/>
                <w:szCs w:val="18"/>
                <w:lang w:eastAsia="en-AU"/>
              </w:rPr>
            </w:pPr>
            <w:r w:rsidRPr="00C10545">
              <w:rPr>
                <w:sz w:val="18"/>
                <w:szCs w:val="18"/>
                <w:lang w:eastAsia="en-AU"/>
              </w:rPr>
              <w:t> </w:t>
            </w:r>
          </w:p>
        </w:tc>
        <w:tc>
          <w:tcPr>
            <w:tcW w:w="578" w:type="pct"/>
            <w:tcBorders>
              <w:top w:val="nil"/>
              <w:left w:val="nil"/>
              <w:bottom w:val="single" w:sz="4" w:space="0" w:color="auto"/>
              <w:right w:val="single" w:sz="4" w:space="0" w:color="auto"/>
            </w:tcBorders>
            <w:shd w:val="clear" w:color="000000" w:fill="000000"/>
            <w:noWrap/>
            <w:vAlign w:val="bottom"/>
            <w:hideMark/>
          </w:tcPr>
          <w:p w14:paraId="4D2EBD14" w14:textId="77777777" w:rsidR="009A356E" w:rsidRPr="00C10545" w:rsidRDefault="009A356E" w:rsidP="009A356E">
            <w:pPr>
              <w:rPr>
                <w:sz w:val="18"/>
                <w:szCs w:val="18"/>
                <w:lang w:eastAsia="en-AU"/>
              </w:rPr>
            </w:pPr>
            <w:r w:rsidRPr="00C10545">
              <w:rPr>
                <w:sz w:val="18"/>
                <w:szCs w:val="18"/>
                <w:lang w:eastAsia="en-AU"/>
              </w:rPr>
              <w:t> </w:t>
            </w:r>
          </w:p>
        </w:tc>
      </w:tr>
      <w:tr w:rsidR="009A356E" w:rsidRPr="00D60D2D" w14:paraId="0F114588" w14:textId="77777777" w:rsidTr="009A356E">
        <w:trPr>
          <w:trHeight w:val="255"/>
        </w:trPr>
        <w:tc>
          <w:tcPr>
            <w:tcW w:w="1517" w:type="pct"/>
            <w:tcBorders>
              <w:top w:val="nil"/>
              <w:left w:val="single" w:sz="4" w:space="0" w:color="auto"/>
              <w:bottom w:val="single" w:sz="4" w:space="0" w:color="auto"/>
              <w:right w:val="single" w:sz="4" w:space="0" w:color="auto"/>
            </w:tcBorders>
            <w:shd w:val="clear" w:color="000000" w:fill="DAEEF3"/>
            <w:noWrap/>
            <w:vAlign w:val="bottom"/>
            <w:hideMark/>
          </w:tcPr>
          <w:p w14:paraId="69B406ED" w14:textId="77777777" w:rsidR="009A356E" w:rsidRPr="00C10545" w:rsidRDefault="009A356E" w:rsidP="009A356E">
            <w:pPr>
              <w:rPr>
                <w:b/>
                <w:bCs/>
                <w:sz w:val="18"/>
                <w:szCs w:val="18"/>
                <w:lang w:eastAsia="en-AU"/>
              </w:rPr>
            </w:pPr>
            <w:r w:rsidRPr="00C10545">
              <w:rPr>
                <w:b/>
                <w:bCs/>
                <w:sz w:val="18"/>
                <w:szCs w:val="18"/>
                <w:lang w:eastAsia="en-AU"/>
              </w:rPr>
              <w:t>Regional City</w:t>
            </w:r>
          </w:p>
        </w:tc>
        <w:tc>
          <w:tcPr>
            <w:tcW w:w="581" w:type="pct"/>
            <w:tcBorders>
              <w:top w:val="nil"/>
              <w:left w:val="nil"/>
              <w:bottom w:val="single" w:sz="4" w:space="0" w:color="auto"/>
              <w:right w:val="single" w:sz="4" w:space="0" w:color="auto"/>
            </w:tcBorders>
            <w:shd w:val="clear" w:color="000000" w:fill="000000"/>
            <w:noWrap/>
            <w:vAlign w:val="bottom"/>
            <w:hideMark/>
          </w:tcPr>
          <w:p w14:paraId="3A7A9514" w14:textId="77777777" w:rsidR="009A356E" w:rsidRPr="00C10545" w:rsidRDefault="009A356E" w:rsidP="009A356E">
            <w:pPr>
              <w:rPr>
                <w:sz w:val="18"/>
                <w:szCs w:val="18"/>
                <w:lang w:eastAsia="en-AU"/>
              </w:rPr>
            </w:pPr>
            <w:r w:rsidRPr="00C10545">
              <w:rPr>
                <w:sz w:val="18"/>
                <w:szCs w:val="18"/>
                <w:lang w:eastAsia="en-AU"/>
              </w:rPr>
              <w:t> </w:t>
            </w:r>
          </w:p>
        </w:tc>
        <w:tc>
          <w:tcPr>
            <w:tcW w:w="581" w:type="pct"/>
            <w:tcBorders>
              <w:top w:val="nil"/>
              <w:left w:val="nil"/>
              <w:bottom w:val="single" w:sz="4" w:space="0" w:color="auto"/>
              <w:right w:val="single" w:sz="4" w:space="0" w:color="auto"/>
            </w:tcBorders>
            <w:shd w:val="clear" w:color="000000" w:fill="000000"/>
            <w:noWrap/>
            <w:vAlign w:val="bottom"/>
            <w:hideMark/>
          </w:tcPr>
          <w:p w14:paraId="0BB5F816" w14:textId="77777777" w:rsidR="009A356E" w:rsidRPr="00C10545" w:rsidRDefault="009A356E" w:rsidP="009A356E">
            <w:pPr>
              <w:rPr>
                <w:sz w:val="18"/>
                <w:szCs w:val="18"/>
                <w:lang w:eastAsia="en-AU"/>
              </w:rPr>
            </w:pPr>
            <w:r w:rsidRPr="00C10545">
              <w:rPr>
                <w:sz w:val="18"/>
                <w:szCs w:val="18"/>
                <w:lang w:eastAsia="en-AU"/>
              </w:rPr>
              <w:t> </w:t>
            </w:r>
          </w:p>
        </w:tc>
        <w:tc>
          <w:tcPr>
            <w:tcW w:w="581" w:type="pct"/>
            <w:tcBorders>
              <w:top w:val="nil"/>
              <w:left w:val="nil"/>
              <w:bottom w:val="single" w:sz="4" w:space="0" w:color="auto"/>
              <w:right w:val="single" w:sz="4" w:space="0" w:color="auto"/>
            </w:tcBorders>
            <w:shd w:val="clear" w:color="000000" w:fill="000000"/>
            <w:noWrap/>
            <w:vAlign w:val="bottom"/>
            <w:hideMark/>
          </w:tcPr>
          <w:p w14:paraId="5EFB12F8" w14:textId="77777777" w:rsidR="009A356E" w:rsidRPr="00C10545" w:rsidRDefault="009A356E" w:rsidP="009A356E">
            <w:pPr>
              <w:rPr>
                <w:sz w:val="18"/>
                <w:szCs w:val="18"/>
                <w:lang w:eastAsia="en-AU"/>
              </w:rPr>
            </w:pPr>
            <w:r w:rsidRPr="00C10545">
              <w:rPr>
                <w:sz w:val="18"/>
                <w:szCs w:val="18"/>
                <w:lang w:eastAsia="en-AU"/>
              </w:rPr>
              <w:t> </w:t>
            </w:r>
          </w:p>
        </w:tc>
        <w:tc>
          <w:tcPr>
            <w:tcW w:w="581" w:type="pct"/>
            <w:tcBorders>
              <w:top w:val="nil"/>
              <w:left w:val="nil"/>
              <w:bottom w:val="single" w:sz="4" w:space="0" w:color="auto"/>
              <w:right w:val="single" w:sz="4" w:space="0" w:color="auto"/>
            </w:tcBorders>
            <w:shd w:val="clear" w:color="000000" w:fill="000000"/>
            <w:noWrap/>
            <w:vAlign w:val="bottom"/>
            <w:hideMark/>
          </w:tcPr>
          <w:p w14:paraId="6113B006" w14:textId="77777777" w:rsidR="009A356E" w:rsidRPr="00C10545" w:rsidRDefault="009A356E" w:rsidP="009A356E">
            <w:pPr>
              <w:rPr>
                <w:sz w:val="18"/>
                <w:szCs w:val="18"/>
                <w:lang w:eastAsia="en-AU"/>
              </w:rPr>
            </w:pPr>
            <w:r w:rsidRPr="00C10545">
              <w:rPr>
                <w:sz w:val="18"/>
                <w:szCs w:val="18"/>
                <w:lang w:eastAsia="en-AU"/>
              </w:rPr>
              <w:t> </w:t>
            </w:r>
          </w:p>
        </w:tc>
        <w:tc>
          <w:tcPr>
            <w:tcW w:w="581" w:type="pct"/>
            <w:tcBorders>
              <w:top w:val="nil"/>
              <w:left w:val="nil"/>
              <w:bottom w:val="single" w:sz="4" w:space="0" w:color="auto"/>
              <w:right w:val="single" w:sz="4" w:space="0" w:color="auto"/>
            </w:tcBorders>
            <w:shd w:val="clear" w:color="000000" w:fill="000000"/>
            <w:noWrap/>
            <w:vAlign w:val="bottom"/>
            <w:hideMark/>
          </w:tcPr>
          <w:p w14:paraId="4B54C0A7" w14:textId="77777777" w:rsidR="009A356E" w:rsidRPr="00C10545" w:rsidRDefault="009A356E" w:rsidP="009A356E">
            <w:pPr>
              <w:rPr>
                <w:sz w:val="18"/>
                <w:szCs w:val="18"/>
                <w:lang w:eastAsia="en-AU"/>
              </w:rPr>
            </w:pPr>
            <w:r w:rsidRPr="00C10545">
              <w:rPr>
                <w:sz w:val="18"/>
                <w:szCs w:val="18"/>
                <w:lang w:eastAsia="en-AU"/>
              </w:rPr>
              <w:t> </w:t>
            </w:r>
          </w:p>
        </w:tc>
        <w:tc>
          <w:tcPr>
            <w:tcW w:w="578" w:type="pct"/>
            <w:tcBorders>
              <w:top w:val="nil"/>
              <w:left w:val="nil"/>
              <w:bottom w:val="single" w:sz="4" w:space="0" w:color="auto"/>
              <w:right w:val="single" w:sz="4" w:space="0" w:color="auto"/>
            </w:tcBorders>
            <w:shd w:val="clear" w:color="000000" w:fill="000000"/>
            <w:noWrap/>
            <w:vAlign w:val="bottom"/>
            <w:hideMark/>
          </w:tcPr>
          <w:p w14:paraId="0D6FA4C8" w14:textId="77777777" w:rsidR="009A356E" w:rsidRPr="00C10545" w:rsidRDefault="009A356E" w:rsidP="009A356E">
            <w:pPr>
              <w:rPr>
                <w:sz w:val="18"/>
                <w:szCs w:val="18"/>
                <w:lang w:eastAsia="en-AU"/>
              </w:rPr>
            </w:pPr>
            <w:r w:rsidRPr="00C10545">
              <w:rPr>
                <w:sz w:val="18"/>
                <w:szCs w:val="18"/>
                <w:lang w:eastAsia="en-AU"/>
              </w:rPr>
              <w:t> </w:t>
            </w:r>
          </w:p>
        </w:tc>
      </w:tr>
      <w:tr w:rsidR="009A356E" w:rsidRPr="00D60D2D" w14:paraId="3EF8F79A" w14:textId="77777777" w:rsidTr="009A356E">
        <w:trPr>
          <w:trHeight w:val="255"/>
        </w:trPr>
        <w:tc>
          <w:tcPr>
            <w:tcW w:w="1517" w:type="pct"/>
            <w:tcBorders>
              <w:top w:val="nil"/>
              <w:left w:val="single" w:sz="4" w:space="0" w:color="auto"/>
              <w:bottom w:val="single" w:sz="4" w:space="0" w:color="auto"/>
              <w:right w:val="single" w:sz="4" w:space="0" w:color="auto"/>
            </w:tcBorders>
            <w:shd w:val="clear" w:color="auto" w:fill="auto"/>
            <w:noWrap/>
            <w:vAlign w:val="bottom"/>
            <w:hideMark/>
          </w:tcPr>
          <w:p w14:paraId="24A520B7" w14:textId="77777777" w:rsidR="009A356E" w:rsidRPr="00C10545" w:rsidRDefault="009A356E" w:rsidP="009A356E">
            <w:pPr>
              <w:rPr>
                <w:sz w:val="18"/>
                <w:szCs w:val="18"/>
                <w:lang w:eastAsia="en-AU"/>
              </w:rPr>
            </w:pPr>
            <w:r w:rsidRPr="00C10545">
              <w:rPr>
                <w:sz w:val="18"/>
                <w:szCs w:val="18"/>
                <w:lang w:eastAsia="en-AU"/>
              </w:rPr>
              <w:t>Nominal</w:t>
            </w:r>
          </w:p>
        </w:tc>
        <w:tc>
          <w:tcPr>
            <w:tcW w:w="581" w:type="pct"/>
            <w:tcBorders>
              <w:top w:val="nil"/>
              <w:left w:val="nil"/>
              <w:bottom w:val="single" w:sz="4" w:space="0" w:color="auto"/>
              <w:right w:val="single" w:sz="4" w:space="0" w:color="auto"/>
            </w:tcBorders>
            <w:shd w:val="clear" w:color="auto" w:fill="auto"/>
            <w:noWrap/>
            <w:vAlign w:val="bottom"/>
            <w:hideMark/>
          </w:tcPr>
          <w:p w14:paraId="6DE4C9B2" w14:textId="77777777" w:rsidR="009A356E" w:rsidRPr="00C10545" w:rsidRDefault="009A356E" w:rsidP="009A356E">
            <w:pPr>
              <w:jc w:val="right"/>
              <w:rPr>
                <w:sz w:val="18"/>
                <w:szCs w:val="18"/>
                <w:lang w:eastAsia="en-AU"/>
              </w:rPr>
            </w:pPr>
            <w:r w:rsidRPr="00C10545">
              <w:rPr>
                <w:sz w:val="18"/>
                <w:szCs w:val="18"/>
                <w:lang w:eastAsia="en-AU"/>
              </w:rPr>
              <w:t>93.9</w:t>
            </w:r>
          </w:p>
        </w:tc>
        <w:tc>
          <w:tcPr>
            <w:tcW w:w="581" w:type="pct"/>
            <w:tcBorders>
              <w:top w:val="nil"/>
              <w:left w:val="nil"/>
              <w:bottom w:val="single" w:sz="4" w:space="0" w:color="auto"/>
              <w:right w:val="single" w:sz="4" w:space="0" w:color="auto"/>
            </w:tcBorders>
            <w:shd w:val="clear" w:color="auto" w:fill="auto"/>
            <w:noWrap/>
            <w:vAlign w:val="bottom"/>
            <w:hideMark/>
          </w:tcPr>
          <w:p w14:paraId="7D1A9ADC" w14:textId="77777777" w:rsidR="009A356E" w:rsidRPr="00C10545" w:rsidRDefault="009A356E" w:rsidP="009A356E">
            <w:pPr>
              <w:jc w:val="right"/>
              <w:rPr>
                <w:sz w:val="18"/>
                <w:szCs w:val="18"/>
                <w:lang w:eastAsia="en-AU"/>
              </w:rPr>
            </w:pPr>
            <w:r w:rsidRPr="00C10545">
              <w:rPr>
                <w:sz w:val="18"/>
                <w:szCs w:val="18"/>
                <w:lang w:eastAsia="en-AU"/>
              </w:rPr>
              <w:t>97.4</w:t>
            </w:r>
          </w:p>
        </w:tc>
        <w:tc>
          <w:tcPr>
            <w:tcW w:w="581" w:type="pct"/>
            <w:tcBorders>
              <w:top w:val="nil"/>
              <w:left w:val="nil"/>
              <w:bottom w:val="single" w:sz="4" w:space="0" w:color="auto"/>
              <w:right w:val="single" w:sz="4" w:space="0" w:color="auto"/>
            </w:tcBorders>
            <w:shd w:val="clear" w:color="auto" w:fill="auto"/>
            <w:noWrap/>
            <w:vAlign w:val="bottom"/>
            <w:hideMark/>
          </w:tcPr>
          <w:p w14:paraId="00B3EB07" w14:textId="77777777" w:rsidR="009A356E" w:rsidRPr="00C10545" w:rsidRDefault="009A356E" w:rsidP="009A356E">
            <w:pPr>
              <w:jc w:val="right"/>
              <w:rPr>
                <w:sz w:val="18"/>
                <w:szCs w:val="18"/>
                <w:lang w:eastAsia="en-AU"/>
              </w:rPr>
            </w:pPr>
            <w:r w:rsidRPr="00C10545">
              <w:rPr>
                <w:sz w:val="18"/>
                <w:szCs w:val="18"/>
                <w:lang w:eastAsia="en-AU"/>
              </w:rPr>
              <w:t>100.8</w:t>
            </w:r>
          </w:p>
        </w:tc>
        <w:tc>
          <w:tcPr>
            <w:tcW w:w="581" w:type="pct"/>
            <w:tcBorders>
              <w:top w:val="nil"/>
              <w:left w:val="nil"/>
              <w:bottom w:val="single" w:sz="4" w:space="0" w:color="auto"/>
              <w:right w:val="single" w:sz="4" w:space="0" w:color="auto"/>
            </w:tcBorders>
            <w:shd w:val="clear" w:color="auto" w:fill="auto"/>
            <w:noWrap/>
            <w:vAlign w:val="bottom"/>
            <w:hideMark/>
          </w:tcPr>
          <w:p w14:paraId="114C1DD3" w14:textId="77777777" w:rsidR="009A356E" w:rsidRPr="00C10545" w:rsidRDefault="009A356E" w:rsidP="009A356E">
            <w:pPr>
              <w:jc w:val="right"/>
              <w:rPr>
                <w:sz w:val="18"/>
                <w:szCs w:val="18"/>
                <w:lang w:eastAsia="en-AU"/>
              </w:rPr>
            </w:pPr>
            <w:r w:rsidRPr="00C10545">
              <w:rPr>
                <w:sz w:val="18"/>
                <w:szCs w:val="18"/>
                <w:lang w:eastAsia="en-AU"/>
              </w:rPr>
              <w:t>137.0</w:t>
            </w:r>
          </w:p>
        </w:tc>
        <w:tc>
          <w:tcPr>
            <w:tcW w:w="581" w:type="pct"/>
            <w:tcBorders>
              <w:top w:val="nil"/>
              <w:left w:val="nil"/>
              <w:bottom w:val="single" w:sz="4" w:space="0" w:color="auto"/>
              <w:right w:val="single" w:sz="4" w:space="0" w:color="auto"/>
            </w:tcBorders>
            <w:shd w:val="clear" w:color="auto" w:fill="auto"/>
            <w:noWrap/>
            <w:vAlign w:val="bottom"/>
            <w:hideMark/>
          </w:tcPr>
          <w:p w14:paraId="3020D68F" w14:textId="77777777" w:rsidR="009A356E" w:rsidRPr="00C10545" w:rsidRDefault="009A356E" w:rsidP="009A356E">
            <w:pPr>
              <w:jc w:val="right"/>
              <w:rPr>
                <w:sz w:val="18"/>
                <w:szCs w:val="18"/>
                <w:lang w:eastAsia="en-AU"/>
              </w:rPr>
            </w:pPr>
            <w:r w:rsidRPr="00C10545">
              <w:rPr>
                <w:sz w:val="18"/>
                <w:szCs w:val="18"/>
                <w:lang w:eastAsia="en-AU"/>
              </w:rPr>
              <w:t>143.3</w:t>
            </w:r>
          </w:p>
        </w:tc>
        <w:tc>
          <w:tcPr>
            <w:tcW w:w="578" w:type="pct"/>
            <w:tcBorders>
              <w:top w:val="nil"/>
              <w:left w:val="nil"/>
              <w:bottom w:val="single" w:sz="4" w:space="0" w:color="auto"/>
              <w:right w:val="single" w:sz="4" w:space="0" w:color="auto"/>
            </w:tcBorders>
            <w:shd w:val="clear" w:color="auto" w:fill="auto"/>
            <w:noWrap/>
            <w:vAlign w:val="bottom"/>
            <w:hideMark/>
          </w:tcPr>
          <w:p w14:paraId="76D4060C" w14:textId="77777777" w:rsidR="009A356E" w:rsidRPr="00C10545" w:rsidRDefault="009A356E" w:rsidP="009A356E">
            <w:pPr>
              <w:jc w:val="right"/>
              <w:rPr>
                <w:sz w:val="18"/>
                <w:szCs w:val="18"/>
                <w:lang w:eastAsia="en-AU"/>
              </w:rPr>
            </w:pPr>
            <w:r w:rsidRPr="00C10545">
              <w:rPr>
                <w:sz w:val="18"/>
                <w:szCs w:val="18"/>
                <w:lang w:eastAsia="en-AU"/>
              </w:rPr>
              <w:t>141.4</w:t>
            </w:r>
          </w:p>
        </w:tc>
      </w:tr>
      <w:tr w:rsidR="009A356E" w:rsidRPr="00D60D2D" w14:paraId="4B4C3A6F" w14:textId="77777777" w:rsidTr="009A356E">
        <w:trPr>
          <w:trHeight w:val="255"/>
        </w:trPr>
        <w:tc>
          <w:tcPr>
            <w:tcW w:w="1517" w:type="pct"/>
            <w:tcBorders>
              <w:top w:val="nil"/>
              <w:left w:val="single" w:sz="4" w:space="0" w:color="auto"/>
              <w:bottom w:val="single" w:sz="4" w:space="0" w:color="auto"/>
              <w:right w:val="single" w:sz="4" w:space="0" w:color="auto"/>
            </w:tcBorders>
            <w:shd w:val="clear" w:color="auto" w:fill="auto"/>
            <w:noWrap/>
            <w:vAlign w:val="bottom"/>
            <w:hideMark/>
          </w:tcPr>
          <w:p w14:paraId="703FAD21" w14:textId="77777777" w:rsidR="009A356E" w:rsidRPr="00C10545" w:rsidRDefault="009A356E" w:rsidP="009A356E">
            <w:pPr>
              <w:rPr>
                <w:sz w:val="18"/>
                <w:szCs w:val="18"/>
                <w:lang w:eastAsia="en-AU"/>
              </w:rPr>
            </w:pPr>
            <w:r w:rsidRPr="00C10545">
              <w:rPr>
                <w:sz w:val="18"/>
                <w:szCs w:val="18"/>
                <w:lang w:eastAsia="en-AU"/>
              </w:rPr>
              <w:t xml:space="preserve">Discounted by CPI </w:t>
            </w:r>
          </w:p>
        </w:tc>
        <w:tc>
          <w:tcPr>
            <w:tcW w:w="581" w:type="pct"/>
            <w:tcBorders>
              <w:top w:val="nil"/>
              <w:left w:val="nil"/>
              <w:bottom w:val="single" w:sz="4" w:space="0" w:color="auto"/>
              <w:right w:val="single" w:sz="4" w:space="0" w:color="auto"/>
            </w:tcBorders>
            <w:shd w:val="clear" w:color="auto" w:fill="auto"/>
            <w:noWrap/>
            <w:vAlign w:val="bottom"/>
            <w:hideMark/>
          </w:tcPr>
          <w:p w14:paraId="55E1B131" w14:textId="77777777" w:rsidR="009A356E" w:rsidRPr="00C10545" w:rsidRDefault="009A356E" w:rsidP="009A356E">
            <w:pPr>
              <w:jc w:val="right"/>
              <w:rPr>
                <w:sz w:val="18"/>
                <w:szCs w:val="18"/>
                <w:lang w:eastAsia="en-AU"/>
              </w:rPr>
            </w:pPr>
            <w:r w:rsidRPr="00C10545">
              <w:rPr>
                <w:sz w:val="18"/>
                <w:szCs w:val="18"/>
                <w:lang w:eastAsia="en-AU"/>
              </w:rPr>
              <w:t>93.9</w:t>
            </w:r>
          </w:p>
        </w:tc>
        <w:tc>
          <w:tcPr>
            <w:tcW w:w="581" w:type="pct"/>
            <w:tcBorders>
              <w:top w:val="nil"/>
              <w:left w:val="nil"/>
              <w:bottom w:val="single" w:sz="4" w:space="0" w:color="auto"/>
              <w:right w:val="single" w:sz="4" w:space="0" w:color="auto"/>
            </w:tcBorders>
            <w:shd w:val="clear" w:color="auto" w:fill="auto"/>
            <w:noWrap/>
            <w:vAlign w:val="bottom"/>
            <w:hideMark/>
          </w:tcPr>
          <w:p w14:paraId="4E577559" w14:textId="77777777" w:rsidR="009A356E" w:rsidRPr="00C10545" w:rsidRDefault="009A356E" w:rsidP="009A356E">
            <w:pPr>
              <w:jc w:val="right"/>
              <w:rPr>
                <w:sz w:val="18"/>
                <w:szCs w:val="18"/>
                <w:lang w:eastAsia="en-AU"/>
              </w:rPr>
            </w:pPr>
            <w:r w:rsidRPr="00C10545">
              <w:rPr>
                <w:sz w:val="18"/>
                <w:szCs w:val="18"/>
                <w:lang w:eastAsia="en-AU"/>
              </w:rPr>
              <w:t>93.9</w:t>
            </w:r>
          </w:p>
        </w:tc>
        <w:tc>
          <w:tcPr>
            <w:tcW w:w="581" w:type="pct"/>
            <w:tcBorders>
              <w:top w:val="nil"/>
              <w:left w:val="nil"/>
              <w:bottom w:val="single" w:sz="4" w:space="0" w:color="auto"/>
              <w:right w:val="single" w:sz="4" w:space="0" w:color="auto"/>
            </w:tcBorders>
            <w:shd w:val="clear" w:color="auto" w:fill="auto"/>
            <w:noWrap/>
            <w:vAlign w:val="bottom"/>
            <w:hideMark/>
          </w:tcPr>
          <w:p w14:paraId="0C3DBB4A" w14:textId="77777777" w:rsidR="009A356E" w:rsidRPr="00C10545" w:rsidRDefault="009A356E" w:rsidP="009A356E">
            <w:pPr>
              <w:jc w:val="right"/>
              <w:rPr>
                <w:sz w:val="18"/>
                <w:szCs w:val="18"/>
                <w:lang w:eastAsia="en-AU"/>
              </w:rPr>
            </w:pPr>
            <w:r w:rsidRPr="00C10545">
              <w:rPr>
                <w:sz w:val="18"/>
                <w:szCs w:val="18"/>
                <w:lang w:eastAsia="en-AU"/>
              </w:rPr>
              <w:t>91.5</w:t>
            </w:r>
          </w:p>
        </w:tc>
        <w:tc>
          <w:tcPr>
            <w:tcW w:w="581" w:type="pct"/>
            <w:tcBorders>
              <w:top w:val="nil"/>
              <w:left w:val="nil"/>
              <w:bottom w:val="single" w:sz="4" w:space="0" w:color="auto"/>
              <w:right w:val="single" w:sz="4" w:space="0" w:color="auto"/>
            </w:tcBorders>
            <w:shd w:val="clear" w:color="auto" w:fill="auto"/>
            <w:noWrap/>
            <w:vAlign w:val="bottom"/>
            <w:hideMark/>
          </w:tcPr>
          <w:p w14:paraId="3746C533" w14:textId="77777777" w:rsidR="009A356E" w:rsidRPr="00C10545" w:rsidRDefault="009A356E" w:rsidP="009A356E">
            <w:pPr>
              <w:jc w:val="right"/>
              <w:rPr>
                <w:sz w:val="18"/>
                <w:szCs w:val="18"/>
                <w:lang w:eastAsia="en-AU"/>
              </w:rPr>
            </w:pPr>
            <w:r w:rsidRPr="00C10545">
              <w:rPr>
                <w:sz w:val="18"/>
                <w:szCs w:val="18"/>
                <w:lang w:eastAsia="en-AU"/>
              </w:rPr>
              <w:t>100.4</w:t>
            </w:r>
          </w:p>
        </w:tc>
        <w:tc>
          <w:tcPr>
            <w:tcW w:w="581" w:type="pct"/>
            <w:tcBorders>
              <w:top w:val="nil"/>
              <w:left w:val="nil"/>
              <w:bottom w:val="single" w:sz="4" w:space="0" w:color="auto"/>
              <w:right w:val="single" w:sz="4" w:space="0" w:color="auto"/>
            </w:tcBorders>
            <w:shd w:val="clear" w:color="auto" w:fill="auto"/>
            <w:noWrap/>
            <w:vAlign w:val="bottom"/>
            <w:hideMark/>
          </w:tcPr>
          <w:p w14:paraId="3107FBA9" w14:textId="77777777" w:rsidR="009A356E" w:rsidRPr="00C10545" w:rsidRDefault="009A356E" w:rsidP="009A356E">
            <w:pPr>
              <w:jc w:val="right"/>
              <w:rPr>
                <w:sz w:val="18"/>
                <w:szCs w:val="18"/>
                <w:lang w:eastAsia="en-AU"/>
              </w:rPr>
            </w:pPr>
            <w:r w:rsidRPr="00C10545">
              <w:rPr>
                <w:sz w:val="18"/>
                <w:szCs w:val="18"/>
                <w:lang w:eastAsia="en-AU"/>
              </w:rPr>
              <w:t>96.4</w:t>
            </w:r>
          </w:p>
        </w:tc>
        <w:tc>
          <w:tcPr>
            <w:tcW w:w="578" w:type="pct"/>
            <w:tcBorders>
              <w:top w:val="nil"/>
              <w:left w:val="nil"/>
              <w:bottom w:val="single" w:sz="4" w:space="0" w:color="auto"/>
              <w:right w:val="single" w:sz="4" w:space="0" w:color="auto"/>
            </w:tcBorders>
            <w:shd w:val="clear" w:color="auto" w:fill="auto"/>
            <w:noWrap/>
            <w:vAlign w:val="bottom"/>
            <w:hideMark/>
          </w:tcPr>
          <w:p w14:paraId="1A4E5CD6" w14:textId="77777777" w:rsidR="009A356E" w:rsidRPr="00C10545" w:rsidRDefault="009A356E" w:rsidP="009A356E">
            <w:pPr>
              <w:jc w:val="right"/>
              <w:rPr>
                <w:sz w:val="18"/>
                <w:szCs w:val="18"/>
                <w:lang w:eastAsia="en-AU"/>
              </w:rPr>
            </w:pPr>
            <w:r w:rsidRPr="00C10545">
              <w:rPr>
                <w:sz w:val="18"/>
                <w:szCs w:val="18"/>
                <w:lang w:eastAsia="en-AU"/>
              </w:rPr>
              <w:t>93.6</w:t>
            </w:r>
          </w:p>
        </w:tc>
      </w:tr>
      <w:tr w:rsidR="009A356E" w:rsidRPr="00D60D2D" w14:paraId="2EB923D4" w14:textId="77777777" w:rsidTr="009A356E">
        <w:trPr>
          <w:trHeight w:val="255"/>
        </w:trPr>
        <w:tc>
          <w:tcPr>
            <w:tcW w:w="1517" w:type="pct"/>
            <w:tcBorders>
              <w:top w:val="nil"/>
              <w:left w:val="single" w:sz="4" w:space="0" w:color="auto"/>
              <w:bottom w:val="single" w:sz="4" w:space="0" w:color="auto"/>
              <w:right w:val="single" w:sz="4" w:space="0" w:color="auto"/>
            </w:tcBorders>
            <w:shd w:val="clear" w:color="auto" w:fill="auto"/>
            <w:noWrap/>
            <w:vAlign w:val="bottom"/>
            <w:hideMark/>
          </w:tcPr>
          <w:p w14:paraId="466A931C" w14:textId="77777777" w:rsidR="009A356E" w:rsidRPr="00C10545" w:rsidRDefault="009A356E" w:rsidP="009A356E">
            <w:pPr>
              <w:rPr>
                <w:sz w:val="18"/>
                <w:szCs w:val="18"/>
                <w:lang w:eastAsia="en-AU"/>
              </w:rPr>
            </w:pPr>
            <w:r w:rsidRPr="00C10545">
              <w:rPr>
                <w:sz w:val="18"/>
                <w:szCs w:val="18"/>
                <w:lang w:eastAsia="en-AU"/>
              </w:rPr>
              <w:t>Discounted by AWE</w:t>
            </w:r>
          </w:p>
        </w:tc>
        <w:tc>
          <w:tcPr>
            <w:tcW w:w="581" w:type="pct"/>
            <w:tcBorders>
              <w:top w:val="nil"/>
              <w:left w:val="nil"/>
              <w:bottom w:val="single" w:sz="4" w:space="0" w:color="auto"/>
              <w:right w:val="single" w:sz="4" w:space="0" w:color="auto"/>
            </w:tcBorders>
            <w:shd w:val="clear" w:color="auto" w:fill="auto"/>
            <w:noWrap/>
            <w:vAlign w:val="bottom"/>
            <w:hideMark/>
          </w:tcPr>
          <w:p w14:paraId="019A6A66" w14:textId="77777777" w:rsidR="009A356E" w:rsidRPr="00C10545" w:rsidRDefault="009A356E" w:rsidP="009A356E">
            <w:pPr>
              <w:jc w:val="right"/>
              <w:rPr>
                <w:sz w:val="18"/>
                <w:szCs w:val="18"/>
                <w:lang w:eastAsia="en-AU"/>
              </w:rPr>
            </w:pPr>
            <w:r w:rsidRPr="00C10545">
              <w:rPr>
                <w:sz w:val="18"/>
                <w:szCs w:val="18"/>
                <w:lang w:eastAsia="en-AU"/>
              </w:rPr>
              <w:t>93.9</w:t>
            </w:r>
          </w:p>
        </w:tc>
        <w:tc>
          <w:tcPr>
            <w:tcW w:w="581" w:type="pct"/>
            <w:tcBorders>
              <w:top w:val="nil"/>
              <w:left w:val="nil"/>
              <w:bottom w:val="single" w:sz="4" w:space="0" w:color="auto"/>
              <w:right w:val="single" w:sz="4" w:space="0" w:color="auto"/>
            </w:tcBorders>
            <w:shd w:val="clear" w:color="auto" w:fill="auto"/>
            <w:noWrap/>
            <w:vAlign w:val="bottom"/>
            <w:hideMark/>
          </w:tcPr>
          <w:p w14:paraId="1BF07AA3" w14:textId="77777777" w:rsidR="009A356E" w:rsidRPr="00C10545" w:rsidRDefault="009A356E" w:rsidP="009A356E">
            <w:pPr>
              <w:jc w:val="right"/>
              <w:rPr>
                <w:sz w:val="18"/>
                <w:szCs w:val="18"/>
                <w:lang w:eastAsia="en-AU"/>
              </w:rPr>
            </w:pPr>
            <w:r w:rsidRPr="00C10545">
              <w:rPr>
                <w:sz w:val="18"/>
                <w:szCs w:val="18"/>
                <w:lang w:eastAsia="en-AU"/>
              </w:rPr>
              <w:t>93.9</w:t>
            </w:r>
          </w:p>
        </w:tc>
        <w:tc>
          <w:tcPr>
            <w:tcW w:w="581" w:type="pct"/>
            <w:tcBorders>
              <w:top w:val="nil"/>
              <w:left w:val="nil"/>
              <w:bottom w:val="single" w:sz="4" w:space="0" w:color="auto"/>
              <w:right w:val="single" w:sz="4" w:space="0" w:color="auto"/>
            </w:tcBorders>
            <w:shd w:val="clear" w:color="auto" w:fill="auto"/>
            <w:noWrap/>
            <w:vAlign w:val="bottom"/>
            <w:hideMark/>
          </w:tcPr>
          <w:p w14:paraId="739D7FCD" w14:textId="77777777" w:rsidR="009A356E" w:rsidRPr="00C10545" w:rsidRDefault="009A356E" w:rsidP="009A356E">
            <w:pPr>
              <w:jc w:val="right"/>
              <w:rPr>
                <w:sz w:val="18"/>
                <w:szCs w:val="18"/>
                <w:lang w:eastAsia="en-AU"/>
              </w:rPr>
            </w:pPr>
            <w:r w:rsidRPr="00C10545">
              <w:rPr>
                <w:sz w:val="18"/>
                <w:szCs w:val="18"/>
                <w:lang w:eastAsia="en-AU"/>
              </w:rPr>
              <w:t>84.3</w:t>
            </w:r>
          </w:p>
        </w:tc>
        <w:tc>
          <w:tcPr>
            <w:tcW w:w="581" w:type="pct"/>
            <w:tcBorders>
              <w:top w:val="nil"/>
              <w:left w:val="nil"/>
              <w:bottom w:val="single" w:sz="4" w:space="0" w:color="auto"/>
              <w:right w:val="single" w:sz="4" w:space="0" w:color="auto"/>
            </w:tcBorders>
            <w:shd w:val="clear" w:color="auto" w:fill="auto"/>
            <w:noWrap/>
            <w:vAlign w:val="bottom"/>
            <w:hideMark/>
          </w:tcPr>
          <w:p w14:paraId="7C3CD6D7" w14:textId="77777777" w:rsidR="009A356E" w:rsidRPr="00C10545" w:rsidRDefault="009A356E" w:rsidP="009A356E">
            <w:pPr>
              <w:jc w:val="right"/>
              <w:rPr>
                <w:sz w:val="18"/>
                <w:szCs w:val="18"/>
                <w:lang w:eastAsia="en-AU"/>
              </w:rPr>
            </w:pPr>
            <w:r w:rsidRPr="00C10545">
              <w:rPr>
                <w:sz w:val="18"/>
                <w:szCs w:val="18"/>
                <w:lang w:eastAsia="en-AU"/>
              </w:rPr>
              <w:t>82.8</w:t>
            </w:r>
          </w:p>
        </w:tc>
        <w:tc>
          <w:tcPr>
            <w:tcW w:w="581" w:type="pct"/>
            <w:tcBorders>
              <w:top w:val="nil"/>
              <w:left w:val="nil"/>
              <w:bottom w:val="single" w:sz="4" w:space="0" w:color="auto"/>
              <w:right w:val="single" w:sz="4" w:space="0" w:color="auto"/>
            </w:tcBorders>
            <w:shd w:val="clear" w:color="auto" w:fill="auto"/>
            <w:noWrap/>
            <w:vAlign w:val="bottom"/>
            <w:hideMark/>
          </w:tcPr>
          <w:p w14:paraId="450AE5D3" w14:textId="77777777" w:rsidR="009A356E" w:rsidRPr="00C10545" w:rsidRDefault="009A356E" w:rsidP="009A356E">
            <w:pPr>
              <w:jc w:val="right"/>
              <w:rPr>
                <w:sz w:val="18"/>
                <w:szCs w:val="18"/>
                <w:lang w:eastAsia="en-AU"/>
              </w:rPr>
            </w:pPr>
            <w:r w:rsidRPr="00C10545">
              <w:rPr>
                <w:sz w:val="18"/>
                <w:szCs w:val="18"/>
                <w:lang w:eastAsia="en-AU"/>
              </w:rPr>
              <w:t>77.4</w:t>
            </w:r>
          </w:p>
        </w:tc>
        <w:tc>
          <w:tcPr>
            <w:tcW w:w="578" w:type="pct"/>
            <w:tcBorders>
              <w:top w:val="nil"/>
              <w:left w:val="nil"/>
              <w:bottom w:val="single" w:sz="4" w:space="0" w:color="auto"/>
              <w:right w:val="single" w:sz="4" w:space="0" w:color="auto"/>
            </w:tcBorders>
            <w:shd w:val="clear" w:color="auto" w:fill="auto"/>
            <w:noWrap/>
            <w:vAlign w:val="bottom"/>
            <w:hideMark/>
          </w:tcPr>
          <w:p w14:paraId="4E1FA2E6" w14:textId="77777777" w:rsidR="009A356E" w:rsidRPr="00C10545" w:rsidRDefault="009A356E" w:rsidP="009A356E">
            <w:pPr>
              <w:jc w:val="right"/>
              <w:rPr>
                <w:sz w:val="18"/>
                <w:szCs w:val="18"/>
                <w:lang w:eastAsia="en-AU"/>
              </w:rPr>
            </w:pPr>
            <w:r w:rsidRPr="00C10545">
              <w:rPr>
                <w:sz w:val="18"/>
                <w:szCs w:val="18"/>
                <w:lang w:eastAsia="en-AU"/>
              </w:rPr>
              <w:t>74.0</w:t>
            </w:r>
          </w:p>
        </w:tc>
      </w:tr>
      <w:tr w:rsidR="009A356E" w:rsidRPr="00D60D2D" w14:paraId="41929D5D" w14:textId="77777777" w:rsidTr="009A356E">
        <w:trPr>
          <w:trHeight w:val="255"/>
        </w:trPr>
        <w:tc>
          <w:tcPr>
            <w:tcW w:w="1517" w:type="pct"/>
            <w:tcBorders>
              <w:top w:val="nil"/>
              <w:left w:val="single" w:sz="4" w:space="0" w:color="auto"/>
              <w:bottom w:val="single" w:sz="4" w:space="0" w:color="auto"/>
              <w:right w:val="single" w:sz="4" w:space="0" w:color="auto"/>
            </w:tcBorders>
            <w:shd w:val="clear" w:color="auto" w:fill="auto"/>
            <w:noWrap/>
            <w:vAlign w:val="bottom"/>
            <w:hideMark/>
          </w:tcPr>
          <w:p w14:paraId="0FA0406E" w14:textId="77777777" w:rsidR="009A356E" w:rsidRPr="00C10545" w:rsidRDefault="009A356E" w:rsidP="009A356E">
            <w:pPr>
              <w:rPr>
                <w:sz w:val="18"/>
                <w:szCs w:val="18"/>
                <w:lang w:eastAsia="en-AU"/>
              </w:rPr>
            </w:pPr>
            <w:r w:rsidRPr="00C10545">
              <w:rPr>
                <w:sz w:val="18"/>
                <w:szCs w:val="18"/>
                <w:lang w:eastAsia="en-AU"/>
              </w:rPr>
              <w:t>Discounted by 60% CPI/40% WPI</w:t>
            </w:r>
          </w:p>
        </w:tc>
        <w:tc>
          <w:tcPr>
            <w:tcW w:w="581" w:type="pct"/>
            <w:tcBorders>
              <w:top w:val="nil"/>
              <w:left w:val="nil"/>
              <w:bottom w:val="single" w:sz="4" w:space="0" w:color="auto"/>
              <w:right w:val="single" w:sz="4" w:space="0" w:color="auto"/>
            </w:tcBorders>
            <w:shd w:val="clear" w:color="auto" w:fill="auto"/>
            <w:noWrap/>
            <w:vAlign w:val="bottom"/>
            <w:hideMark/>
          </w:tcPr>
          <w:p w14:paraId="11D46939" w14:textId="77777777" w:rsidR="009A356E" w:rsidRPr="00C10545" w:rsidRDefault="009A356E" w:rsidP="009A356E">
            <w:pPr>
              <w:jc w:val="right"/>
              <w:rPr>
                <w:sz w:val="18"/>
                <w:szCs w:val="18"/>
                <w:lang w:eastAsia="en-AU"/>
              </w:rPr>
            </w:pPr>
            <w:r w:rsidRPr="00C10545">
              <w:rPr>
                <w:sz w:val="18"/>
                <w:szCs w:val="18"/>
                <w:lang w:eastAsia="en-AU"/>
              </w:rPr>
              <w:t>93.9</w:t>
            </w:r>
          </w:p>
        </w:tc>
        <w:tc>
          <w:tcPr>
            <w:tcW w:w="581" w:type="pct"/>
            <w:tcBorders>
              <w:top w:val="nil"/>
              <w:left w:val="nil"/>
              <w:bottom w:val="single" w:sz="4" w:space="0" w:color="auto"/>
              <w:right w:val="single" w:sz="4" w:space="0" w:color="auto"/>
            </w:tcBorders>
            <w:shd w:val="clear" w:color="auto" w:fill="auto"/>
            <w:noWrap/>
            <w:vAlign w:val="bottom"/>
            <w:hideMark/>
          </w:tcPr>
          <w:p w14:paraId="1CD55819" w14:textId="77777777" w:rsidR="009A356E" w:rsidRPr="00C10545" w:rsidRDefault="009A356E" w:rsidP="009A356E">
            <w:pPr>
              <w:jc w:val="right"/>
              <w:rPr>
                <w:sz w:val="18"/>
                <w:szCs w:val="18"/>
                <w:lang w:eastAsia="en-AU"/>
              </w:rPr>
            </w:pPr>
            <w:r w:rsidRPr="00C10545">
              <w:rPr>
                <w:sz w:val="18"/>
                <w:szCs w:val="18"/>
                <w:lang w:eastAsia="en-AU"/>
              </w:rPr>
              <w:t>94.3</w:t>
            </w:r>
          </w:p>
        </w:tc>
        <w:tc>
          <w:tcPr>
            <w:tcW w:w="581" w:type="pct"/>
            <w:tcBorders>
              <w:top w:val="nil"/>
              <w:left w:val="nil"/>
              <w:bottom w:val="single" w:sz="4" w:space="0" w:color="auto"/>
              <w:right w:val="single" w:sz="4" w:space="0" w:color="auto"/>
            </w:tcBorders>
            <w:shd w:val="clear" w:color="auto" w:fill="auto"/>
            <w:noWrap/>
            <w:vAlign w:val="bottom"/>
            <w:hideMark/>
          </w:tcPr>
          <w:p w14:paraId="3FA166E3" w14:textId="77777777" w:rsidR="009A356E" w:rsidRPr="00C10545" w:rsidRDefault="009A356E" w:rsidP="009A356E">
            <w:pPr>
              <w:jc w:val="right"/>
              <w:rPr>
                <w:sz w:val="18"/>
                <w:szCs w:val="18"/>
                <w:lang w:eastAsia="en-AU"/>
              </w:rPr>
            </w:pPr>
            <w:r w:rsidRPr="00C10545">
              <w:rPr>
                <w:sz w:val="18"/>
                <w:szCs w:val="18"/>
                <w:lang w:eastAsia="en-AU"/>
              </w:rPr>
              <w:t>91.0</w:t>
            </w:r>
          </w:p>
        </w:tc>
        <w:tc>
          <w:tcPr>
            <w:tcW w:w="581" w:type="pct"/>
            <w:tcBorders>
              <w:top w:val="nil"/>
              <w:left w:val="nil"/>
              <w:bottom w:val="single" w:sz="4" w:space="0" w:color="auto"/>
              <w:right w:val="single" w:sz="4" w:space="0" w:color="auto"/>
            </w:tcBorders>
            <w:shd w:val="clear" w:color="auto" w:fill="auto"/>
            <w:noWrap/>
            <w:vAlign w:val="bottom"/>
            <w:hideMark/>
          </w:tcPr>
          <w:p w14:paraId="2DF4E7F6" w14:textId="77777777" w:rsidR="009A356E" w:rsidRPr="00C10545" w:rsidRDefault="009A356E" w:rsidP="009A356E">
            <w:pPr>
              <w:jc w:val="right"/>
              <w:rPr>
                <w:sz w:val="18"/>
                <w:szCs w:val="18"/>
                <w:lang w:eastAsia="en-AU"/>
              </w:rPr>
            </w:pPr>
            <w:r w:rsidRPr="00C10545">
              <w:rPr>
                <w:sz w:val="18"/>
                <w:szCs w:val="18"/>
                <w:lang w:eastAsia="en-AU"/>
              </w:rPr>
              <w:t>93.1</w:t>
            </w:r>
          </w:p>
        </w:tc>
        <w:tc>
          <w:tcPr>
            <w:tcW w:w="581" w:type="pct"/>
            <w:tcBorders>
              <w:top w:val="nil"/>
              <w:left w:val="nil"/>
              <w:bottom w:val="single" w:sz="4" w:space="0" w:color="auto"/>
              <w:right w:val="single" w:sz="4" w:space="0" w:color="auto"/>
            </w:tcBorders>
            <w:shd w:val="clear" w:color="auto" w:fill="auto"/>
            <w:noWrap/>
            <w:vAlign w:val="bottom"/>
            <w:hideMark/>
          </w:tcPr>
          <w:p w14:paraId="27738583" w14:textId="77777777" w:rsidR="009A356E" w:rsidRPr="00C10545" w:rsidRDefault="009A356E" w:rsidP="009A356E">
            <w:pPr>
              <w:jc w:val="right"/>
              <w:rPr>
                <w:sz w:val="18"/>
                <w:szCs w:val="18"/>
                <w:lang w:eastAsia="en-AU"/>
              </w:rPr>
            </w:pPr>
            <w:r w:rsidRPr="00C10545">
              <w:rPr>
                <w:sz w:val="18"/>
                <w:szCs w:val="18"/>
                <w:lang w:eastAsia="en-AU"/>
              </w:rPr>
              <w:t>86.4</w:t>
            </w:r>
          </w:p>
        </w:tc>
        <w:tc>
          <w:tcPr>
            <w:tcW w:w="578" w:type="pct"/>
            <w:tcBorders>
              <w:top w:val="nil"/>
              <w:left w:val="nil"/>
              <w:bottom w:val="single" w:sz="4" w:space="0" w:color="auto"/>
              <w:right w:val="single" w:sz="4" w:space="0" w:color="auto"/>
            </w:tcBorders>
            <w:shd w:val="clear" w:color="auto" w:fill="auto"/>
            <w:noWrap/>
            <w:vAlign w:val="bottom"/>
            <w:hideMark/>
          </w:tcPr>
          <w:p w14:paraId="15D5AE76" w14:textId="77777777" w:rsidR="009A356E" w:rsidRPr="00C10545" w:rsidRDefault="009A356E" w:rsidP="009A356E">
            <w:pPr>
              <w:jc w:val="right"/>
              <w:rPr>
                <w:sz w:val="18"/>
                <w:szCs w:val="18"/>
                <w:lang w:eastAsia="en-AU"/>
              </w:rPr>
            </w:pPr>
            <w:r w:rsidRPr="00C10545">
              <w:rPr>
                <w:sz w:val="18"/>
                <w:szCs w:val="18"/>
                <w:lang w:eastAsia="en-AU"/>
              </w:rPr>
              <w:t>83.2</w:t>
            </w:r>
          </w:p>
        </w:tc>
      </w:tr>
      <w:tr w:rsidR="009A356E" w:rsidRPr="00D60D2D" w14:paraId="5AAEF839" w14:textId="77777777" w:rsidTr="009A356E">
        <w:trPr>
          <w:trHeight w:val="255"/>
        </w:trPr>
        <w:tc>
          <w:tcPr>
            <w:tcW w:w="1517" w:type="pct"/>
            <w:tcBorders>
              <w:top w:val="nil"/>
              <w:left w:val="single" w:sz="4" w:space="0" w:color="auto"/>
              <w:bottom w:val="single" w:sz="4" w:space="0" w:color="auto"/>
              <w:right w:val="single" w:sz="4" w:space="0" w:color="auto"/>
            </w:tcBorders>
            <w:shd w:val="clear" w:color="000000" w:fill="000000"/>
            <w:noWrap/>
            <w:vAlign w:val="bottom"/>
            <w:hideMark/>
          </w:tcPr>
          <w:p w14:paraId="30ABD0FA" w14:textId="77777777" w:rsidR="009A356E" w:rsidRPr="00C10545" w:rsidRDefault="009A356E" w:rsidP="009A356E">
            <w:pPr>
              <w:rPr>
                <w:sz w:val="18"/>
                <w:szCs w:val="18"/>
                <w:lang w:eastAsia="en-AU"/>
              </w:rPr>
            </w:pPr>
            <w:r w:rsidRPr="00C10545">
              <w:rPr>
                <w:sz w:val="18"/>
                <w:szCs w:val="18"/>
                <w:lang w:eastAsia="en-AU"/>
              </w:rPr>
              <w:t> </w:t>
            </w:r>
          </w:p>
        </w:tc>
        <w:tc>
          <w:tcPr>
            <w:tcW w:w="581" w:type="pct"/>
            <w:tcBorders>
              <w:top w:val="nil"/>
              <w:left w:val="nil"/>
              <w:bottom w:val="single" w:sz="4" w:space="0" w:color="auto"/>
              <w:right w:val="single" w:sz="4" w:space="0" w:color="auto"/>
            </w:tcBorders>
            <w:shd w:val="clear" w:color="000000" w:fill="000000"/>
            <w:noWrap/>
            <w:vAlign w:val="bottom"/>
            <w:hideMark/>
          </w:tcPr>
          <w:p w14:paraId="4A7CD8A4" w14:textId="77777777" w:rsidR="009A356E" w:rsidRPr="00C10545" w:rsidRDefault="009A356E" w:rsidP="009A356E">
            <w:pPr>
              <w:rPr>
                <w:sz w:val="18"/>
                <w:szCs w:val="18"/>
                <w:lang w:eastAsia="en-AU"/>
              </w:rPr>
            </w:pPr>
            <w:r w:rsidRPr="00C10545">
              <w:rPr>
                <w:sz w:val="18"/>
                <w:szCs w:val="18"/>
                <w:lang w:eastAsia="en-AU"/>
              </w:rPr>
              <w:t> </w:t>
            </w:r>
          </w:p>
        </w:tc>
        <w:tc>
          <w:tcPr>
            <w:tcW w:w="581" w:type="pct"/>
            <w:tcBorders>
              <w:top w:val="nil"/>
              <w:left w:val="nil"/>
              <w:bottom w:val="single" w:sz="4" w:space="0" w:color="auto"/>
              <w:right w:val="single" w:sz="4" w:space="0" w:color="auto"/>
            </w:tcBorders>
            <w:shd w:val="clear" w:color="000000" w:fill="000000"/>
            <w:noWrap/>
            <w:vAlign w:val="bottom"/>
            <w:hideMark/>
          </w:tcPr>
          <w:p w14:paraId="328FF2E8" w14:textId="77777777" w:rsidR="009A356E" w:rsidRPr="00C10545" w:rsidRDefault="009A356E" w:rsidP="009A356E">
            <w:pPr>
              <w:rPr>
                <w:sz w:val="18"/>
                <w:szCs w:val="18"/>
                <w:lang w:eastAsia="en-AU"/>
              </w:rPr>
            </w:pPr>
            <w:r w:rsidRPr="00C10545">
              <w:rPr>
                <w:sz w:val="18"/>
                <w:szCs w:val="18"/>
                <w:lang w:eastAsia="en-AU"/>
              </w:rPr>
              <w:t> </w:t>
            </w:r>
          </w:p>
        </w:tc>
        <w:tc>
          <w:tcPr>
            <w:tcW w:w="581" w:type="pct"/>
            <w:tcBorders>
              <w:top w:val="nil"/>
              <w:left w:val="nil"/>
              <w:bottom w:val="single" w:sz="4" w:space="0" w:color="auto"/>
              <w:right w:val="single" w:sz="4" w:space="0" w:color="auto"/>
            </w:tcBorders>
            <w:shd w:val="clear" w:color="000000" w:fill="000000"/>
            <w:noWrap/>
            <w:vAlign w:val="bottom"/>
            <w:hideMark/>
          </w:tcPr>
          <w:p w14:paraId="57667443" w14:textId="77777777" w:rsidR="009A356E" w:rsidRPr="00C10545" w:rsidRDefault="009A356E" w:rsidP="009A356E">
            <w:pPr>
              <w:rPr>
                <w:sz w:val="18"/>
                <w:szCs w:val="18"/>
                <w:lang w:eastAsia="en-AU"/>
              </w:rPr>
            </w:pPr>
            <w:r w:rsidRPr="00C10545">
              <w:rPr>
                <w:sz w:val="18"/>
                <w:szCs w:val="18"/>
                <w:lang w:eastAsia="en-AU"/>
              </w:rPr>
              <w:t> </w:t>
            </w:r>
          </w:p>
        </w:tc>
        <w:tc>
          <w:tcPr>
            <w:tcW w:w="581" w:type="pct"/>
            <w:tcBorders>
              <w:top w:val="nil"/>
              <w:left w:val="nil"/>
              <w:bottom w:val="single" w:sz="4" w:space="0" w:color="auto"/>
              <w:right w:val="single" w:sz="4" w:space="0" w:color="auto"/>
            </w:tcBorders>
            <w:shd w:val="clear" w:color="000000" w:fill="000000"/>
            <w:noWrap/>
            <w:vAlign w:val="bottom"/>
            <w:hideMark/>
          </w:tcPr>
          <w:p w14:paraId="10872135" w14:textId="77777777" w:rsidR="009A356E" w:rsidRPr="00C10545" w:rsidRDefault="009A356E" w:rsidP="009A356E">
            <w:pPr>
              <w:rPr>
                <w:sz w:val="18"/>
                <w:szCs w:val="18"/>
                <w:lang w:eastAsia="en-AU"/>
              </w:rPr>
            </w:pPr>
            <w:r w:rsidRPr="00C10545">
              <w:rPr>
                <w:sz w:val="18"/>
                <w:szCs w:val="18"/>
                <w:lang w:eastAsia="en-AU"/>
              </w:rPr>
              <w:t> </w:t>
            </w:r>
          </w:p>
        </w:tc>
        <w:tc>
          <w:tcPr>
            <w:tcW w:w="581" w:type="pct"/>
            <w:tcBorders>
              <w:top w:val="nil"/>
              <w:left w:val="nil"/>
              <w:bottom w:val="single" w:sz="4" w:space="0" w:color="auto"/>
              <w:right w:val="single" w:sz="4" w:space="0" w:color="auto"/>
            </w:tcBorders>
            <w:shd w:val="clear" w:color="000000" w:fill="000000"/>
            <w:noWrap/>
            <w:vAlign w:val="bottom"/>
            <w:hideMark/>
          </w:tcPr>
          <w:p w14:paraId="2B11B331" w14:textId="77777777" w:rsidR="009A356E" w:rsidRPr="00C10545" w:rsidRDefault="009A356E" w:rsidP="009A356E">
            <w:pPr>
              <w:rPr>
                <w:sz w:val="18"/>
                <w:szCs w:val="18"/>
                <w:lang w:eastAsia="en-AU"/>
              </w:rPr>
            </w:pPr>
            <w:r w:rsidRPr="00C10545">
              <w:rPr>
                <w:sz w:val="18"/>
                <w:szCs w:val="18"/>
                <w:lang w:eastAsia="en-AU"/>
              </w:rPr>
              <w:t> </w:t>
            </w:r>
          </w:p>
        </w:tc>
        <w:tc>
          <w:tcPr>
            <w:tcW w:w="578" w:type="pct"/>
            <w:tcBorders>
              <w:top w:val="nil"/>
              <w:left w:val="nil"/>
              <w:bottom w:val="single" w:sz="4" w:space="0" w:color="auto"/>
              <w:right w:val="single" w:sz="4" w:space="0" w:color="auto"/>
            </w:tcBorders>
            <w:shd w:val="clear" w:color="000000" w:fill="000000"/>
            <w:noWrap/>
            <w:vAlign w:val="bottom"/>
            <w:hideMark/>
          </w:tcPr>
          <w:p w14:paraId="61141679" w14:textId="77777777" w:rsidR="009A356E" w:rsidRPr="00C10545" w:rsidRDefault="009A356E" w:rsidP="009A356E">
            <w:pPr>
              <w:rPr>
                <w:sz w:val="18"/>
                <w:szCs w:val="18"/>
                <w:lang w:eastAsia="en-AU"/>
              </w:rPr>
            </w:pPr>
            <w:r w:rsidRPr="00C10545">
              <w:rPr>
                <w:sz w:val="18"/>
                <w:szCs w:val="18"/>
                <w:lang w:eastAsia="en-AU"/>
              </w:rPr>
              <w:t> </w:t>
            </w:r>
          </w:p>
        </w:tc>
      </w:tr>
      <w:tr w:rsidR="009A356E" w:rsidRPr="00D60D2D" w14:paraId="2527240B" w14:textId="77777777" w:rsidTr="009A356E">
        <w:trPr>
          <w:trHeight w:val="255"/>
        </w:trPr>
        <w:tc>
          <w:tcPr>
            <w:tcW w:w="1517" w:type="pct"/>
            <w:tcBorders>
              <w:top w:val="nil"/>
              <w:left w:val="single" w:sz="4" w:space="0" w:color="auto"/>
              <w:bottom w:val="single" w:sz="4" w:space="0" w:color="auto"/>
              <w:right w:val="single" w:sz="4" w:space="0" w:color="auto"/>
            </w:tcBorders>
            <w:shd w:val="clear" w:color="000000" w:fill="E4DFEC"/>
            <w:noWrap/>
            <w:vAlign w:val="bottom"/>
            <w:hideMark/>
          </w:tcPr>
          <w:p w14:paraId="05757B80" w14:textId="77777777" w:rsidR="009A356E" w:rsidRPr="00C10545" w:rsidRDefault="009A356E" w:rsidP="009A356E">
            <w:pPr>
              <w:rPr>
                <w:b/>
                <w:bCs/>
                <w:sz w:val="18"/>
                <w:szCs w:val="18"/>
                <w:lang w:eastAsia="en-AU"/>
              </w:rPr>
            </w:pPr>
            <w:r w:rsidRPr="00C10545">
              <w:rPr>
                <w:b/>
                <w:bCs/>
                <w:sz w:val="18"/>
                <w:szCs w:val="18"/>
                <w:lang w:eastAsia="en-AU"/>
              </w:rPr>
              <w:t>Large Shires</w:t>
            </w:r>
          </w:p>
        </w:tc>
        <w:tc>
          <w:tcPr>
            <w:tcW w:w="581" w:type="pct"/>
            <w:tcBorders>
              <w:top w:val="nil"/>
              <w:left w:val="nil"/>
              <w:bottom w:val="single" w:sz="4" w:space="0" w:color="auto"/>
              <w:right w:val="single" w:sz="4" w:space="0" w:color="auto"/>
            </w:tcBorders>
            <w:shd w:val="clear" w:color="000000" w:fill="000000"/>
            <w:noWrap/>
            <w:vAlign w:val="bottom"/>
            <w:hideMark/>
          </w:tcPr>
          <w:p w14:paraId="070F9A58" w14:textId="77777777" w:rsidR="009A356E" w:rsidRPr="00C10545" w:rsidRDefault="009A356E" w:rsidP="009A356E">
            <w:pPr>
              <w:rPr>
                <w:sz w:val="18"/>
                <w:szCs w:val="18"/>
                <w:lang w:eastAsia="en-AU"/>
              </w:rPr>
            </w:pPr>
            <w:r w:rsidRPr="00C10545">
              <w:rPr>
                <w:sz w:val="18"/>
                <w:szCs w:val="18"/>
                <w:lang w:eastAsia="en-AU"/>
              </w:rPr>
              <w:t> </w:t>
            </w:r>
          </w:p>
        </w:tc>
        <w:tc>
          <w:tcPr>
            <w:tcW w:w="581" w:type="pct"/>
            <w:tcBorders>
              <w:top w:val="nil"/>
              <w:left w:val="nil"/>
              <w:bottom w:val="single" w:sz="4" w:space="0" w:color="auto"/>
              <w:right w:val="single" w:sz="4" w:space="0" w:color="auto"/>
            </w:tcBorders>
            <w:shd w:val="clear" w:color="000000" w:fill="000000"/>
            <w:noWrap/>
            <w:vAlign w:val="bottom"/>
            <w:hideMark/>
          </w:tcPr>
          <w:p w14:paraId="7CA0E853" w14:textId="77777777" w:rsidR="009A356E" w:rsidRPr="00C10545" w:rsidRDefault="009A356E" w:rsidP="009A356E">
            <w:pPr>
              <w:rPr>
                <w:sz w:val="18"/>
                <w:szCs w:val="18"/>
                <w:lang w:eastAsia="en-AU"/>
              </w:rPr>
            </w:pPr>
            <w:r w:rsidRPr="00C10545">
              <w:rPr>
                <w:sz w:val="18"/>
                <w:szCs w:val="18"/>
                <w:lang w:eastAsia="en-AU"/>
              </w:rPr>
              <w:t> </w:t>
            </w:r>
          </w:p>
        </w:tc>
        <w:tc>
          <w:tcPr>
            <w:tcW w:w="581" w:type="pct"/>
            <w:tcBorders>
              <w:top w:val="nil"/>
              <w:left w:val="nil"/>
              <w:bottom w:val="single" w:sz="4" w:space="0" w:color="auto"/>
              <w:right w:val="single" w:sz="4" w:space="0" w:color="auto"/>
            </w:tcBorders>
            <w:shd w:val="clear" w:color="000000" w:fill="000000"/>
            <w:noWrap/>
            <w:vAlign w:val="bottom"/>
            <w:hideMark/>
          </w:tcPr>
          <w:p w14:paraId="43FDA77F" w14:textId="77777777" w:rsidR="009A356E" w:rsidRPr="00C10545" w:rsidRDefault="009A356E" w:rsidP="009A356E">
            <w:pPr>
              <w:rPr>
                <w:sz w:val="18"/>
                <w:szCs w:val="18"/>
                <w:lang w:eastAsia="en-AU"/>
              </w:rPr>
            </w:pPr>
            <w:r w:rsidRPr="00C10545">
              <w:rPr>
                <w:sz w:val="18"/>
                <w:szCs w:val="18"/>
                <w:lang w:eastAsia="en-AU"/>
              </w:rPr>
              <w:t> </w:t>
            </w:r>
          </w:p>
        </w:tc>
        <w:tc>
          <w:tcPr>
            <w:tcW w:w="581" w:type="pct"/>
            <w:tcBorders>
              <w:top w:val="nil"/>
              <w:left w:val="nil"/>
              <w:bottom w:val="single" w:sz="4" w:space="0" w:color="auto"/>
              <w:right w:val="single" w:sz="4" w:space="0" w:color="auto"/>
            </w:tcBorders>
            <w:shd w:val="clear" w:color="000000" w:fill="000000"/>
            <w:noWrap/>
            <w:vAlign w:val="bottom"/>
            <w:hideMark/>
          </w:tcPr>
          <w:p w14:paraId="750F89D3" w14:textId="77777777" w:rsidR="009A356E" w:rsidRPr="00C10545" w:rsidRDefault="009A356E" w:rsidP="009A356E">
            <w:pPr>
              <w:rPr>
                <w:sz w:val="18"/>
                <w:szCs w:val="18"/>
                <w:lang w:eastAsia="en-AU"/>
              </w:rPr>
            </w:pPr>
            <w:r w:rsidRPr="00C10545">
              <w:rPr>
                <w:sz w:val="18"/>
                <w:szCs w:val="18"/>
                <w:lang w:eastAsia="en-AU"/>
              </w:rPr>
              <w:t> </w:t>
            </w:r>
          </w:p>
        </w:tc>
        <w:tc>
          <w:tcPr>
            <w:tcW w:w="581" w:type="pct"/>
            <w:tcBorders>
              <w:top w:val="nil"/>
              <w:left w:val="nil"/>
              <w:bottom w:val="single" w:sz="4" w:space="0" w:color="auto"/>
              <w:right w:val="single" w:sz="4" w:space="0" w:color="auto"/>
            </w:tcBorders>
            <w:shd w:val="clear" w:color="000000" w:fill="000000"/>
            <w:noWrap/>
            <w:vAlign w:val="bottom"/>
            <w:hideMark/>
          </w:tcPr>
          <w:p w14:paraId="702769EC" w14:textId="77777777" w:rsidR="009A356E" w:rsidRPr="00C10545" w:rsidRDefault="009A356E" w:rsidP="009A356E">
            <w:pPr>
              <w:rPr>
                <w:sz w:val="18"/>
                <w:szCs w:val="18"/>
                <w:lang w:eastAsia="en-AU"/>
              </w:rPr>
            </w:pPr>
            <w:r w:rsidRPr="00C10545">
              <w:rPr>
                <w:sz w:val="18"/>
                <w:szCs w:val="18"/>
                <w:lang w:eastAsia="en-AU"/>
              </w:rPr>
              <w:t> </w:t>
            </w:r>
          </w:p>
        </w:tc>
        <w:tc>
          <w:tcPr>
            <w:tcW w:w="578" w:type="pct"/>
            <w:tcBorders>
              <w:top w:val="nil"/>
              <w:left w:val="nil"/>
              <w:bottom w:val="single" w:sz="4" w:space="0" w:color="auto"/>
              <w:right w:val="single" w:sz="4" w:space="0" w:color="auto"/>
            </w:tcBorders>
            <w:shd w:val="clear" w:color="000000" w:fill="000000"/>
            <w:noWrap/>
            <w:vAlign w:val="bottom"/>
            <w:hideMark/>
          </w:tcPr>
          <w:p w14:paraId="33176FC2" w14:textId="77777777" w:rsidR="009A356E" w:rsidRPr="00C10545" w:rsidRDefault="009A356E" w:rsidP="009A356E">
            <w:pPr>
              <w:rPr>
                <w:sz w:val="18"/>
                <w:szCs w:val="18"/>
                <w:lang w:eastAsia="en-AU"/>
              </w:rPr>
            </w:pPr>
            <w:r w:rsidRPr="00C10545">
              <w:rPr>
                <w:sz w:val="18"/>
                <w:szCs w:val="18"/>
                <w:lang w:eastAsia="en-AU"/>
              </w:rPr>
              <w:t> </w:t>
            </w:r>
          </w:p>
        </w:tc>
      </w:tr>
      <w:tr w:rsidR="009A356E" w:rsidRPr="00D60D2D" w14:paraId="7D20CF3A" w14:textId="77777777" w:rsidTr="009A356E">
        <w:trPr>
          <w:trHeight w:val="255"/>
        </w:trPr>
        <w:tc>
          <w:tcPr>
            <w:tcW w:w="1517" w:type="pct"/>
            <w:tcBorders>
              <w:top w:val="nil"/>
              <w:left w:val="single" w:sz="4" w:space="0" w:color="auto"/>
              <w:bottom w:val="single" w:sz="4" w:space="0" w:color="auto"/>
              <w:right w:val="single" w:sz="4" w:space="0" w:color="auto"/>
            </w:tcBorders>
            <w:shd w:val="clear" w:color="auto" w:fill="auto"/>
            <w:noWrap/>
            <w:vAlign w:val="bottom"/>
            <w:hideMark/>
          </w:tcPr>
          <w:p w14:paraId="699E872C" w14:textId="77777777" w:rsidR="009A356E" w:rsidRPr="00C10545" w:rsidRDefault="009A356E" w:rsidP="009A356E">
            <w:pPr>
              <w:rPr>
                <w:sz w:val="18"/>
                <w:szCs w:val="18"/>
                <w:lang w:eastAsia="en-AU"/>
              </w:rPr>
            </w:pPr>
            <w:r w:rsidRPr="00C10545">
              <w:rPr>
                <w:sz w:val="18"/>
                <w:szCs w:val="18"/>
                <w:lang w:eastAsia="en-AU"/>
              </w:rPr>
              <w:t>Nominal</w:t>
            </w:r>
          </w:p>
        </w:tc>
        <w:tc>
          <w:tcPr>
            <w:tcW w:w="581" w:type="pct"/>
            <w:tcBorders>
              <w:top w:val="nil"/>
              <w:left w:val="nil"/>
              <w:bottom w:val="single" w:sz="4" w:space="0" w:color="auto"/>
              <w:right w:val="single" w:sz="4" w:space="0" w:color="auto"/>
            </w:tcBorders>
            <w:shd w:val="clear" w:color="auto" w:fill="auto"/>
            <w:noWrap/>
            <w:vAlign w:val="bottom"/>
            <w:hideMark/>
          </w:tcPr>
          <w:p w14:paraId="01B48046" w14:textId="77777777" w:rsidR="009A356E" w:rsidRPr="00C10545" w:rsidRDefault="009A356E" w:rsidP="009A356E">
            <w:pPr>
              <w:jc w:val="right"/>
              <w:rPr>
                <w:sz w:val="18"/>
                <w:szCs w:val="18"/>
                <w:lang w:eastAsia="en-AU"/>
              </w:rPr>
            </w:pPr>
            <w:r w:rsidRPr="00C10545">
              <w:rPr>
                <w:sz w:val="18"/>
                <w:szCs w:val="18"/>
                <w:lang w:eastAsia="en-AU"/>
              </w:rPr>
              <w:t>139.0</w:t>
            </w:r>
          </w:p>
        </w:tc>
        <w:tc>
          <w:tcPr>
            <w:tcW w:w="581" w:type="pct"/>
            <w:tcBorders>
              <w:top w:val="nil"/>
              <w:left w:val="nil"/>
              <w:bottom w:val="single" w:sz="4" w:space="0" w:color="auto"/>
              <w:right w:val="single" w:sz="4" w:space="0" w:color="auto"/>
            </w:tcBorders>
            <w:shd w:val="clear" w:color="auto" w:fill="auto"/>
            <w:noWrap/>
            <w:vAlign w:val="bottom"/>
            <w:hideMark/>
          </w:tcPr>
          <w:p w14:paraId="04A9B661" w14:textId="77777777" w:rsidR="009A356E" w:rsidRPr="00C10545" w:rsidRDefault="009A356E" w:rsidP="009A356E">
            <w:pPr>
              <w:jc w:val="right"/>
              <w:rPr>
                <w:sz w:val="18"/>
                <w:szCs w:val="18"/>
                <w:lang w:eastAsia="en-AU"/>
              </w:rPr>
            </w:pPr>
            <w:r w:rsidRPr="00C10545">
              <w:rPr>
                <w:sz w:val="18"/>
                <w:szCs w:val="18"/>
                <w:lang w:eastAsia="en-AU"/>
              </w:rPr>
              <w:t>150.2</w:t>
            </w:r>
          </w:p>
        </w:tc>
        <w:tc>
          <w:tcPr>
            <w:tcW w:w="581" w:type="pct"/>
            <w:tcBorders>
              <w:top w:val="nil"/>
              <w:left w:val="nil"/>
              <w:bottom w:val="single" w:sz="4" w:space="0" w:color="auto"/>
              <w:right w:val="single" w:sz="4" w:space="0" w:color="auto"/>
            </w:tcBorders>
            <w:shd w:val="clear" w:color="auto" w:fill="auto"/>
            <w:noWrap/>
            <w:vAlign w:val="bottom"/>
            <w:hideMark/>
          </w:tcPr>
          <w:p w14:paraId="7DC65C83" w14:textId="77777777" w:rsidR="009A356E" w:rsidRPr="00C10545" w:rsidRDefault="009A356E" w:rsidP="009A356E">
            <w:pPr>
              <w:jc w:val="right"/>
              <w:rPr>
                <w:sz w:val="18"/>
                <w:szCs w:val="18"/>
                <w:lang w:eastAsia="en-AU"/>
              </w:rPr>
            </w:pPr>
            <w:r w:rsidRPr="00C10545">
              <w:rPr>
                <w:sz w:val="18"/>
                <w:szCs w:val="18"/>
                <w:lang w:eastAsia="en-AU"/>
              </w:rPr>
              <w:t>191.8</w:t>
            </w:r>
          </w:p>
        </w:tc>
        <w:tc>
          <w:tcPr>
            <w:tcW w:w="581" w:type="pct"/>
            <w:tcBorders>
              <w:top w:val="nil"/>
              <w:left w:val="nil"/>
              <w:bottom w:val="single" w:sz="4" w:space="0" w:color="auto"/>
              <w:right w:val="single" w:sz="4" w:space="0" w:color="auto"/>
            </w:tcBorders>
            <w:shd w:val="clear" w:color="auto" w:fill="auto"/>
            <w:noWrap/>
            <w:vAlign w:val="bottom"/>
            <w:hideMark/>
          </w:tcPr>
          <w:p w14:paraId="3DD8040C" w14:textId="77777777" w:rsidR="009A356E" w:rsidRPr="00C10545" w:rsidRDefault="009A356E" w:rsidP="009A356E">
            <w:pPr>
              <w:jc w:val="right"/>
              <w:rPr>
                <w:sz w:val="18"/>
                <w:szCs w:val="18"/>
                <w:lang w:eastAsia="en-AU"/>
              </w:rPr>
            </w:pPr>
            <w:r w:rsidRPr="00C10545">
              <w:rPr>
                <w:sz w:val="18"/>
                <w:szCs w:val="18"/>
                <w:lang w:eastAsia="en-AU"/>
              </w:rPr>
              <w:t>251.6</w:t>
            </w:r>
          </w:p>
        </w:tc>
        <w:tc>
          <w:tcPr>
            <w:tcW w:w="581" w:type="pct"/>
            <w:tcBorders>
              <w:top w:val="nil"/>
              <w:left w:val="nil"/>
              <w:bottom w:val="single" w:sz="4" w:space="0" w:color="auto"/>
              <w:right w:val="single" w:sz="4" w:space="0" w:color="auto"/>
            </w:tcBorders>
            <w:shd w:val="clear" w:color="auto" w:fill="auto"/>
            <w:noWrap/>
            <w:vAlign w:val="bottom"/>
            <w:hideMark/>
          </w:tcPr>
          <w:p w14:paraId="2320194D" w14:textId="77777777" w:rsidR="009A356E" w:rsidRPr="00C10545" w:rsidRDefault="009A356E" w:rsidP="009A356E">
            <w:pPr>
              <w:jc w:val="right"/>
              <w:rPr>
                <w:sz w:val="18"/>
                <w:szCs w:val="18"/>
                <w:lang w:eastAsia="en-AU"/>
              </w:rPr>
            </w:pPr>
            <w:r w:rsidRPr="00C10545">
              <w:rPr>
                <w:sz w:val="18"/>
                <w:szCs w:val="18"/>
                <w:lang w:eastAsia="en-AU"/>
              </w:rPr>
              <w:t>266.2</w:t>
            </w:r>
          </w:p>
        </w:tc>
        <w:tc>
          <w:tcPr>
            <w:tcW w:w="578" w:type="pct"/>
            <w:tcBorders>
              <w:top w:val="nil"/>
              <w:left w:val="nil"/>
              <w:bottom w:val="single" w:sz="4" w:space="0" w:color="auto"/>
              <w:right w:val="single" w:sz="4" w:space="0" w:color="auto"/>
            </w:tcBorders>
            <w:shd w:val="clear" w:color="auto" w:fill="auto"/>
            <w:noWrap/>
            <w:vAlign w:val="bottom"/>
            <w:hideMark/>
          </w:tcPr>
          <w:p w14:paraId="217769C1" w14:textId="77777777" w:rsidR="009A356E" w:rsidRPr="00C10545" w:rsidRDefault="009A356E" w:rsidP="009A356E">
            <w:pPr>
              <w:jc w:val="right"/>
              <w:rPr>
                <w:sz w:val="18"/>
                <w:szCs w:val="18"/>
                <w:lang w:eastAsia="en-AU"/>
              </w:rPr>
            </w:pPr>
            <w:r w:rsidRPr="00C10545">
              <w:rPr>
                <w:sz w:val="18"/>
                <w:szCs w:val="18"/>
                <w:lang w:eastAsia="en-AU"/>
              </w:rPr>
              <w:t>265.3</w:t>
            </w:r>
          </w:p>
        </w:tc>
      </w:tr>
      <w:tr w:rsidR="009A356E" w:rsidRPr="00D60D2D" w14:paraId="32F28997" w14:textId="77777777" w:rsidTr="009A356E">
        <w:trPr>
          <w:trHeight w:val="255"/>
        </w:trPr>
        <w:tc>
          <w:tcPr>
            <w:tcW w:w="1517" w:type="pct"/>
            <w:tcBorders>
              <w:top w:val="nil"/>
              <w:left w:val="single" w:sz="4" w:space="0" w:color="auto"/>
              <w:bottom w:val="single" w:sz="4" w:space="0" w:color="auto"/>
              <w:right w:val="single" w:sz="4" w:space="0" w:color="auto"/>
            </w:tcBorders>
            <w:shd w:val="clear" w:color="auto" w:fill="auto"/>
            <w:noWrap/>
            <w:vAlign w:val="bottom"/>
            <w:hideMark/>
          </w:tcPr>
          <w:p w14:paraId="6EBAD429" w14:textId="77777777" w:rsidR="009A356E" w:rsidRPr="00C10545" w:rsidRDefault="009A356E" w:rsidP="009A356E">
            <w:pPr>
              <w:rPr>
                <w:sz w:val="18"/>
                <w:szCs w:val="18"/>
                <w:lang w:eastAsia="en-AU"/>
              </w:rPr>
            </w:pPr>
            <w:r w:rsidRPr="00C10545">
              <w:rPr>
                <w:sz w:val="18"/>
                <w:szCs w:val="18"/>
                <w:lang w:eastAsia="en-AU"/>
              </w:rPr>
              <w:t xml:space="preserve">Discounted by CPI </w:t>
            </w:r>
          </w:p>
        </w:tc>
        <w:tc>
          <w:tcPr>
            <w:tcW w:w="581" w:type="pct"/>
            <w:tcBorders>
              <w:top w:val="nil"/>
              <w:left w:val="nil"/>
              <w:bottom w:val="single" w:sz="4" w:space="0" w:color="auto"/>
              <w:right w:val="single" w:sz="4" w:space="0" w:color="auto"/>
            </w:tcBorders>
            <w:shd w:val="clear" w:color="auto" w:fill="auto"/>
            <w:noWrap/>
            <w:vAlign w:val="bottom"/>
            <w:hideMark/>
          </w:tcPr>
          <w:p w14:paraId="106A1EE9" w14:textId="77777777" w:rsidR="009A356E" w:rsidRPr="00C10545" w:rsidRDefault="009A356E" w:rsidP="009A356E">
            <w:pPr>
              <w:jc w:val="right"/>
              <w:rPr>
                <w:sz w:val="18"/>
                <w:szCs w:val="18"/>
                <w:lang w:eastAsia="en-AU"/>
              </w:rPr>
            </w:pPr>
            <w:r w:rsidRPr="00C10545">
              <w:rPr>
                <w:sz w:val="18"/>
                <w:szCs w:val="18"/>
                <w:lang w:eastAsia="en-AU"/>
              </w:rPr>
              <w:t>139.0</w:t>
            </w:r>
          </w:p>
        </w:tc>
        <w:tc>
          <w:tcPr>
            <w:tcW w:w="581" w:type="pct"/>
            <w:tcBorders>
              <w:top w:val="nil"/>
              <w:left w:val="nil"/>
              <w:bottom w:val="single" w:sz="4" w:space="0" w:color="auto"/>
              <w:right w:val="single" w:sz="4" w:space="0" w:color="auto"/>
            </w:tcBorders>
            <w:shd w:val="clear" w:color="auto" w:fill="auto"/>
            <w:noWrap/>
            <w:vAlign w:val="bottom"/>
            <w:hideMark/>
          </w:tcPr>
          <w:p w14:paraId="5230876B" w14:textId="77777777" w:rsidR="009A356E" w:rsidRPr="00C10545" w:rsidRDefault="009A356E" w:rsidP="009A356E">
            <w:pPr>
              <w:jc w:val="right"/>
              <w:rPr>
                <w:sz w:val="18"/>
                <w:szCs w:val="18"/>
                <w:lang w:eastAsia="en-AU"/>
              </w:rPr>
            </w:pPr>
            <w:r w:rsidRPr="00C10545">
              <w:rPr>
                <w:sz w:val="18"/>
                <w:szCs w:val="18"/>
                <w:lang w:eastAsia="en-AU"/>
              </w:rPr>
              <w:t>144.8</w:t>
            </w:r>
          </w:p>
        </w:tc>
        <w:tc>
          <w:tcPr>
            <w:tcW w:w="581" w:type="pct"/>
            <w:tcBorders>
              <w:top w:val="nil"/>
              <w:left w:val="nil"/>
              <w:bottom w:val="single" w:sz="4" w:space="0" w:color="auto"/>
              <w:right w:val="single" w:sz="4" w:space="0" w:color="auto"/>
            </w:tcBorders>
            <w:shd w:val="clear" w:color="auto" w:fill="auto"/>
            <w:noWrap/>
            <w:vAlign w:val="bottom"/>
            <w:hideMark/>
          </w:tcPr>
          <w:p w14:paraId="2AC7E53F" w14:textId="77777777" w:rsidR="009A356E" w:rsidRPr="00C10545" w:rsidRDefault="009A356E" w:rsidP="009A356E">
            <w:pPr>
              <w:jc w:val="right"/>
              <w:rPr>
                <w:sz w:val="18"/>
                <w:szCs w:val="18"/>
                <w:lang w:eastAsia="en-AU"/>
              </w:rPr>
            </w:pPr>
            <w:r w:rsidRPr="00C10545">
              <w:rPr>
                <w:sz w:val="18"/>
                <w:szCs w:val="18"/>
                <w:lang w:eastAsia="en-AU"/>
              </w:rPr>
              <w:t>174.2</w:t>
            </w:r>
          </w:p>
        </w:tc>
        <w:tc>
          <w:tcPr>
            <w:tcW w:w="581" w:type="pct"/>
            <w:tcBorders>
              <w:top w:val="nil"/>
              <w:left w:val="nil"/>
              <w:bottom w:val="single" w:sz="4" w:space="0" w:color="auto"/>
              <w:right w:val="single" w:sz="4" w:space="0" w:color="auto"/>
            </w:tcBorders>
            <w:shd w:val="clear" w:color="auto" w:fill="auto"/>
            <w:noWrap/>
            <w:vAlign w:val="bottom"/>
            <w:hideMark/>
          </w:tcPr>
          <w:p w14:paraId="51B25F67" w14:textId="77777777" w:rsidR="009A356E" w:rsidRPr="00C10545" w:rsidRDefault="009A356E" w:rsidP="009A356E">
            <w:pPr>
              <w:jc w:val="right"/>
              <w:rPr>
                <w:sz w:val="18"/>
                <w:szCs w:val="18"/>
                <w:lang w:eastAsia="en-AU"/>
              </w:rPr>
            </w:pPr>
            <w:r w:rsidRPr="00C10545">
              <w:rPr>
                <w:sz w:val="18"/>
                <w:szCs w:val="18"/>
                <w:lang w:eastAsia="en-AU"/>
              </w:rPr>
              <w:t>184.5</w:t>
            </w:r>
          </w:p>
        </w:tc>
        <w:tc>
          <w:tcPr>
            <w:tcW w:w="581" w:type="pct"/>
            <w:tcBorders>
              <w:top w:val="nil"/>
              <w:left w:val="nil"/>
              <w:bottom w:val="single" w:sz="4" w:space="0" w:color="auto"/>
              <w:right w:val="single" w:sz="4" w:space="0" w:color="auto"/>
            </w:tcBorders>
            <w:shd w:val="clear" w:color="auto" w:fill="auto"/>
            <w:noWrap/>
            <w:vAlign w:val="bottom"/>
            <w:hideMark/>
          </w:tcPr>
          <w:p w14:paraId="4302D121" w14:textId="77777777" w:rsidR="009A356E" w:rsidRPr="00C10545" w:rsidRDefault="009A356E" w:rsidP="009A356E">
            <w:pPr>
              <w:jc w:val="right"/>
              <w:rPr>
                <w:sz w:val="18"/>
                <w:szCs w:val="18"/>
                <w:lang w:eastAsia="en-AU"/>
              </w:rPr>
            </w:pPr>
            <w:r w:rsidRPr="00C10545">
              <w:rPr>
                <w:sz w:val="18"/>
                <w:szCs w:val="18"/>
                <w:lang w:eastAsia="en-AU"/>
              </w:rPr>
              <w:t>179.1</w:t>
            </w:r>
          </w:p>
        </w:tc>
        <w:tc>
          <w:tcPr>
            <w:tcW w:w="578" w:type="pct"/>
            <w:tcBorders>
              <w:top w:val="nil"/>
              <w:left w:val="nil"/>
              <w:bottom w:val="single" w:sz="4" w:space="0" w:color="auto"/>
              <w:right w:val="single" w:sz="4" w:space="0" w:color="auto"/>
            </w:tcBorders>
            <w:shd w:val="clear" w:color="auto" w:fill="auto"/>
            <w:noWrap/>
            <w:vAlign w:val="bottom"/>
            <w:hideMark/>
          </w:tcPr>
          <w:p w14:paraId="5E1DA93E" w14:textId="77777777" w:rsidR="009A356E" w:rsidRPr="00C10545" w:rsidRDefault="009A356E" w:rsidP="009A356E">
            <w:pPr>
              <w:jc w:val="right"/>
              <w:rPr>
                <w:sz w:val="18"/>
                <w:szCs w:val="18"/>
                <w:lang w:eastAsia="en-AU"/>
              </w:rPr>
            </w:pPr>
            <w:r w:rsidRPr="00C10545">
              <w:rPr>
                <w:sz w:val="18"/>
                <w:szCs w:val="18"/>
                <w:lang w:eastAsia="en-AU"/>
              </w:rPr>
              <w:t>175.8</w:t>
            </w:r>
          </w:p>
        </w:tc>
      </w:tr>
      <w:tr w:rsidR="009A356E" w:rsidRPr="00D60D2D" w14:paraId="621BC2A3" w14:textId="77777777" w:rsidTr="009A356E">
        <w:trPr>
          <w:trHeight w:val="255"/>
        </w:trPr>
        <w:tc>
          <w:tcPr>
            <w:tcW w:w="1517" w:type="pct"/>
            <w:tcBorders>
              <w:top w:val="nil"/>
              <w:left w:val="single" w:sz="4" w:space="0" w:color="auto"/>
              <w:bottom w:val="single" w:sz="4" w:space="0" w:color="auto"/>
              <w:right w:val="single" w:sz="4" w:space="0" w:color="auto"/>
            </w:tcBorders>
            <w:shd w:val="clear" w:color="auto" w:fill="auto"/>
            <w:noWrap/>
            <w:vAlign w:val="bottom"/>
            <w:hideMark/>
          </w:tcPr>
          <w:p w14:paraId="1D952612" w14:textId="77777777" w:rsidR="009A356E" w:rsidRPr="00C10545" w:rsidRDefault="009A356E" w:rsidP="009A356E">
            <w:pPr>
              <w:rPr>
                <w:sz w:val="18"/>
                <w:szCs w:val="18"/>
                <w:lang w:eastAsia="en-AU"/>
              </w:rPr>
            </w:pPr>
            <w:r w:rsidRPr="00C10545">
              <w:rPr>
                <w:sz w:val="18"/>
                <w:szCs w:val="18"/>
                <w:lang w:eastAsia="en-AU"/>
              </w:rPr>
              <w:t>Discounted by AWE</w:t>
            </w:r>
          </w:p>
        </w:tc>
        <w:tc>
          <w:tcPr>
            <w:tcW w:w="581" w:type="pct"/>
            <w:tcBorders>
              <w:top w:val="nil"/>
              <w:left w:val="nil"/>
              <w:bottom w:val="single" w:sz="4" w:space="0" w:color="auto"/>
              <w:right w:val="single" w:sz="4" w:space="0" w:color="auto"/>
            </w:tcBorders>
            <w:shd w:val="clear" w:color="auto" w:fill="auto"/>
            <w:noWrap/>
            <w:vAlign w:val="bottom"/>
            <w:hideMark/>
          </w:tcPr>
          <w:p w14:paraId="7DE24D90" w14:textId="77777777" w:rsidR="009A356E" w:rsidRPr="00C10545" w:rsidRDefault="009A356E" w:rsidP="009A356E">
            <w:pPr>
              <w:jc w:val="right"/>
              <w:rPr>
                <w:sz w:val="18"/>
                <w:szCs w:val="18"/>
                <w:lang w:eastAsia="en-AU"/>
              </w:rPr>
            </w:pPr>
            <w:r w:rsidRPr="00C10545">
              <w:rPr>
                <w:sz w:val="18"/>
                <w:szCs w:val="18"/>
                <w:lang w:eastAsia="en-AU"/>
              </w:rPr>
              <w:t>139.0</w:t>
            </w:r>
          </w:p>
        </w:tc>
        <w:tc>
          <w:tcPr>
            <w:tcW w:w="581" w:type="pct"/>
            <w:tcBorders>
              <w:top w:val="nil"/>
              <w:left w:val="nil"/>
              <w:bottom w:val="single" w:sz="4" w:space="0" w:color="auto"/>
              <w:right w:val="single" w:sz="4" w:space="0" w:color="auto"/>
            </w:tcBorders>
            <w:shd w:val="clear" w:color="auto" w:fill="auto"/>
            <w:noWrap/>
            <w:vAlign w:val="bottom"/>
            <w:hideMark/>
          </w:tcPr>
          <w:p w14:paraId="6DC68306" w14:textId="77777777" w:rsidR="009A356E" w:rsidRPr="00C10545" w:rsidRDefault="009A356E" w:rsidP="009A356E">
            <w:pPr>
              <w:jc w:val="right"/>
              <w:rPr>
                <w:sz w:val="18"/>
                <w:szCs w:val="18"/>
                <w:lang w:eastAsia="en-AU"/>
              </w:rPr>
            </w:pPr>
            <w:r w:rsidRPr="00C10545">
              <w:rPr>
                <w:sz w:val="18"/>
                <w:szCs w:val="18"/>
                <w:lang w:eastAsia="en-AU"/>
              </w:rPr>
              <w:t>144.7</w:t>
            </w:r>
          </w:p>
        </w:tc>
        <w:tc>
          <w:tcPr>
            <w:tcW w:w="581" w:type="pct"/>
            <w:tcBorders>
              <w:top w:val="nil"/>
              <w:left w:val="nil"/>
              <w:bottom w:val="single" w:sz="4" w:space="0" w:color="auto"/>
              <w:right w:val="single" w:sz="4" w:space="0" w:color="auto"/>
            </w:tcBorders>
            <w:shd w:val="clear" w:color="auto" w:fill="auto"/>
            <w:noWrap/>
            <w:vAlign w:val="bottom"/>
            <w:hideMark/>
          </w:tcPr>
          <w:p w14:paraId="739D64CD" w14:textId="77777777" w:rsidR="009A356E" w:rsidRPr="00C10545" w:rsidRDefault="009A356E" w:rsidP="009A356E">
            <w:pPr>
              <w:jc w:val="right"/>
              <w:rPr>
                <w:sz w:val="18"/>
                <w:szCs w:val="18"/>
                <w:lang w:eastAsia="en-AU"/>
              </w:rPr>
            </w:pPr>
            <w:r w:rsidRPr="00C10545">
              <w:rPr>
                <w:sz w:val="18"/>
                <w:szCs w:val="18"/>
                <w:lang w:eastAsia="en-AU"/>
              </w:rPr>
              <w:t>160.6</w:t>
            </w:r>
          </w:p>
        </w:tc>
        <w:tc>
          <w:tcPr>
            <w:tcW w:w="581" w:type="pct"/>
            <w:tcBorders>
              <w:top w:val="nil"/>
              <w:left w:val="nil"/>
              <w:bottom w:val="single" w:sz="4" w:space="0" w:color="auto"/>
              <w:right w:val="single" w:sz="4" w:space="0" w:color="auto"/>
            </w:tcBorders>
            <w:shd w:val="clear" w:color="auto" w:fill="auto"/>
            <w:noWrap/>
            <w:vAlign w:val="bottom"/>
            <w:hideMark/>
          </w:tcPr>
          <w:p w14:paraId="783114C4" w14:textId="77777777" w:rsidR="009A356E" w:rsidRPr="00C10545" w:rsidRDefault="009A356E" w:rsidP="009A356E">
            <w:pPr>
              <w:jc w:val="right"/>
              <w:rPr>
                <w:sz w:val="18"/>
                <w:szCs w:val="18"/>
                <w:lang w:eastAsia="en-AU"/>
              </w:rPr>
            </w:pPr>
            <w:r w:rsidRPr="00C10545">
              <w:rPr>
                <w:sz w:val="18"/>
                <w:szCs w:val="18"/>
                <w:lang w:eastAsia="en-AU"/>
              </w:rPr>
              <w:t>152.2</w:t>
            </w:r>
          </w:p>
        </w:tc>
        <w:tc>
          <w:tcPr>
            <w:tcW w:w="581" w:type="pct"/>
            <w:tcBorders>
              <w:top w:val="nil"/>
              <w:left w:val="nil"/>
              <w:bottom w:val="single" w:sz="4" w:space="0" w:color="auto"/>
              <w:right w:val="single" w:sz="4" w:space="0" w:color="auto"/>
            </w:tcBorders>
            <w:shd w:val="clear" w:color="auto" w:fill="auto"/>
            <w:noWrap/>
            <w:vAlign w:val="bottom"/>
            <w:hideMark/>
          </w:tcPr>
          <w:p w14:paraId="0DF68CA1" w14:textId="77777777" w:rsidR="009A356E" w:rsidRPr="00C10545" w:rsidRDefault="009A356E" w:rsidP="009A356E">
            <w:pPr>
              <w:jc w:val="right"/>
              <w:rPr>
                <w:sz w:val="18"/>
                <w:szCs w:val="18"/>
                <w:lang w:eastAsia="en-AU"/>
              </w:rPr>
            </w:pPr>
            <w:r w:rsidRPr="00C10545">
              <w:rPr>
                <w:sz w:val="18"/>
                <w:szCs w:val="18"/>
                <w:lang w:eastAsia="en-AU"/>
              </w:rPr>
              <w:t>143.7</w:t>
            </w:r>
          </w:p>
        </w:tc>
        <w:tc>
          <w:tcPr>
            <w:tcW w:w="578" w:type="pct"/>
            <w:tcBorders>
              <w:top w:val="nil"/>
              <w:left w:val="nil"/>
              <w:bottom w:val="single" w:sz="4" w:space="0" w:color="auto"/>
              <w:right w:val="single" w:sz="4" w:space="0" w:color="auto"/>
            </w:tcBorders>
            <w:shd w:val="clear" w:color="auto" w:fill="auto"/>
            <w:noWrap/>
            <w:vAlign w:val="bottom"/>
            <w:hideMark/>
          </w:tcPr>
          <w:p w14:paraId="467DC5D8" w14:textId="77777777" w:rsidR="009A356E" w:rsidRPr="00C10545" w:rsidRDefault="009A356E" w:rsidP="009A356E">
            <w:pPr>
              <w:jc w:val="right"/>
              <w:rPr>
                <w:sz w:val="18"/>
                <w:szCs w:val="18"/>
                <w:lang w:eastAsia="en-AU"/>
              </w:rPr>
            </w:pPr>
            <w:r w:rsidRPr="00C10545">
              <w:rPr>
                <w:sz w:val="18"/>
                <w:szCs w:val="18"/>
                <w:lang w:eastAsia="en-AU"/>
              </w:rPr>
              <w:t>139.0</w:t>
            </w:r>
          </w:p>
        </w:tc>
      </w:tr>
      <w:tr w:rsidR="009A356E" w:rsidRPr="00D60D2D" w14:paraId="288A231A" w14:textId="77777777" w:rsidTr="009A356E">
        <w:trPr>
          <w:trHeight w:val="255"/>
        </w:trPr>
        <w:tc>
          <w:tcPr>
            <w:tcW w:w="1517" w:type="pct"/>
            <w:tcBorders>
              <w:top w:val="nil"/>
              <w:left w:val="single" w:sz="4" w:space="0" w:color="auto"/>
              <w:bottom w:val="single" w:sz="4" w:space="0" w:color="auto"/>
              <w:right w:val="single" w:sz="4" w:space="0" w:color="auto"/>
            </w:tcBorders>
            <w:shd w:val="clear" w:color="auto" w:fill="auto"/>
            <w:noWrap/>
            <w:vAlign w:val="bottom"/>
            <w:hideMark/>
          </w:tcPr>
          <w:p w14:paraId="5E06D8E1" w14:textId="77777777" w:rsidR="009A356E" w:rsidRPr="00C10545" w:rsidRDefault="009A356E" w:rsidP="009A356E">
            <w:pPr>
              <w:rPr>
                <w:sz w:val="18"/>
                <w:szCs w:val="18"/>
                <w:lang w:eastAsia="en-AU"/>
              </w:rPr>
            </w:pPr>
            <w:r w:rsidRPr="00C10545">
              <w:rPr>
                <w:sz w:val="18"/>
                <w:szCs w:val="18"/>
                <w:lang w:eastAsia="en-AU"/>
              </w:rPr>
              <w:t>Discounted by 60% CPI/40% WPI</w:t>
            </w:r>
          </w:p>
        </w:tc>
        <w:tc>
          <w:tcPr>
            <w:tcW w:w="581" w:type="pct"/>
            <w:tcBorders>
              <w:top w:val="nil"/>
              <w:left w:val="nil"/>
              <w:bottom w:val="single" w:sz="4" w:space="0" w:color="auto"/>
              <w:right w:val="single" w:sz="4" w:space="0" w:color="auto"/>
            </w:tcBorders>
            <w:shd w:val="clear" w:color="auto" w:fill="auto"/>
            <w:noWrap/>
            <w:vAlign w:val="bottom"/>
            <w:hideMark/>
          </w:tcPr>
          <w:p w14:paraId="47BB1EA2" w14:textId="77777777" w:rsidR="009A356E" w:rsidRPr="00C10545" w:rsidRDefault="009A356E" w:rsidP="009A356E">
            <w:pPr>
              <w:jc w:val="right"/>
              <w:rPr>
                <w:sz w:val="18"/>
                <w:szCs w:val="18"/>
                <w:lang w:eastAsia="en-AU"/>
              </w:rPr>
            </w:pPr>
            <w:r w:rsidRPr="00C10545">
              <w:rPr>
                <w:sz w:val="18"/>
                <w:szCs w:val="18"/>
                <w:lang w:eastAsia="en-AU"/>
              </w:rPr>
              <w:t>139.0</w:t>
            </w:r>
          </w:p>
        </w:tc>
        <w:tc>
          <w:tcPr>
            <w:tcW w:w="581" w:type="pct"/>
            <w:tcBorders>
              <w:top w:val="nil"/>
              <w:left w:val="nil"/>
              <w:bottom w:val="single" w:sz="4" w:space="0" w:color="auto"/>
              <w:right w:val="single" w:sz="4" w:space="0" w:color="auto"/>
            </w:tcBorders>
            <w:shd w:val="clear" w:color="auto" w:fill="auto"/>
            <w:noWrap/>
            <w:vAlign w:val="bottom"/>
            <w:hideMark/>
          </w:tcPr>
          <w:p w14:paraId="70930018" w14:textId="77777777" w:rsidR="009A356E" w:rsidRPr="00C10545" w:rsidRDefault="009A356E" w:rsidP="009A356E">
            <w:pPr>
              <w:jc w:val="right"/>
              <w:rPr>
                <w:sz w:val="18"/>
                <w:szCs w:val="18"/>
                <w:lang w:eastAsia="en-AU"/>
              </w:rPr>
            </w:pPr>
            <w:r w:rsidRPr="00C10545">
              <w:rPr>
                <w:sz w:val="18"/>
                <w:szCs w:val="18"/>
                <w:lang w:eastAsia="en-AU"/>
              </w:rPr>
              <w:t>145.4</w:t>
            </w:r>
          </w:p>
        </w:tc>
        <w:tc>
          <w:tcPr>
            <w:tcW w:w="581" w:type="pct"/>
            <w:tcBorders>
              <w:top w:val="nil"/>
              <w:left w:val="nil"/>
              <w:bottom w:val="single" w:sz="4" w:space="0" w:color="auto"/>
              <w:right w:val="single" w:sz="4" w:space="0" w:color="auto"/>
            </w:tcBorders>
            <w:shd w:val="clear" w:color="auto" w:fill="auto"/>
            <w:noWrap/>
            <w:vAlign w:val="bottom"/>
            <w:hideMark/>
          </w:tcPr>
          <w:p w14:paraId="5277915A" w14:textId="77777777" w:rsidR="009A356E" w:rsidRPr="00C10545" w:rsidRDefault="009A356E" w:rsidP="009A356E">
            <w:pPr>
              <w:jc w:val="right"/>
              <w:rPr>
                <w:sz w:val="18"/>
                <w:szCs w:val="18"/>
                <w:lang w:eastAsia="en-AU"/>
              </w:rPr>
            </w:pPr>
            <w:r w:rsidRPr="00C10545">
              <w:rPr>
                <w:sz w:val="18"/>
                <w:szCs w:val="18"/>
                <w:lang w:eastAsia="en-AU"/>
              </w:rPr>
              <w:t>173.2</w:t>
            </w:r>
          </w:p>
        </w:tc>
        <w:tc>
          <w:tcPr>
            <w:tcW w:w="581" w:type="pct"/>
            <w:tcBorders>
              <w:top w:val="nil"/>
              <w:left w:val="nil"/>
              <w:bottom w:val="single" w:sz="4" w:space="0" w:color="auto"/>
              <w:right w:val="single" w:sz="4" w:space="0" w:color="auto"/>
            </w:tcBorders>
            <w:shd w:val="clear" w:color="auto" w:fill="auto"/>
            <w:noWrap/>
            <w:vAlign w:val="bottom"/>
            <w:hideMark/>
          </w:tcPr>
          <w:p w14:paraId="50101478" w14:textId="77777777" w:rsidR="009A356E" w:rsidRPr="00C10545" w:rsidRDefault="009A356E" w:rsidP="009A356E">
            <w:pPr>
              <w:jc w:val="right"/>
              <w:rPr>
                <w:sz w:val="18"/>
                <w:szCs w:val="18"/>
                <w:lang w:eastAsia="en-AU"/>
              </w:rPr>
            </w:pPr>
            <w:r w:rsidRPr="00C10545">
              <w:rPr>
                <w:sz w:val="18"/>
                <w:szCs w:val="18"/>
                <w:lang w:eastAsia="en-AU"/>
              </w:rPr>
              <w:t>171.0</w:t>
            </w:r>
          </w:p>
        </w:tc>
        <w:tc>
          <w:tcPr>
            <w:tcW w:w="581" w:type="pct"/>
            <w:tcBorders>
              <w:top w:val="nil"/>
              <w:left w:val="nil"/>
              <w:bottom w:val="single" w:sz="4" w:space="0" w:color="auto"/>
              <w:right w:val="single" w:sz="4" w:space="0" w:color="auto"/>
            </w:tcBorders>
            <w:shd w:val="clear" w:color="auto" w:fill="auto"/>
            <w:noWrap/>
            <w:vAlign w:val="bottom"/>
            <w:hideMark/>
          </w:tcPr>
          <w:p w14:paraId="13EE1337" w14:textId="77777777" w:rsidR="009A356E" w:rsidRPr="00C10545" w:rsidRDefault="009A356E" w:rsidP="009A356E">
            <w:pPr>
              <w:jc w:val="right"/>
              <w:rPr>
                <w:sz w:val="18"/>
                <w:szCs w:val="18"/>
                <w:lang w:eastAsia="en-AU"/>
              </w:rPr>
            </w:pPr>
            <w:r w:rsidRPr="00C10545">
              <w:rPr>
                <w:sz w:val="18"/>
                <w:szCs w:val="18"/>
                <w:lang w:eastAsia="en-AU"/>
              </w:rPr>
              <w:t>160.4</w:t>
            </w:r>
          </w:p>
        </w:tc>
        <w:tc>
          <w:tcPr>
            <w:tcW w:w="578" w:type="pct"/>
            <w:tcBorders>
              <w:top w:val="nil"/>
              <w:left w:val="nil"/>
              <w:bottom w:val="single" w:sz="4" w:space="0" w:color="auto"/>
              <w:right w:val="single" w:sz="4" w:space="0" w:color="auto"/>
            </w:tcBorders>
            <w:shd w:val="clear" w:color="auto" w:fill="auto"/>
            <w:noWrap/>
            <w:vAlign w:val="bottom"/>
            <w:hideMark/>
          </w:tcPr>
          <w:p w14:paraId="2F63F3BB" w14:textId="77777777" w:rsidR="009A356E" w:rsidRPr="00C10545" w:rsidRDefault="009A356E" w:rsidP="009A356E">
            <w:pPr>
              <w:jc w:val="right"/>
              <w:rPr>
                <w:sz w:val="18"/>
                <w:szCs w:val="18"/>
                <w:lang w:eastAsia="en-AU"/>
              </w:rPr>
            </w:pPr>
            <w:r w:rsidRPr="00C10545">
              <w:rPr>
                <w:sz w:val="18"/>
                <w:szCs w:val="18"/>
                <w:lang w:eastAsia="en-AU"/>
              </w:rPr>
              <w:t>156.3</w:t>
            </w:r>
          </w:p>
        </w:tc>
      </w:tr>
      <w:tr w:rsidR="009A356E" w:rsidRPr="00D60D2D" w14:paraId="48B23ADB" w14:textId="77777777" w:rsidTr="009A356E">
        <w:trPr>
          <w:trHeight w:val="255"/>
        </w:trPr>
        <w:tc>
          <w:tcPr>
            <w:tcW w:w="1517" w:type="pct"/>
            <w:tcBorders>
              <w:top w:val="nil"/>
              <w:left w:val="single" w:sz="4" w:space="0" w:color="auto"/>
              <w:bottom w:val="single" w:sz="4" w:space="0" w:color="auto"/>
              <w:right w:val="single" w:sz="4" w:space="0" w:color="auto"/>
            </w:tcBorders>
            <w:shd w:val="clear" w:color="000000" w:fill="000000"/>
            <w:noWrap/>
            <w:vAlign w:val="bottom"/>
            <w:hideMark/>
          </w:tcPr>
          <w:p w14:paraId="567171F0" w14:textId="77777777" w:rsidR="009A356E" w:rsidRPr="00C10545" w:rsidRDefault="009A356E" w:rsidP="009A356E">
            <w:pPr>
              <w:rPr>
                <w:sz w:val="18"/>
                <w:szCs w:val="18"/>
                <w:lang w:eastAsia="en-AU"/>
              </w:rPr>
            </w:pPr>
            <w:r w:rsidRPr="00C10545">
              <w:rPr>
                <w:sz w:val="18"/>
                <w:szCs w:val="18"/>
                <w:lang w:eastAsia="en-AU"/>
              </w:rPr>
              <w:t> </w:t>
            </w:r>
          </w:p>
        </w:tc>
        <w:tc>
          <w:tcPr>
            <w:tcW w:w="581" w:type="pct"/>
            <w:tcBorders>
              <w:top w:val="nil"/>
              <w:left w:val="nil"/>
              <w:bottom w:val="single" w:sz="4" w:space="0" w:color="auto"/>
              <w:right w:val="single" w:sz="4" w:space="0" w:color="auto"/>
            </w:tcBorders>
            <w:shd w:val="clear" w:color="000000" w:fill="000000"/>
            <w:noWrap/>
            <w:vAlign w:val="bottom"/>
            <w:hideMark/>
          </w:tcPr>
          <w:p w14:paraId="592CE7B1" w14:textId="77777777" w:rsidR="009A356E" w:rsidRPr="00C10545" w:rsidRDefault="009A356E" w:rsidP="009A356E">
            <w:pPr>
              <w:rPr>
                <w:sz w:val="18"/>
                <w:szCs w:val="18"/>
                <w:lang w:eastAsia="en-AU"/>
              </w:rPr>
            </w:pPr>
            <w:r w:rsidRPr="00C10545">
              <w:rPr>
                <w:sz w:val="18"/>
                <w:szCs w:val="18"/>
                <w:lang w:eastAsia="en-AU"/>
              </w:rPr>
              <w:t> </w:t>
            </w:r>
          </w:p>
        </w:tc>
        <w:tc>
          <w:tcPr>
            <w:tcW w:w="581" w:type="pct"/>
            <w:tcBorders>
              <w:top w:val="nil"/>
              <w:left w:val="nil"/>
              <w:bottom w:val="single" w:sz="4" w:space="0" w:color="auto"/>
              <w:right w:val="single" w:sz="4" w:space="0" w:color="auto"/>
            </w:tcBorders>
            <w:shd w:val="clear" w:color="000000" w:fill="000000"/>
            <w:noWrap/>
            <w:vAlign w:val="bottom"/>
            <w:hideMark/>
          </w:tcPr>
          <w:p w14:paraId="2AC15389" w14:textId="77777777" w:rsidR="009A356E" w:rsidRPr="00C10545" w:rsidRDefault="009A356E" w:rsidP="009A356E">
            <w:pPr>
              <w:rPr>
                <w:sz w:val="18"/>
                <w:szCs w:val="18"/>
                <w:lang w:eastAsia="en-AU"/>
              </w:rPr>
            </w:pPr>
            <w:r w:rsidRPr="00C10545">
              <w:rPr>
                <w:sz w:val="18"/>
                <w:szCs w:val="18"/>
                <w:lang w:eastAsia="en-AU"/>
              </w:rPr>
              <w:t> </w:t>
            </w:r>
          </w:p>
        </w:tc>
        <w:tc>
          <w:tcPr>
            <w:tcW w:w="581" w:type="pct"/>
            <w:tcBorders>
              <w:top w:val="nil"/>
              <w:left w:val="nil"/>
              <w:bottom w:val="single" w:sz="4" w:space="0" w:color="auto"/>
              <w:right w:val="single" w:sz="4" w:space="0" w:color="auto"/>
            </w:tcBorders>
            <w:shd w:val="clear" w:color="000000" w:fill="000000"/>
            <w:noWrap/>
            <w:vAlign w:val="bottom"/>
            <w:hideMark/>
          </w:tcPr>
          <w:p w14:paraId="55AE6744" w14:textId="77777777" w:rsidR="009A356E" w:rsidRPr="00C10545" w:rsidRDefault="009A356E" w:rsidP="009A356E">
            <w:pPr>
              <w:rPr>
                <w:sz w:val="18"/>
                <w:szCs w:val="18"/>
                <w:lang w:eastAsia="en-AU"/>
              </w:rPr>
            </w:pPr>
            <w:r w:rsidRPr="00C10545">
              <w:rPr>
                <w:sz w:val="18"/>
                <w:szCs w:val="18"/>
                <w:lang w:eastAsia="en-AU"/>
              </w:rPr>
              <w:t> </w:t>
            </w:r>
          </w:p>
        </w:tc>
        <w:tc>
          <w:tcPr>
            <w:tcW w:w="581" w:type="pct"/>
            <w:tcBorders>
              <w:top w:val="nil"/>
              <w:left w:val="nil"/>
              <w:bottom w:val="single" w:sz="4" w:space="0" w:color="auto"/>
              <w:right w:val="single" w:sz="4" w:space="0" w:color="auto"/>
            </w:tcBorders>
            <w:shd w:val="clear" w:color="000000" w:fill="000000"/>
            <w:noWrap/>
            <w:vAlign w:val="bottom"/>
            <w:hideMark/>
          </w:tcPr>
          <w:p w14:paraId="1EBC73E5" w14:textId="77777777" w:rsidR="009A356E" w:rsidRPr="00C10545" w:rsidRDefault="009A356E" w:rsidP="009A356E">
            <w:pPr>
              <w:rPr>
                <w:sz w:val="18"/>
                <w:szCs w:val="18"/>
                <w:lang w:eastAsia="en-AU"/>
              </w:rPr>
            </w:pPr>
            <w:r w:rsidRPr="00C10545">
              <w:rPr>
                <w:sz w:val="18"/>
                <w:szCs w:val="18"/>
                <w:lang w:eastAsia="en-AU"/>
              </w:rPr>
              <w:t> </w:t>
            </w:r>
          </w:p>
        </w:tc>
        <w:tc>
          <w:tcPr>
            <w:tcW w:w="581" w:type="pct"/>
            <w:tcBorders>
              <w:top w:val="nil"/>
              <w:left w:val="nil"/>
              <w:bottom w:val="single" w:sz="4" w:space="0" w:color="auto"/>
              <w:right w:val="single" w:sz="4" w:space="0" w:color="auto"/>
            </w:tcBorders>
            <w:shd w:val="clear" w:color="000000" w:fill="000000"/>
            <w:noWrap/>
            <w:vAlign w:val="bottom"/>
            <w:hideMark/>
          </w:tcPr>
          <w:p w14:paraId="3EB6EA03" w14:textId="77777777" w:rsidR="009A356E" w:rsidRPr="00C10545" w:rsidRDefault="009A356E" w:rsidP="009A356E">
            <w:pPr>
              <w:rPr>
                <w:sz w:val="18"/>
                <w:szCs w:val="18"/>
                <w:lang w:eastAsia="en-AU"/>
              </w:rPr>
            </w:pPr>
            <w:r w:rsidRPr="00C10545">
              <w:rPr>
                <w:sz w:val="18"/>
                <w:szCs w:val="18"/>
                <w:lang w:eastAsia="en-AU"/>
              </w:rPr>
              <w:t> </w:t>
            </w:r>
          </w:p>
        </w:tc>
        <w:tc>
          <w:tcPr>
            <w:tcW w:w="578" w:type="pct"/>
            <w:tcBorders>
              <w:top w:val="nil"/>
              <w:left w:val="nil"/>
              <w:bottom w:val="single" w:sz="4" w:space="0" w:color="auto"/>
              <w:right w:val="single" w:sz="4" w:space="0" w:color="auto"/>
            </w:tcBorders>
            <w:shd w:val="clear" w:color="000000" w:fill="000000"/>
            <w:noWrap/>
            <w:vAlign w:val="bottom"/>
            <w:hideMark/>
          </w:tcPr>
          <w:p w14:paraId="0A3C5C6B" w14:textId="77777777" w:rsidR="009A356E" w:rsidRPr="00C10545" w:rsidRDefault="009A356E" w:rsidP="009A356E">
            <w:pPr>
              <w:rPr>
                <w:sz w:val="18"/>
                <w:szCs w:val="18"/>
                <w:lang w:eastAsia="en-AU"/>
              </w:rPr>
            </w:pPr>
            <w:r w:rsidRPr="00C10545">
              <w:rPr>
                <w:sz w:val="18"/>
                <w:szCs w:val="18"/>
                <w:lang w:eastAsia="en-AU"/>
              </w:rPr>
              <w:t> </w:t>
            </w:r>
          </w:p>
        </w:tc>
      </w:tr>
      <w:tr w:rsidR="009A356E" w:rsidRPr="00D60D2D" w14:paraId="47B3F476" w14:textId="77777777" w:rsidTr="009A356E">
        <w:trPr>
          <w:trHeight w:val="255"/>
        </w:trPr>
        <w:tc>
          <w:tcPr>
            <w:tcW w:w="1517" w:type="pct"/>
            <w:tcBorders>
              <w:top w:val="nil"/>
              <w:left w:val="single" w:sz="4" w:space="0" w:color="auto"/>
              <w:bottom w:val="single" w:sz="4" w:space="0" w:color="auto"/>
              <w:right w:val="single" w:sz="4" w:space="0" w:color="auto"/>
            </w:tcBorders>
            <w:shd w:val="clear" w:color="000000" w:fill="EBF1DE"/>
            <w:noWrap/>
            <w:vAlign w:val="bottom"/>
            <w:hideMark/>
          </w:tcPr>
          <w:p w14:paraId="7888B00F" w14:textId="77777777" w:rsidR="009A356E" w:rsidRPr="00C10545" w:rsidRDefault="009A356E" w:rsidP="009A356E">
            <w:pPr>
              <w:rPr>
                <w:b/>
                <w:bCs/>
                <w:sz w:val="18"/>
                <w:szCs w:val="18"/>
                <w:lang w:eastAsia="en-AU"/>
              </w:rPr>
            </w:pPr>
            <w:r w:rsidRPr="00C10545">
              <w:rPr>
                <w:b/>
                <w:bCs/>
                <w:sz w:val="18"/>
                <w:szCs w:val="18"/>
                <w:lang w:eastAsia="en-AU"/>
              </w:rPr>
              <w:t>Small Shires</w:t>
            </w:r>
          </w:p>
        </w:tc>
        <w:tc>
          <w:tcPr>
            <w:tcW w:w="581" w:type="pct"/>
            <w:tcBorders>
              <w:top w:val="nil"/>
              <w:left w:val="nil"/>
              <w:bottom w:val="single" w:sz="4" w:space="0" w:color="auto"/>
              <w:right w:val="single" w:sz="4" w:space="0" w:color="auto"/>
            </w:tcBorders>
            <w:shd w:val="clear" w:color="000000" w:fill="000000"/>
            <w:noWrap/>
            <w:vAlign w:val="bottom"/>
            <w:hideMark/>
          </w:tcPr>
          <w:p w14:paraId="2ED71ABF" w14:textId="77777777" w:rsidR="009A356E" w:rsidRPr="00C10545" w:rsidRDefault="009A356E" w:rsidP="009A356E">
            <w:pPr>
              <w:rPr>
                <w:sz w:val="18"/>
                <w:szCs w:val="18"/>
                <w:lang w:eastAsia="en-AU"/>
              </w:rPr>
            </w:pPr>
            <w:r w:rsidRPr="00C10545">
              <w:rPr>
                <w:sz w:val="18"/>
                <w:szCs w:val="18"/>
                <w:lang w:eastAsia="en-AU"/>
              </w:rPr>
              <w:t> </w:t>
            </w:r>
          </w:p>
        </w:tc>
        <w:tc>
          <w:tcPr>
            <w:tcW w:w="581" w:type="pct"/>
            <w:tcBorders>
              <w:top w:val="nil"/>
              <w:left w:val="nil"/>
              <w:bottom w:val="single" w:sz="4" w:space="0" w:color="auto"/>
              <w:right w:val="single" w:sz="4" w:space="0" w:color="auto"/>
            </w:tcBorders>
            <w:shd w:val="clear" w:color="000000" w:fill="000000"/>
            <w:noWrap/>
            <w:vAlign w:val="bottom"/>
            <w:hideMark/>
          </w:tcPr>
          <w:p w14:paraId="0D29EF6D" w14:textId="77777777" w:rsidR="009A356E" w:rsidRPr="00C10545" w:rsidRDefault="009A356E" w:rsidP="009A356E">
            <w:pPr>
              <w:rPr>
                <w:sz w:val="18"/>
                <w:szCs w:val="18"/>
                <w:lang w:eastAsia="en-AU"/>
              </w:rPr>
            </w:pPr>
            <w:r w:rsidRPr="00C10545">
              <w:rPr>
                <w:sz w:val="18"/>
                <w:szCs w:val="18"/>
                <w:lang w:eastAsia="en-AU"/>
              </w:rPr>
              <w:t> </w:t>
            </w:r>
          </w:p>
        </w:tc>
        <w:tc>
          <w:tcPr>
            <w:tcW w:w="581" w:type="pct"/>
            <w:tcBorders>
              <w:top w:val="nil"/>
              <w:left w:val="nil"/>
              <w:bottom w:val="single" w:sz="4" w:space="0" w:color="auto"/>
              <w:right w:val="single" w:sz="4" w:space="0" w:color="auto"/>
            </w:tcBorders>
            <w:shd w:val="clear" w:color="000000" w:fill="000000"/>
            <w:noWrap/>
            <w:vAlign w:val="bottom"/>
            <w:hideMark/>
          </w:tcPr>
          <w:p w14:paraId="1CD2DA81" w14:textId="77777777" w:rsidR="009A356E" w:rsidRPr="00C10545" w:rsidRDefault="009A356E" w:rsidP="009A356E">
            <w:pPr>
              <w:rPr>
                <w:sz w:val="18"/>
                <w:szCs w:val="18"/>
                <w:lang w:eastAsia="en-AU"/>
              </w:rPr>
            </w:pPr>
            <w:r w:rsidRPr="00C10545">
              <w:rPr>
                <w:sz w:val="18"/>
                <w:szCs w:val="18"/>
                <w:lang w:eastAsia="en-AU"/>
              </w:rPr>
              <w:t> </w:t>
            </w:r>
          </w:p>
        </w:tc>
        <w:tc>
          <w:tcPr>
            <w:tcW w:w="581" w:type="pct"/>
            <w:tcBorders>
              <w:top w:val="nil"/>
              <w:left w:val="nil"/>
              <w:bottom w:val="single" w:sz="4" w:space="0" w:color="auto"/>
              <w:right w:val="single" w:sz="4" w:space="0" w:color="auto"/>
            </w:tcBorders>
            <w:shd w:val="clear" w:color="000000" w:fill="000000"/>
            <w:noWrap/>
            <w:vAlign w:val="bottom"/>
            <w:hideMark/>
          </w:tcPr>
          <w:p w14:paraId="6015394A" w14:textId="77777777" w:rsidR="009A356E" w:rsidRPr="00C10545" w:rsidRDefault="009A356E" w:rsidP="009A356E">
            <w:pPr>
              <w:rPr>
                <w:sz w:val="18"/>
                <w:szCs w:val="18"/>
                <w:lang w:eastAsia="en-AU"/>
              </w:rPr>
            </w:pPr>
            <w:r w:rsidRPr="00C10545">
              <w:rPr>
                <w:sz w:val="18"/>
                <w:szCs w:val="18"/>
                <w:lang w:eastAsia="en-AU"/>
              </w:rPr>
              <w:t> </w:t>
            </w:r>
          </w:p>
        </w:tc>
        <w:tc>
          <w:tcPr>
            <w:tcW w:w="581" w:type="pct"/>
            <w:tcBorders>
              <w:top w:val="nil"/>
              <w:left w:val="nil"/>
              <w:bottom w:val="single" w:sz="4" w:space="0" w:color="auto"/>
              <w:right w:val="single" w:sz="4" w:space="0" w:color="auto"/>
            </w:tcBorders>
            <w:shd w:val="clear" w:color="000000" w:fill="000000"/>
            <w:noWrap/>
            <w:vAlign w:val="bottom"/>
            <w:hideMark/>
          </w:tcPr>
          <w:p w14:paraId="2943AF17" w14:textId="77777777" w:rsidR="009A356E" w:rsidRPr="00C10545" w:rsidRDefault="009A356E" w:rsidP="009A356E">
            <w:pPr>
              <w:rPr>
                <w:sz w:val="18"/>
                <w:szCs w:val="18"/>
                <w:lang w:eastAsia="en-AU"/>
              </w:rPr>
            </w:pPr>
            <w:r w:rsidRPr="00C10545">
              <w:rPr>
                <w:sz w:val="18"/>
                <w:szCs w:val="18"/>
                <w:lang w:eastAsia="en-AU"/>
              </w:rPr>
              <w:t> </w:t>
            </w:r>
          </w:p>
        </w:tc>
        <w:tc>
          <w:tcPr>
            <w:tcW w:w="578" w:type="pct"/>
            <w:tcBorders>
              <w:top w:val="nil"/>
              <w:left w:val="nil"/>
              <w:bottom w:val="single" w:sz="4" w:space="0" w:color="auto"/>
              <w:right w:val="single" w:sz="4" w:space="0" w:color="auto"/>
            </w:tcBorders>
            <w:shd w:val="clear" w:color="000000" w:fill="000000"/>
            <w:noWrap/>
            <w:vAlign w:val="bottom"/>
            <w:hideMark/>
          </w:tcPr>
          <w:p w14:paraId="24A0CBB7" w14:textId="77777777" w:rsidR="009A356E" w:rsidRPr="00C10545" w:rsidRDefault="009A356E" w:rsidP="009A356E">
            <w:pPr>
              <w:rPr>
                <w:sz w:val="18"/>
                <w:szCs w:val="18"/>
                <w:lang w:eastAsia="en-AU"/>
              </w:rPr>
            </w:pPr>
            <w:r w:rsidRPr="00C10545">
              <w:rPr>
                <w:sz w:val="18"/>
                <w:szCs w:val="18"/>
                <w:lang w:eastAsia="en-AU"/>
              </w:rPr>
              <w:t> </w:t>
            </w:r>
          </w:p>
        </w:tc>
      </w:tr>
      <w:tr w:rsidR="009A356E" w:rsidRPr="00D60D2D" w14:paraId="489B547C" w14:textId="77777777" w:rsidTr="009A356E">
        <w:trPr>
          <w:trHeight w:val="255"/>
        </w:trPr>
        <w:tc>
          <w:tcPr>
            <w:tcW w:w="1517" w:type="pct"/>
            <w:tcBorders>
              <w:top w:val="nil"/>
              <w:left w:val="single" w:sz="4" w:space="0" w:color="auto"/>
              <w:bottom w:val="single" w:sz="4" w:space="0" w:color="auto"/>
              <w:right w:val="single" w:sz="4" w:space="0" w:color="auto"/>
            </w:tcBorders>
            <w:shd w:val="clear" w:color="auto" w:fill="auto"/>
            <w:noWrap/>
            <w:vAlign w:val="bottom"/>
            <w:hideMark/>
          </w:tcPr>
          <w:p w14:paraId="5DB6298F" w14:textId="77777777" w:rsidR="009A356E" w:rsidRPr="00C10545" w:rsidRDefault="009A356E" w:rsidP="009A356E">
            <w:pPr>
              <w:rPr>
                <w:sz w:val="18"/>
                <w:szCs w:val="18"/>
                <w:lang w:eastAsia="en-AU"/>
              </w:rPr>
            </w:pPr>
            <w:r w:rsidRPr="00C10545">
              <w:rPr>
                <w:sz w:val="18"/>
                <w:szCs w:val="18"/>
                <w:lang w:eastAsia="en-AU"/>
              </w:rPr>
              <w:t>Nominal</w:t>
            </w:r>
          </w:p>
        </w:tc>
        <w:tc>
          <w:tcPr>
            <w:tcW w:w="581" w:type="pct"/>
            <w:tcBorders>
              <w:top w:val="nil"/>
              <w:left w:val="nil"/>
              <w:bottom w:val="single" w:sz="4" w:space="0" w:color="auto"/>
              <w:right w:val="single" w:sz="4" w:space="0" w:color="auto"/>
            </w:tcBorders>
            <w:shd w:val="clear" w:color="auto" w:fill="auto"/>
            <w:noWrap/>
            <w:vAlign w:val="bottom"/>
            <w:hideMark/>
          </w:tcPr>
          <w:p w14:paraId="306532DC" w14:textId="77777777" w:rsidR="009A356E" w:rsidRPr="00C10545" w:rsidRDefault="009A356E" w:rsidP="009A356E">
            <w:pPr>
              <w:jc w:val="right"/>
              <w:rPr>
                <w:sz w:val="18"/>
                <w:szCs w:val="18"/>
                <w:lang w:eastAsia="en-AU"/>
              </w:rPr>
            </w:pPr>
            <w:r w:rsidRPr="00C10545">
              <w:rPr>
                <w:sz w:val="18"/>
                <w:szCs w:val="18"/>
                <w:lang w:eastAsia="en-AU"/>
              </w:rPr>
              <w:t>173.5</w:t>
            </w:r>
          </w:p>
        </w:tc>
        <w:tc>
          <w:tcPr>
            <w:tcW w:w="581" w:type="pct"/>
            <w:tcBorders>
              <w:top w:val="nil"/>
              <w:left w:val="nil"/>
              <w:bottom w:val="single" w:sz="4" w:space="0" w:color="auto"/>
              <w:right w:val="single" w:sz="4" w:space="0" w:color="auto"/>
            </w:tcBorders>
            <w:shd w:val="clear" w:color="auto" w:fill="auto"/>
            <w:noWrap/>
            <w:vAlign w:val="bottom"/>
            <w:hideMark/>
          </w:tcPr>
          <w:p w14:paraId="355CE895" w14:textId="77777777" w:rsidR="009A356E" w:rsidRPr="00C10545" w:rsidRDefault="009A356E" w:rsidP="009A356E">
            <w:pPr>
              <w:jc w:val="right"/>
              <w:rPr>
                <w:sz w:val="18"/>
                <w:szCs w:val="18"/>
                <w:lang w:eastAsia="en-AU"/>
              </w:rPr>
            </w:pPr>
            <w:r w:rsidRPr="00C10545">
              <w:rPr>
                <w:sz w:val="18"/>
                <w:szCs w:val="18"/>
                <w:lang w:eastAsia="en-AU"/>
              </w:rPr>
              <w:t>181.5</w:t>
            </w:r>
          </w:p>
        </w:tc>
        <w:tc>
          <w:tcPr>
            <w:tcW w:w="581" w:type="pct"/>
            <w:tcBorders>
              <w:top w:val="nil"/>
              <w:left w:val="nil"/>
              <w:bottom w:val="single" w:sz="4" w:space="0" w:color="auto"/>
              <w:right w:val="single" w:sz="4" w:space="0" w:color="auto"/>
            </w:tcBorders>
            <w:shd w:val="clear" w:color="auto" w:fill="auto"/>
            <w:noWrap/>
            <w:vAlign w:val="bottom"/>
            <w:hideMark/>
          </w:tcPr>
          <w:p w14:paraId="48535A9E" w14:textId="77777777" w:rsidR="009A356E" w:rsidRPr="00C10545" w:rsidRDefault="009A356E" w:rsidP="009A356E">
            <w:pPr>
              <w:jc w:val="right"/>
              <w:rPr>
                <w:sz w:val="18"/>
                <w:szCs w:val="18"/>
                <w:lang w:eastAsia="en-AU"/>
              </w:rPr>
            </w:pPr>
            <w:r w:rsidRPr="00C10545">
              <w:rPr>
                <w:sz w:val="18"/>
                <w:szCs w:val="18"/>
                <w:lang w:eastAsia="en-AU"/>
              </w:rPr>
              <w:t>215.0</w:t>
            </w:r>
          </w:p>
        </w:tc>
        <w:tc>
          <w:tcPr>
            <w:tcW w:w="581" w:type="pct"/>
            <w:tcBorders>
              <w:top w:val="nil"/>
              <w:left w:val="nil"/>
              <w:bottom w:val="single" w:sz="4" w:space="0" w:color="auto"/>
              <w:right w:val="single" w:sz="4" w:space="0" w:color="auto"/>
            </w:tcBorders>
            <w:shd w:val="clear" w:color="auto" w:fill="auto"/>
            <w:noWrap/>
            <w:vAlign w:val="bottom"/>
            <w:hideMark/>
          </w:tcPr>
          <w:p w14:paraId="40C84BF8" w14:textId="77777777" w:rsidR="009A356E" w:rsidRPr="00C10545" w:rsidRDefault="009A356E" w:rsidP="009A356E">
            <w:pPr>
              <w:jc w:val="right"/>
              <w:rPr>
                <w:sz w:val="18"/>
                <w:szCs w:val="18"/>
                <w:lang w:eastAsia="en-AU"/>
              </w:rPr>
            </w:pPr>
            <w:r w:rsidRPr="00C10545">
              <w:rPr>
                <w:sz w:val="18"/>
                <w:szCs w:val="18"/>
                <w:lang w:eastAsia="en-AU"/>
              </w:rPr>
              <w:t>371.2</w:t>
            </w:r>
          </w:p>
        </w:tc>
        <w:tc>
          <w:tcPr>
            <w:tcW w:w="581" w:type="pct"/>
            <w:tcBorders>
              <w:top w:val="nil"/>
              <w:left w:val="nil"/>
              <w:bottom w:val="single" w:sz="4" w:space="0" w:color="auto"/>
              <w:right w:val="single" w:sz="4" w:space="0" w:color="auto"/>
            </w:tcBorders>
            <w:shd w:val="clear" w:color="auto" w:fill="auto"/>
            <w:noWrap/>
            <w:vAlign w:val="bottom"/>
            <w:hideMark/>
          </w:tcPr>
          <w:p w14:paraId="5F174A80" w14:textId="77777777" w:rsidR="009A356E" w:rsidRPr="00C10545" w:rsidRDefault="009A356E" w:rsidP="009A356E">
            <w:pPr>
              <w:jc w:val="right"/>
              <w:rPr>
                <w:sz w:val="18"/>
                <w:szCs w:val="18"/>
                <w:lang w:eastAsia="en-AU"/>
              </w:rPr>
            </w:pPr>
            <w:r w:rsidRPr="00C10545">
              <w:rPr>
                <w:sz w:val="18"/>
                <w:szCs w:val="18"/>
                <w:lang w:eastAsia="en-AU"/>
              </w:rPr>
              <w:t>407.3</w:t>
            </w:r>
          </w:p>
        </w:tc>
        <w:tc>
          <w:tcPr>
            <w:tcW w:w="578" w:type="pct"/>
            <w:tcBorders>
              <w:top w:val="nil"/>
              <w:left w:val="nil"/>
              <w:bottom w:val="single" w:sz="4" w:space="0" w:color="auto"/>
              <w:right w:val="single" w:sz="4" w:space="0" w:color="auto"/>
            </w:tcBorders>
            <w:shd w:val="clear" w:color="auto" w:fill="auto"/>
            <w:noWrap/>
            <w:vAlign w:val="bottom"/>
            <w:hideMark/>
          </w:tcPr>
          <w:p w14:paraId="1B91EF70" w14:textId="77777777" w:rsidR="009A356E" w:rsidRPr="00C10545" w:rsidRDefault="009A356E" w:rsidP="009A356E">
            <w:pPr>
              <w:jc w:val="right"/>
              <w:rPr>
                <w:sz w:val="18"/>
                <w:szCs w:val="18"/>
                <w:lang w:eastAsia="en-AU"/>
              </w:rPr>
            </w:pPr>
            <w:r w:rsidRPr="00C10545">
              <w:rPr>
                <w:sz w:val="18"/>
                <w:szCs w:val="18"/>
                <w:lang w:eastAsia="en-AU"/>
              </w:rPr>
              <w:t>404.0</w:t>
            </w:r>
          </w:p>
        </w:tc>
      </w:tr>
      <w:tr w:rsidR="009A356E" w:rsidRPr="00D60D2D" w14:paraId="068190DB" w14:textId="77777777" w:rsidTr="009A356E">
        <w:trPr>
          <w:trHeight w:val="255"/>
        </w:trPr>
        <w:tc>
          <w:tcPr>
            <w:tcW w:w="1517" w:type="pct"/>
            <w:tcBorders>
              <w:top w:val="nil"/>
              <w:left w:val="single" w:sz="4" w:space="0" w:color="auto"/>
              <w:bottom w:val="single" w:sz="4" w:space="0" w:color="auto"/>
              <w:right w:val="single" w:sz="4" w:space="0" w:color="auto"/>
            </w:tcBorders>
            <w:shd w:val="clear" w:color="auto" w:fill="auto"/>
            <w:noWrap/>
            <w:vAlign w:val="bottom"/>
            <w:hideMark/>
          </w:tcPr>
          <w:p w14:paraId="0A04E6C0" w14:textId="77777777" w:rsidR="009A356E" w:rsidRPr="00C10545" w:rsidRDefault="009A356E" w:rsidP="009A356E">
            <w:pPr>
              <w:rPr>
                <w:sz w:val="18"/>
                <w:szCs w:val="18"/>
                <w:lang w:eastAsia="en-AU"/>
              </w:rPr>
            </w:pPr>
            <w:r w:rsidRPr="00C10545">
              <w:rPr>
                <w:sz w:val="18"/>
                <w:szCs w:val="18"/>
                <w:lang w:eastAsia="en-AU"/>
              </w:rPr>
              <w:t xml:space="preserve">Discounted by CPI </w:t>
            </w:r>
          </w:p>
        </w:tc>
        <w:tc>
          <w:tcPr>
            <w:tcW w:w="581" w:type="pct"/>
            <w:tcBorders>
              <w:top w:val="nil"/>
              <w:left w:val="nil"/>
              <w:bottom w:val="single" w:sz="4" w:space="0" w:color="auto"/>
              <w:right w:val="single" w:sz="4" w:space="0" w:color="auto"/>
            </w:tcBorders>
            <w:shd w:val="clear" w:color="auto" w:fill="auto"/>
            <w:noWrap/>
            <w:vAlign w:val="bottom"/>
            <w:hideMark/>
          </w:tcPr>
          <w:p w14:paraId="79151516" w14:textId="77777777" w:rsidR="009A356E" w:rsidRPr="00C10545" w:rsidRDefault="009A356E" w:rsidP="009A356E">
            <w:pPr>
              <w:jc w:val="right"/>
              <w:rPr>
                <w:sz w:val="18"/>
                <w:szCs w:val="18"/>
                <w:lang w:eastAsia="en-AU"/>
              </w:rPr>
            </w:pPr>
            <w:r w:rsidRPr="00C10545">
              <w:rPr>
                <w:sz w:val="18"/>
                <w:szCs w:val="18"/>
                <w:lang w:eastAsia="en-AU"/>
              </w:rPr>
              <w:t>173.5</w:t>
            </w:r>
          </w:p>
        </w:tc>
        <w:tc>
          <w:tcPr>
            <w:tcW w:w="581" w:type="pct"/>
            <w:tcBorders>
              <w:top w:val="nil"/>
              <w:left w:val="nil"/>
              <w:bottom w:val="single" w:sz="4" w:space="0" w:color="auto"/>
              <w:right w:val="single" w:sz="4" w:space="0" w:color="auto"/>
            </w:tcBorders>
            <w:shd w:val="clear" w:color="auto" w:fill="auto"/>
            <w:noWrap/>
            <w:vAlign w:val="bottom"/>
            <w:hideMark/>
          </w:tcPr>
          <w:p w14:paraId="38D6D5D1" w14:textId="77777777" w:rsidR="009A356E" w:rsidRPr="00C10545" w:rsidRDefault="009A356E" w:rsidP="009A356E">
            <w:pPr>
              <w:jc w:val="right"/>
              <w:rPr>
                <w:sz w:val="18"/>
                <w:szCs w:val="18"/>
                <w:lang w:eastAsia="en-AU"/>
              </w:rPr>
            </w:pPr>
            <w:r w:rsidRPr="00C10545">
              <w:rPr>
                <w:sz w:val="18"/>
                <w:szCs w:val="18"/>
                <w:lang w:eastAsia="en-AU"/>
              </w:rPr>
              <w:t>175.0</w:t>
            </w:r>
          </w:p>
        </w:tc>
        <w:tc>
          <w:tcPr>
            <w:tcW w:w="581" w:type="pct"/>
            <w:tcBorders>
              <w:top w:val="nil"/>
              <w:left w:val="nil"/>
              <w:bottom w:val="single" w:sz="4" w:space="0" w:color="auto"/>
              <w:right w:val="single" w:sz="4" w:space="0" w:color="auto"/>
            </w:tcBorders>
            <w:shd w:val="clear" w:color="auto" w:fill="auto"/>
            <w:noWrap/>
            <w:vAlign w:val="bottom"/>
            <w:hideMark/>
          </w:tcPr>
          <w:p w14:paraId="24D59143" w14:textId="77777777" w:rsidR="009A356E" w:rsidRPr="00C10545" w:rsidRDefault="009A356E" w:rsidP="009A356E">
            <w:pPr>
              <w:jc w:val="right"/>
              <w:rPr>
                <w:sz w:val="18"/>
                <w:szCs w:val="18"/>
                <w:lang w:eastAsia="en-AU"/>
              </w:rPr>
            </w:pPr>
            <w:r w:rsidRPr="00C10545">
              <w:rPr>
                <w:sz w:val="18"/>
                <w:szCs w:val="18"/>
                <w:lang w:eastAsia="en-AU"/>
              </w:rPr>
              <w:t>195.2</w:t>
            </w:r>
          </w:p>
        </w:tc>
        <w:tc>
          <w:tcPr>
            <w:tcW w:w="581" w:type="pct"/>
            <w:tcBorders>
              <w:top w:val="nil"/>
              <w:left w:val="nil"/>
              <w:bottom w:val="single" w:sz="4" w:space="0" w:color="auto"/>
              <w:right w:val="single" w:sz="4" w:space="0" w:color="auto"/>
            </w:tcBorders>
            <w:shd w:val="clear" w:color="auto" w:fill="auto"/>
            <w:noWrap/>
            <w:vAlign w:val="bottom"/>
            <w:hideMark/>
          </w:tcPr>
          <w:p w14:paraId="3032851E" w14:textId="77777777" w:rsidR="009A356E" w:rsidRPr="00C10545" w:rsidRDefault="009A356E" w:rsidP="009A356E">
            <w:pPr>
              <w:jc w:val="right"/>
              <w:rPr>
                <w:sz w:val="18"/>
                <w:szCs w:val="18"/>
                <w:lang w:eastAsia="en-AU"/>
              </w:rPr>
            </w:pPr>
            <w:r w:rsidRPr="00C10545">
              <w:rPr>
                <w:sz w:val="18"/>
                <w:szCs w:val="18"/>
                <w:lang w:eastAsia="en-AU"/>
              </w:rPr>
              <w:t>272.2</w:t>
            </w:r>
          </w:p>
        </w:tc>
        <w:tc>
          <w:tcPr>
            <w:tcW w:w="581" w:type="pct"/>
            <w:tcBorders>
              <w:top w:val="nil"/>
              <w:left w:val="nil"/>
              <w:bottom w:val="single" w:sz="4" w:space="0" w:color="auto"/>
              <w:right w:val="single" w:sz="4" w:space="0" w:color="auto"/>
            </w:tcBorders>
            <w:shd w:val="clear" w:color="auto" w:fill="auto"/>
            <w:noWrap/>
            <w:vAlign w:val="bottom"/>
            <w:hideMark/>
          </w:tcPr>
          <w:p w14:paraId="1D299835" w14:textId="77777777" w:rsidR="009A356E" w:rsidRPr="00C10545" w:rsidRDefault="009A356E" w:rsidP="009A356E">
            <w:pPr>
              <w:jc w:val="right"/>
              <w:rPr>
                <w:sz w:val="18"/>
                <w:szCs w:val="18"/>
                <w:lang w:eastAsia="en-AU"/>
              </w:rPr>
            </w:pPr>
            <w:r w:rsidRPr="00C10545">
              <w:rPr>
                <w:sz w:val="18"/>
                <w:szCs w:val="18"/>
                <w:lang w:eastAsia="en-AU"/>
              </w:rPr>
              <w:t>274.0</w:t>
            </w:r>
          </w:p>
        </w:tc>
        <w:tc>
          <w:tcPr>
            <w:tcW w:w="578" w:type="pct"/>
            <w:tcBorders>
              <w:top w:val="nil"/>
              <w:left w:val="nil"/>
              <w:bottom w:val="single" w:sz="4" w:space="0" w:color="auto"/>
              <w:right w:val="single" w:sz="4" w:space="0" w:color="auto"/>
            </w:tcBorders>
            <w:shd w:val="clear" w:color="auto" w:fill="auto"/>
            <w:noWrap/>
            <w:vAlign w:val="bottom"/>
            <w:hideMark/>
          </w:tcPr>
          <w:p w14:paraId="5FC0E798" w14:textId="77777777" w:rsidR="009A356E" w:rsidRPr="00C10545" w:rsidRDefault="009A356E" w:rsidP="009A356E">
            <w:pPr>
              <w:jc w:val="right"/>
              <w:rPr>
                <w:sz w:val="18"/>
                <w:szCs w:val="18"/>
                <w:lang w:eastAsia="en-AU"/>
              </w:rPr>
            </w:pPr>
            <w:r w:rsidRPr="00C10545">
              <w:rPr>
                <w:sz w:val="18"/>
                <w:szCs w:val="18"/>
                <w:lang w:eastAsia="en-AU"/>
              </w:rPr>
              <w:t>267.7</w:t>
            </w:r>
          </w:p>
        </w:tc>
      </w:tr>
      <w:tr w:rsidR="009A356E" w:rsidRPr="00D60D2D" w14:paraId="6D20F4EB" w14:textId="77777777" w:rsidTr="009A356E">
        <w:trPr>
          <w:trHeight w:val="255"/>
        </w:trPr>
        <w:tc>
          <w:tcPr>
            <w:tcW w:w="1517" w:type="pct"/>
            <w:tcBorders>
              <w:top w:val="nil"/>
              <w:left w:val="single" w:sz="4" w:space="0" w:color="auto"/>
              <w:bottom w:val="single" w:sz="4" w:space="0" w:color="auto"/>
              <w:right w:val="single" w:sz="4" w:space="0" w:color="auto"/>
            </w:tcBorders>
            <w:shd w:val="clear" w:color="auto" w:fill="auto"/>
            <w:noWrap/>
            <w:vAlign w:val="bottom"/>
            <w:hideMark/>
          </w:tcPr>
          <w:p w14:paraId="339EE4D8" w14:textId="77777777" w:rsidR="009A356E" w:rsidRPr="00C10545" w:rsidRDefault="009A356E" w:rsidP="009A356E">
            <w:pPr>
              <w:rPr>
                <w:sz w:val="18"/>
                <w:szCs w:val="18"/>
                <w:lang w:eastAsia="en-AU"/>
              </w:rPr>
            </w:pPr>
            <w:r w:rsidRPr="00C10545">
              <w:rPr>
                <w:sz w:val="18"/>
                <w:szCs w:val="18"/>
                <w:lang w:eastAsia="en-AU"/>
              </w:rPr>
              <w:t>Discounted by AWE</w:t>
            </w:r>
          </w:p>
        </w:tc>
        <w:tc>
          <w:tcPr>
            <w:tcW w:w="581" w:type="pct"/>
            <w:tcBorders>
              <w:top w:val="nil"/>
              <w:left w:val="nil"/>
              <w:bottom w:val="single" w:sz="4" w:space="0" w:color="auto"/>
              <w:right w:val="single" w:sz="4" w:space="0" w:color="auto"/>
            </w:tcBorders>
            <w:shd w:val="clear" w:color="auto" w:fill="auto"/>
            <w:noWrap/>
            <w:vAlign w:val="bottom"/>
            <w:hideMark/>
          </w:tcPr>
          <w:p w14:paraId="71BE10A7" w14:textId="77777777" w:rsidR="009A356E" w:rsidRPr="00C10545" w:rsidRDefault="009A356E" w:rsidP="009A356E">
            <w:pPr>
              <w:jc w:val="right"/>
              <w:rPr>
                <w:sz w:val="18"/>
                <w:szCs w:val="18"/>
                <w:lang w:eastAsia="en-AU"/>
              </w:rPr>
            </w:pPr>
            <w:r w:rsidRPr="00C10545">
              <w:rPr>
                <w:sz w:val="18"/>
                <w:szCs w:val="18"/>
                <w:lang w:eastAsia="en-AU"/>
              </w:rPr>
              <w:t>173.5</w:t>
            </w:r>
          </w:p>
        </w:tc>
        <w:tc>
          <w:tcPr>
            <w:tcW w:w="581" w:type="pct"/>
            <w:tcBorders>
              <w:top w:val="nil"/>
              <w:left w:val="nil"/>
              <w:bottom w:val="single" w:sz="4" w:space="0" w:color="auto"/>
              <w:right w:val="single" w:sz="4" w:space="0" w:color="auto"/>
            </w:tcBorders>
            <w:shd w:val="clear" w:color="auto" w:fill="auto"/>
            <w:noWrap/>
            <w:vAlign w:val="bottom"/>
            <w:hideMark/>
          </w:tcPr>
          <w:p w14:paraId="2391BCDF" w14:textId="77777777" w:rsidR="009A356E" w:rsidRPr="00C10545" w:rsidRDefault="009A356E" w:rsidP="009A356E">
            <w:pPr>
              <w:jc w:val="right"/>
              <w:rPr>
                <w:sz w:val="18"/>
                <w:szCs w:val="18"/>
                <w:lang w:eastAsia="en-AU"/>
              </w:rPr>
            </w:pPr>
            <w:r w:rsidRPr="00C10545">
              <w:rPr>
                <w:sz w:val="18"/>
                <w:szCs w:val="18"/>
                <w:lang w:eastAsia="en-AU"/>
              </w:rPr>
              <w:t>174.9</w:t>
            </w:r>
          </w:p>
        </w:tc>
        <w:tc>
          <w:tcPr>
            <w:tcW w:w="581" w:type="pct"/>
            <w:tcBorders>
              <w:top w:val="nil"/>
              <w:left w:val="nil"/>
              <w:bottom w:val="single" w:sz="4" w:space="0" w:color="auto"/>
              <w:right w:val="single" w:sz="4" w:space="0" w:color="auto"/>
            </w:tcBorders>
            <w:shd w:val="clear" w:color="auto" w:fill="auto"/>
            <w:noWrap/>
            <w:vAlign w:val="bottom"/>
            <w:hideMark/>
          </w:tcPr>
          <w:p w14:paraId="29078790" w14:textId="77777777" w:rsidR="009A356E" w:rsidRPr="00C10545" w:rsidRDefault="009A356E" w:rsidP="009A356E">
            <w:pPr>
              <w:jc w:val="right"/>
              <w:rPr>
                <w:sz w:val="18"/>
                <w:szCs w:val="18"/>
                <w:lang w:eastAsia="en-AU"/>
              </w:rPr>
            </w:pPr>
            <w:r w:rsidRPr="00C10545">
              <w:rPr>
                <w:sz w:val="18"/>
                <w:szCs w:val="18"/>
                <w:lang w:eastAsia="en-AU"/>
              </w:rPr>
              <w:t>180.0</w:t>
            </w:r>
          </w:p>
        </w:tc>
        <w:tc>
          <w:tcPr>
            <w:tcW w:w="581" w:type="pct"/>
            <w:tcBorders>
              <w:top w:val="nil"/>
              <w:left w:val="nil"/>
              <w:bottom w:val="single" w:sz="4" w:space="0" w:color="auto"/>
              <w:right w:val="single" w:sz="4" w:space="0" w:color="auto"/>
            </w:tcBorders>
            <w:shd w:val="clear" w:color="auto" w:fill="auto"/>
            <w:noWrap/>
            <w:vAlign w:val="bottom"/>
            <w:hideMark/>
          </w:tcPr>
          <w:p w14:paraId="20E85CE8" w14:textId="77777777" w:rsidR="009A356E" w:rsidRPr="00C10545" w:rsidRDefault="009A356E" w:rsidP="009A356E">
            <w:pPr>
              <w:jc w:val="right"/>
              <w:rPr>
                <w:sz w:val="18"/>
                <w:szCs w:val="18"/>
                <w:lang w:eastAsia="en-AU"/>
              </w:rPr>
            </w:pPr>
            <w:r w:rsidRPr="00C10545">
              <w:rPr>
                <w:sz w:val="18"/>
                <w:szCs w:val="18"/>
                <w:lang w:eastAsia="en-AU"/>
              </w:rPr>
              <w:t>224.4</w:t>
            </w:r>
          </w:p>
        </w:tc>
        <w:tc>
          <w:tcPr>
            <w:tcW w:w="581" w:type="pct"/>
            <w:tcBorders>
              <w:top w:val="nil"/>
              <w:left w:val="nil"/>
              <w:bottom w:val="single" w:sz="4" w:space="0" w:color="auto"/>
              <w:right w:val="single" w:sz="4" w:space="0" w:color="auto"/>
            </w:tcBorders>
            <w:shd w:val="clear" w:color="auto" w:fill="auto"/>
            <w:noWrap/>
            <w:vAlign w:val="bottom"/>
            <w:hideMark/>
          </w:tcPr>
          <w:p w14:paraId="0D40EF99" w14:textId="77777777" w:rsidR="009A356E" w:rsidRPr="00C10545" w:rsidRDefault="009A356E" w:rsidP="009A356E">
            <w:pPr>
              <w:jc w:val="right"/>
              <w:rPr>
                <w:sz w:val="18"/>
                <w:szCs w:val="18"/>
                <w:lang w:eastAsia="en-AU"/>
              </w:rPr>
            </w:pPr>
            <w:r w:rsidRPr="00C10545">
              <w:rPr>
                <w:sz w:val="18"/>
                <w:szCs w:val="18"/>
                <w:lang w:eastAsia="en-AU"/>
              </w:rPr>
              <w:t>219.9</w:t>
            </w:r>
          </w:p>
        </w:tc>
        <w:tc>
          <w:tcPr>
            <w:tcW w:w="578" w:type="pct"/>
            <w:tcBorders>
              <w:top w:val="nil"/>
              <w:left w:val="nil"/>
              <w:bottom w:val="single" w:sz="4" w:space="0" w:color="auto"/>
              <w:right w:val="single" w:sz="4" w:space="0" w:color="auto"/>
            </w:tcBorders>
            <w:shd w:val="clear" w:color="auto" w:fill="auto"/>
            <w:noWrap/>
            <w:vAlign w:val="bottom"/>
            <w:hideMark/>
          </w:tcPr>
          <w:p w14:paraId="0F3486B8" w14:textId="77777777" w:rsidR="009A356E" w:rsidRPr="00C10545" w:rsidRDefault="009A356E" w:rsidP="009A356E">
            <w:pPr>
              <w:jc w:val="right"/>
              <w:rPr>
                <w:sz w:val="18"/>
                <w:szCs w:val="18"/>
                <w:lang w:eastAsia="en-AU"/>
              </w:rPr>
            </w:pPr>
            <w:r w:rsidRPr="00C10545">
              <w:rPr>
                <w:sz w:val="18"/>
                <w:szCs w:val="18"/>
                <w:lang w:eastAsia="en-AU"/>
              </w:rPr>
              <w:t>211.6</w:t>
            </w:r>
          </w:p>
        </w:tc>
      </w:tr>
      <w:tr w:rsidR="009A356E" w:rsidRPr="00D60D2D" w14:paraId="7F52CA60" w14:textId="77777777" w:rsidTr="009A356E">
        <w:trPr>
          <w:trHeight w:val="255"/>
        </w:trPr>
        <w:tc>
          <w:tcPr>
            <w:tcW w:w="1517" w:type="pct"/>
            <w:tcBorders>
              <w:top w:val="nil"/>
              <w:left w:val="single" w:sz="4" w:space="0" w:color="auto"/>
              <w:bottom w:val="single" w:sz="4" w:space="0" w:color="auto"/>
              <w:right w:val="single" w:sz="4" w:space="0" w:color="auto"/>
            </w:tcBorders>
            <w:shd w:val="clear" w:color="auto" w:fill="auto"/>
            <w:noWrap/>
            <w:vAlign w:val="bottom"/>
            <w:hideMark/>
          </w:tcPr>
          <w:p w14:paraId="2460BE6E" w14:textId="77777777" w:rsidR="009A356E" w:rsidRPr="00C10545" w:rsidRDefault="009A356E" w:rsidP="009A356E">
            <w:pPr>
              <w:rPr>
                <w:sz w:val="18"/>
                <w:szCs w:val="18"/>
                <w:lang w:eastAsia="en-AU"/>
              </w:rPr>
            </w:pPr>
            <w:r w:rsidRPr="00C10545">
              <w:rPr>
                <w:sz w:val="18"/>
                <w:szCs w:val="18"/>
                <w:lang w:eastAsia="en-AU"/>
              </w:rPr>
              <w:t>Discounted by 60% CPI/40% WPI</w:t>
            </w:r>
          </w:p>
        </w:tc>
        <w:tc>
          <w:tcPr>
            <w:tcW w:w="581" w:type="pct"/>
            <w:tcBorders>
              <w:top w:val="nil"/>
              <w:left w:val="nil"/>
              <w:bottom w:val="single" w:sz="4" w:space="0" w:color="auto"/>
              <w:right w:val="single" w:sz="4" w:space="0" w:color="auto"/>
            </w:tcBorders>
            <w:shd w:val="clear" w:color="auto" w:fill="auto"/>
            <w:noWrap/>
            <w:vAlign w:val="bottom"/>
            <w:hideMark/>
          </w:tcPr>
          <w:p w14:paraId="2E763A62" w14:textId="77777777" w:rsidR="009A356E" w:rsidRPr="00C10545" w:rsidRDefault="009A356E" w:rsidP="009A356E">
            <w:pPr>
              <w:jc w:val="right"/>
              <w:rPr>
                <w:sz w:val="18"/>
                <w:szCs w:val="18"/>
                <w:lang w:eastAsia="en-AU"/>
              </w:rPr>
            </w:pPr>
            <w:r w:rsidRPr="00C10545">
              <w:rPr>
                <w:sz w:val="18"/>
                <w:szCs w:val="18"/>
                <w:lang w:eastAsia="en-AU"/>
              </w:rPr>
              <w:t>173.5</w:t>
            </w:r>
          </w:p>
        </w:tc>
        <w:tc>
          <w:tcPr>
            <w:tcW w:w="581" w:type="pct"/>
            <w:tcBorders>
              <w:top w:val="nil"/>
              <w:left w:val="nil"/>
              <w:bottom w:val="single" w:sz="4" w:space="0" w:color="auto"/>
              <w:right w:val="single" w:sz="4" w:space="0" w:color="auto"/>
            </w:tcBorders>
            <w:shd w:val="clear" w:color="auto" w:fill="auto"/>
            <w:noWrap/>
            <w:vAlign w:val="bottom"/>
            <w:hideMark/>
          </w:tcPr>
          <w:p w14:paraId="08AA92D4" w14:textId="77777777" w:rsidR="009A356E" w:rsidRPr="00C10545" w:rsidRDefault="009A356E" w:rsidP="009A356E">
            <w:pPr>
              <w:jc w:val="right"/>
              <w:rPr>
                <w:sz w:val="18"/>
                <w:szCs w:val="18"/>
                <w:lang w:eastAsia="en-AU"/>
              </w:rPr>
            </w:pPr>
            <w:r w:rsidRPr="00C10545">
              <w:rPr>
                <w:sz w:val="18"/>
                <w:szCs w:val="18"/>
                <w:lang w:eastAsia="en-AU"/>
              </w:rPr>
              <w:t>175.6</w:t>
            </w:r>
          </w:p>
        </w:tc>
        <w:tc>
          <w:tcPr>
            <w:tcW w:w="581" w:type="pct"/>
            <w:tcBorders>
              <w:top w:val="nil"/>
              <w:left w:val="nil"/>
              <w:bottom w:val="single" w:sz="4" w:space="0" w:color="auto"/>
              <w:right w:val="single" w:sz="4" w:space="0" w:color="auto"/>
            </w:tcBorders>
            <w:shd w:val="clear" w:color="auto" w:fill="auto"/>
            <w:noWrap/>
            <w:vAlign w:val="bottom"/>
            <w:hideMark/>
          </w:tcPr>
          <w:p w14:paraId="12CF7E99" w14:textId="77777777" w:rsidR="009A356E" w:rsidRPr="00C10545" w:rsidRDefault="009A356E" w:rsidP="009A356E">
            <w:pPr>
              <w:jc w:val="right"/>
              <w:rPr>
                <w:sz w:val="18"/>
                <w:szCs w:val="18"/>
                <w:lang w:eastAsia="en-AU"/>
              </w:rPr>
            </w:pPr>
            <w:r w:rsidRPr="00C10545">
              <w:rPr>
                <w:sz w:val="18"/>
                <w:szCs w:val="18"/>
                <w:lang w:eastAsia="en-AU"/>
              </w:rPr>
              <w:t>194.1</w:t>
            </w:r>
          </w:p>
        </w:tc>
        <w:tc>
          <w:tcPr>
            <w:tcW w:w="581" w:type="pct"/>
            <w:tcBorders>
              <w:top w:val="nil"/>
              <w:left w:val="nil"/>
              <w:bottom w:val="single" w:sz="4" w:space="0" w:color="auto"/>
              <w:right w:val="single" w:sz="4" w:space="0" w:color="auto"/>
            </w:tcBorders>
            <w:shd w:val="clear" w:color="auto" w:fill="auto"/>
            <w:noWrap/>
            <w:vAlign w:val="bottom"/>
            <w:hideMark/>
          </w:tcPr>
          <w:p w14:paraId="3D38742C" w14:textId="77777777" w:rsidR="009A356E" w:rsidRPr="00C10545" w:rsidRDefault="009A356E" w:rsidP="009A356E">
            <w:pPr>
              <w:jc w:val="right"/>
              <w:rPr>
                <w:sz w:val="18"/>
                <w:szCs w:val="18"/>
                <w:lang w:eastAsia="en-AU"/>
              </w:rPr>
            </w:pPr>
            <w:r w:rsidRPr="00C10545">
              <w:rPr>
                <w:sz w:val="18"/>
                <w:szCs w:val="18"/>
                <w:lang w:eastAsia="en-AU"/>
              </w:rPr>
              <w:t>252.2</w:t>
            </w:r>
          </w:p>
        </w:tc>
        <w:tc>
          <w:tcPr>
            <w:tcW w:w="581" w:type="pct"/>
            <w:tcBorders>
              <w:top w:val="nil"/>
              <w:left w:val="nil"/>
              <w:bottom w:val="single" w:sz="4" w:space="0" w:color="auto"/>
              <w:right w:val="single" w:sz="4" w:space="0" w:color="auto"/>
            </w:tcBorders>
            <w:shd w:val="clear" w:color="auto" w:fill="auto"/>
            <w:noWrap/>
            <w:vAlign w:val="bottom"/>
            <w:hideMark/>
          </w:tcPr>
          <w:p w14:paraId="39CD857D" w14:textId="77777777" w:rsidR="009A356E" w:rsidRPr="00C10545" w:rsidRDefault="009A356E" w:rsidP="009A356E">
            <w:pPr>
              <w:jc w:val="right"/>
              <w:rPr>
                <w:sz w:val="18"/>
                <w:szCs w:val="18"/>
                <w:lang w:eastAsia="en-AU"/>
              </w:rPr>
            </w:pPr>
            <w:r w:rsidRPr="00C10545">
              <w:rPr>
                <w:sz w:val="18"/>
                <w:szCs w:val="18"/>
                <w:lang w:eastAsia="en-AU"/>
              </w:rPr>
              <w:t>245.4</w:t>
            </w:r>
          </w:p>
        </w:tc>
        <w:tc>
          <w:tcPr>
            <w:tcW w:w="578" w:type="pct"/>
            <w:tcBorders>
              <w:top w:val="nil"/>
              <w:left w:val="nil"/>
              <w:bottom w:val="single" w:sz="4" w:space="0" w:color="auto"/>
              <w:right w:val="single" w:sz="4" w:space="0" w:color="auto"/>
            </w:tcBorders>
            <w:shd w:val="clear" w:color="auto" w:fill="auto"/>
            <w:noWrap/>
            <w:vAlign w:val="bottom"/>
            <w:hideMark/>
          </w:tcPr>
          <w:p w14:paraId="1C86ED85" w14:textId="77777777" w:rsidR="009A356E" w:rsidRPr="00C10545" w:rsidRDefault="009A356E" w:rsidP="009A356E">
            <w:pPr>
              <w:jc w:val="right"/>
              <w:rPr>
                <w:sz w:val="18"/>
                <w:szCs w:val="18"/>
                <w:lang w:eastAsia="en-AU"/>
              </w:rPr>
            </w:pPr>
            <w:r w:rsidRPr="00C10545">
              <w:rPr>
                <w:sz w:val="18"/>
                <w:szCs w:val="18"/>
                <w:lang w:eastAsia="en-AU"/>
              </w:rPr>
              <w:t>237.9</w:t>
            </w:r>
          </w:p>
        </w:tc>
      </w:tr>
      <w:tr w:rsidR="009A356E" w:rsidRPr="00D60D2D" w14:paraId="1FBB3C0B" w14:textId="77777777" w:rsidTr="009A356E">
        <w:trPr>
          <w:trHeight w:val="255"/>
        </w:trPr>
        <w:tc>
          <w:tcPr>
            <w:tcW w:w="1517" w:type="pct"/>
            <w:tcBorders>
              <w:top w:val="nil"/>
              <w:left w:val="single" w:sz="4" w:space="0" w:color="auto"/>
              <w:bottom w:val="single" w:sz="4" w:space="0" w:color="auto"/>
              <w:right w:val="single" w:sz="4" w:space="0" w:color="auto"/>
            </w:tcBorders>
            <w:shd w:val="clear" w:color="000000" w:fill="000000"/>
            <w:noWrap/>
            <w:vAlign w:val="bottom"/>
            <w:hideMark/>
          </w:tcPr>
          <w:p w14:paraId="262AB485" w14:textId="77777777" w:rsidR="009A356E" w:rsidRPr="00C10545" w:rsidRDefault="009A356E" w:rsidP="009A356E">
            <w:pPr>
              <w:rPr>
                <w:sz w:val="18"/>
                <w:szCs w:val="18"/>
                <w:lang w:eastAsia="en-AU"/>
              </w:rPr>
            </w:pPr>
            <w:r w:rsidRPr="00C10545">
              <w:rPr>
                <w:sz w:val="18"/>
                <w:szCs w:val="18"/>
                <w:lang w:eastAsia="en-AU"/>
              </w:rPr>
              <w:t> </w:t>
            </w:r>
          </w:p>
        </w:tc>
        <w:tc>
          <w:tcPr>
            <w:tcW w:w="581" w:type="pct"/>
            <w:tcBorders>
              <w:top w:val="nil"/>
              <w:left w:val="nil"/>
              <w:bottom w:val="single" w:sz="4" w:space="0" w:color="auto"/>
              <w:right w:val="single" w:sz="4" w:space="0" w:color="auto"/>
            </w:tcBorders>
            <w:shd w:val="clear" w:color="000000" w:fill="000000"/>
            <w:noWrap/>
            <w:vAlign w:val="bottom"/>
            <w:hideMark/>
          </w:tcPr>
          <w:p w14:paraId="4F5C1E85" w14:textId="77777777" w:rsidR="009A356E" w:rsidRPr="00C10545" w:rsidRDefault="009A356E" w:rsidP="009A356E">
            <w:pPr>
              <w:rPr>
                <w:sz w:val="18"/>
                <w:szCs w:val="18"/>
                <w:lang w:eastAsia="en-AU"/>
              </w:rPr>
            </w:pPr>
            <w:r w:rsidRPr="00C10545">
              <w:rPr>
                <w:sz w:val="18"/>
                <w:szCs w:val="18"/>
                <w:lang w:eastAsia="en-AU"/>
              </w:rPr>
              <w:t> </w:t>
            </w:r>
          </w:p>
        </w:tc>
        <w:tc>
          <w:tcPr>
            <w:tcW w:w="581" w:type="pct"/>
            <w:tcBorders>
              <w:top w:val="nil"/>
              <w:left w:val="nil"/>
              <w:bottom w:val="single" w:sz="4" w:space="0" w:color="auto"/>
              <w:right w:val="single" w:sz="4" w:space="0" w:color="auto"/>
            </w:tcBorders>
            <w:shd w:val="clear" w:color="000000" w:fill="000000"/>
            <w:noWrap/>
            <w:vAlign w:val="bottom"/>
            <w:hideMark/>
          </w:tcPr>
          <w:p w14:paraId="1C0BA3BE" w14:textId="77777777" w:rsidR="009A356E" w:rsidRPr="00C10545" w:rsidRDefault="009A356E" w:rsidP="009A356E">
            <w:pPr>
              <w:rPr>
                <w:sz w:val="18"/>
                <w:szCs w:val="18"/>
                <w:lang w:eastAsia="en-AU"/>
              </w:rPr>
            </w:pPr>
            <w:r w:rsidRPr="00C10545">
              <w:rPr>
                <w:sz w:val="18"/>
                <w:szCs w:val="18"/>
                <w:lang w:eastAsia="en-AU"/>
              </w:rPr>
              <w:t> </w:t>
            </w:r>
          </w:p>
        </w:tc>
        <w:tc>
          <w:tcPr>
            <w:tcW w:w="581" w:type="pct"/>
            <w:tcBorders>
              <w:top w:val="nil"/>
              <w:left w:val="nil"/>
              <w:bottom w:val="single" w:sz="4" w:space="0" w:color="auto"/>
              <w:right w:val="single" w:sz="4" w:space="0" w:color="auto"/>
            </w:tcBorders>
            <w:shd w:val="clear" w:color="000000" w:fill="000000"/>
            <w:noWrap/>
            <w:vAlign w:val="bottom"/>
            <w:hideMark/>
          </w:tcPr>
          <w:p w14:paraId="0595782F" w14:textId="77777777" w:rsidR="009A356E" w:rsidRPr="00C10545" w:rsidRDefault="009A356E" w:rsidP="009A356E">
            <w:pPr>
              <w:rPr>
                <w:sz w:val="18"/>
                <w:szCs w:val="18"/>
                <w:lang w:eastAsia="en-AU"/>
              </w:rPr>
            </w:pPr>
            <w:r w:rsidRPr="00C10545">
              <w:rPr>
                <w:sz w:val="18"/>
                <w:szCs w:val="18"/>
                <w:lang w:eastAsia="en-AU"/>
              </w:rPr>
              <w:t> </w:t>
            </w:r>
          </w:p>
        </w:tc>
        <w:tc>
          <w:tcPr>
            <w:tcW w:w="581" w:type="pct"/>
            <w:tcBorders>
              <w:top w:val="nil"/>
              <w:left w:val="nil"/>
              <w:bottom w:val="single" w:sz="4" w:space="0" w:color="auto"/>
              <w:right w:val="single" w:sz="4" w:space="0" w:color="auto"/>
            </w:tcBorders>
            <w:shd w:val="clear" w:color="000000" w:fill="000000"/>
            <w:noWrap/>
            <w:vAlign w:val="bottom"/>
            <w:hideMark/>
          </w:tcPr>
          <w:p w14:paraId="5230537A" w14:textId="77777777" w:rsidR="009A356E" w:rsidRPr="00C10545" w:rsidRDefault="009A356E" w:rsidP="009A356E">
            <w:pPr>
              <w:rPr>
                <w:sz w:val="18"/>
                <w:szCs w:val="18"/>
                <w:lang w:eastAsia="en-AU"/>
              </w:rPr>
            </w:pPr>
            <w:r w:rsidRPr="00C10545">
              <w:rPr>
                <w:sz w:val="18"/>
                <w:szCs w:val="18"/>
                <w:lang w:eastAsia="en-AU"/>
              </w:rPr>
              <w:t> </w:t>
            </w:r>
          </w:p>
        </w:tc>
        <w:tc>
          <w:tcPr>
            <w:tcW w:w="581" w:type="pct"/>
            <w:tcBorders>
              <w:top w:val="nil"/>
              <w:left w:val="nil"/>
              <w:bottom w:val="single" w:sz="4" w:space="0" w:color="auto"/>
              <w:right w:val="single" w:sz="4" w:space="0" w:color="auto"/>
            </w:tcBorders>
            <w:shd w:val="clear" w:color="000000" w:fill="000000"/>
            <w:noWrap/>
            <w:vAlign w:val="bottom"/>
            <w:hideMark/>
          </w:tcPr>
          <w:p w14:paraId="22FF5633" w14:textId="77777777" w:rsidR="009A356E" w:rsidRPr="00C10545" w:rsidRDefault="009A356E" w:rsidP="009A356E">
            <w:pPr>
              <w:rPr>
                <w:sz w:val="18"/>
                <w:szCs w:val="18"/>
                <w:lang w:eastAsia="en-AU"/>
              </w:rPr>
            </w:pPr>
            <w:r w:rsidRPr="00C10545">
              <w:rPr>
                <w:sz w:val="18"/>
                <w:szCs w:val="18"/>
                <w:lang w:eastAsia="en-AU"/>
              </w:rPr>
              <w:t> </w:t>
            </w:r>
          </w:p>
        </w:tc>
        <w:tc>
          <w:tcPr>
            <w:tcW w:w="578" w:type="pct"/>
            <w:tcBorders>
              <w:top w:val="nil"/>
              <w:left w:val="nil"/>
              <w:bottom w:val="single" w:sz="4" w:space="0" w:color="auto"/>
              <w:right w:val="single" w:sz="4" w:space="0" w:color="auto"/>
            </w:tcBorders>
            <w:shd w:val="clear" w:color="000000" w:fill="000000"/>
            <w:noWrap/>
            <w:vAlign w:val="bottom"/>
            <w:hideMark/>
          </w:tcPr>
          <w:p w14:paraId="389AA510" w14:textId="77777777" w:rsidR="009A356E" w:rsidRPr="00C10545" w:rsidRDefault="009A356E" w:rsidP="009A356E">
            <w:pPr>
              <w:rPr>
                <w:sz w:val="18"/>
                <w:szCs w:val="18"/>
                <w:lang w:eastAsia="en-AU"/>
              </w:rPr>
            </w:pPr>
            <w:r w:rsidRPr="00C10545">
              <w:rPr>
                <w:sz w:val="18"/>
                <w:szCs w:val="18"/>
                <w:lang w:eastAsia="en-AU"/>
              </w:rPr>
              <w:t> </w:t>
            </w:r>
          </w:p>
        </w:tc>
      </w:tr>
      <w:tr w:rsidR="009A356E" w:rsidRPr="00D60D2D" w14:paraId="3D0FD0FF" w14:textId="77777777" w:rsidTr="009A356E">
        <w:trPr>
          <w:trHeight w:val="255"/>
        </w:trPr>
        <w:tc>
          <w:tcPr>
            <w:tcW w:w="1517" w:type="pct"/>
            <w:tcBorders>
              <w:top w:val="nil"/>
              <w:left w:val="single" w:sz="4" w:space="0" w:color="auto"/>
              <w:bottom w:val="single" w:sz="4" w:space="0" w:color="auto"/>
              <w:right w:val="single" w:sz="4" w:space="0" w:color="auto"/>
            </w:tcBorders>
            <w:shd w:val="clear" w:color="000000" w:fill="F2DCDB"/>
            <w:noWrap/>
            <w:vAlign w:val="bottom"/>
            <w:hideMark/>
          </w:tcPr>
          <w:p w14:paraId="6CFB34AE" w14:textId="77777777" w:rsidR="009A356E" w:rsidRPr="00C10545" w:rsidRDefault="009A356E" w:rsidP="009A356E">
            <w:pPr>
              <w:rPr>
                <w:b/>
                <w:bCs/>
                <w:sz w:val="18"/>
                <w:szCs w:val="18"/>
                <w:lang w:eastAsia="en-AU"/>
              </w:rPr>
            </w:pPr>
            <w:r w:rsidRPr="00C10545">
              <w:rPr>
                <w:b/>
                <w:bCs/>
                <w:sz w:val="18"/>
                <w:szCs w:val="18"/>
                <w:lang w:eastAsia="en-AU"/>
              </w:rPr>
              <w:t>Rural &amp; Regional</w:t>
            </w:r>
          </w:p>
        </w:tc>
        <w:tc>
          <w:tcPr>
            <w:tcW w:w="581" w:type="pct"/>
            <w:tcBorders>
              <w:top w:val="nil"/>
              <w:left w:val="nil"/>
              <w:bottom w:val="single" w:sz="4" w:space="0" w:color="auto"/>
              <w:right w:val="single" w:sz="4" w:space="0" w:color="auto"/>
            </w:tcBorders>
            <w:shd w:val="clear" w:color="000000" w:fill="000000"/>
            <w:noWrap/>
            <w:vAlign w:val="bottom"/>
            <w:hideMark/>
          </w:tcPr>
          <w:p w14:paraId="7C20EA5F" w14:textId="77777777" w:rsidR="009A356E" w:rsidRPr="00C10545" w:rsidRDefault="009A356E" w:rsidP="009A356E">
            <w:pPr>
              <w:rPr>
                <w:sz w:val="18"/>
                <w:szCs w:val="18"/>
                <w:lang w:eastAsia="en-AU"/>
              </w:rPr>
            </w:pPr>
            <w:r w:rsidRPr="00C10545">
              <w:rPr>
                <w:sz w:val="18"/>
                <w:szCs w:val="18"/>
                <w:lang w:eastAsia="en-AU"/>
              </w:rPr>
              <w:t> </w:t>
            </w:r>
          </w:p>
        </w:tc>
        <w:tc>
          <w:tcPr>
            <w:tcW w:w="581" w:type="pct"/>
            <w:tcBorders>
              <w:top w:val="nil"/>
              <w:left w:val="nil"/>
              <w:bottom w:val="single" w:sz="4" w:space="0" w:color="auto"/>
              <w:right w:val="single" w:sz="4" w:space="0" w:color="auto"/>
            </w:tcBorders>
            <w:shd w:val="clear" w:color="000000" w:fill="000000"/>
            <w:noWrap/>
            <w:vAlign w:val="bottom"/>
            <w:hideMark/>
          </w:tcPr>
          <w:p w14:paraId="15CC45C3" w14:textId="77777777" w:rsidR="009A356E" w:rsidRPr="00C10545" w:rsidRDefault="009A356E" w:rsidP="009A356E">
            <w:pPr>
              <w:rPr>
                <w:sz w:val="18"/>
                <w:szCs w:val="18"/>
                <w:lang w:eastAsia="en-AU"/>
              </w:rPr>
            </w:pPr>
            <w:r w:rsidRPr="00C10545">
              <w:rPr>
                <w:sz w:val="18"/>
                <w:szCs w:val="18"/>
                <w:lang w:eastAsia="en-AU"/>
              </w:rPr>
              <w:t> </w:t>
            </w:r>
          </w:p>
        </w:tc>
        <w:tc>
          <w:tcPr>
            <w:tcW w:w="581" w:type="pct"/>
            <w:tcBorders>
              <w:top w:val="nil"/>
              <w:left w:val="nil"/>
              <w:bottom w:val="single" w:sz="4" w:space="0" w:color="auto"/>
              <w:right w:val="single" w:sz="4" w:space="0" w:color="auto"/>
            </w:tcBorders>
            <w:shd w:val="clear" w:color="000000" w:fill="000000"/>
            <w:noWrap/>
            <w:vAlign w:val="bottom"/>
            <w:hideMark/>
          </w:tcPr>
          <w:p w14:paraId="589CF812" w14:textId="77777777" w:rsidR="009A356E" w:rsidRPr="00C10545" w:rsidRDefault="009A356E" w:rsidP="009A356E">
            <w:pPr>
              <w:rPr>
                <w:sz w:val="18"/>
                <w:szCs w:val="18"/>
                <w:lang w:eastAsia="en-AU"/>
              </w:rPr>
            </w:pPr>
            <w:r w:rsidRPr="00C10545">
              <w:rPr>
                <w:sz w:val="18"/>
                <w:szCs w:val="18"/>
                <w:lang w:eastAsia="en-AU"/>
              </w:rPr>
              <w:t> </w:t>
            </w:r>
          </w:p>
        </w:tc>
        <w:tc>
          <w:tcPr>
            <w:tcW w:w="581" w:type="pct"/>
            <w:tcBorders>
              <w:top w:val="nil"/>
              <w:left w:val="nil"/>
              <w:bottom w:val="single" w:sz="4" w:space="0" w:color="auto"/>
              <w:right w:val="single" w:sz="4" w:space="0" w:color="auto"/>
            </w:tcBorders>
            <w:shd w:val="clear" w:color="000000" w:fill="000000"/>
            <w:noWrap/>
            <w:vAlign w:val="bottom"/>
            <w:hideMark/>
          </w:tcPr>
          <w:p w14:paraId="18E5A727" w14:textId="77777777" w:rsidR="009A356E" w:rsidRPr="00C10545" w:rsidRDefault="009A356E" w:rsidP="009A356E">
            <w:pPr>
              <w:rPr>
                <w:sz w:val="18"/>
                <w:szCs w:val="18"/>
                <w:lang w:eastAsia="en-AU"/>
              </w:rPr>
            </w:pPr>
            <w:r w:rsidRPr="00C10545">
              <w:rPr>
                <w:sz w:val="18"/>
                <w:szCs w:val="18"/>
                <w:lang w:eastAsia="en-AU"/>
              </w:rPr>
              <w:t> </w:t>
            </w:r>
          </w:p>
        </w:tc>
        <w:tc>
          <w:tcPr>
            <w:tcW w:w="581" w:type="pct"/>
            <w:tcBorders>
              <w:top w:val="nil"/>
              <w:left w:val="nil"/>
              <w:bottom w:val="single" w:sz="4" w:space="0" w:color="auto"/>
              <w:right w:val="single" w:sz="4" w:space="0" w:color="auto"/>
            </w:tcBorders>
            <w:shd w:val="clear" w:color="000000" w:fill="000000"/>
            <w:noWrap/>
            <w:vAlign w:val="bottom"/>
            <w:hideMark/>
          </w:tcPr>
          <w:p w14:paraId="3D4A4A20" w14:textId="77777777" w:rsidR="009A356E" w:rsidRPr="00C10545" w:rsidRDefault="009A356E" w:rsidP="009A356E">
            <w:pPr>
              <w:rPr>
                <w:sz w:val="18"/>
                <w:szCs w:val="18"/>
                <w:lang w:eastAsia="en-AU"/>
              </w:rPr>
            </w:pPr>
            <w:r w:rsidRPr="00C10545">
              <w:rPr>
                <w:sz w:val="18"/>
                <w:szCs w:val="18"/>
                <w:lang w:eastAsia="en-AU"/>
              </w:rPr>
              <w:t> </w:t>
            </w:r>
          </w:p>
        </w:tc>
        <w:tc>
          <w:tcPr>
            <w:tcW w:w="578" w:type="pct"/>
            <w:tcBorders>
              <w:top w:val="nil"/>
              <w:left w:val="nil"/>
              <w:bottom w:val="single" w:sz="4" w:space="0" w:color="auto"/>
              <w:right w:val="single" w:sz="4" w:space="0" w:color="auto"/>
            </w:tcBorders>
            <w:shd w:val="clear" w:color="000000" w:fill="000000"/>
            <w:noWrap/>
            <w:vAlign w:val="bottom"/>
            <w:hideMark/>
          </w:tcPr>
          <w:p w14:paraId="660A87FD" w14:textId="77777777" w:rsidR="009A356E" w:rsidRPr="00C10545" w:rsidRDefault="009A356E" w:rsidP="009A356E">
            <w:pPr>
              <w:rPr>
                <w:sz w:val="18"/>
                <w:szCs w:val="18"/>
                <w:lang w:eastAsia="en-AU"/>
              </w:rPr>
            </w:pPr>
            <w:r w:rsidRPr="00C10545">
              <w:rPr>
                <w:sz w:val="18"/>
                <w:szCs w:val="18"/>
                <w:lang w:eastAsia="en-AU"/>
              </w:rPr>
              <w:t> </w:t>
            </w:r>
          </w:p>
        </w:tc>
      </w:tr>
      <w:tr w:rsidR="009A356E" w:rsidRPr="00D60D2D" w14:paraId="2710B91C" w14:textId="77777777" w:rsidTr="009A356E">
        <w:trPr>
          <w:trHeight w:val="255"/>
        </w:trPr>
        <w:tc>
          <w:tcPr>
            <w:tcW w:w="1517" w:type="pct"/>
            <w:tcBorders>
              <w:top w:val="nil"/>
              <w:left w:val="single" w:sz="4" w:space="0" w:color="auto"/>
              <w:bottom w:val="single" w:sz="4" w:space="0" w:color="auto"/>
              <w:right w:val="single" w:sz="4" w:space="0" w:color="auto"/>
            </w:tcBorders>
            <w:shd w:val="clear" w:color="auto" w:fill="auto"/>
            <w:noWrap/>
            <w:vAlign w:val="bottom"/>
            <w:hideMark/>
          </w:tcPr>
          <w:p w14:paraId="22D1A98B" w14:textId="77777777" w:rsidR="009A356E" w:rsidRPr="00C10545" w:rsidRDefault="009A356E" w:rsidP="009A356E">
            <w:pPr>
              <w:rPr>
                <w:sz w:val="18"/>
                <w:szCs w:val="18"/>
                <w:lang w:eastAsia="en-AU"/>
              </w:rPr>
            </w:pPr>
            <w:r w:rsidRPr="00C10545">
              <w:rPr>
                <w:sz w:val="18"/>
                <w:szCs w:val="18"/>
                <w:lang w:eastAsia="en-AU"/>
              </w:rPr>
              <w:t>Nominal</w:t>
            </w:r>
          </w:p>
        </w:tc>
        <w:tc>
          <w:tcPr>
            <w:tcW w:w="581" w:type="pct"/>
            <w:tcBorders>
              <w:top w:val="nil"/>
              <w:left w:val="nil"/>
              <w:bottom w:val="single" w:sz="4" w:space="0" w:color="auto"/>
              <w:right w:val="single" w:sz="4" w:space="0" w:color="auto"/>
            </w:tcBorders>
            <w:shd w:val="clear" w:color="auto" w:fill="auto"/>
            <w:noWrap/>
            <w:vAlign w:val="bottom"/>
            <w:hideMark/>
          </w:tcPr>
          <w:p w14:paraId="60620A58" w14:textId="77777777" w:rsidR="009A356E" w:rsidRPr="00C10545" w:rsidRDefault="009A356E" w:rsidP="009A356E">
            <w:pPr>
              <w:jc w:val="right"/>
              <w:rPr>
                <w:sz w:val="18"/>
                <w:szCs w:val="18"/>
                <w:lang w:eastAsia="en-AU"/>
              </w:rPr>
            </w:pPr>
            <w:r w:rsidRPr="00C10545">
              <w:rPr>
                <w:sz w:val="18"/>
                <w:szCs w:val="18"/>
                <w:lang w:eastAsia="en-AU"/>
              </w:rPr>
              <w:t>122.7</w:t>
            </w:r>
          </w:p>
        </w:tc>
        <w:tc>
          <w:tcPr>
            <w:tcW w:w="581" w:type="pct"/>
            <w:tcBorders>
              <w:top w:val="nil"/>
              <w:left w:val="nil"/>
              <w:bottom w:val="single" w:sz="4" w:space="0" w:color="auto"/>
              <w:right w:val="single" w:sz="4" w:space="0" w:color="auto"/>
            </w:tcBorders>
            <w:shd w:val="clear" w:color="auto" w:fill="auto"/>
            <w:noWrap/>
            <w:vAlign w:val="bottom"/>
            <w:hideMark/>
          </w:tcPr>
          <w:p w14:paraId="2C33AB6F" w14:textId="77777777" w:rsidR="009A356E" w:rsidRPr="00C10545" w:rsidRDefault="009A356E" w:rsidP="009A356E">
            <w:pPr>
              <w:jc w:val="right"/>
              <w:rPr>
                <w:sz w:val="18"/>
                <w:szCs w:val="18"/>
                <w:lang w:eastAsia="en-AU"/>
              </w:rPr>
            </w:pPr>
            <w:r w:rsidRPr="00C10545">
              <w:rPr>
                <w:sz w:val="18"/>
                <w:szCs w:val="18"/>
                <w:lang w:eastAsia="en-AU"/>
              </w:rPr>
              <w:t>129.1</w:t>
            </w:r>
          </w:p>
        </w:tc>
        <w:tc>
          <w:tcPr>
            <w:tcW w:w="581" w:type="pct"/>
            <w:tcBorders>
              <w:top w:val="nil"/>
              <w:left w:val="nil"/>
              <w:bottom w:val="single" w:sz="4" w:space="0" w:color="auto"/>
              <w:right w:val="single" w:sz="4" w:space="0" w:color="auto"/>
            </w:tcBorders>
            <w:shd w:val="clear" w:color="auto" w:fill="auto"/>
            <w:noWrap/>
            <w:vAlign w:val="bottom"/>
            <w:hideMark/>
          </w:tcPr>
          <w:p w14:paraId="55449684" w14:textId="77777777" w:rsidR="009A356E" w:rsidRPr="00C10545" w:rsidRDefault="009A356E" w:rsidP="009A356E">
            <w:pPr>
              <w:jc w:val="right"/>
              <w:rPr>
                <w:sz w:val="18"/>
                <w:szCs w:val="18"/>
                <w:lang w:eastAsia="en-AU"/>
              </w:rPr>
            </w:pPr>
            <w:r w:rsidRPr="00C10545">
              <w:rPr>
                <w:sz w:val="18"/>
                <w:szCs w:val="18"/>
                <w:lang w:eastAsia="en-AU"/>
              </w:rPr>
              <w:t>149.7</w:t>
            </w:r>
          </w:p>
        </w:tc>
        <w:tc>
          <w:tcPr>
            <w:tcW w:w="581" w:type="pct"/>
            <w:tcBorders>
              <w:top w:val="nil"/>
              <w:left w:val="nil"/>
              <w:bottom w:val="single" w:sz="4" w:space="0" w:color="auto"/>
              <w:right w:val="single" w:sz="4" w:space="0" w:color="auto"/>
            </w:tcBorders>
            <w:shd w:val="clear" w:color="auto" w:fill="auto"/>
            <w:noWrap/>
            <w:vAlign w:val="bottom"/>
            <w:hideMark/>
          </w:tcPr>
          <w:p w14:paraId="434F33F3" w14:textId="77777777" w:rsidR="009A356E" w:rsidRPr="00C10545" w:rsidRDefault="009A356E" w:rsidP="009A356E">
            <w:pPr>
              <w:jc w:val="right"/>
              <w:rPr>
                <w:sz w:val="18"/>
                <w:szCs w:val="18"/>
                <w:lang w:eastAsia="en-AU"/>
              </w:rPr>
            </w:pPr>
            <w:r w:rsidRPr="00C10545">
              <w:rPr>
                <w:sz w:val="18"/>
                <w:szCs w:val="18"/>
                <w:lang w:eastAsia="en-AU"/>
              </w:rPr>
              <w:t>212.5</w:t>
            </w:r>
          </w:p>
        </w:tc>
        <w:tc>
          <w:tcPr>
            <w:tcW w:w="581" w:type="pct"/>
            <w:tcBorders>
              <w:top w:val="nil"/>
              <w:left w:val="nil"/>
              <w:bottom w:val="single" w:sz="4" w:space="0" w:color="auto"/>
              <w:right w:val="single" w:sz="4" w:space="0" w:color="auto"/>
            </w:tcBorders>
            <w:shd w:val="clear" w:color="auto" w:fill="auto"/>
            <w:noWrap/>
            <w:vAlign w:val="bottom"/>
            <w:hideMark/>
          </w:tcPr>
          <w:p w14:paraId="5088BDA1" w14:textId="77777777" w:rsidR="009A356E" w:rsidRPr="00C10545" w:rsidRDefault="009A356E" w:rsidP="009A356E">
            <w:pPr>
              <w:jc w:val="right"/>
              <w:rPr>
                <w:sz w:val="18"/>
                <w:szCs w:val="18"/>
                <w:lang w:eastAsia="en-AU"/>
              </w:rPr>
            </w:pPr>
            <w:r w:rsidRPr="00C10545">
              <w:rPr>
                <w:sz w:val="18"/>
                <w:szCs w:val="18"/>
                <w:lang w:eastAsia="en-AU"/>
              </w:rPr>
              <w:t>225.1</w:t>
            </w:r>
          </w:p>
        </w:tc>
        <w:tc>
          <w:tcPr>
            <w:tcW w:w="578" w:type="pct"/>
            <w:tcBorders>
              <w:top w:val="nil"/>
              <w:left w:val="nil"/>
              <w:bottom w:val="single" w:sz="4" w:space="0" w:color="auto"/>
              <w:right w:val="single" w:sz="4" w:space="0" w:color="auto"/>
            </w:tcBorders>
            <w:shd w:val="clear" w:color="auto" w:fill="auto"/>
            <w:noWrap/>
            <w:vAlign w:val="bottom"/>
            <w:hideMark/>
          </w:tcPr>
          <w:p w14:paraId="28DFA6DA" w14:textId="77777777" w:rsidR="009A356E" w:rsidRPr="00C10545" w:rsidRDefault="009A356E" w:rsidP="009A356E">
            <w:pPr>
              <w:jc w:val="right"/>
              <w:rPr>
                <w:sz w:val="18"/>
                <w:szCs w:val="18"/>
                <w:lang w:eastAsia="en-AU"/>
              </w:rPr>
            </w:pPr>
            <w:r w:rsidRPr="00C10545">
              <w:rPr>
                <w:sz w:val="18"/>
                <w:szCs w:val="18"/>
                <w:lang w:eastAsia="en-AU"/>
              </w:rPr>
              <w:t>222.9</w:t>
            </w:r>
          </w:p>
        </w:tc>
      </w:tr>
      <w:tr w:rsidR="009A356E" w:rsidRPr="00D60D2D" w14:paraId="39417F09" w14:textId="77777777" w:rsidTr="009A356E">
        <w:trPr>
          <w:trHeight w:val="255"/>
        </w:trPr>
        <w:tc>
          <w:tcPr>
            <w:tcW w:w="1517" w:type="pct"/>
            <w:tcBorders>
              <w:top w:val="nil"/>
              <w:left w:val="single" w:sz="4" w:space="0" w:color="auto"/>
              <w:bottom w:val="single" w:sz="4" w:space="0" w:color="auto"/>
              <w:right w:val="single" w:sz="4" w:space="0" w:color="auto"/>
            </w:tcBorders>
            <w:shd w:val="clear" w:color="auto" w:fill="auto"/>
            <w:noWrap/>
            <w:vAlign w:val="bottom"/>
            <w:hideMark/>
          </w:tcPr>
          <w:p w14:paraId="479A3EB0" w14:textId="77777777" w:rsidR="009A356E" w:rsidRPr="00C10545" w:rsidRDefault="009A356E" w:rsidP="009A356E">
            <w:pPr>
              <w:rPr>
                <w:sz w:val="18"/>
                <w:szCs w:val="18"/>
                <w:lang w:eastAsia="en-AU"/>
              </w:rPr>
            </w:pPr>
            <w:r w:rsidRPr="00C10545">
              <w:rPr>
                <w:sz w:val="18"/>
                <w:szCs w:val="18"/>
                <w:lang w:eastAsia="en-AU"/>
              </w:rPr>
              <w:t xml:space="preserve">Discounted by CPI </w:t>
            </w:r>
          </w:p>
        </w:tc>
        <w:tc>
          <w:tcPr>
            <w:tcW w:w="581" w:type="pct"/>
            <w:tcBorders>
              <w:top w:val="nil"/>
              <w:left w:val="nil"/>
              <w:bottom w:val="single" w:sz="4" w:space="0" w:color="auto"/>
              <w:right w:val="single" w:sz="4" w:space="0" w:color="auto"/>
            </w:tcBorders>
            <w:shd w:val="clear" w:color="auto" w:fill="auto"/>
            <w:noWrap/>
            <w:vAlign w:val="bottom"/>
            <w:hideMark/>
          </w:tcPr>
          <w:p w14:paraId="0363C5C6" w14:textId="77777777" w:rsidR="009A356E" w:rsidRPr="00C10545" w:rsidRDefault="009A356E" w:rsidP="009A356E">
            <w:pPr>
              <w:jc w:val="right"/>
              <w:rPr>
                <w:sz w:val="18"/>
                <w:szCs w:val="18"/>
                <w:lang w:eastAsia="en-AU"/>
              </w:rPr>
            </w:pPr>
            <w:r w:rsidRPr="00C10545">
              <w:rPr>
                <w:sz w:val="18"/>
                <w:szCs w:val="18"/>
                <w:lang w:eastAsia="en-AU"/>
              </w:rPr>
              <w:t>122.7</w:t>
            </w:r>
          </w:p>
        </w:tc>
        <w:tc>
          <w:tcPr>
            <w:tcW w:w="581" w:type="pct"/>
            <w:tcBorders>
              <w:top w:val="nil"/>
              <w:left w:val="nil"/>
              <w:bottom w:val="single" w:sz="4" w:space="0" w:color="auto"/>
              <w:right w:val="single" w:sz="4" w:space="0" w:color="auto"/>
            </w:tcBorders>
            <w:shd w:val="clear" w:color="auto" w:fill="auto"/>
            <w:noWrap/>
            <w:vAlign w:val="bottom"/>
            <w:hideMark/>
          </w:tcPr>
          <w:p w14:paraId="25A6FC9F" w14:textId="77777777" w:rsidR="009A356E" w:rsidRPr="00C10545" w:rsidRDefault="009A356E" w:rsidP="009A356E">
            <w:pPr>
              <w:jc w:val="right"/>
              <w:rPr>
                <w:sz w:val="18"/>
                <w:szCs w:val="18"/>
                <w:lang w:eastAsia="en-AU"/>
              </w:rPr>
            </w:pPr>
            <w:r w:rsidRPr="00C10545">
              <w:rPr>
                <w:sz w:val="18"/>
                <w:szCs w:val="18"/>
                <w:lang w:eastAsia="en-AU"/>
              </w:rPr>
              <w:t>124.5</w:t>
            </w:r>
          </w:p>
        </w:tc>
        <w:tc>
          <w:tcPr>
            <w:tcW w:w="581" w:type="pct"/>
            <w:tcBorders>
              <w:top w:val="nil"/>
              <w:left w:val="nil"/>
              <w:bottom w:val="single" w:sz="4" w:space="0" w:color="auto"/>
              <w:right w:val="single" w:sz="4" w:space="0" w:color="auto"/>
            </w:tcBorders>
            <w:shd w:val="clear" w:color="auto" w:fill="auto"/>
            <w:noWrap/>
            <w:vAlign w:val="bottom"/>
            <w:hideMark/>
          </w:tcPr>
          <w:p w14:paraId="12362260" w14:textId="77777777" w:rsidR="009A356E" w:rsidRPr="00C10545" w:rsidRDefault="009A356E" w:rsidP="009A356E">
            <w:pPr>
              <w:jc w:val="right"/>
              <w:rPr>
                <w:sz w:val="18"/>
                <w:szCs w:val="18"/>
                <w:lang w:eastAsia="en-AU"/>
              </w:rPr>
            </w:pPr>
            <w:r w:rsidRPr="00C10545">
              <w:rPr>
                <w:sz w:val="18"/>
                <w:szCs w:val="18"/>
                <w:lang w:eastAsia="en-AU"/>
              </w:rPr>
              <w:t>135.9</w:t>
            </w:r>
          </w:p>
        </w:tc>
        <w:tc>
          <w:tcPr>
            <w:tcW w:w="581" w:type="pct"/>
            <w:tcBorders>
              <w:top w:val="nil"/>
              <w:left w:val="nil"/>
              <w:bottom w:val="single" w:sz="4" w:space="0" w:color="auto"/>
              <w:right w:val="single" w:sz="4" w:space="0" w:color="auto"/>
            </w:tcBorders>
            <w:shd w:val="clear" w:color="auto" w:fill="auto"/>
            <w:noWrap/>
            <w:vAlign w:val="bottom"/>
            <w:hideMark/>
          </w:tcPr>
          <w:p w14:paraId="41D182B5" w14:textId="77777777" w:rsidR="009A356E" w:rsidRPr="00C10545" w:rsidRDefault="009A356E" w:rsidP="009A356E">
            <w:pPr>
              <w:jc w:val="right"/>
              <w:rPr>
                <w:sz w:val="18"/>
                <w:szCs w:val="18"/>
                <w:lang w:eastAsia="en-AU"/>
              </w:rPr>
            </w:pPr>
            <w:r w:rsidRPr="00C10545">
              <w:rPr>
                <w:sz w:val="18"/>
                <w:szCs w:val="18"/>
                <w:lang w:eastAsia="en-AU"/>
              </w:rPr>
              <w:t>155.8</w:t>
            </w:r>
          </w:p>
        </w:tc>
        <w:tc>
          <w:tcPr>
            <w:tcW w:w="581" w:type="pct"/>
            <w:tcBorders>
              <w:top w:val="nil"/>
              <w:left w:val="nil"/>
              <w:bottom w:val="single" w:sz="4" w:space="0" w:color="auto"/>
              <w:right w:val="single" w:sz="4" w:space="0" w:color="auto"/>
            </w:tcBorders>
            <w:shd w:val="clear" w:color="auto" w:fill="auto"/>
            <w:noWrap/>
            <w:vAlign w:val="bottom"/>
            <w:hideMark/>
          </w:tcPr>
          <w:p w14:paraId="1D903EAF" w14:textId="77777777" w:rsidR="009A356E" w:rsidRPr="00C10545" w:rsidRDefault="009A356E" w:rsidP="009A356E">
            <w:pPr>
              <w:jc w:val="right"/>
              <w:rPr>
                <w:sz w:val="18"/>
                <w:szCs w:val="18"/>
                <w:lang w:eastAsia="en-AU"/>
              </w:rPr>
            </w:pPr>
            <w:r w:rsidRPr="00C10545">
              <w:rPr>
                <w:sz w:val="18"/>
                <w:szCs w:val="18"/>
                <w:lang w:eastAsia="en-AU"/>
              </w:rPr>
              <w:t>151.4</w:t>
            </w:r>
          </w:p>
        </w:tc>
        <w:tc>
          <w:tcPr>
            <w:tcW w:w="578" w:type="pct"/>
            <w:tcBorders>
              <w:top w:val="nil"/>
              <w:left w:val="nil"/>
              <w:bottom w:val="single" w:sz="4" w:space="0" w:color="auto"/>
              <w:right w:val="single" w:sz="4" w:space="0" w:color="auto"/>
            </w:tcBorders>
            <w:shd w:val="clear" w:color="auto" w:fill="auto"/>
            <w:noWrap/>
            <w:vAlign w:val="bottom"/>
            <w:hideMark/>
          </w:tcPr>
          <w:p w14:paraId="41C18CC0" w14:textId="77777777" w:rsidR="009A356E" w:rsidRPr="00C10545" w:rsidRDefault="009A356E" w:rsidP="009A356E">
            <w:pPr>
              <w:jc w:val="right"/>
              <w:rPr>
                <w:sz w:val="18"/>
                <w:szCs w:val="18"/>
                <w:lang w:eastAsia="en-AU"/>
              </w:rPr>
            </w:pPr>
            <w:r w:rsidRPr="00C10545">
              <w:rPr>
                <w:sz w:val="18"/>
                <w:szCs w:val="18"/>
                <w:lang w:eastAsia="en-AU"/>
              </w:rPr>
              <w:t>147.7</w:t>
            </w:r>
          </w:p>
        </w:tc>
      </w:tr>
      <w:tr w:rsidR="009A356E" w:rsidRPr="00D60D2D" w14:paraId="51B13117" w14:textId="77777777" w:rsidTr="009A356E">
        <w:trPr>
          <w:trHeight w:val="255"/>
        </w:trPr>
        <w:tc>
          <w:tcPr>
            <w:tcW w:w="1517" w:type="pct"/>
            <w:tcBorders>
              <w:top w:val="nil"/>
              <w:left w:val="single" w:sz="4" w:space="0" w:color="auto"/>
              <w:bottom w:val="single" w:sz="4" w:space="0" w:color="auto"/>
              <w:right w:val="single" w:sz="4" w:space="0" w:color="auto"/>
            </w:tcBorders>
            <w:shd w:val="clear" w:color="auto" w:fill="auto"/>
            <w:noWrap/>
            <w:vAlign w:val="bottom"/>
            <w:hideMark/>
          </w:tcPr>
          <w:p w14:paraId="20B35B95" w14:textId="77777777" w:rsidR="009A356E" w:rsidRPr="00C10545" w:rsidRDefault="009A356E" w:rsidP="009A356E">
            <w:pPr>
              <w:rPr>
                <w:sz w:val="18"/>
                <w:szCs w:val="18"/>
                <w:lang w:eastAsia="en-AU"/>
              </w:rPr>
            </w:pPr>
            <w:r w:rsidRPr="00C10545">
              <w:rPr>
                <w:sz w:val="18"/>
                <w:szCs w:val="18"/>
                <w:lang w:eastAsia="en-AU"/>
              </w:rPr>
              <w:t>Discounted by AWE</w:t>
            </w:r>
          </w:p>
        </w:tc>
        <w:tc>
          <w:tcPr>
            <w:tcW w:w="581" w:type="pct"/>
            <w:tcBorders>
              <w:top w:val="nil"/>
              <w:left w:val="nil"/>
              <w:bottom w:val="single" w:sz="4" w:space="0" w:color="auto"/>
              <w:right w:val="single" w:sz="4" w:space="0" w:color="auto"/>
            </w:tcBorders>
            <w:shd w:val="clear" w:color="auto" w:fill="auto"/>
            <w:noWrap/>
            <w:vAlign w:val="bottom"/>
            <w:hideMark/>
          </w:tcPr>
          <w:p w14:paraId="1BCD1868" w14:textId="77777777" w:rsidR="009A356E" w:rsidRPr="00C10545" w:rsidRDefault="009A356E" w:rsidP="009A356E">
            <w:pPr>
              <w:jc w:val="right"/>
              <w:rPr>
                <w:sz w:val="18"/>
                <w:szCs w:val="18"/>
                <w:lang w:eastAsia="en-AU"/>
              </w:rPr>
            </w:pPr>
            <w:r w:rsidRPr="00C10545">
              <w:rPr>
                <w:sz w:val="18"/>
                <w:szCs w:val="18"/>
                <w:lang w:eastAsia="en-AU"/>
              </w:rPr>
              <w:t>122.7</w:t>
            </w:r>
          </w:p>
        </w:tc>
        <w:tc>
          <w:tcPr>
            <w:tcW w:w="581" w:type="pct"/>
            <w:tcBorders>
              <w:top w:val="nil"/>
              <w:left w:val="nil"/>
              <w:bottom w:val="single" w:sz="4" w:space="0" w:color="auto"/>
              <w:right w:val="single" w:sz="4" w:space="0" w:color="auto"/>
            </w:tcBorders>
            <w:shd w:val="clear" w:color="auto" w:fill="auto"/>
            <w:noWrap/>
            <w:vAlign w:val="bottom"/>
            <w:hideMark/>
          </w:tcPr>
          <w:p w14:paraId="262E06E1" w14:textId="77777777" w:rsidR="009A356E" w:rsidRPr="00C10545" w:rsidRDefault="009A356E" w:rsidP="009A356E">
            <w:pPr>
              <w:jc w:val="right"/>
              <w:rPr>
                <w:sz w:val="18"/>
                <w:szCs w:val="18"/>
                <w:lang w:eastAsia="en-AU"/>
              </w:rPr>
            </w:pPr>
            <w:r w:rsidRPr="00C10545">
              <w:rPr>
                <w:sz w:val="18"/>
                <w:szCs w:val="18"/>
                <w:lang w:eastAsia="en-AU"/>
              </w:rPr>
              <w:t>124.4</w:t>
            </w:r>
          </w:p>
        </w:tc>
        <w:tc>
          <w:tcPr>
            <w:tcW w:w="581" w:type="pct"/>
            <w:tcBorders>
              <w:top w:val="nil"/>
              <w:left w:val="nil"/>
              <w:bottom w:val="single" w:sz="4" w:space="0" w:color="auto"/>
              <w:right w:val="single" w:sz="4" w:space="0" w:color="auto"/>
            </w:tcBorders>
            <w:shd w:val="clear" w:color="auto" w:fill="auto"/>
            <w:noWrap/>
            <w:vAlign w:val="bottom"/>
            <w:hideMark/>
          </w:tcPr>
          <w:p w14:paraId="4ECAA8F3" w14:textId="77777777" w:rsidR="009A356E" w:rsidRPr="00C10545" w:rsidRDefault="009A356E" w:rsidP="009A356E">
            <w:pPr>
              <w:jc w:val="right"/>
              <w:rPr>
                <w:sz w:val="18"/>
                <w:szCs w:val="18"/>
                <w:lang w:eastAsia="en-AU"/>
              </w:rPr>
            </w:pPr>
            <w:r w:rsidRPr="00C10545">
              <w:rPr>
                <w:sz w:val="18"/>
                <w:szCs w:val="18"/>
                <w:lang w:eastAsia="en-AU"/>
              </w:rPr>
              <w:t>125.3</w:t>
            </w:r>
          </w:p>
        </w:tc>
        <w:tc>
          <w:tcPr>
            <w:tcW w:w="581" w:type="pct"/>
            <w:tcBorders>
              <w:top w:val="nil"/>
              <w:left w:val="nil"/>
              <w:bottom w:val="single" w:sz="4" w:space="0" w:color="auto"/>
              <w:right w:val="single" w:sz="4" w:space="0" w:color="auto"/>
            </w:tcBorders>
            <w:shd w:val="clear" w:color="auto" w:fill="auto"/>
            <w:noWrap/>
            <w:vAlign w:val="bottom"/>
            <w:hideMark/>
          </w:tcPr>
          <w:p w14:paraId="4FC0497E" w14:textId="77777777" w:rsidR="009A356E" w:rsidRPr="00C10545" w:rsidRDefault="009A356E" w:rsidP="009A356E">
            <w:pPr>
              <w:jc w:val="right"/>
              <w:rPr>
                <w:sz w:val="18"/>
                <w:szCs w:val="18"/>
                <w:lang w:eastAsia="en-AU"/>
              </w:rPr>
            </w:pPr>
            <w:r w:rsidRPr="00C10545">
              <w:rPr>
                <w:sz w:val="18"/>
                <w:szCs w:val="18"/>
                <w:lang w:eastAsia="en-AU"/>
              </w:rPr>
              <w:t>128.5</w:t>
            </w:r>
          </w:p>
        </w:tc>
        <w:tc>
          <w:tcPr>
            <w:tcW w:w="581" w:type="pct"/>
            <w:tcBorders>
              <w:top w:val="nil"/>
              <w:left w:val="nil"/>
              <w:bottom w:val="single" w:sz="4" w:space="0" w:color="auto"/>
              <w:right w:val="single" w:sz="4" w:space="0" w:color="auto"/>
            </w:tcBorders>
            <w:shd w:val="clear" w:color="auto" w:fill="auto"/>
            <w:noWrap/>
            <w:vAlign w:val="bottom"/>
            <w:hideMark/>
          </w:tcPr>
          <w:p w14:paraId="1ED05119" w14:textId="77777777" w:rsidR="009A356E" w:rsidRPr="00C10545" w:rsidRDefault="009A356E" w:rsidP="009A356E">
            <w:pPr>
              <w:jc w:val="right"/>
              <w:rPr>
                <w:sz w:val="18"/>
                <w:szCs w:val="18"/>
                <w:lang w:eastAsia="en-AU"/>
              </w:rPr>
            </w:pPr>
            <w:r w:rsidRPr="00C10545">
              <w:rPr>
                <w:sz w:val="18"/>
                <w:szCs w:val="18"/>
                <w:lang w:eastAsia="en-AU"/>
              </w:rPr>
              <w:t>121.5</w:t>
            </w:r>
          </w:p>
        </w:tc>
        <w:tc>
          <w:tcPr>
            <w:tcW w:w="578" w:type="pct"/>
            <w:tcBorders>
              <w:top w:val="nil"/>
              <w:left w:val="nil"/>
              <w:bottom w:val="single" w:sz="4" w:space="0" w:color="auto"/>
              <w:right w:val="single" w:sz="4" w:space="0" w:color="auto"/>
            </w:tcBorders>
            <w:shd w:val="clear" w:color="auto" w:fill="auto"/>
            <w:noWrap/>
            <w:vAlign w:val="bottom"/>
            <w:hideMark/>
          </w:tcPr>
          <w:p w14:paraId="38C3FC42" w14:textId="77777777" w:rsidR="009A356E" w:rsidRPr="00C10545" w:rsidRDefault="009A356E" w:rsidP="009A356E">
            <w:pPr>
              <w:jc w:val="right"/>
              <w:rPr>
                <w:sz w:val="18"/>
                <w:szCs w:val="18"/>
                <w:lang w:eastAsia="en-AU"/>
              </w:rPr>
            </w:pPr>
            <w:r w:rsidRPr="00C10545">
              <w:rPr>
                <w:sz w:val="18"/>
                <w:szCs w:val="18"/>
                <w:lang w:eastAsia="en-AU"/>
              </w:rPr>
              <w:t>116.7</w:t>
            </w:r>
          </w:p>
        </w:tc>
      </w:tr>
      <w:tr w:rsidR="009A356E" w:rsidRPr="00D60D2D" w14:paraId="75BB4F94" w14:textId="77777777" w:rsidTr="009A356E">
        <w:trPr>
          <w:trHeight w:val="255"/>
        </w:trPr>
        <w:tc>
          <w:tcPr>
            <w:tcW w:w="1517" w:type="pct"/>
            <w:tcBorders>
              <w:top w:val="nil"/>
              <w:left w:val="single" w:sz="4" w:space="0" w:color="auto"/>
              <w:bottom w:val="single" w:sz="4" w:space="0" w:color="auto"/>
              <w:right w:val="single" w:sz="4" w:space="0" w:color="auto"/>
            </w:tcBorders>
            <w:shd w:val="clear" w:color="auto" w:fill="auto"/>
            <w:noWrap/>
            <w:vAlign w:val="bottom"/>
            <w:hideMark/>
          </w:tcPr>
          <w:p w14:paraId="15B51347" w14:textId="77777777" w:rsidR="009A356E" w:rsidRPr="00C10545" w:rsidRDefault="009A356E" w:rsidP="009A356E">
            <w:pPr>
              <w:rPr>
                <w:sz w:val="18"/>
                <w:szCs w:val="18"/>
                <w:lang w:eastAsia="en-AU"/>
              </w:rPr>
            </w:pPr>
            <w:r w:rsidRPr="00C10545">
              <w:rPr>
                <w:sz w:val="18"/>
                <w:szCs w:val="18"/>
                <w:lang w:eastAsia="en-AU"/>
              </w:rPr>
              <w:t>Discounted by 60% CPI/40% WPI</w:t>
            </w:r>
          </w:p>
        </w:tc>
        <w:tc>
          <w:tcPr>
            <w:tcW w:w="581" w:type="pct"/>
            <w:tcBorders>
              <w:top w:val="nil"/>
              <w:left w:val="nil"/>
              <w:bottom w:val="single" w:sz="4" w:space="0" w:color="auto"/>
              <w:right w:val="single" w:sz="4" w:space="0" w:color="auto"/>
            </w:tcBorders>
            <w:shd w:val="clear" w:color="auto" w:fill="auto"/>
            <w:noWrap/>
            <w:vAlign w:val="bottom"/>
            <w:hideMark/>
          </w:tcPr>
          <w:p w14:paraId="5EB14F0D" w14:textId="77777777" w:rsidR="009A356E" w:rsidRPr="00C10545" w:rsidRDefault="009A356E" w:rsidP="009A356E">
            <w:pPr>
              <w:jc w:val="right"/>
              <w:rPr>
                <w:sz w:val="18"/>
                <w:szCs w:val="18"/>
                <w:lang w:eastAsia="en-AU"/>
              </w:rPr>
            </w:pPr>
            <w:r w:rsidRPr="00C10545">
              <w:rPr>
                <w:sz w:val="18"/>
                <w:szCs w:val="18"/>
                <w:lang w:eastAsia="en-AU"/>
              </w:rPr>
              <w:t>122.7</w:t>
            </w:r>
          </w:p>
        </w:tc>
        <w:tc>
          <w:tcPr>
            <w:tcW w:w="581" w:type="pct"/>
            <w:tcBorders>
              <w:top w:val="nil"/>
              <w:left w:val="nil"/>
              <w:bottom w:val="single" w:sz="4" w:space="0" w:color="auto"/>
              <w:right w:val="single" w:sz="4" w:space="0" w:color="auto"/>
            </w:tcBorders>
            <w:shd w:val="clear" w:color="auto" w:fill="auto"/>
            <w:noWrap/>
            <w:vAlign w:val="bottom"/>
            <w:hideMark/>
          </w:tcPr>
          <w:p w14:paraId="533291C5" w14:textId="77777777" w:rsidR="009A356E" w:rsidRPr="00C10545" w:rsidRDefault="009A356E" w:rsidP="009A356E">
            <w:pPr>
              <w:jc w:val="right"/>
              <w:rPr>
                <w:sz w:val="18"/>
                <w:szCs w:val="18"/>
                <w:lang w:eastAsia="en-AU"/>
              </w:rPr>
            </w:pPr>
            <w:r w:rsidRPr="00C10545">
              <w:rPr>
                <w:sz w:val="18"/>
                <w:szCs w:val="18"/>
                <w:lang w:eastAsia="en-AU"/>
              </w:rPr>
              <w:t>124.9</w:t>
            </w:r>
          </w:p>
        </w:tc>
        <w:tc>
          <w:tcPr>
            <w:tcW w:w="581" w:type="pct"/>
            <w:tcBorders>
              <w:top w:val="nil"/>
              <w:left w:val="nil"/>
              <w:bottom w:val="single" w:sz="4" w:space="0" w:color="auto"/>
              <w:right w:val="single" w:sz="4" w:space="0" w:color="auto"/>
            </w:tcBorders>
            <w:shd w:val="clear" w:color="auto" w:fill="auto"/>
            <w:noWrap/>
            <w:vAlign w:val="bottom"/>
            <w:hideMark/>
          </w:tcPr>
          <w:p w14:paraId="560F098F" w14:textId="77777777" w:rsidR="009A356E" w:rsidRPr="00C10545" w:rsidRDefault="009A356E" w:rsidP="009A356E">
            <w:pPr>
              <w:jc w:val="right"/>
              <w:rPr>
                <w:sz w:val="18"/>
                <w:szCs w:val="18"/>
                <w:lang w:eastAsia="en-AU"/>
              </w:rPr>
            </w:pPr>
            <w:r w:rsidRPr="00C10545">
              <w:rPr>
                <w:sz w:val="18"/>
                <w:szCs w:val="18"/>
                <w:lang w:eastAsia="en-AU"/>
              </w:rPr>
              <w:t>135.1</w:t>
            </w:r>
          </w:p>
        </w:tc>
        <w:tc>
          <w:tcPr>
            <w:tcW w:w="581" w:type="pct"/>
            <w:tcBorders>
              <w:top w:val="nil"/>
              <w:left w:val="nil"/>
              <w:bottom w:val="single" w:sz="4" w:space="0" w:color="auto"/>
              <w:right w:val="single" w:sz="4" w:space="0" w:color="auto"/>
            </w:tcBorders>
            <w:shd w:val="clear" w:color="auto" w:fill="auto"/>
            <w:noWrap/>
            <w:vAlign w:val="bottom"/>
            <w:hideMark/>
          </w:tcPr>
          <w:p w14:paraId="19EE885F" w14:textId="77777777" w:rsidR="009A356E" w:rsidRPr="00C10545" w:rsidRDefault="009A356E" w:rsidP="009A356E">
            <w:pPr>
              <w:jc w:val="right"/>
              <w:rPr>
                <w:sz w:val="18"/>
                <w:szCs w:val="18"/>
                <w:lang w:eastAsia="en-AU"/>
              </w:rPr>
            </w:pPr>
            <w:r w:rsidRPr="00C10545">
              <w:rPr>
                <w:sz w:val="18"/>
                <w:szCs w:val="18"/>
                <w:lang w:eastAsia="en-AU"/>
              </w:rPr>
              <w:t>144.4</w:t>
            </w:r>
          </w:p>
        </w:tc>
        <w:tc>
          <w:tcPr>
            <w:tcW w:w="581" w:type="pct"/>
            <w:tcBorders>
              <w:top w:val="nil"/>
              <w:left w:val="nil"/>
              <w:bottom w:val="single" w:sz="4" w:space="0" w:color="auto"/>
              <w:right w:val="single" w:sz="4" w:space="0" w:color="auto"/>
            </w:tcBorders>
            <w:shd w:val="clear" w:color="auto" w:fill="auto"/>
            <w:noWrap/>
            <w:vAlign w:val="bottom"/>
            <w:hideMark/>
          </w:tcPr>
          <w:p w14:paraId="6EF25AAF" w14:textId="77777777" w:rsidR="009A356E" w:rsidRPr="00C10545" w:rsidRDefault="009A356E" w:rsidP="009A356E">
            <w:pPr>
              <w:jc w:val="right"/>
              <w:rPr>
                <w:sz w:val="18"/>
                <w:szCs w:val="18"/>
                <w:lang w:eastAsia="en-AU"/>
              </w:rPr>
            </w:pPr>
            <w:r w:rsidRPr="00C10545">
              <w:rPr>
                <w:sz w:val="18"/>
                <w:szCs w:val="18"/>
                <w:lang w:eastAsia="en-AU"/>
              </w:rPr>
              <w:t>135.7</w:t>
            </w:r>
          </w:p>
        </w:tc>
        <w:tc>
          <w:tcPr>
            <w:tcW w:w="578" w:type="pct"/>
            <w:tcBorders>
              <w:top w:val="nil"/>
              <w:left w:val="nil"/>
              <w:bottom w:val="single" w:sz="4" w:space="0" w:color="auto"/>
              <w:right w:val="single" w:sz="4" w:space="0" w:color="auto"/>
            </w:tcBorders>
            <w:shd w:val="clear" w:color="auto" w:fill="auto"/>
            <w:noWrap/>
            <w:vAlign w:val="bottom"/>
            <w:hideMark/>
          </w:tcPr>
          <w:p w14:paraId="628DD1ED" w14:textId="77777777" w:rsidR="009A356E" w:rsidRPr="00C10545" w:rsidRDefault="009A356E" w:rsidP="009A356E">
            <w:pPr>
              <w:jc w:val="right"/>
              <w:rPr>
                <w:sz w:val="18"/>
                <w:szCs w:val="18"/>
                <w:lang w:eastAsia="en-AU"/>
              </w:rPr>
            </w:pPr>
            <w:r w:rsidRPr="00C10545">
              <w:rPr>
                <w:sz w:val="18"/>
                <w:szCs w:val="18"/>
                <w:lang w:eastAsia="en-AU"/>
              </w:rPr>
              <w:t>131.3</w:t>
            </w:r>
          </w:p>
        </w:tc>
      </w:tr>
    </w:tbl>
    <w:p w14:paraId="2DE8E2D8" w14:textId="77777777" w:rsidR="009A356E" w:rsidRDefault="009A356E" w:rsidP="009A356E"/>
    <w:p w14:paraId="5A533888" w14:textId="77777777" w:rsidR="009A356E" w:rsidRDefault="009A356E" w:rsidP="009A356E">
      <w:r>
        <w:t>The data show that real increases in FAGs per head have occurred in a majority of rural and regional councils in recent years compared with 1999-00, but regardless of type, only a minority of councils have been spared reductions on amounts they received five years ago.  For example, comparisons of real FAGs per head received in 1999-00 versus 2015-16 and 2010-11 versus 2015-16 show respectively reductions in:</w:t>
      </w:r>
    </w:p>
    <w:p w14:paraId="5225D48C" w14:textId="77777777" w:rsidR="00370D38" w:rsidRDefault="00370D38" w:rsidP="009A356E"/>
    <w:p w14:paraId="45AC9EDC" w14:textId="77777777" w:rsidR="009A356E" w:rsidRDefault="009A356E" w:rsidP="009A356E">
      <w:pPr>
        <w:pStyle w:val="ListParagraph"/>
        <w:numPr>
          <w:ilvl w:val="0"/>
          <w:numId w:val="37"/>
        </w:numPr>
        <w:spacing w:after="200" w:line="276" w:lineRule="auto"/>
      </w:pPr>
      <w:r>
        <w:t>5% and 50% of small shires;</w:t>
      </w:r>
    </w:p>
    <w:p w14:paraId="0A573584" w14:textId="77777777" w:rsidR="009A356E" w:rsidRDefault="009A356E" w:rsidP="009A356E">
      <w:pPr>
        <w:pStyle w:val="ListParagraph"/>
        <w:numPr>
          <w:ilvl w:val="0"/>
          <w:numId w:val="37"/>
        </w:numPr>
        <w:spacing w:after="200" w:line="276" w:lineRule="auto"/>
      </w:pPr>
      <w:r>
        <w:t>13% and 69% of large shires;</w:t>
      </w:r>
    </w:p>
    <w:p w14:paraId="4EACC964" w14:textId="77777777" w:rsidR="009A356E" w:rsidRDefault="009A356E" w:rsidP="009A356E">
      <w:pPr>
        <w:pStyle w:val="ListParagraph"/>
        <w:numPr>
          <w:ilvl w:val="0"/>
          <w:numId w:val="37"/>
        </w:numPr>
        <w:spacing w:after="200" w:line="276" w:lineRule="auto"/>
      </w:pPr>
      <w:r>
        <w:t>45% and 82% of regional city councils; and</w:t>
      </w:r>
    </w:p>
    <w:p w14:paraId="55B6E342" w14:textId="77777777" w:rsidR="009A356E" w:rsidRDefault="009A356E" w:rsidP="009A356E">
      <w:pPr>
        <w:pStyle w:val="ListParagraph"/>
        <w:numPr>
          <w:ilvl w:val="0"/>
          <w:numId w:val="37"/>
        </w:numPr>
        <w:spacing w:after="200" w:line="276" w:lineRule="auto"/>
      </w:pPr>
      <w:r>
        <w:lastRenderedPageBreak/>
        <w:t>17% and 64% of rural and regional councils overall.</w:t>
      </w:r>
    </w:p>
    <w:p w14:paraId="64394453" w14:textId="77777777" w:rsidR="009A356E" w:rsidRDefault="009A356E" w:rsidP="009A356E">
      <w:r>
        <w:t>Examples for individual councils are provided in Table 5.  It illustrates the differing real outcomes for “like” councils and real losses occurring regardless of type, the extent depending on the discount factor used.</w:t>
      </w:r>
    </w:p>
    <w:p w14:paraId="03FF0CD5" w14:textId="77777777" w:rsidR="009A356E" w:rsidRDefault="009A356E" w:rsidP="009A356E"/>
    <w:p w14:paraId="6A9BF156" w14:textId="77777777" w:rsidR="009A356E" w:rsidRPr="00536F48" w:rsidRDefault="009A356E" w:rsidP="009A356E">
      <w:pPr>
        <w:rPr>
          <w:b/>
          <w:sz w:val="20"/>
        </w:rPr>
      </w:pPr>
      <w:r w:rsidRPr="00536F48">
        <w:rPr>
          <w:b/>
          <w:sz w:val="20"/>
        </w:rPr>
        <w:t>Table 5: Real FAGs per Head by Broad Council Type – Selected Years and Councils ($ Year 2000)</w:t>
      </w:r>
    </w:p>
    <w:tbl>
      <w:tblPr>
        <w:tblW w:w="5000" w:type="pct"/>
        <w:tblLook w:val="04A0" w:firstRow="1" w:lastRow="0" w:firstColumn="1" w:lastColumn="0" w:noHBand="0" w:noVBand="1"/>
      </w:tblPr>
      <w:tblGrid>
        <w:gridCol w:w="2066"/>
        <w:gridCol w:w="1078"/>
        <w:gridCol w:w="1078"/>
        <w:gridCol w:w="1078"/>
        <w:gridCol w:w="1078"/>
        <w:gridCol w:w="1078"/>
        <w:gridCol w:w="1073"/>
      </w:tblGrid>
      <w:tr w:rsidR="009A356E" w:rsidRPr="00F23FF7" w14:paraId="2AD97021" w14:textId="77777777" w:rsidTr="009A356E">
        <w:trPr>
          <w:trHeight w:val="240"/>
          <w:tblHeader/>
        </w:trPr>
        <w:tc>
          <w:tcPr>
            <w:tcW w:w="1211" w:type="pct"/>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7B8665A7" w14:textId="77777777" w:rsidR="009A356E" w:rsidRPr="00C10545" w:rsidRDefault="009A356E" w:rsidP="009A356E">
            <w:pPr>
              <w:rPr>
                <w:sz w:val="18"/>
                <w:szCs w:val="18"/>
                <w:lang w:eastAsia="en-AU"/>
              </w:rPr>
            </w:pPr>
            <w:r w:rsidRPr="00C10545">
              <w:rPr>
                <w:sz w:val="18"/>
                <w:szCs w:val="18"/>
                <w:lang w:eastAsia="en-AU"/>
              </w:rPr>
              <w:t> </w:t>
            </w:r>
          </w:p>
        </w:tc>
        <w:tc>
          <w:tcPr>
            <w:tcW w:w="3789" w:type="pct"/>
            <w:gridSpan w:val="6"/>
            <w:tcBorders>
              <w:top w:val="single" w:sz="4" w:space="0" w:color="auto"/>
              <w:left w:val="nil"/>
              <w:bottom w:val="single" w:sz="4" w:space="0" w:color="auto"/>
              <w:right w:val="single" w:sz="4" w:space="0" w:color="auto"/>
            </w:tcBorders>
            <w:shd w:val="clear" w:color="auto" w:fill="auto"/>
            <w:noWrap/>
            <w:vAlign w:val="bottom"/>
            <w:hideMark/>
          </w:tcPr>
          <w:p w14:paraId="6DF6A9B5" w14:textId="77777777" w:rsidR="009A356E" w:rsidRPr="00C10545" w:rsidRDefault="009A356E" w:rsidP="009A356E">
            <w:pPr>
              <w:jc w:val="center"/>
              <w:rPr>
                <w:b/>
                <w:bCs/>
                <w:sz w:val="18"/>
                <w:szCs w:val="18"/>
                <w:lang w:eastAsia="en-AU"/>
              </w:rPr>
            </w:pPr>
            <w:r w:rsidRPr="00C10545">
              <w:rPr>
                <w:b/>
                <w:bCs/>
                <w:sz w:val="18"/>
                <w:szCs w:val="18"/>
                <w:lang w:eastAsia="en-AU"/>
              </w:rPr>
              <w:t>FAGs per Head</w:t>
            </w:r>
          </w:p>
        </w:tc>
      </w:tr>
      <w:tr w:rsidR="009A356E" w:rsidRPr="00F23FF7" w14:paraId="26D3B3EF" w14:textId="77777777" w:rsidTr="009A356E">
        <w:trPr>
          <w:trHeight w:val="240"/>
          <w:tblHeader/>
        </w:trPr>
        <w:tc>
          <w:tcPr>
            <w:tcW w:w="1211" w:type="pct"/>
            <w:tcBorders>
              <w:top w:val="nil"/>
              <w:left w:val="single" w:sz="4" w:space="0" w:color="auto"/>
              <w:bottom w:val="single" w:sz="4" w:space="0" w:color="auto"/>
              <w:right w:val="single" w:sz="4" w:space="0" w:color="auto"/>
            </w:tcBorders>
            <w:shd w:val="clear" w:color="000000" w:fill="000000"/>
            <w:noWrap/>
            <w:vAlign w:val="bottom"/>
            <w:hideMark/>
          </w:tcPr>
          <w:p w14:paraId="72AF60B3" w14:textId="77777777" w:rsidR="009A356E" w:rsidRPr="00C10545" w:rsidRDefault="009A356E" w:rsidP="009A356E">
            <w:pPr>
              <w:rPr>
                <w:sz w:val="18"/>
                <w:szCs w:val="18"/>
                <w:lang w:eastAsia="en-AU"/>
              </w:rPr>
            </w:pPr>
            <w:r w:rsidRPr="00C10545">
              <w:rPr>
                <w:sz w:val="18"/>
                <w:szCs w:val="18"/>
                <w:lang w:eastAsia="en-AU"/>
              </w:rPr>
              <w:t> </w:t>
            </w:r>
          </w:p>
        </w:tc>
        <w:tc>
          <w:tcPr>
            <w:tcW w:w="632" w:type="pct"/>
            <w:tcBorders>
              <w:top w:val="nil"/>
              <w:left w:val="nil"/>
              <w:bottom w:val="single" w:sz="4" w:space="0" w:color="auto"/>
              <w:right w:val="single" w:sz="4" w:space="0" w:color="auto"/>
            </w:tcBorders>
            <w:shd w:val="clear" w:color="auto" w:fill="auto"/>
            <w:noWrap/>
            <w:vAlign w:val="center"/>
            <w:hideMark/>
          </w:tcPr>
          <w:p w14:paraId="4D1DB481" w14:textId="77777777" w:rsidR="009A356E" w:rsidRPr="00C10545" w:rsidRDefault="009A356E" w:rsidP="009A356E">
            <w:pPr>
              <w:jc w:val="center"/>
              <w:rPr>
                <w:b/>
                <w:sz w:val="18"/>
                <w:szCs w:val="18"/>
                <w:lang w:eastAsia="en-AU"/>
              </w:rPr>
            </w:pPr>
            <w:r w:rsidRPr="00C10545">
              <w:rPr>
                <w:b/>
                <w:sz w:val="18"/>
                <w:szCs w:val="18"/>
                <w:lang w:eastAsia="en-AU"/>
              </w:rPr>
              <w:t>2000</w:t>
            </w:r>
          </w:p>
        </w:tc>
        <w:tc>
          <w:tcPr>
            <w:tcW w:w="632" w:type="pct"/>
            <w:tcBorders>
              <w:top w:val="nil"/>
              <w:left w:val="nil"/>
              <w:bottom w:val="single" w:sz="4" w:space="0" w:color="auto"/>
              <w:right w:val="single" w:sz="4" w:space="0" w:color="auto"/>
            </w:tcBorders>
            <w:shd w:val="clear" w:color="auto" w:fill="auto"/>
            <w:noWrap/>
            <w:vAlign w:val="center"/>
            <w:hideMark/>
          </w:tcPr>
          <w:p w14:paraId="07A28DE9" w14:textId="77777777" w:rsidR="009A356E" w:rsidRPr="00C10545" w:rsidRDefault="009A356E" w:rsidP="009A356E">
            <w:pPr>
              <w:jc w:val="center"/>
              <w:rPr>
                <w:b/>
                <w:sz w:val="18"/>
                <w:szCs w:val="18"/>
                <w:lang w:eastAsia="en-AU"/>
              </w:rPr>
            </w:pPr>
            <w:r w:rsidRPr="00C10545">
              <w:rPr>
                <w:b/>
                <w:sz w:val="18"/>
                <w:szCs w:val="18"/>
                <w:lang w:eastAsia="en-AU"/>
              </w:rPr>
              <w:t>2001</w:t>
            </w:r>
          </w:p>
        </w:tc>
        <w:tc>
          <w:tcPr>
            <w:tcW w:w="632" w:type="pct"/>
            <w:tcBorders>
              <w:top w:val="nil"/>
              <w:left w:val="nil"/>
              <w:bottom w:val="single" w:sz="4" w:space="0" w:color="auto"/>
              <w:right w:val="single" w:sz="4" w:space="0" w:color="auto"/>
            </w:tcBorders>
            <w:shd w:val="clear" w:color="auto" w:fill="auto"/>
            <w:noWrap/>
            <w:vAlign w:val="center"/>
            <w:hideMark/>
          </w:tcPr>
          <w:p w14:paraId="022ADD58" w14:textId="77777777" w:rsidR="009A356E" w:rsidRPr="00C10545" w:rsidRDefault="009A356E" w:rsidP="009A356E">
            <w:pPr>
              <w:jc w:val="center"/>
              <w:rPr>
                <w:b/>
                <w:sz w:val="18"/>
                <w:szCs w:val="18"/>
                <w:lang w:eastAsia="en-AU"/>
              </w:rPr>
            </w:pPr>
            <w:r w:rsidRPr="00C10545">
              <w:rPr>
                <w:b/>
                <w:sz w:val="18"/>
                <w:szCs w:val="18"/>
                <w:lang w:eastAsia="en-AU"/>
              </w:rPr>
              <w:t>2003</w:t>
            </w:r>
          </w:p>
        </w:tc>
        <w:tc>
          <w:tcPr>
            <w:tcW w:w="632" w:type="pct"/>
            <w:tcBorders>
              <w:top w:val="nil"/>
              <w:left w:val="nil"/>
              <w:bottom w:val="single" w:sz="4" w:space="0" w:color="auto"/>
              <w:right w:val="single" w:sz="4" w:space="0" w:color="auto"/>
            </w:tcBorders>
            <w:shd w:val="clear" w:color="auto" w:fill="auto"/>
            <w:noWrap/>
            <w:vAlign w:val="center"/>
            <w:hideMark/>
          </w:tcPr>
          <w:p w14:paraId="417A2733" w14:textId="77777777" w:rsidR="009A356E" w:rsidRPr="00C10545" w:rsidRDefault="009A356E" w:rsidP="009A356E">
            <w:pPr>
              <w:jc w:val="center"/>
              <w:rPr>
                <w:b/>
                <w:sz w:val="18"/>
                <w:szCs w:val="18"/>
                <w:lang w:eastAsia="en-AU"/>
              </w:rPr>
            </w:pPr>
            <w:r w:rsidRPr="00C10545">
              <w:rPr>
                <w:b/>
                <w:sz w:val="18"/>
                <w:szCs w:val="18"/>
                <w:lang w:eastAsia="en-AU"/>
              </w:rPr>
              <w:t>2011</w:t>
            </w:r>
          </w:p>
        </w:tc>
        <w:tc>
          <w:tcPr>
            <w:tcW w:w="632" w:type="pct"/>
            <w:tcBorders>
              <w:top w:val="nil"/>
              <w:left w:val="nil"/>
              <w:bottom w:val="single" w:sz="4" w:space="0" w:color="auto"/>
              <w:right w:val="single" w:sz="4" w:space="0" w:color="auto"/>
            </w:tcBorders>
            <w:shd w:val="clear" w:color="auto" w:fill="auto"/>
            <w:noWrap/>
            <w:vAlign w:val="center"/>
            <w:hideMark/>
          </w:tcPr>
          <w:p w14:paraId="063EAC25" w14:textId="77777777" w:rsidR="009A356E" w:rsidRPr="00C10545" w:rsidRDefault="009A356E" w:rsidP="009A356E">
            <w:pPr>
              <w:jc w:val="center"/>
              <w:rPr>
                <w:b/>
                <w:sz w:val="18"/>
                <w:szCs w:val="18"/>
                <w:lang w:eastAsia="en-AU"/>
              </w:rPr>
            </w:pPr>
            <w:r w:rsidRPr="00C10545">
              <w:rPr>
                <w:b/>
                <w:sz w:val="18"/>
                <w:szCs w:val="18"/>
                <w:lang w:eastAsia="en-AU"/>
              </w:rPr>
              <w:t>2015</w:t>
            </w:r>
          </w:p>
        </w:tc>
        <w:tc>
          <w:tcPr>
            <w:tcW w:w="629" w:type="pct"/>
            <w:tcBorders>
              <w:top w:val="nil"/>
              <w:left w:val="nil"/>
              <w:bottom w:val="single" w:sz="4" w:space="0" w:color="auto"/>
              <w:right w:val="single" w:sz="4" w:space="0" w:color="auto"/>
            </w:tcBorders>
            <w:shd w:val="clear" w:color="auto" w:fill="auto"/>
            <w:noWrap/>
            <w:vAlign w:val="center"/>
            <w:hideMark/>
          </w:tcPr>
          <w:p w14:paraId="2D5EBF0A" w14:textId="77777777" w:rsidR="009A356E" w:rsidRPr="00C10545" w:rsidRDefault="009A356E" w:rsidP="009A356E">
            <w:pPr>
              <w:jc w:val="center"/>
              <w:rPr>
                <w:b/>
                <w:sz w:val="18"/>
                <w:szCs w:val="18"/>
                <w:lang w:eastAsia="en-AU"/>
              </w:rPr>
            </w:pPr>
            <w:r w:rsidRPr="00C10545">
              <w:rPr>
                <w:b/>
                <w:sz w:val="18"/>
                <w:szCs w:val="18"/>
                <w:lang w:eastAsia="en-AU"/>
              </w:rPr>
              <w:t>2016</w:t>
            </w:r>
          </w:p>
        </w:tc>
      </w:tr>
      <w:tr w:rsidR="009A356E" w:rsidRPr="00F23FF7" w14:paraId="0F4DBADA" w14:textId="77777777" w:rsidTr="009A356E">
        <w:trPr>
          <w:trHeight w:val="240"/>
        </w:trPr>
        <w:tc>
          <w:tcPr>
            <w:tcW w:w="1211" w:type="pct"/>
            <w:tcBorders>
              <w:top w:val="nil"/>
              <w:left w:val="single" w:sz="4" w:space="0" w:color="auto"/>
              <w:bottom w:val="single" w:sz="4" w:space="0" w:color="auto"/>
              <w:right w:val="single" w:sz="4" w:space="0" w:color="auto"/>
            </w:tcBorders>
            <w:shd w:val="clear" w:color="auto" w:fill="000000" w:themeFill="text1"/>
            <w:noWrap/>
            <w:vAlign w:val="bottom"/>
          </w:tcPr>
          <w:p w14:paraId="22AA8E60" w14:textId="77777777" w:rsidR="009A356E" w:rsidRPr="00C10545" w:rsidRDefault="009A356E" w:rsidP="009A356E">
            <w:pPr>
              <w:rPr>
                <w:b/>
                <w:bCs/>
                <w:sz w:val="18"/>
                <w:szCs w:val="18"/>
                <w:lang w:eastAsia="en-AU"/>
              </w:rPr>
            </w:pPr>
          </w:p>
        </w:tc>
        <w:tc>
          <w:tcPr>
            <w:tcW w:w="3789" w:type="pct"/>
            <w:gridSpan w:val="6"/>
            <w:tcBorders>
              <w:top w:val="nil"/>
              <w:left w:val="nil"/>
              <w:bottom w:val="single" w:sz="4" w:space="0" w:color="auto"/>
              <w:right w:val="single" w:sz="4" w:space="0" w:color="auto"/>
            </w:tcBorders>
            <w:shd w:val="clear" w:color="auto" w:fill="auto"/>
            <w:noWrap/>
            <w:vAlign w:val="bottom"/>
          </w:tcPr>
          <w:p w14:paraId="0424B559" w14:textId="77777777" w:rsidR="009A356E" w:rsidRPr="00C10545" w:rsidRDefault="009A356E" w:rsidP="009A356E">
            <w:pPr>
              <w:jc w:val="center"/>
              <w:rPr>
                <w:b/>
                <w:sz w:val="18"/>
                <w:szCs w:val="18"/>
                <w:lang w:eastAsia="en-AU"/>
              </w:rPr>
            </w:pPr>
            <w:r w:rsidRPr="00C10545">
              <w:rPr>
                <w:b/>
                <w:sz w:val="18"/>
                <w:szCs w:val="18"/>
                <w:lang w:eastAsia="en-AU"/>
              </w:rPr>
              <w:t>Discounted by CPI</w:t>
            </w:r>
          </w:p>
        </w:tc>
      </w:tr>
      <w:tr w:rsidR="009A356E" w:rsidRPr="00F23FF7" w14:paraId="7EC1C5AB" w14:textId="77777777" w:rsidTr="009A356E">
        <w:trPr>
          <w:trHeight w:val="240"/>
        </w:trPr>
        <w:tc>
          <w:tcPr>
            <w:tcW w:w="1211" w:type="pct"/>
            <w:tcBorders>
              <w:top w:val="nil"/>
              <w:left w:val="single" w:sz="4" w:space="0" w:color="auto"/>
              <w:bottom w:val="single" w:sz="4" w:space="0" w:color="auto"/>
              <w:right w:val="single" w:sz="4" w:space="0" w:color="auto"/>
            </w:tcBorders>
            <w:shd w:val="clear" w:color="000000" w:fill="FDE9D9"/>
            <w:noWrap/>
            <w:vAlign w:val="bottom"/>
            <w:hideMark/>
          </w:tcPr>
          <w:p w14:paraId="3405F46B" w14:textId="77777777" w:rsidR="009A356E" w:rsidRPr="00C10545" w:rsidRDefault="009A356E" w:rsidP="009A356E">
            <w:pPr>
              <w:rPr>
                <w:b/>
                <w:bCs/>
                <w:sz w:val="18"/>
                <w:szCs w:val="18"/>
                <w:lang w:eastAsia="en-AU"/>
              </w:rPr>
            </w:pPr>
            <w:r w:rsidRPr="00C10545">
              <w:rPr>
                <w:b/>
                <w:bCs/>
                <w:sz w:val="18"/>
                <w:szCs w:val="18"/>
                <w:lang w:eastAsia="en-AU"/>
              </w:rPr>
              <w:t>Small Shires</w:t>
            </w:r>
          </w:p>
        </w:tc>
        <w:tc>
          <w:tcPr>
            <w:tcW w:w="632" w:type="pct"/>
            <w:tcBorders>
              <w:top w:val="nil"/>
              <w:left w:val="nil"/>
              <w:bottom w:val="single" w:sz="4" w:space="0" w:color="auto"/>
              <w:right w:val="single" w:sz="4" w:space="0" w:color="auto"/>
            </w:tcBorders>
            <w:shd w:val="clear" w:color="000000" w:fill="000000"/>
            <w:noWrap/>
            <w:vAlign w:val="bottom"/>
            <w:hideMark/>
          </w:tcPr>
          <w:p w14:paraId="637E81B0" w14:textId="77777777" w:rsidR="009A356E" w:rsidRPr="00C10545" w:rsidRDefault="009A356E" w:rsidP="009A356E">
            <w:pPr>
              <w:rPr>
                <w:sz w:val="18"/>
                <w:szCs w:val="18"/>
                <w:lang w:eastAsia="en-AU"/>
              </w:rPr>
            </w:pPr>
            <w:r w:rsidRPr="00C10545">
              <w:rPr>
                <w:sz w:val="18"/>
                <w:szCs w:val="18"/>
                <w:lang w:eastAsia="en-AU"/>
              </w:rPr>
              <w:t> </w:t>
            </w:r>
          </w:p>
        </w:tc>
        <w:tc>
          <w:tcPr>
            <w:tcW w:w="632" w:type="pct"/>
            <w:tcBorders>
              <w:top w:val="nil"/>
              <w:left w:val="nil"/>
              <w:bottom w:val="single" w:sz="4" w:space="0" w:color="auto"/>
              <w:right w:val="single" w:sz="4" w:space="0" w:color="auto"/>
            </w:tcBorders>
            <w:shd w:val="clear" w:color="000000" w:fill="000000"/>
            <w:noWrap/>
            <w:vAlign w:val="bottom"/>
            <w:hideMark/>
          </w:tcPr>
          <w:p w14:paraId="07422E75" w14:textId="77777777" w:rsidR="009A356E" w:rsidRPr="00C10545" w:rsidRDefault="009A356E" w:rsidP="009A356E">
            <w:pPr>
              <w:jc w:val="center"/>
              <w:rPr>
                <w:b/>
                <w:sz w:val="18"/>
                <w:szCs w:val="18"/>
                <w:lang w:eastAsia="en-AU"/>
              </w:rPr>
            </w:pPr>
          </w:p>
        </w:tc>
        <w:tc>
          <w:tcPr>
            <w:tcW w:w="632" w:type="pct"/>
            <w:tcBorders>
              <w:top w:val="nil"/>
              <w:left w:val="nil"/>
              <w:bottom w:val="single" w:sz="4" w:space="0" w:color="auto"/>
              <w:right w:val="single" w:sz="4" w:space="0" w:color="auto"/>
            </w:tcBorders>
            <w:shd w:val="clear" w:color="000000" w:fill="000000"/>
            <w:noWrap/>
            <w:vAlign w:val="bottom"/>
            <w:hideMark/>
          </w:tcPr>
          <w:p w14:paraId="10FCF91A" w14:textId="77777777" w:rsidR="009A356E" w:rsidRPr="00C10545" w:rsidRDefault="009A356E" w:rsidP="009A356E">
            <w:pPr>
              <w:rPr>
                <w:sz w:val="18"/>
                <w:szCs w:val="18"/>
                <w:lang w:eastAsia="en-AU"/>
              </w:rPr>
            </w:pPr>
            <w:r w:rsidRPr="00C10545">
              <w:rPr>
                <w:sz w:val="18"/>
                <w:szCs w:val="18"/>
                <w:lang w:eastAsia="en-AU"/>
              </w:rPr>
              <w:t> </w:t>
            </w:r>
          </w:p>
        </w:tc>
        <w:tc>
          <w:tcPr>
            <w:tcW w:w="632" w:type="pct"/>
            <w:tcBorders>
              <w:top w:val="nil"/>
              <w:left w:val="nil"/>
              <w:bottom w:val="single" w:sz="4" w:space="0" w:color="auto"/>
              <w:right w:val="single" w:sz="4" w:space="0" w:color="auto"/>
            </w:tcBorders>
            <w:shd w:val="clear" w:color="000000" w:fill="000000"/>
            <w:noWrap/>
            <w:vAlign w:val="bottom"/>
            <w:hideMark/>
          </w:tcPr>
          <w:p w14:paraId="53ED0F92" w14:textId="77777777" w:rsidR="009A356E" w:rsidRPr="00C10545" w:rsidRDefault="009A356E" w:rsidP="009A356E">
            <w:pPr>
              <w:rPr>
                <w:sz w:val="18"/>
                <w:szCs w:val="18"/>
                <w:lang w:eastAsia="en-AU"/>
              </w:rPr>
            </w:pPr>
            <w:r w:rsidRPr="00C10545">
              <w:rPr>
                <w:sz w:val="18"/>
                <w:szCs w:val="18"/>
                <w:lang w:eastAsia="en-AU"/>
              </w:rPr>
              <w:t> </w:t>
            </w:r>
          </w:p>
        </w:tc>
        <w:tc>
          <w:tcPr>
            <w:tcW w:w="632" w:type="pct"/>
            <w:tcBorders>
              <w:top w:val="nil"/>
              <w:left w:val="nil"/>
              <w:bottom w:val="single" w:sz="4" w:space="0" w:color="auto"/>
              <w:right w:val="single" w:sz="4" w:space="0" w:color="auto"/>
            </w:tcBorders>
            <w:shd w:val="clear" w:color="000000" w:fill="000000"/>
            <w:noWrap/>
            <w:vAlign w:val="bottom"/>
            <w:hideMark/>
          </w:tcPr>
          <w:p w14:paraId="487B2590" w14:textId="77777777" w:rsidR="009A356E" w:rsidRPr="00C10545" w:rsidRDefault="009A356E" w:rsidP="009A356E">
            <w:pPr>
              <w:rPr>
                <w:sz w:val="18"/>
                <w:szCs w:val="18"/>
                <w:lang w:eastAsia="en-AU"/>
              </w:rPr>
            </w:pPr>
            <w:r w:rsidRPr="00C10545">
              <w:rPr>
                <w:sz w:val="18"/>
                <w:szCs w:val="18"/>
                <w:lang w:eastAsia="en-AU"/>
              </w:rPr>
              <w:t> </w:t>
            </w:r>
          </w:p>
        </w:tc>
        <w:tc>
          <w:tcPr>
            <w:tcW w:w="629" w:type="pct"/>
            <w:tcBorders>
              <w:top w:val="nil"/>
              <w:left w:val="nil"/>
              <w:bottom w:val="single" w:sz="4" w:space="0" w:color="auto"/>
              <w:right w:val="single" w:sz="4" w:space="0" w:color="auto"/>
            </w:tcBorders>
            <w:shd w:val="clear" w:color="000000" w:fill="000000"/>
            <w:noWrap/>
            <w:vAlign w:val="bottom"/>
            <w:hideMark/>
          </w:tcPr>
          <w:p w14:paraId="375CD0C4" w14:textId="77777777" w:rsidR="009A356E" w:rsidRPr="00C10545" w:rsidRDefault="009A356E" w:rsidP="009A356E">
            <w:pPr>
              <w:rPr>
                <w:sz w:val="18"/>
                <w:szCs w:val="18"/>
                <w:lang w:eastAsia="en-AU"/>
              </w:rPr>
            </w:pPr>
            <w:r w:rsidRPr="00C10545">
              <w:rPr>
                <w:sz w:val="18"/>
                <w:szCs w:val="18"/>
                <w:lang w:eastAsia="en-AU"/>
              </w:rPr>
              <w:t> </w:t>
            </w:r>
          </w:p>
        </w:tc>
      </w:tr>
      <w:tr w:rsidR="009A356E" w:rsidRPr="00F23FF7" w14:paraId="5C851A80" w14:textId="77777777" w:rsidTr="009A356E">
        <w:trPr>
          <w:trHeight w:val="240"/>
        </w:trPr>
        <w:tc>
          <w:tcPr>
            <w:tcW w:w="1211" w:type="pct"/>
            <w:tcBorders>
              <w:top w:val="nil"/>
              <w:left w:val="single" w:sz="4" w:space="0" w:color="auto"/>
              <w:bottom w:val="single" w:sz="4" w:space="0" w:color="auto"/>
              <w:right w:val="single" w:sz="4" w:space="0" w:color="auto"/>
            </w:tcBorders>
            <w:shd w:val="clear" w:color="auto" w:fill="auto"/>
            <w:noWrap/>
            <w:vAlign w:val="bottom"/>
            <w:hideMark/>
          </w:tcPr>
          <w:p w14:paraId="6AC9227C" w14:textId="77777777" w:rsidR="009A356E" w:rsidRPr="00C10545" w:rsidRDefault="009A356E" w:rsidP="009A356E">
            <w:pPr>
              <w:rPr>
                <w:sz w:val="18"/>
                <w:szCs w:val="18"/>
                <w:lang w:eastAsia="en-AU"/>
              </w:rPr>
            </w:pPr>
            <w:r w:rsidRPr="00C10545">
              <w:rPr>
                <w:sz w:val="18"/>
                <w:szCs w:val="18"/>
                <w:lang w:eastAsia="en-AU"/>
              </w:rPr>
              <w:t>Alpine</w:t>
            </w:r>
          </w:p>
        </w:tc>
        <w:tc>
          <w:tcPr>
            <w:tcW w:w="632" w:type="pct"/>
            <w:tcBorders>
              <w:top w:val="nil"/>
              <w:left w:val="nil"/>
              <w:bottom w:val="single" w:sz="4" w:space="0" w:color="auto"/>
              <w:right w:val="single" w:sz="4" w:space="0" w:color="auto"/>
            </w:tcBorders>
            <w:shd w:val="clear" w:color="auto" w:fill="auto"/>
            <w:noWrap/>
            <w:vAlign w:val="bottom"/>
            <w:hideMark/>
          </w:tcPr>
          <w:p w14:paraId="413CE882" w14:textId="25FE3C22" w:rsidR="009A356E" w:rsidRPr="00C10545" w:rsidRDefault="009A356E" w:rsidP="009A356E">
            <w:pPr>
              <w:rPr>
                <w:sz w:val="18"/>
                <w:szCs w:val="18"/>
                <w:lang w:eastAsia="en-AU"/>
              </w:rPr>
            </w:pPr>
            <w:r w:rsidRPr="00C10545">
              <w:rPr>
                <w:sz w:val="18"/>
                <w:szCs w:val="18"/>
                <w:lang w:eastAsia="en-AU"/>
              </w:rPr>
              <w:t xml:space="preserve"> 116.9 </w:t>
            </w:r>
          </w:p>
        </w:tc>
        <w:tc>
          <w:tcPr>
            <w:tcW w:w="632" w:type="pct"/>
            <w:tcBorders>
              <w:top w:val="nil"/>
              <w:left w:val="nil"/>
              <w:bottom w:val="single" w:sz="4" w:space="0" w:color="auto"/>
              <w:right w:val="single" w:sz="4" w:space="0" w:color="auto"/>
            </w:tcBorders>
            <w:shd w:val="clear" w:color="auto" w:fill="auto"/>
            <w:noWrap/>
            <w:vAlign w:val="bottom"/>
            <w:hideMark/>
          </w:tcPr>
          <w:p w14:paraId="58B087A3" w14:textId="05B3B260" w:rsidR="009A356E" w:rsidRPr="00C10545" w:rsidRDefault="009A356E" w:rsidP="009A356E">
            <w:pPr>
              <w:rPr>
                <w:sz w:val="18"/>
                <w:szCs w:val="18"/>
                <w:lang w:eastAsia="en-AU"/>
              </w:rPr>
            </w:pPr>
            <w:r w:rsidRPr="00C10545">
              <w:rPr>
                <w:sz w:val="18"/>
                <w:szCs w:val="18"/>
                <w:lang w:eastAsia="en-AU"/>
              </w:rPr>
              <w:t xml:space="preserve"> 128.3 </w:t>
            </w:r>
          </w:p>
        </w:tc>
        <w:tc>
          <w:tcPr>
            <w:tcW w:w="632" w:type="pct"/>
            <w:tcBorders>
              <w:top w:val="nil"/>
              <w:left w:val="nil"/>
              <w:bottom w:val="single" w:sz="4" w:space="0" w:color="auto"/>
              <w:right w:val="single" w:sz="4" w:space="0" w:color="auto"/>
            </w:tcBorders>
            <w:shd w:val="clear" w:color="auto" w:fill="auto"/>
            <w:noWrap/>
            <w:vAlign w:val="bottom"/>
            <w:hideMark/>
          </w:tcPr>
          <w:p w14:paraId="07504BD7" w14:textId="6F5D6DDF" w:rsidR="009A356E" w:rsidRPr="00C10545" w:rsidRDefault="009A356E" w:rsidP="009A356E">
            <w:pPr>
              <w:rPr>
                <w:sz w:val="18"/>
                <w:szCs w:val="18"/>
                <w:lang w:eastAsia="en-AU"/>
              </w:rPr>
            </w:pPr>
            <w:r w:rsidRPr="00C10545">
              <w:rPr>
                <w:sz w:val="18"/>
                <w:szCs w:val="18"/>
                <w:lang w:eastAsia="en-AU"/>
              </w:rPr>
              <w:t xml:space="preserve"> 154.5 </w:t>
            </w:r>
          </w:p>
        </w:tc>
        <w:tc>
          <w:tcPr>
            <w:tcW w:w="632" w:type="pct"/>
            <w:tcBorders>
              <w:top w:val="nil"/>
              <w:left w:val="nil"/>
              <w:bottom w:val="single" w:sz="4" w:space="0" w:color="auto"/>
              <w:right w:val="single" w:sz="4" w:space="0" w:color="auto"/>
            </w:tcBorders>
            <w:shd w:val="clear" w:color="auto" w:fill="auto"/>
            <w:noWrap/>
            <w:vAlign w:val="bottom"/>
            <w:hideMark/>
          </w:tcPr>
          <w:p w14:paraId="2E7A1F7E" w14:textId="0CB185BA" w:rsidR="009A356E" w:rsidRPr="00C10545" w:rsidRDefault="009A356E" w:rsidP="009A356E">
            <w:pPr>
              <w:rPr>
                <w:sz w:val="18"/>
                <w:szCs w:val="18"/>
                <w:lang w:eastAsia="en-AU"/>
              </w:rPr>
            </w:pPr>
            <w:r w:rsidRPr="00C10545">
              <w:rPr>
                <w:sz w:val="18"/>
                <w:szCs w:val="18"/>
                <w:lang w:eastAsia="en-AU"/>
              </w:rPr>
              <w:t xml:space="preserve"> 203.9 </w:t>
            </w:r>
          </w:p>
        </w:tc>
        <w:tc>
          <w:tcPr>
            <w:tcW w:w="632" w:type="pct"/>
            <w:tcBorders>
              <w:top w:val="nil"/>
              <w:left w:val="nil"/>
              <w:bottom w:val="single" w:sz="4" w:space="0" w:color="auto"/>
              <w:right w:val="single" w:sz="4" w:space="0" w:color="auto"/>
            </w:tcBorders>
            <w:shd w:val="clear" w:color="auto" w:fill="auto"/>
            <w:noWrap/>
            <w:vAlign w:val="bottom"/>
            <w:hideMark/>
          </w:tcPr>
          <w:p w14:paraId="1E16FAF2" w14:textId="6C6FA9D3" w:rsidR="009A356E" w:rsidRPr="00C10545" w:rsidRDefault="009A356E" w:rsidP="009A356E">
            <w:pPr>
              <w:rPr>
                <w:sz w:val="18"/>
                <w:szCs w:val="18"/>
                <w:lang w:eastAsia="en-AU"/>
              </w:rPr>
            </w:pPr>
            <w:r w:rsidRPr="00C10545">
              <w:rPr>
                <w:sz w:val="18"/>
                <w:szCs w:val="18"/>
                <w:lang w:eastAsia="en-AU"/>
              </w:rPr>
              <w:t xml:space="preserve"> 198.9 </w:t>
            </w:r>
          </w:p>
        </w:tc>
        <w:tc>
          <w:tcPr>
            <w:tcW w:w="629" w:type="pct"/>
            <w:tcBorders>
              <w:top w:val="nil"/>
              <w:left w:val="nil"/>
              <w:bottom w:val="single" w:sz="4" w:space="0" w:color="auto"/>
              <w:right w:val="single" w:sz="4" w:space="0" w:color="auto"/>
            </w:tcBorders>
            <w:shd w:val="clear" w:color="auto" w:fill="auto"/>
            <w:noWrap/>
            <w:vAlign w:val="bottom"/>
            <w:hideMark/>
          </w:tcPr>
          <w:p w14:paraId="72A5C50B" w14:textId="564B304A" w:rsidR="009A356E" w:rsidRPr="00C10545" w:rsidRDefault="009A356E" w:rsidP="009A356E">
            <w:pPr>
              <w:rPr>
                <w:sz w:val="18"/>
                <w:szCs w:val="18"/>
                <w:lang w:eastAsia="en-AU"/>
              </w:rPr>
            </w:pPr>
            <w:r w:rsidRPr="00C10545">
              <w:rPr>
                <w:sz w:val="18"/>
                <w:szCs w:val="18"/>
                <w:lang w:eastAsia="en-AU"/>
              </w:rPr>
              <w:t xml:space="preserve"> 192.1 </w:t>
            </w:r>
          </w:p>
        </w:tc>
      </w:tr>
      <w:tr w:rsidR="009A356E" w:rsidRPr="00F23FF7" w14:paraId="6F24B6ED" w14:textId="77777777" w:rsidTr="009A356E">
        <w:trPr>
          <w:trHeight w:val="240"/>
        </w:trPr>
        <w:tc>
          <w:tcPr>
            <w:tcW w:w="1211" w:type="pct"/>
            <w:tcBorders>
              <w:top w:val="nil"/>
              <w:left w:val="single" w:sz="4" w:space="0" w:color="auto"/>
              <w:bottom w:val="single" w:sz="4" w:space="0" w:color="auto"/>
              <w:right w:val="single" w:sz="4" w:space="0" w:color="auto"/>
            </w:tcBorders>
            <w:shd w:val="clear" w:color="auto" w:fill="auto"/>
            <w:noWrap/>
            <w:vAlign w:val="bottom"/>
            <w:hideMark/>
          </w:tcPr>
          <w:p w14:paraId="795682BA" w14:textId="77777777" w:rsidR="009A356E" w:rsidRPr="00C10545" w:rsidRDefault="009A356E" w:rsidP="009A356E">
            <w:pPr>
              <w:rPr>
                <w:sz w:val="18"/>
                <w:szCs w:val="18"/>
                <w:lang w:eastAsia="en-AU"/>
              </w:rPr>
            </w:pPr>
            <w:r w:rsidRPr="00C10545">
              <w:rPr>
                <w:sz w:val="18"/>
                <w:szCs w:val="18"/>
                <w:lang w:eastAsia="en-AU"/>
              </w:rPr>
              <w:t>Bass Coast</w:t>
            </w:r>
          </w:p>
        </w:tc>
        <w:tc>
          <w:tcPr>
            <w:tcW w:w="632" w:type="pct"/>
            <w:tcBorders>
              <w:top w:val="nil"/>
              <w:left w:val="nil"/>
              <w:bottom w:val="single" w:sz="4" w:space="0" w:color="auto"/>
              <w:right w:val="single" w:sz="4" w:space="0" w:color="auto"/>
            </w:tcBorders>
            <w:shd w:val="clear" w:color="auto" w:fill="auto"/>
            <w:noWrap/>
            <w:vAlign w:val="bottom"/>
            <w:hideMark/>
          </w:tcPr>
          <w:p w14:paraId="06E21ECC" w14:textId="418C05FA" w:rsidR="009A356E" w:rsidRPr="00C10545" w:rsidRDefault="009A356E" w:rsidP="009A356E">
            <w:pPr>
              <w:rPr>
                <w:sz w:val="18"/>
                <w:szCs w:val="18"/>
                <w:lang w:eastAsia="en-AU"/>
              </w:rPr>
            </w:pPr>
            <w:r w:rsidRPr="00C10545">
              <w:rPr>
                <w:sz w:val="18"/>
                <w:szCs w:val="18"/>
                <w:lang w:eastAsia="en-AU"/>
              </w:rPr>
              <w:t xml:space="preserve"> 116.6 </w:t>
            </w:r>
          </w:p>
        </w:tc>
        <w:tc>
          <w:tcPr>
            <w:tcW w:w="632" w:type="pct"/>
            <w:tcBorders>
              <w:top w:val="nil"/>
              <w:left w:val="nil"/>
              <w:bottom w:val="single" w:sz="4" w:space="0" w:color="auto"/>
              <w:right w:val="single" w:sz="4" w:space="0" w:color="auto"/>
            </w:tcBorders>
            <w:shd w:val="clear" w:color="auto" w:fill="auto"/>
            <w:noWrap/>
            <w:vAlign w:val="bottom"/>
            <w:hideMark/>
          </w:tcPr>
          <w:p w14:paraId="2BC429F0" w14:textId="6D44C91E" w:rsidR="009A356E" w:rsidRPr="00C10545" w:rsidRDefault="009A356E" w:rsidP="009A356E">
            <w:pPr>
              <w:rPr>
                <w:sz w:val="18"/>
                <w:szCs w:val="18"/>
                <w:lang w:eastAsia="en-AU"/>
              </w:rPr>
            </w:pPr>
            <w:r w:rsidRPr="00C10545">
              <w:rPr>
                <w:sz w:val="18"/>
                <w:szCs w:val="18"/>
                <w:lang w:eastAsia="en-AU"/>
              </w:rPr>
              <w:t xml:space="preserve"> 113.1 </w:t>
            </w:r>
          </w:p>
        </w:tc>
        <w:tc>
          <w:tcPr>
            <w:tcW w:w="632" w:type="pct"/>
            <w:tcBorders>
              <w:top w:val="nil"/>
              <w:left w:val="nil"/>
              <w:bottom w:val="single" w:sz="4" w:space="0" w:color="auto"/>
              <w:right w:val="single" w:sz="4" w:space="0" w:color="auto"/>
            </w:tcBorders>
            <w:shd w:val="clear" w:color="auto" w:fill="auto"/>
            <w:noWrap/>
            <w:vAlign w:val="bottom"/>
            <w:hideMark/>
          </w:tcPr>
          <w:p w14:paraId="1F89AE03" w14:textId="7E63D01F" w:rsidR="009A356E" w:rsidRPr="00C10545" w:rsidRDefault="009A356E" w:rsidP="009A356E">
            <w:pPr>
              <w:rPr>
                <w:sz w:val="18"/>
                <w:szCs w:val="18"/>
                <w:lang w:eastAsia="en-AU"/>
              </w:rPr>
            </w:pPr>
            <w:r w:rsidRPr="00C10545">
              <w:rPr>
                <w:sz w:val="18"/>
                <w:szCs w:val="18"/>
                <w:lang w:eastAsia="en-AU"/>
              </w:rPr>
              <w:t xml:space="preserve"> 112.1 </w:t>
            </w:r>
          </w:p>
        </w:tc>
        <w:tc>
          <w:tcPr>
            <w:tcW w:w="632" w:type="pct"/>
            <w:tcBorders>
              <w:top w:val="nil"/>
              <w:left w:val="nil"/>
              <w:bottom w:val="single" w:sz="4" w:space="0" w:color="auto"/>
              <w:right w:val="single" w:sz="4" w:space="0" w:color="auto"/>
            </w:tcBorders>
            <w:shd w:val="clear" w:color="auto" w:fill="auto"/>
            <w:noWrap/>
            <w:vAlign w:val="bottom"/>
            <w:hideMark/>
          </w:tcPr>
          <w:p w14:paraId="7FE56A0D" w14:textId="6A56F1B3" w:rsidR="009A356E" w:rsidRPr="00C10545" w:rsidRDefault="009A356E" w:rsidP="009A356E">
            <w:pPr>
              <w:rPr>
                <w:sz w:val="18"/>
                <w:szCs w:val="18"/>
                <w:lang w:eastAsia="en-AU"/>
              </w:rPr>
            </w:pPr>
            <w:r w:rsidRPr="00C10545">
              <w:rPr>
                <w:sz w:val="18"/>
                <w:szCs w:val="18"/>
                <w:lang w:eastAsia="en-AU"/>
              </w:rPr>
              <w:t xml:space="preserve"> 126.8 </w:t>
            </w:r>
          </w:p>
        </w:tc>
        <w:tc>
          <w:tcPr>
            <w:tcW w:w="632" w:type="pct"/>
            <w:tcBorders>
              <w:top w:val="nil"/>
              <w:left w:val="nil"/>
              <w:bottom w:val="single" w:sz="4" w:space="0" w:color="auto"/>
              <w:right w:val="single" w:sz="4" w:space="0" w:color="auto"/>
            </w:tcBorders>
            <w:shd w:val="clear" w:color="auto" w:fill="auto"/>
            <w:noWrap/>
            <w:vAlign w:val="bottom"/>
            <w:hideMark/>
          </w:tcPr>
          <w:p w14:paraId="1F226112" w14:textId="61520816" w:rsidR="009A356E" w:rsidRPr="00C10545" w:rsidRDefault="009A356E" w:rsidP="009A356E">
            <w:pPr>
              <w:rPr>
                <w:sz w:val="18"/>
                <w:szCs w:val="18"/>
                <w:lang w:eastAsia="en-AU"/>
              </w:rPr>
            </w:pPr>
            <w:r w:rsidRPr="00C10545">
              <w:rPr>
                <w:sz w:val="18"/>
                <w:szCs w:val="18"/>
                <w:lang w:eastAsia="en-AU"/>
              </w:rPr>
              <w:t xml:space="preserve"> 117.9 </w:t>
            </w:r>
          </w:p>
        </w:tc>
        <w:tc>
          <w:tcPr>
            <w:tcW w:w="629" w:type="pct"/>
            <w:tcBorders>
              <w:top w:val="nil"/>
              <w:left w:val="nil"/>
              <w:bottom w:val="single" w:sz="4" w:space="0" w:color="auto"/>
              <w:right w:val="single" w:sz="4" w:space="0" w:color="auto"/>
            </w:tcBorders>
            <w:shd w:val="clear" w:color="auto" w:fill="auto"/>
            <w:noWrap/>
            <w:vAlign w:val="bottom"/>
            <w:hideMark/>
          </w:tcPr>
          <w:p w14:paraId="04F2BC0B" w14:textId="74ED9562" w:rsidR="009A356E" w:rsidRPr="00C10545" w:rsidRDefault="009A356E" w:rsidP="009A356E">
            <w:pPr>
              <w:rPr>
                <w:sz w:val="18"/>
                <w:szCs w:val="18"/>
                <w:lang w:eastAsia="en-AU"/>
              </w:rPr>
            </w:pPr>
            <w:r w:rsidRPr="00C10545">
              <w:rPr>
                <w:sz w:val="18"/>
                <w:szCs w:val="18"/>
                <w:lang w:eastAsia="en-AU"/>
              </w:rPr>
              <w:t xml:space="preserve"> 112.4</w:t>
            </w:r>
          </w:p>
        </w:tc>
      </w:tr>
      <w:tr w:rsidR="009A356E" w:rsidRPr="00F23FF7" w14:paraId="5DCE177A" w14:textId="77777777" w:rsidTr="009A356E">
        <w:trPr>
          <w:trHeight w:val="240"/>
        </w:trPr>
        <w:tc>
          <w:tcPr>
            <w:tcW w:w="1211" w:type="pct"/>
            <w:tcBorders>
              <w:top w:val="nil"/>
              <w:left w:val="single" w:sz="4" w:space="0" w:color="auto"/>
              <w:bottom w:val="single" w:sz="4" w:space="0" w:color="auto"/>
              <w:right w:val="single" w:sz="4" w:space="0" w:color="auto"/>
            </w:tcBorders>
            <w:shd w:val="clear" w:color="auto" w:fill="auto"/>
            <w:noWrap/>
            <w:vAlign w:val="bottom"/>
            <w:hideMark/>
          </w:tcPr>
          <w:p w14:paraId="6E8AA67E" w14:textId="77777777" w:rsidR="009A356E" w:rsidRPr="00C10545" w:rsidRDefault="009A356E" w:rsidP="009A356E">
            <w:pPr>
              <w:rPr>
                <w:sz w:val="18"/>
                <w:szCs w:val="18"/>
                <w:lang w:eastAsia="en-AU"/>
              </w:rPr>
            </w:pPr>
            <w:proofErr w:type="spellStart"/>
            <w:r w:rsidRPr="00C10545">
              <w:rPr>
                <w:sz w:val="18"/>
                <w:szCs w:val="18"/>
                <w:lang w:eastAsia="en-AU"/>
              </w:rPr>
              <w:t>Buloke</w:t>
            </w:r>
            <w:proofErr w:type="spellEnd"/>
          </w:p>
        </w:tc>
        <w:tc>
          <w:tcPr>
            <w:tcW w:w="632" w:type="pct"/>
            <w:tcBorders>
              <w:top w:val="nil"/>
              <w:left w:val="nil"/>
              <w:bottom w:val="single" w:sz="4" w:space="0" w:color="auto"/>
              <w:right w:val="single" w:sz="4" w:space="0" w:color="auto"/>
            </w:tcBorders>
            <w:shd w:val="clear" w:color="auto" w:fill="auto"/>
            <w:noWrap/>
            <w:vAlign w:val="bottom"/>
            <w:hideMark/>
          </w:tcPr>
          <w:p w14:paraId="58222E7A" w14:textId="741602E2" w:rsidR="009A356E" w:rsidRPr="00C10545" w:rsidRDefault="009A356E" w:rsidP="009A356E">
            <w:pPr>
              <w:rPr>
                <w:sz w:val="18"/>
                <w:szCs w:val="18"/>
                <w:lang w:eastAsia="en-AU"/>
              </w:rPr>
            </w:pPr>
            <w:r w:rsidRPr="00C10545">
              <w:rPr>
                <w:sz w:val="18"/>
                <w:szCs w:val="18"/>
                <w:lang w:eastAsia="en-AU"/>
              </w:rPr>
              <w:t xml:space="preserve"> 372.1 </w:t>
            </w:r>
          </w:p>
        </w:tc>
        <w:tc>
          <w:tcPr>
            <w:tcW w:w="632" w:type="pct"/>
            <w:tcBorders>
              <w:top w:val="nil"/>
              <w:left w:val="nil"/>
              <w:bottom w:val="single" w:sz="4" w:space="0" w:color="auto"/>
              <w:right w:val="single" w:sz="4" w:space="0" w:color="auto"/>
            </w:tcBorders>
            <w:shd w:val="clear" w:color="auto" w:fill="auto"/>
            <w:noWrap/>
            <w:vAlign w:val="bottom"/>
            <w:hideMark/>
          </w:tcPr>
          <w:p w14:paraId="325DDE28" w14:textId="2A6A0C00" w:rsidR="009A356E" w:rsidRPr="00C10545" w:rsidRDefault="009A356E" w:rsidP="009A356E">
            <w:pPr>
              <w:rPr>
                <w:sz w:val="18"/>
                <w:szCs w:val="18"/>
                <w:lang w:eastAsia="en-AU"/>
              </w:rPr>
            </w:pPr>
            <w:r w:rsidRPr="00C10545">
              <w:rPr>
                <w:sz w:val="18"/>
                <w:szCs w:val="18"/>
                <w:lang w:eastAsia="en-AU"/>
              </w:rPr>
              <w:t xml:space="preserve"> 372.0 </w:t>
            </w:r>
          </w:p>
        </w:tc>
        <w:tc>
          <w:tcPr>
            <w:tcW w:w="632" w:type="pct"/>
            <w:tcBorders>
              <w:top w:val="nil"/>
              <w:left w:val="nil"/>
              <w:bottom w:val="single" w:sz="4" w:space="0" w:color="auto"/>
              <w:right w:val="single" w:sz="4" w:space="0" w:color="auto"/>
            </w:tcBorders>
            <w:shd w:val="clear" w:color="auto" w:fill="auto"/>
            <w:noWrap/>
            <w:vAlign w:val="bottom"/>
            <w:hideMark/>
          </w:tcPr>
          <w:p w14:paraId="56206438" w14:textId="44285844" w:rsidR="009A356E" w:rsidRPr="00C10545" w:rsidRDefault="009A356E" w:rsidP="009A356E">
            <w:pPr>
              <w:rPr>
                <w:sz w:val="18"/>
                <w:szCs w:val="18"/>
                <w:lang w:eastAsia="en-AU"/>
              </w:rPr>
            </w:pPr>
            <w:r w:rsidRPr="00C10545">
              <w:rPr>
                <w:sz w:val="18"/>
                <w:szCs w:val="18"/>
                <w:lang w:eastAsia="en-AU"/>
              </w:rPr>
              <w:t xml:space="preserve"> 357.0 </w:t>
            </w:r>
          </w:p>
        </w:tc>
        <w:tc>
          <w:tcPr>
            <w:tcW w:w="632" w:type="pct"/>
            <w:tcBorders>
              <w:top w:val="nil"/>
              <w:left w:val="nil"/>
              <w:bottom w:val="single" w:sz="4" w:space="0" w:color="auto"/>
              <w:right w:val="single" w:sz="4" w:space="0" w:color="auto"/>
            </w:tcBorders>
            <w:shd w:val="clear" w:color="auto" w:fill="auto"/>
            <w:noWrap/>
            <w:vAlign w:val="bottom"/>
            <w:hideMark/>
          </w:tcPr>
          <w:p w14:paraId="33B1A152" w14:textId="3C203559" w:rsidR="009A356E" w:rsidRPr="00C10545" w:rsidRDefault="009A356E" w:rsidP="009A356E">
            <w:pPr>
              <w:rPr>
                <w:sz w:val="18"/>
                <w:szCs w:val="18"/>
                <w:lang w:eastAsia="en-AU"/>
              </w:rPr>
            </w:pPr>
            <w:r w:rsidRPr="00C10545">
              <w:rPr>
                <w:sz w:val="18"/>
                <w:szCs w:val="18"/>
                <w:lang w:eastAsia="en-AU"/>
              </w:rPr>
              <w:t xml:space="preserve"> 543.9 </w:t>
            </w:r>
          </w:p>
        </w:tc>
        <w:tc>
          <w:tcPr>
            <w:tcW w:w="632" w:type="pct"/>
            <w:tcBorders>
              <w:top w:val="nil"/>
              <w:left w:val="nil"/>
              <w:bottom w:val="single" w:sz="4" w:space="0" w:color="auto"/>
              <w:right w:val="single" w:sz="4" w:space="0" w:color="auto"/>
            </w:tcBorders>
            <w:shd w:val="clear" w:color="auto" w:fill="auto"/>
            <w:noWrap/>
            <w:vAlign w:val="bottom"/>
            <w:hideMark/>
          </w:tcPr>
          <w:p w14:paraId="40868C9F" w14:textId="380F7109" w:rsidR="009A356E" w:rsidRPr="00C10545" w:rsidRDefault="009A356E" w:rsidP="009A356E">
            <w:pPr>
              <w:rPr>
                <w:sz w:val="18"/>
                <w:szCs w:val="18"/>
                <w:lang w:eastAsia="en-AU"/>
              </w:rPr>
            </w:pPr>
            <w:r w:rsidRPr="00C10545">
              <w:rPr>
                <w:sz w:val="18"/>
                <w:szCs w:val="18"/>
                <w:lang w:eastAsia="en-AU"/>
              </w:rPr>
              <w:t xml:space="preserve"> 614.6 </w:t>
            </w:r>
          </w:p>
        </w:tc>
        <w:tc>
          <w:tcPr>
            <w:tcW w:w="629" w:type="pct"/>
            <w:tcBorders>
              <w:top w:val="nil"/>
              <w:left w:val="nil"/>
              <w:bottom w:val="single" w:sz="4" w:space="0" w:color="auto"/>
              <w:right w:val="single" w:sz="4" w:space="0" w:color="auto"/>
            </w:tcBorders>
            <w:shd w:val="clear" w:color="auto" w:fill="auto"/>
            <w:noWrap/>
            <w:vAlign w:val="bottom"/>
            <w:hideMark/>
          </w:tcPr>
          <w:p w14:paraId="04CD94B2" w14:textId="73F7533E" w:rsidR="009A356E" w:rsidRPr="00C10545" w:rsidRDefault="009A356E" w:rsidP="009A356E">
            <w:pPr>
              <w:rPr>
                <w:sz w:val="18"/>
                <w:szCs w:val="18"/>
                <w:lang w:eastAsia="en-AU"/>
              </w:rPr>
            </w:pPr>
            <w:r w:rsidRPr="00C10545">
              <w:rPr>
                <w:sz w:val="18"/>
                <w:szCs w:val="18"/>
                <w:lang w:eastAsia="en-AU"/>
              </w:rPr>
              <w:t xml:space="preserve"> 629.5 </w:t>
            </w:r>
          </w:p>
        </w:tc>
      </w:tr>
      <w:tr w:rsidR="009A356E" w:rsidRPr="00F23FF7" w14:paraId="325E36BC" w14:textId="77777777" w:rsidTr="009A356E">
        <w:trPr>
          <w:trHeight w:val="240"/>
        </w:trPr>
        <w:tc>
          <w:tcPr>
            <w:tcW w:w="1211" w:type="pct"/>
            <w:tcBorders>
              <w:top w:val="nil"/>
              <w:left w:val="single" w:sz="4" w:space="0" w:color="auto"/>
              <w:bottom w:val="single" w:sz="4" w:space="0" w:color="auto"/>
              <w:right w:val="single" w:sz="4" w:space="0" w:color="auto"/>
            </w:tcBorders>
            <w:shd w:val="clear" w:color="auto" w:fill="auto"/>
            <w:noWrap/>
            <w:vAlign w:val="bottom"/>
            <w:hideMark/>
          </w:tcPr>
          <w:p w14:paraId="4667809B" w14:textId="77777777" w:rsidR="009A356E" w:rsidRPr="00C10545" w:rsidRDefault="009A356E" w:rsidP="009A356E">
            <w:pPr>
              <w:rPr>
                <w:sz w:val="18"/>
                <w:szCs w:val="18"/>
                <w:lang w:eastAsia="en-AU"/>
              </w:rPr>
            </w:pPr>
            <w:r w:rsidRPr="00C10545">
              <w:rPr>
                <w:sz w:val="18"/>
                <w:szCs w:val="18"/>
                <w:lang w:eastAsia="en-AU"/>
              </w:rPr>
              <w:t>Golden Plains</w:t>
            </w:r>
          </w:p>
        </w:tc>
        <w:tc>
          <w:tcPr>
            <w:tcW w:w="632" w:type="pct"/>
            <w:tcBorders>
              <w:top w:val="nil"/>
              <w:left w:val="nil"/>
              <w:bottom w:val="single" w:sz="4" w:space="0" w:color="auto"/>
              <w:right w:val="single" w:sz="4" w:space="0" w:color="auto"/>
            </w:tcBorders>
            <w:shd w:val="clear" w:color="auto" w:fill="auto"/>
            <w:noWrap/>
            <w:vAlign w:val="bottom"/>
            <w:hideMark/>
          </w:tcPr>
          <w:p w14:paraId="0BBD999F" w14:textId="531597E2" w:rsidR="009A356E" w:rsidRPr="00C10545" w:rsidRDefault="009A356E" w:rsidP="009A356E">
            <w:pPr>
              <w:rPr>
                <w:sz w:val="18"/>
                <w:szCs w:val="18"/>
                <w:lang w:eastAsia="en-AU"/>
              </w:rPr>
            </w:pPr>
            <w:r w:rsidRPr="00C10545">
              <w:rPr>
                <w:sz w:val="18"/>
                <w:szCs w:val="18"/>
                <w:lang w:eastAsia="en-AU"/>
              </w:rPr>
              <w:t xml:space="preserve"> 156.4 </w:t>
            </w:r>
          </w:p>
        </w:tc>
        <w:tc>
          <w:tcPr>
            <w:tcW w:w="632" w:type="pct"/>
            <w:tcBorders>
              <w:top w:val="nil"/>
              <w:left w:val="nil"/>
              <w:bottom w:val="single" w:sz="4" w:space="0" w:color="auto"/>
              <w:right w:val="single" w:sz="4" w:space="0" w:color="auto"/>
            </w:tcBorders>
            <w:shd w:val="clear" w:color="auto" w:fill="auto"/>
            <w:noWrap/>
            <w:vAlign w:val="bottom"/>
            <w:hideMark/>
          </w:tcPr>
          <w:p w14:paraId="03BB1E0A" w14:textId="459D8C69" w:rsidR="009A356E" w:rsidRPr="00C10545" w:rsidRDefault="009A356E" w:rsidP="009A356E">
            <w:pPr>
              <w:rPr>
                <w:sz w:val="18"/>
                <w:szCs w:val="18"/>
                <w:lang w:eastAsia="en-AU"/>
              </w:rPr>
            </w:pPr>
            <w:r w:rsidRPr="00C10545">
              <w:rPr>
                <w:sz w:val="18"/>
                <w:szCs w:val="18"/>
                <w:lang w:eastAsia="en-AU"/>
              </w:rPr>
              <w:t xml:space="preserve"> 162.2 </w:t>
            </w:r>
          </w:p>
        </w:tc>
        <w:tc>
          <w:tcPr>
            <w:tcW w:w="632" w:type="pct"/>
            <w:tcBorders>
              <w:top w:val="nil"/>
              <w:left w:val="nil"/>
              <w:bottom w:val="single" w:sz="4" w:space="0" w:color="auto"/>
              <w:right w:val="single" w:sz="4" w:space="0" w:color="auto"/>
            </w:tcBorders>
            <w:shd w:val="clear" w:color="auto" w:fill="auto"/>
            <w:noWrap/>
            <w:vAlign w:val="bottom"/>
            <w:hideMark/>
          </w:tcPr>
          <w:p w14:paraId="3C7C1EBB" w14:textId="5D67A67B" w:rsidR="009A356E" w:rsidRPr="00C10545" w:rsidRDefault="009A356E" w:rsidP="009A356E">
            <w:pPr>
              <w:rPr>
                <w:sz w:val="18"/>
                <w:szCs w:val="18"/>
                <w:lang w:eastAsia="en-AU"/>
              </w:rPr>
            </w:pPr>
            <w:r w:rsidRPr="00C10545">
              <w:rPr>
                <w:sz w:val="18"/>
                <w:szCs w:val="18"/>
                <w:lang w:eastAsia="en-AU"/>
              </w:rPr>
              <w:t xml:space="preserve"> 179.3 </w:t>
            </w:r>
          </w:p>
        </w:tc>
        <w:tc>
          <w:tcPr>
            <w:tcW w:w="632" w:type="pct"/>
            <w:tcBorders>
              <w:top w:val="nil"/>
              <w:left w:val="nil"/>
              <w:bottom w:val="single" w:sz="4" w:space="0" w:color="auto"/>
              <w:right w:val="single" w:sz="4" w:space="0" w:color="auto"/>
            </w:tcBorders>
            <w:shd w:val="clear" w:color="auto" w:fill="auto"/>
            <w:noWrap/>
            <w:vAlign w:val="bottom"/>
            <w:hideMark/>
          </w:tcPr>
          <w:p w14:paraId="00B3AF26" w14:textId="1B9194EC" w:rsidR="009A356E" w:rsidRPr="00C10545" w:rsidRDefault="009A356E" w:rsidP="009A356E">
            <w:pPr>
              <w:rPr>
                <w:sz w:val="18"/>
                <w:szCs w:val="18"/>
                <w:lang w:eastAsia="en-AU"/>
              </w:rPr>
            </w:pPr>
            <w:r w:rsidRPr="00C10545">
              <w:rPr>
                <w:sz w:val="18"/>
                <w:szCs w:val="18"/>
                <w:lang w:eastAsia="en-AU"/>
              </w:rPr>
              <w:t xml:space="preserve"> 185.4 </w:t>
            </w:r>
          </w:p>
        </w:tc>
        <w:tc>
          <w:tcPr>
            <w:tcW w:w="632" w:type="pct"/>
            <w:tcBorders>
              <w:top w:val="nil"/>
              <w:left w:val="nil"/>
              <w:bottom w:val="single" w:sz="4" w:space="0" w:color="auto"/>
              <w:right w:val="single" w:sz="4" w:space="0" w:color="auto"/>
            </w:tcBorders>
            <w:shd w:val="clear" w:color="auto" w:fill="auto"/>
            <w:noWrap/>
            <w:vAlign w:val="bottom"/>
            <w:hideMark/>
          </w:tcPr>
          <w:p w14:paraId="0852F5A9" w14:textId="4DED8F2A" w:rsidR="009A356E" w:rsidRPr="00C10545" w:rsidRDefault="009A356E" w:rsidP="009A356E">
            <w:pPr>
              <w:rPr>
                <w:sz w:val="18"/>
                <w:szCs w:val="18"/>
                <w:lang w:eastAsia="en-AU"/>
              </w:rPr>
            </w:pPr>
            <w:r w:rsidRPr="00C10545">
              <w:rPr>
                <w:sz w:val="18"/>
                <w:szCs w:val="18"/>
                <w:lang w:eastAsia="en-AU"/>
              </w:rPr>
              <w:t xml:space="preserve"> 169.7 </w:t>
            </w:r>
          </w:p>
        </w:tc>
        <w:tc>
          <w:tcPr>
            <w:tcW w:w="629" w:type="pct"/>
            <w:tcBorders>
              <w:top w:val="nil"/>
              <w:left w:val="nil"/>
              <w:bottom w:val="single" w:sz="4" w:space="0" w:color="auto"/>
              <w:right w:val="single" w:sz="4" w:space="0" w:color="auto"/>
            </w:tcBorders>
            <w:shd w:val="clear" w:color="auto" w:fill="auto"/>
            <w:noWrap/>
            <w:vAlign w:val="bottom"/>
            <w:hideMark/>
          </w:tcPr>
          <w:p w14:paraId="71A7185A" w14:textId="68A9B74B" w:rsidR="009A356E" w:rsidRPr="00C10545" w:rsidRDefault="009A356E" w:rsidP="009A356E">
            <w:pPr>
              <w:rPr>
                <w:sz w:val="18"/>
                <w:szCs w:val="18"/>
                <w:lang w:eastAsia="en-AU"/>
              </w:rPr>
            </w:pPr>
            <w:r w:rsidRPr="00C10545">
              <w:rPr>
                <w:sz w:val="18"/>
                <w:szCs w:val="18"/>
                <w:lang w:eastAsia="en-AU"/>
              </w:rPr>
              <w:t xml:space="preserve"> 161.7 </w:t>
            </w:r>
          </w:p>
        </w:tc>
      </w:tr>
      <w:tr w:rsidR="009A356E" w:rsidRPr="00F23FF7" w14:paraId="16F1A4D3" w14:textId="77777777" w:rsidTr="009A356E">
        <w:trPr>
          <w:trHeight w:val="240"/>
        </w:trPr>
        <w:tc>
          <w:tcPr>
            <w:tcW w:w="1211" w:type="pct"/>
            <w:tcBorders>
              <w:top w:val="nil"/>
              <w:left w:val="single" w:sz="4" w:space="0" w:color="auto"/>
              <w:bottom w:val="single" w:sz="4" w:space="0" w:color="auto"/>
              <w:right w:val="single" w:sz="4" w:space="0" w:color="auto"/>
            </w:tcBorders>
            <w:shd w:val="clear" w:color="auto" w:fill="auto"/>
            <w:noWrap/>
            <w:vAlign w:val="bottom"/>
            <w:hideMark/>
          </w:tcPr>
          <w:p w14:paraId="63669A18" w14:textId="77777777" w:rsidR="009A356E" w:rsidRPr="00C10545" w:rsidRDefault="009A356E" w:rsidP="009A356E">
            <w:pPr>
              <w:rPr>
                <w:sz w:val="18"/>
                <w:szCs w:val="18"/>
                <w:lang w:eastAsia="en-AU"/>
              </w:rPr>
            </w:pPr>
            <w:r w:rsidRPr="00C10545">
              <w:rPr>
                <w:sz w:val="18"/>
                <w:szCs w:val="18"/>
                <w:lang w:eastAsia="en-AU"/>
              </w:rPr>
              <w:t>Indigo</w:t>
            </w:r>
          </w:p>
        </w:tc>
        <w:tc>
          <w:tcPr>
            <w:tcW w:w="632" w:type="pct"/>
            <w:tcBorders>
              <w:top w:val="nil"/>
              <w:left w:val="nil"/>
              <w:bottom w:val="single" w:sz="4" w:space="0" w:color="auto"/>
              <w:right w:val="single" w:sz="4" w:space="0" w:color="auto"/>
            </w:tcBorders>
            <w:shd w:val="clear" w:color="auto" w:fill="auto"/>
            <w:noWrap/>
            <w:vAlign w:val="bottom"/>
            <w:hideMark/>
          </w:tcPr>
          <w:p w14:paraId="723275B7" w14:textId="50651C01" w:rsidR="009A356E" w:rsidRPr="00C10545" w:rsidRDefault="009A356E" w:rsidP="009A356E">
            <w:pPr>
              <w:rPr>
                <w:sz w:val="18"/>
                <w:szCs w:val="18"/>
                <w:lang w:eastAsia="en-AU"/>
              </w:rPr>
            </w:pPr>
            <w:r w:rsidRPr="00C10545">
              <w:rPr>
                <w:sz w:val="18"/>
                <w:szCs w:val="18"/>
                <w:lang w:eastAsia="en-AU"/>
              </w:rPr>
              <w:t xml:space="preserve"> 132.9 </w:t>
            </w:r>
          </w:p>
        </w:tc>
        <w:tc>
          <w:tcPr>
            <w:tcW w:w="632" w:type="pct"/>
            <w:tcBorders>
              <w:top w:val="nil"/>
              <w:left w:val="nil"/>
              <w:bottom w:val="single" w:sz="4" w:space="0" w:color="auto"/>
              <w:right w:val="single" w:sz="4" w:space="0" w:color="auto"/>
            </w:tcBorders>
            <w:shd w:val="clear" w:color="auto" w:fill="auto"/>
            <w:noWrap/>
            <w:vAlign w:val="bottom"/>
            <w:hideMark/>
          </w:tcPr>
          <w:p w14:paraId="14DAD602" w14:textId="09245A9C" w:rsidR="009A356E" w:rsidRPr="00C10545" w:rsidRDefault="009A356E" w:rsidP="009A356E">
            <w:pPr>
              <w:rPr>
                <w:sz w:val="18"/>
                <w:szCs w:val="18"/>
                <w:lang w:eastAsia="en-AU"/>
              </w:rPr>
            </w:pPr>
            <w:r w:rsidRPr="00C10545">
              <w:rPr>
                <w:sz w:val="18"/>
                <w:szCs w:val="18"/>
                <w:lang w:eastAsia="en-AU"/>
              </w:rPr>
              <w:t xml:space="preserve"> 145.6 </w:t>
            </w:r>
          </w:p>
        </w:tc>
        <w:tc>
          <w:tcPr>
            <w:tcW w:w="632" w:type="pct"/>
            <w:tcBorders>
              <w:top w:val="nil"/>
              <w:left w:val="nil"/>
              <w:bottom w:val="single" w:sz="4" w:space="0" w:color="auto"/>
              <w:right w:val="single" w:sz="4" w:space="0" w:color="auto"/>
            </w:tcBorders>
            <w:shd w:val="clear" w:color="auto" w:fill="auto"/>
            <w:noWrap/>
            <w:vAlign w:val="bottom"/>
            <w:hideMark/>
          </w:tcPr>
          <w:p w14:paraId="2A50CD31" w14:textId="3937E121" w:rsidR="009A356E" w:rsidRPr="00C10545" w:rsidRDefault="009A356E" w:rsidP="009A356E">
            <w:pPr>
              <w:rPr>
                <w:sz w:val="18"/>
                <w:szCs w:val="18"/>
                <w:lang w:eastAsia="en-AU"/>
              </w:rPr>
            </w:pPr>
            <w:r w:rsidRPr="00C10545">
              <w:rPr>
                <w:sz w:val="18"/>
                <w:szCs w:val="18"/>
                <w:lang w:eastAsia="en-AU"/>
              </w:rPr>
              <w:t xml:space="preserve"> 154.0 </w:t>
            </w:r>
          </w:p>
        </w:tc>
        <w:tc>
          <w:tcPr>
            <w:tcW w:w="632" w:type="pct"/>
            <w:tcBorders>
              <w:top w:val="nil"/>
              <w:left w:val="nil"/>
              <w:bottom w:val="single" w:sz="4" w:space="0" w:color="auto"/>
              <w:right w:val="single" w:sz="4" w:space="0" w:color="auto"/>
            </w:tcBorders>
            <w:shd w:val="clear" w:color="auto" w:fill="auto"/>
            <w:noWrap/>
            <w:vAlign w:val="bottom"/>
            <w:hideMark/>
          </w:tcPr>
          <w:p w14:paraId="78DC88B2" w14:textId="7266A747" w:rsidR="009A356E" w:rsidRPr="00C10545" w:rsidRDefault="009A356E" w:rsidP="009A356E">
            <w:pPr>
              <w:rPr>
                <w:sz w:val="18"/>
                <w:szCs w:val="18"/>
                <w:lang w:eastAsia="en-AU"/>
              </w:rPr>
            </w:pPr>
            <w:r w:rsidRPr="00C10545">
              <w:rPr>
                <w:sz w:val="18"/>
                <w:szCs w:val="18"/>
                <w:lang w:eastAsia="en-AU"/>
              </w:rPr>
              <w:t xml:space="preserve"> 195.4 </w:t>
            </w:r>
          </w:p>
        </w:tc>
        <w:tc>
          <w:tcPr>
            <w:tcW w:w="632" w:type="pct"/>
            <w:tcBorders>
              <w:top w:val="nil"/>
              <w:left w:val="nil"/>
              <w:bottom w:val="single" w:sz="4" w:space="0" w:color="auto"/>
              <w:right w:val="single" w:sz="4" w:space="0" w:color="auto"/>
            </w:tcBorders>
            <w:shd w:val="clear" w:color="auto" w:fill="auto"/>
            <w:noWrap/>
            <w:vAlign w:val="bottom"/>
            <w:hideMark/>
          </w:tcPr>
          <w:p w14:paraId="3F7501D6" w14:textId="35A6622D" w:rsidR="009A356E" w:rsidRPr="00C10545" w:rsidRDefault="009A356E" w:rsidP="009A356E">
            <w:pPr>
              <w:rPr>
                <w:sz w:val="18"/>
                <w:szCs w:val="18"/>
                <w:lang w:eastAsia="en-AU"/>
              </w:rPr>
            </w:pPr>
            <w:r w:rsidRPr="00C10545">
              <w:rPr>
                <w:sz w:val="18"/>
                <w:szCs w:val="18"/>
                <w:lang w:eastAsia="en-AU"/>
              </w:rPr>
              <w:t xml:space="preserve"> 193.2 </w:t>
            </w:r>
          </w:p>
        </w:tc>
        <w:tc>
          <w:tcPr>
            <w:tcW w:w="629" w:type="pct"/>
            <w:tcBorders>
              <w:top w:val="nil"/>
              <w:left w:val="nil"/>
              <w:bottom w:val="single" w:sz="4" w:space="0" w:color="auto"/>
              <w:right w:val="single" w:sz="4" w:space="0" w:color="auto"/>
            </w:tcBorders>
            <w:shd w:val="clear" w:color="auto" w:fill="auto"/>
            <w:noWrap/>
            <w:vAlign w:val="bottom"/>
            <w:hideMark/>
          </w:tcPr>
          <w:p w14:paraId="06D43B3F" w14:textId="1D0A6B2B" w:rsidR="009A356E" w:rsidRPr="00C10545" w:rsidRDefault="009A356E" w:rsidP="009A356E">
            <w:pPr>
              <w:rPr>
                <w:sz w:val="18"/>
                <w:szCs w:val="18"/>
                <w:lang w:eastAsia="en-AU"/>
              </w:rPr>
            </w:pPr>
            <w:r w:rsidRPr="00C10545">
              <w:rPr>
                <w:sz w:val="18"/>
                <w:szCs w:val="18"/>
                <w:lang w:eastAsia="en-AU"/>
              </w:rPr>
              <w:t xml:space="preserve"> 184.8 </w:t>
            </w:r>
          </w:p>
        </w:tc>
      </w:tr>
      <w:tr w:rsidR="009A356E" w:rsidRPr="00F23FF7" w14:paraId="5B3110CE" w14:textId="77777777" w:rsidTr="009A356E">
        <w:trPr>
          <w:trHeight w:val="240"/>
        </w:trPr>
        <w:tc>
          <w:tcPr>
            <w:tcW w:w="1211" w:type="pct"/>
            <w:tcBorders>
              <w:top w:val="nil"/>
              <w:left w:val="single" w:sz="4" w:space="0" w:color="auto"/>
              <w:bottom w:val="single" w:sz="4" w:space="0" w:color="auto"/>
              <w:right w:val="single" w:sz="4" w:space="0" w:color="auto"/>
            </w:tcBorders>
            <w:shd w:val="clear" w:color="auto" w:fill="auto"/>
            <w:noWrap/>
            <w:vAlign w:val="bottom"/>
            <w:hideMark/>
          </w:tcPr>
          <w:p w14:paraId="4F4CEA53" w14:textId="77777777" w:rsidR="009A356E" w:rsidRPr="00C10545" w:rsidRDefault="009A356E" w:rsidP="009A356E">
            <w:pPr>
              <w:rPr>
                <w:sz w:val="18"/>
                <w:szCs w:val="18"/>
                <w:lang w:eastAsia="en-AU"/>
              </w:rPr>
            </w:pPr>
            <w:r w:rsidRPr="00C10545">
              <w:rPr>
                <w:sz w:val="18"/>
                <w:szCs w:val="18"/>
                <w:lang w:eastAsia="en-AU"/>
              </w:rPr>
              <w:t>Loddon</w:t>
            </w:r>
          </w:p>
        </w:tc>
        <w:tc>
          <w:tcPr>
            <w:tcW w:w="632" w:type="pct"/>
            <w:tcBorders>
              <w:top w:val="nil"/>
              <w:left w:val="nil"/>
              <w:bottom w:val="single" w:sz="4" w:space="0" w:color="auto"/>
              <w:right w:val="single" w:sz="4" w:space="0" w:color="auto"/>
            </w:tcBorders>
            <w:shd w:val="clear" w:color="auto" w:fill="auto"/>
            <w:noWrap/>
            <w:vAlign w:val="bottom"/>
            <w:hideMark/>
          </w:tcPr>
          <w:p w14:paraId="54C64A6B" w14:textId="0391EABA" w:rsidR="009A356E" w:rsidRPr="00C10545" w:rsidRDefault="009A356E" w:rsidP="009A356E">
            <w:pPr>
              <w:rPr>
                <w:sz w:val="18"/>
                <w:szCs w:val="18"/>
                <w:lang w:eastAsia="en-AU"/>
              </w:rPr>
            </w:pPr>
            <w:r w:rsidRPr="00C10545">
              <w:rPr>
                <w:sz w:val="18"/>
                <w:szCs w:val="18"/>
                <w:lang w:eastAsia="en-AU"/>
              </w:rPr>
              <w:t xml:space="preserve"> 358.9 </w:t>
            </w:r>
          </w:p>
        </w:tc>
        <w:tc>
          <w:tcPr>
            <w:tcW w:w="632" w:type="pct"/>
            <w:tcBorders>
              <w:top w:val="nil"/>
              <w:left w:val="nil"/>
              <w:bottom w:val="single" w:sz="4" w:space="0" w:color="auto"/>
              <w:right w:val="single" w:sz="4" w:space="0" w:color="auto"/>
            </w:tcBorders>
            <w:shd w:val="clear" w:color="auto" w:fill="auto"/>
            <w:noWrap/>
            <w:vAlign w:val="bottom"/>
            <w:hideMark/>
          </w:tcPr>
          <w:p w14:paraId="5621C3A9" w14:textId="19160276" w:rsidR="009A356E" w:rsidRPr="00C10545" w:rsidRDefault="009A356E" w:rsidP="009A356E">
            <w:pPr>
              <w:rPr>
                <w:sz w:val="18"/>
                <w:szCs w:val="18"/>
                <w:lang w:eastAsia="en-AU"/>
              </w:rPr>
            </w:pPr>
            <w:r w:rsidRPr="00C10545">
              <w:rPr>
                <w:sz w:val="18"/>
                <w:szCs w:val="18"/>
                <w:lang w:eastAsia="en-AU"/>
              </w:rPr>
              <w:t xml:space="preserve"> 358.5 </w:t>
            </w:r>
          </w:p>
        </w:tc>
        <w:tc>
          <w:tcPr>
            <w:tcW w:w="632" w:type="pct"/>
            <w:tcBorders>
              <w:top w:val="nil"/>
              <w:left w:val="nil"/>
              <w:bottom w:val="single" w:sz="4" w:space="0" w:color="auto"/>
              <w:right w:val="single" w:sz="4" w:space="0" w:color="auto"/>
            </w:tcBorders>
            <w:shd w:val="clear" w:color="auto" w:fill="auto"/>
            <w:noWrap/>
            <w:vAlign w:val="bottom"/>
            <w:hideMark/>
          </w:tcPr>
          <w:p w14:paraId="685C0D99" w14:textId="3AA2F6F6" w:rsidR="009A356E" w:rsidRPr="00C10545" w:rsidRDefault="009A356E" w:rsidP="009A356E">
            <w:pPr>
              <w:rPr>
                <w:sz w:val="18"/>
                <w:szCs w:val="18"/>
                <w:lang w:eastAsia="en-AU"/>
              </w:rPr>
            </w:pPr>
            <w:r w:rsidRPr="00C10545">
              <w:rPr>
                <w:sz w:val="18"/>
                <w:szCs w:val="18"/>
                <w:lang w:eastAsia="en-AU"/>
              </w:rPr>
              <w:t xml:space="preserve"> 438.0 </w:t>
            </w:r>
          </w:p>
        </w:tc>
        <w:tc>
          <w:tcPr>
            <w:tcW w:w="632" w:type="pct"/>
            <w:tcBorders>
              <w:top w:val="nil"/>
              <w:left w:val="nil"/>
              <w:bottom w:val="single" w:sz="4" w:space="0" w:color="auto"/>
              <w:right w:val="single" w:sz="4" w:space="0" w:color="auto"/>
            </w:tcBorders>
            <w:shd w:val="clear" w:color="auto" w:fill="auto"/>
            <w:noWrap/>
            <w:vAlign w:val="bottom"/>
            <w:hideMark/>
          </w:tcPr>
          <w:p w14:paraId="2E82934E" w14:textId="51087D60" w:rsidR="009A356E" w:rsidRPr="00C10545" w:rsidRDefault="009A356E" w:rsidP="009A356E">
            <w:pPr>
              <w:rPr>
                <w:sz w:val="18"/>
                <w:szCs w:val="18"/>
                <w:lang w:eastAsia="en-AU"/>
              </w:rPr>
            </w:pPr>
            <w:r w:rsidRPr="00C10545">
              <w:rPr>
                <w:sz w:val="18"/>
                <w:szCs w:val="18"/>
                <w:lang w:eastAsia="en-AU"/>
              </w:rPr>
              <w:t xml:space="preserve"> 646.5 </w:t>
            </w:r>
          </w:p>
        </w:tc>
        <w:tc>
          <w:tcPr>
            <w:tcW w:w="632" w:type="pct"/>
            <w:tcBorders>
              <w:top w:val="nil"/>
              <w:left w:val="nil"/>
              <w:bottom w:val="single" w:sz="4" w:space="0" w:color="auto"/>
              <w:right w:val="single" w:sz="4" w:space="0" w:color="auto"/>
            </w:tcBorders>
            <w:shd w:val="clear" w:color="auto" w:fill="auto"/>
            <w:noWrap/>
            <w:vAlign w:val="bottom"/>
            <w:hideMark/>
          </w:tcPr>
          <w:p w14:paraId="6259E050" w14:textId="2187820F" w:rsidR="009A356E" w:rsidRPr="00C10545" w:rsidRDefault="009A356E" w:rsidP="009A356E">
            <w:pPr>
              <w:rPr>
                <w:sz w:val="18"/>
                <w:szCs w:val="18"/>
                <w:lang w:eastAsia="en-AU"/>
              </w:rPr>
            </w:pPr>
            <w:r w:rsidRPr="00C10545">
              <w:rPr>
                <w:sz w:val="18"/>
                <w:szCs w:val="18"/>
                <w:lang w:eastAsia="en-AU"/>
              </w:rPr>
              <w:t xml:space="preserve"> 713.6 </w:t>
            </w:r>
          </w:p>
        </w:tc>
        <w:tc>
          <w:tcPr>
            <w:tcW w:w="629" w:type="pct"/>
            <w:tcBorders>
              <w:top w:val="nil"/>
              <w:left w:val="nil"/>
              <w:bottom w:val="single" w:sz="4" w:space="0" w:color="auto"/>
              <w:right w:val="single" w:sz="4" w:space="0" w:color="auto"/>
            </w:tcBorders>
            <w:shd w:val="clear" w:color="auto" w:fill="auto"/>
            <w:noWrap/>
            <w:vAlign w:val="bottom"/>
            <w:hideMark/>
          </w:tcPr>
          <w:p w14:paraId="2CFF5A1F" w14:textId="5B476980" w:rsidR="009A356E" w:rsidRPr="00C10545" w:rsidRDefault="009A356E" w:rsidP="009A356E">
            <w:pPr>
              <w:rPr>
                <w:sz w:val="18"/>
                <w:szCs w:val="18"/>
                <w:lang w:eastAsia="en-AU"/>
              </w:rPr>
            </w:pPr>
            <w:r w:rsidRPr="00C10545">
              <w:rPr>
                <w:sz w:val="18"/>
                <w:szCs w:val="18"/>
                <w:lang w:eastAsia="en-AU"/>
              </w:rPr>
              <w:t xml:space="preserve"> 721.1</w:t>
            </w:r>
          </w:p>
        </w:tc>
      </w:tr>
      <w:tr w:rsidR="009A356E" w:rsidRPr="00F23FF7" w14:paraId="7D0BB2E9" w14:textId="77777777" w:rsidTr="009A356E">
        <w:trPr>
          <w:trHeight w:val="240"/>
        </w:trPr>
        <w:tc>
          <w:tcPr>
            <w:tcW w:w="1211" w:type="pct"/>
            <w:tcBorders>
              <w:top w:val="nil"/>
              <w:left w:val="single" w:sz="4" w:space="0" w:color="auto"/>
              <w:bottom w:val="single" w:sz="4" w:space="0" w:color="auto"/>
              <w:right w:val="single" w:sz="4" w:space="0" w:color="auto"/>
            </w:tcBorders>
            <w:shd w:val="clear" w:color="auto" w:fill="auto"/>
            <w:noWrap/>
            <w:vAlign w:val="bottom"/>
            <w:hideMark/>
          </w:tcPr>
          <w:p w14:paraId="045E9BDC" w14:textId="77777777" w:rsidR="009A356E" w:rsidRPr="00C10545" w:rsidRDefault="009A356E" w:rsidP="009A356E">
            <w:pPr>
              <w:rPr>
                <w:sz w:val="18"/>
                <w:szCs w:val="18"/>
                <w:lang w:eastAsia="en-AU"/>
              </w:rPr>
            </w:pPr>
            <w:r w:rsidRPr="00C10545">
              <w:rPr>
                <w:sz w:val="18"/>
                <w:szCs w:val="18"/>
                <w:lang w:eastAsia="en-AU"/>
              </w:rPr>
              <w:t>Northern Grampians</w:t>
            </w:r>
          </w:p>
        </w:tc>
        <w:tc>
          <w:tcPr>
            <w:tcW w:w="632" w:type="pct"/>
            <w:tcBorders>
              <w:top w:val="nil"/>
              <w:left w:val="nil"/>
              <w:bottom w:val="single" w:sz="4" w:space="0" w:color="auto"/>
              <w:right w:val="single" w:sz="4" w:space="0" w:color="auto"/>
            </w:tcBorders>
            <w:shd w:val="clear" w:color="auto" w:fill="auto"/>
            <w:noWrap/>
            <w:vAlign w:val="bottom"/>
            <w:hideMark/>
          </w:tcPr>
          <w:p w14:paraId="3C8E056A" w14:textId="58218FEC" w:rsidR="009A356E" w:rsidRPr="00C10545" w:rsidRDefault="009A356E" w:rsidP="009A356E">
            <w:pPr>
              <w:rPr>
                <w:sz w:val="18"/>
                <w:szCs w:val="18"/>
                <w:lang w:eastAsia="en-AU"/>
              </w:rPr>
            </w:pPr>
            <w:r w:rsidRPr="00C10545">
              <w:rPr>
                <w:sz w:val="18"/>
                <w:szCs w:val="18"/>
                <w:lang w:eastAsia="en-AU"/>
              </w:rPr>
              <w:t xml:space="preserve"> 220.1 </w:t>
            </w:r>
          </w:p>
        </w:tc>
        <w:tc>
          <w:tcPr>
            <w:tcW w:w="632" w:type="pct"/>
            <w:tcBorders>
              <w:top w:val="nil"/>
              <w:left w:val="nil"/>
              <w:bottom w:val="single" w:sz="4" w:space="0" w:color="auto"/>
              <w:right w:val="single" w:sz="4" w:space="0" w:color="auto"/>
            </w:tcBorders>
            <w:shd w:val="clear" w:color="auto" w:fill="auto"/>
            <w:noWrap/>
            <w:vAlign w:val="bottom"/>
            <w:hideMark/>
          </w:tcPr>
          <w:p w14:paraId="2F7279B8" w14:textId="327CB239" w:rsidR="009A356E" w:rsidRPr="00C10545" w:rsidRDefault="009A356E" w:rsidP="009A356E">
            <w:pPr>
              <w:rPr>
                <w:sz w:val="18"/>
                <w:szCs w:val="18"/>
                <w:lang w:eastAsia="en-AU"/>
              </w:rPr>
            </w:pPr>
            <w:r w:rsidRPr="00C10545">
              <w:rPr>
                <w:sz w:val="18"/>
                <w:szCs w:val="18"/>
                <w:lang w:eastAsia="en-AU"/>
              </w:rPr>
              <w:t xml:space="preserve"> 227.6 </w:t>
            </w:r>
          </w:p>
        </w:tc>
        <w:tc>
          <w:tcPr>
            <w:tcW w:w="632" w:type="pct"/>
            <w:tcBorders>
              <w:top w:val="nil"/>
              <w:left w:val="nil"/>
              <w:bottom w:val="single" w:sz="4" w:space="0" w:color="auto"/>
              <w:right w:val="single" w:sz="4" w:space="0" w:color="auto"/>
            </w:tcBorders>
            <w:shd w:val="clear" w:color="auto" w:fill="auto"/>
            <w:noWrap/>
            <w:vAlign w:val="bottom"/>
            <w:hideMark/>
          </w:tcPr>
          <w:p w14:paraId="55B442E3" w14:textId="7C17B191" w:rsidR="009A356E" w:rsidRPr="00C10545" w:rsidRDefault="009A356E" w:rsidP="009A356E">
            <w:pPr>
              <w:rPr>
                <w:sz w:val="18"/>
                <w:szCs w:val="18"/>
                <w:lang w:eastAsia="en-AU"/>
              </w:rPr>
            </w:pPr>
            <w:r w:rsidRPr="00C10545">
              <w:rPr>
                <w:sz w:val="18"/>
                <w:szCs w:val="18"/>
                <w:lang w:eastAsia="en-AU"/>
              </w:rPr>
              <w:t xml:space="preserve"> 247.9 </w:t>
            </w:r>
          </w:p>
        </w:tc>
        <w:tc>
          <w:tcPr>
            <w:tcW w:w="632" w:type="pct"/>
            <w:tcBorders>
              <w:top w:val="nil"/>
              <w:left w:val="nil"/>
              <w:bottom w:val="single" w:sz="4" w:space="0" w:color="auto"/>
              <w:right w:val="single" w:sz="4" w:space="0" w:color="auto"/>
            </w:tcBorders>
            <w:shd w:val="clear" w:color="auto" w:fill="auto"/>
            <w:noWrap/>
            <w:vAlign w:val="bottom"/>
            <w:hideMark/>
          </w:tcPr>
          <w:p w14:paraId="7F76DD65" w14:textId="1E3577B0" w:rsidR="009A356E" w:rsidRPr="00C10545" w:rsidRDefault="009A356E" w:rsidP="009A356E">
            <w:pPr>
              <w:rPr>
                <w:sz w:val="18"/>
                <w:szCs w:val="18"/>
                <w:lang w:eastAsia="en-AU"/>
              </w:rPr>
            </w:pPr>
            <w:r w:rsidRPr="00C10545">
              <w:rPr>
                <w:sz w:val="18"/>
                <w:szCs w:val="18"/>
                <w:lang w:eastAsia="en-AU"/>
              </w:rPr>
              <w:t xml:space="preserve"> 354.0 </w:t>
            </w:r>
          </w:p>
        </w:tc>
        <w:tc>
          <w:tcPr>
            <w:tcW w:w="632" w:type="pct"/>
            <w:tcBorders>
              <w:top w:val="nil"/>
              <w:left w:val="nil"/>
              <w:bottom w:val="single" w:sz="4" w:space="0" w:color="auto"/>
              <w:right w:val="single" w:sz="4" w:space="0" w:color="auto"/>
            </w:tcBorders>
            <w:shd w:val="clear" w:color="auto" w:fill="auto"/>
            <w:noWrap/>
            <w:vAlign w:val="bottom"/>
            <w:hideMark/>
          </w:tcPr>
          <w:p w14:paraId="0E187138" w14:textId="1876BD18" w:rsidR="009A356E" w:rsidRPr="00C10545" w:rsidRDefault="009A356E" w:rsidP="009A356E">
            <w:pPr>
              <w:rPr>
                <w:sz w:val="18"/>
                <w:szCs w:val="18"/>
                <w:lang w:eastAsia="en-AU"/>
              </w:rPr>
            </w:pPr>
            <w:r w:rsidRPr="00C10545">
              <w:rPr>
                <w:sz w:val="18"/>
                <w:szCs w:val="18"/>
                <w:lang w:eastAsia="en-AU"/>
              </w:rPr>
              <w:t xml:space="preserve"> 380.1 </w:t>
            </w:r>
          </w:p>
        </w:tc>
        <w:tc>
          <w:tcPr>
            <w:tcW w:w="629" w:type="pct"/>
            <w:tcBorders>
              <w:top w:val="nil"/>
              <w:left w:val="nil"/>
              <w:bottom w:val="single" w:sz="4" w:space="0" w:color="auto"/>
              <w:right w:val="single" w:sz="4" w:space="0" w:color="auto"/>
            </w:tcBorders>
            <w:shd w:val="clear" w:color="auto" w:fill="auto"/>
            <w:noWrap/>
            <w:vAlign w:val="bottom"/>
            <w:hideMark/>
          </w:tcPr>
          <w:p w14:paraId="5ABC18AE" w14:textId="1E778565" w:rsidR="009A356E" w:rsidRPr="00C10545" w:rsidRDefault="009A356E" w:rsidP="009A356E">
            <w:pPr>
              <w:rPr>
                <w:sz w:val="18"/>
                <w:szCs w:val="18"/>
                <w:lang w:eastAsia="en-AU"/>
              </w:rPr>
            </w:pPr>
            <w:r w:rsidRPr="00C10545">
              <w:rPr>
                <w:sz w:val="18"/>
                <w:szCs w:val="18"/>
                <w:lang w:eastAsia="en-AU"/>
              </w:rPr>
              <w:t xml:space="preserve"> 383.2 </w:t>
            </w:r>
          </w:p>
        </w:tc>
      </w:tr>
      <w:tr w:rsidR="009A356E" w:rsidRPr="00F23FF7" w14:paraId="705F3A4C" w14:textId="77777777" w:rsidTr="009A356E">
        <w:trPr>
          <w:trHeight w:val="240"/>
        </w:trPr>
        <w:tc>
          <w:tcPr>
            <w:tcW w:w="1211" w:type="pct"/>
            <w:tcBorders>
              <w:top w:val="nil"/>
              <w:left w:val="single" w:sz="4" w:space="0" w:color="auto"/>
              <w:bottom w:val="single" w:sz="4" w:space="0" w:color="auto"/>
              <w:right w:val="single" w:sz="4" w:space="0" w:color="auto"/>
            </w:tcBorders>
            <w:shd w:val="clear" w:color="auto" w:fill="auto"/>
            <w:noWrap/>
            <w:vAlign w:val="bottom"/>
            <w:hideMark/>
          </w:tcPr>
          <w:p w14:paraId="44DB7D78" w14:textId="77777777" w:rsidR="009A356E" w:rsidRPr="00C10545" w:rsidRDefault="009A356E" w:rsidP="009A356E">
            <w:pPr>
              <w:rPr>
                <w:sz w:val="18"/>
                <w:szCs w:val="18"/>
                <w:lang w:eastAsia="en-AU"/>
              </w:rPr>
            </w:pPr>
            <w:proofErr w:type="spellStart"/>
            <w:r w:rsidRPr="00C10545">
              <w:rPr>
                <w:sz w:val="18"/>
                <w:szCs w:val="18"/>
                <w:lang w:eastAsia="en-AU"/>
              </w:rPr>
              <w:t>Yarriambiack</w:t>
            </w:r>
            <w:proofErr w:type="spellEnd"/>
          </w:p>
        </w:tc>
        <w:tc>
          <w:tcPr>
            <w:tcW w:w="632" w:type="pct"/>
            <w:tcBorders>
              <w:top w:val="nil"/>
              <w:left w:val="nil"/>
              <w:bottom w:val="single" w:sz="4" w:space="0" w:color="auto"/>
              <w:right w:val="single" w:sz="4" w:space="0" w:color="auto"/>
            </w:tcBorders>
            <w:shd w:val="clear" w:color="auto" w:fill="auto"/>
            <w:noWrap/>
            <w:vAlign w:val="bottom"/>
            <w:hideMark/>
          </w:tcPr>
          <w:p w14:paraId="336942EE" w14:textId="5AB56895" w:rsidR="009A356E" w:rsidRPr="00C10545" w:rsidRDefault="009A356E" w:rsidP="009A356E">
            <w:pPr>
              <w:rPr>
                <w:sz w:val="18"/>
                <w:szCs w:val="18"/>
                <w:lang w:eastAsia="en-AU"/>
              </w:rPr>
            </w:pPr>
            <w:r w:rsidRPr="00C10545">
              <w:rPr>
                <w:sz w:val="18"/>
                <w:szCs w:val="18"/>
                <w:lang w:eastAsia="en-AU"/>
              </w:rPr>
              <w:t xml:space="preserve"> 276.6 </w:t>
            </w:r>
          </w:p>
        </w:tc>
        <w:tc>
          <w:tcPr>
            <w:tcW w:w="632" w:type="pct"/>
            <w:tcBorders>
              <w:top w:val="nil"/>
              <w:left w:val="nil"/>
              <w:bottom w:val="single" w:sz="4" w:space="0" w:color="auto"/>
              <w:right w:val="single" w:sz="4" w:space="0" w:color="auto"/>
            </w:tcBorders>
            <w:shd w:val="clear" w:color="auto" w:fill="auto"/>
            <w:noWrap/>
            <w:vAlign w:val="bottom"/>
            <w:hideMark/>
          </w:tcPr>
          <w:p w14:paraId="6839723C" w14:textId="5CA7D7A3" w:rsidR="009A356E" w:rsidRPr="00C10545" w:rsidRDefault="009A356E" w:rsidP="009A356E">
            <w:pPr>
              <w:rPr>
                <w:sz w:val="18"/>
                <w:szCs w:val="18"/>
                <w:lang w:eastAsia="en-AU"/>
              </w:rPr>
            </w:pPr>
            <w:r w:rsidRPr="00C10545">
              <w:rPr>
                <w:sz w:val="18"/>
                <w:szCs w:val="18"/>
                <w:lang w:eastAsia="en-AU"/>
              </w:rPr>
              <w:t xml:space="preserve"> 277.6 </w:t>
            </w:r>
          </w:p>
        </w:tc>
        <w:tc>
          <w:tcPr>
            <w:tcW w:w="632" w:type="pct"/>
            <w:tcBorders>
              <w:top w:val="nil"/>
              <w:left w:val="nil"/>
              <w:bottom w:val="single" w:sz="4" w:space="0" w:color="auto"/>
              <w:right w:val="single" w:sz="4" w:space="0" w:color="auto"/>
            </w:tcBorders>
            <w:shd w:val="clear" w:color="auto" w:fill="auto"/>
            <w:noWrap/>
            <w:vAlign w:val="bottom"/>
            <w:hideMark/>
          </w:tcPr>
          <w:p w14:paraId="7EE05676" w14:textId="39AC5C6B" w:rsidR="009A356E" w:rsidRPr="00C10545" w:rsidRDefault="009A356E" w:rsidP="009A356E">
            <w:pPr>
              <w:rPr>
                <w:sz w:val="18"/>
                <w:szCs w:val="18"/>
                <w:lang w:eastAsia="en-AU"/>
              </w:rPr>
            </w:pPr>
            <w:r w:rsidRPr="00C10545">
              <w:rPr>
                <w:sz w:val="18"/>
                <w:szCs w:val="18"/>
                <w:lang w:eastAsia="en-AU"/>
              </w:rPr>
              <w:t xml:space="preserve"> 295.8 </w:t>
            </w:r>
          </w:p>
        </w:tc>
        <w:tc>
          <w:tcPr>
            <w:tcW w:w="632" w:type="pct"/>
            <w:tcBorders>
              <w:top w:val="nil"/>
              <w:left w:val="nil"/>
              <w:bottom w:val="single" w:sz="4" w:space="0" w:color="auto"/>
              <w:right w:val="single" w:sz="4" w:space="0" w:color="auto"/>
            </w:tcBorders>
            <w:shd w:val="clear" w:color="auto" w:fill="auto"/>
            <w:noWrap/>
            <w:vAlign w:val="bottom"/>
            <w:hideMark/>
          </w:tcPr>
          <w:p w14:paraId="7F61F7EE" w14:textId="5EA78F12" w:rsidR="009A356E" w:rsidRPr="00C10545" w:rsidRDefault="009A356E" w:rsidP="009A356E">
            <w:pPr>
              <w:rPr>
                <w:sz w:val="18"/>
                <w:szCs w:val="18"/>
                <w:lang w:eastAsia="en-AU"/>
              </w:rPr>
            </w:pPr>
            <w:r w:rsidRPr="00C10545">
              <w:rPr>
                <w:sz w:val="18"/>
                <w:szCs w:val="18"/>
                <w:lang w:eastAsia="en-AU"/>
              </w:rPr>
              <w:t xml:space="preserve"> 435.2 </w:t>
            </w:r>
          </w:p>
        </w:tc>
        <w:tc>
          <w:tcPr>
            <w:tcW w:w="632" w:type="pct"/>
            <w:tcBorders>
              <w:top w:val="nil"/>
              <w:left w:val="nil"/>
              <w:bottom w:val="single" w:sz="4" w:space="0" w:color="auto"/>
              <w:right w:val="single" w:sz="4" w:space="0" w:color="auto"/>
            </w:tcBorders>
            <w:shd w:val="clear" w:color="auto" w:fill="auto"/>
            <w:noWrap/>
            <w:vAlign w:val="bottom"/>
            <w:hideMark/>
          </w:tcPr>
          <w:p w14:paraId="6C716A75" w14:textId="617488B7" w:rsidR="009A356E" w:rsidRPr="00C10545" w:rsidRDefault="009A356E" w:rsidP="009A356E">
            <w:pPr>
              <w:rPr>
                <w:sz w:val="18"/>
                <w:szCs w:val="18"/>
                <w:lang w:eastAsia="en-AU"/>
              </w:rPr>
            </w:pPr>
            <w:r w:rsidRPr="00C10545">
              <w:rPr>
                <w:sz w:val="18"/>
                <w:szCs w:val="18"/>
                <w:lang w:eastAsia="en-AU"/>
              </w:rPr>
              <w:t xml:space="preserve"> 474.2 </w:t>
            </w:r>
          </w:p>
        </w:tc>
        <w:tc>
          <w:tcPr>
            <w:tcW w:w="629" w:type="pct"/>
            <w:tcBorders>
              <w:top w:val="nil"/>
              <w:left w:val="nil"/>
              <w:bottom w:val="single" w:sz="4" w:space="0" w:color="auto"/>
              <w:right w:val="single" w:sz="4" w:space="0" w:color="auto"/>
            </w:tcBorders>
            <w:shd w:val="clear" w:color="auto" w:fill="auto"/>
            <w:noWrap/>
            <w:vAlign w:val="bottom"/>
            <w:hideMark/>
          </w:tcPr>
          <w:p w14:paraId="560DF43A" w14:textId="4BD22582" w:rsidR="009A356E" w:rsidRPr="00C10545" w:rsidRDefault="009A356E" w:rsidP="009A356E">
            <w:pPr>
              <w:rPr>
                <w:sz w:val="18"/>
                <w:szCs w:val="18"/>
                <w:lang w:eastAsia="en-AU"/>
              </w:rPr>
            </w:pPr>
            <w:r w:rsidRPr="00C10545">
              <w:rPr>
                <w:sz w:val="18"/>
                <w:szCs w:val="18"/>
                <w:lang w:eastAsia="en-AU"/>
              </w:rPr>
              <w:t xml:space="preserve"> 470.6 </w:t>
            </w:r>
          </w:p>
        </w:tc>
      </w:tr>
      <w:tr w:rsidR="009A356E" w:rsidRPr="00F23FF7" w14:paraId="69F19E6E" w14:textId="77777777" w:rsidTr="009A356E">
        <w:trPr>
          <w:trHeight w:val="240"/>
        </w:trPr>
        <w:tc>
          <w:tcPr>
            <w:tcW w:w="1211" w:type="pct"/>
            <w:tcBorders>
              <w:top w:val="nil"/>
              <w:left w:val="single" w:sz="4" w:space="0" w:color="auto"/>
              <w:bottom w:val="single" w:sz="4" w:space="0" w:color="auto"/>
              <w:right w:val="single" w:sz="4" w:space="0" w:color="auto"/>
            </w:tcBorders>
            <w:shd w:val="clear" w:color="000000" w:fill="DAEEF3"/>
            <w:noWrap/>
            <w:vAlign w:val="bottom"/>
            <w:hideMark/>
          </w:tcPr>
          <w:p w14:paraId="104C5EA9" w14:textId="77777777" w:rsidR="009A356E" w:rsidRPr="00C10545" w:rsidRDefault="009A356E" w:rsidP="009A356E">
            <w:pPr>
              <w:rPr>
                <w:b/>
                <w:bCs/>
                <w:sz w:val="18"/>
                <w:szCs w:val="18"/>
                <w:lang w:eastAsia="en-AU"/>
              </w:rPr>
            </w:pPr>
            <w:r w:rsidRPr="00C10545">
              <w:rPr>
                <w:b/>
                <w:bCs/>
                <w:sz w:val="18"/>
                <w:szCs w:val="18"/>
                <w:lang w:eastAsia="en-AU"/>
              </w:rPr>
              <w:t>Large Shires</w:t>
            </w:r>
          </w:p>
        </w:tc>
        <w:tc>
          <w:tcPr>
            <w:tcW w:w="632" w:type="pct"/>
            <w:tcBorders>
              <w:top w:val="nil"/>
              <w:left w:val="nil"/>
              <w:bottom w:val="single" w:sz="4" w:space="0" w:color="auto"/>
              <w:right w:val="single" w:sz="4" w:space="0" w:color="auto"/>
            </w:tcBorders>
            <w:shd w:val="clear" w:color="000000" w:fill="000000"/>
            <w:noWrap/>
            <w:vAlign w:val="bottom"/>
            <w:hideMark/>
          </w:tcPr>
          <w:p w14:paraId="5CD84632" w14:textId="77777777" w:rsidR="009A356E" w:rsidRPr="00C10545" w:rsidRDefault="009A356E" w:rsidP="009A356E">
            <w:pPr>
              <w:rPr>
                <w:sz w:val="18"/>
                <w:szCs w:val="18"/>
                <w:lang w:eastAsia="en-AU"/>
              </w:rPr>
            </w:pPr>
            <w:r w:rsidRPr="00C10545">
              <w:rPr>
                <w:sz w:val="18"/>
                <w:szCs w:val="18"/>
                <w:lang w:eastAsia="en-AU"/>
              </w:rPr>
              <w:t> </w:t>
            </w:r>
          </w:p>
        </w:tc>
        <w:tc>
          <w:tcPr>
            <w:tcW w:w="632" w:type="pct"/>
            <w:tcBorders>
              <w:top w:val="nil"/>
              <w:left w:val="nil"/>
              <w:bottom w:val="single" w:sz="4" w:space="0" w:color="auto"/>
              <w:right w:val="single" w:sz="4" w:space="0" w:color="auto"/>
            </w:tcBorders>
            <w:shd w:val="clear" w:color="000000" w:fill="000000"/>
            <w:noWrap/>
            <w:vAlign w:val="bottom"/>
            <w:hideMark/>
          </w:tcPr>
          <w:p w14:paraId="7009CCF8" w14:textId="77777777" w:rsidR="009A356E" w:rsidRPr="00C10545" w:rsidRDefault="009A356E" w:rsidP="009A356E">
            <w:pPr>
              <w:rPr>
                <w:sz w:val="18"/>
                <w:szCs w:val="18"/>
                <w:lang w:eastAsia="en-AU"/>
              </w:rPr>
            </w:pPr>
            <w:r w:rsidRPr="00C10545">
              <w:rPr>
                <w:sz w:val="18"/>
                <w:szCs w:val="18"/>
                <w:lang w:eastAsia="en-AU"/>
              </w:rPr>
              <w:t> </w:t>
            </w:r>
          </w:p>
        </w:tc>
        <w:tc>
          <w:tcPr>
            <w:tcW w:w="632" w:type="pct"/>
            <w:tcBorders>
              <w:top w:val="nil"/>
              <w:left w:val="nil"/>
              <w:bottom w:val="single" w:sz="4" w:space="0" w:color="auto"/>
              <w:right w:val="single" w:sz="4" w:space="0" w:color="auto"/>
            </w:tcBorders>
            <w:shd w:val="clear" w:color="000000" w:fill="000000"/>
            <w:noWrap/>
            <w:vAlign w:val="bottom"/>
            <w:hideMark/>
          </w:tcPr>
          <w:p w14:paraId="43093A02" w14:textId="77777777" w:rsidR="009A356E" w:rsidRPr="00C10545" w:rsidRDefault="009A356E" w:rsidP="009A356E">
            <w:pPr>
              <w:rPr>
                <w:sz w:val="18"/>
                <w:szCs w:val="18"/>
                <w:lang w:eastAsia="en-AU"/>
              </w:rPr>
            </w:pPr>
            <w:r w:rsidRPr="00C10545">
              <w:rPr>
                <w:sz w:val="18"/>
                <w:szCs w:val="18"/>
                <w:lang w:eastAsia="en-AU"/>
              </w:rPr>
              <w:t> </w:t>
            </w:r>
          </w:p>
        </w:tc>
        <w:tc>
          <w:tcPr>
            <w:tcW w:w="632" w:type="pct"/>
            <w:tcBorders>
              <w:top w:val="nil"/>
              <w:left w:val="nil"/>
              <w:bottom w:val="single" w:sz="4" w:space="0" w:color="auto"/>
              <w:right w:val="single" w:sz="4" w:space="0" w:color="auto"/>
            </w:tcBorders>
            <w:shd w:val="clear" w:color="000000" w:fill="000000"/>
            <w:noWrap/>
            <w:vAlign w:val="bottom"/>
            <w:hideMark/>
          </w:tcPr>
          <w:p w14:paraId="54033891" w14:textId="77777777" w:rsidR="009A356E" w:rsidRPr="00C10545" w:rsidRDefault="009A356E" w:rsidP="009A356E">
            <w:pPr>
              <w:rPr>
                <w:sz w:val="18"/>
                <w:szCs w:val="18"/>
                <w:lang w:eastAsia="en-AU"/>
              </w:rPr>
            </w:pPr>
            <w:r w:rsidRPr="00C10545">
              <w:rPr>
                <w:sz w:val="18"/>
                <w:szCs w:val="18"/>
                <w:lang w:eastAsia="en-AU"/>
              </w:rPr>
              <w:t> </w:t>
            </w:r>
          </w:p>
        </w:tc>
        <w:tc>
          <w:tcPr>
            <w:tcW w:w="632" w:type="pct"/>
            <w:tcBorders>
              <w:top w:val="nil"/>
              <w:left w:val="nil"/>
              <w:bottom w:val="single" w:sz="4" w:space="0" w:color="auto"/>
              <w:right w:val="single" w:sz="4" w:space="0" w:color="auto"/>
            </w:tcBorders>
            <w:shd w:val="clear" w:color="000000" w:fill="000000"/>
            <w:noWrap/>
            <w:vAlign w:val="bottom"/>
            <w:hideMark/>
          </w:tcPr>
          <w:p w14:paraId="1A9DE45A" w14:textId="77777777" w:rsidR="009A356E" w:rsidRPr="00C10545" w:rsidRDefault="009A356E" w:rsidP="009A356E">
            <w:pPr>
              <w:rPr>
                <w:sz w:val="18"/>
                <w:szCs w:val="18"/>
                <w:lang w:eastAsia="en-AU"/>
              </w:rPr>
            </w:pPr>
            <w:r w:rsidRPr="00C10545">
              <w:rPr>
                <w:sz w:val="18"/>
                <w:szCs w:val="18"/>
                <w:lang w:eastAsia="en-AU"/>
              </w:rPr>
              <w:t> </w:t>
            </w:r>
          </w:p>
        </w:tc>
        <w:tc>
          <w:tcPr>
            <w:tcW w:w="629" w:type="pct"/>
            <w:tcBorders>
              <w:top w:val="nil"/>
              <w:left w:val="nil"/>
              <w:bottom w:val="single" w:sz="4" w:space="0" w:color="auto"/>
              <w:right w:val="single" w:sz="4" w:space="0" w:color="auto"/>
            </w:tcBorders>
            <w:shd w:val="clear" w:color="000000" w:fill="000000"/>
            <w:noWrap/>
            <w:vAlign w:val="bottom"/>
            <w:hideMark/>
          </w:tcPr>
          <w:p w14:paraId="364E03B9" w14:textId="77777777" w:rsidR="009A356E" w:rsidRPr="00C10545" w:rsidRDefault="009A356E" w:rsidP="009A356E">
            <w:pPr>
              <w:rPr>
                <w:sz w:val="18"/>
                <w:szCs w:val="18"/>
                <w:lang w:eastAsia="en-AU"/>
              </w:rPr>
            </w:pPr>
            <w:r w:rsidRPr="00C10545">
              <w:rPr>
                <w:sz w:val="18"/>
                <w:szCs w:val="18"/>
                <w:lang w:eastAsia="en-AU"/>
              </w:rPr>
              <w:t> </w:t>
            </w:r>
          </w:p>
        </w:tc>
      </w:tr>
      <w:tr w:rsidR="009A356E" w:rsidRPr="00F23FF7" w14:paraId="486DB34F" w14:textId="77777777" w:rsidTr="009A356E">
        <w:trPr>
          <w:trHeight w:val="240"/>
        </w:trPr>
        <w:tc>
          <w:tcPr>
            <w:tcW w:w="1211" w:type="pct"/>
            <w:tcBorders>
              <w:top w:val="nil"/>
              <w:left w:val="single" w:sz="4" w:space="0" w:color="auto"/>
              <w:bottom w:val="single" w:sz="4" w:space="0" w:color="auto"/>
              <w:right w:val="single" w:sz="4" w:space="0" w:color="auto"/>
            </w:tcBorders>
            <w:shd w:val="clear" w:color="auto" w:fill="auto"/>
            <w:noWrap/>
            <w:vAlign w:val="bottom"/>
            <w:hideMark/>
          </w:tcPr>
          <w:p w14:paraId="7557D413" w14:textId="77777777" w:rsidR="009A356E" w:rsidRPr="00C10545" w:rsidRDefault="009A356E" w:rsidP="009A356E">
            <w:pPr>
              <w:rPr>
                <w:sz w:val="18"/>
                <w:szCs w:val="18"/>
                <w:lang w:eastAsia="en-AU"/>
              </w:rPr>
            </w:pPr>
            <w:r w:rsidRPr="00C10545">
              <w:rPr>
                <w:sz w:val="18"/>
                <w:szCs w:val="18"/>
                <w:lang w:eastAsia="en-AU"/>
              </w:rPr>
              <w:t>Campaspe</w:t>
            </w:r>
          </w:p>
        </w:tc>
        <w:tc>
          <w:tcPr>
            <w:tcW w:w="632" w:type="pct"/>
            <w:tcBorders>
              <w:top w:val="nil"/>
              <w:left w:val="nil"/>
              <w:bottom w:val="single" w:sz="4" w:space="0" w:color="auto"/>
              <w:right w:val="single" w:sz="4" w:space="0" w:color="auto"/>
            </w:tcBorders>
            <w:shd w:val="clear" w:color="auto" w:fill="auto"/>
            <w:noWrap/>
            <w:vAlign w:val="bottom"/>
            <w:hideMark/>
          </w:tcPr>
          <w:p w14:paraId="456FCF3E" w14:textId="1300A9FE" w:rsidR="009A356E" w:rsidRPr="00C10545" w:rsidRDefault="009A356E" w:rsidP="009A356E">
            <w:pPr>
              <w:rPr>
                <w:sz w:val="18"/>
                <w:szCs w:val="18"/>
                <w:lang w:eastAsia="en-AU"/>
              </w:rPr>
            </w:pPr>
            <w:r w:rsidRPr="00C10545">
              <w:rPr>
                <w:sz w:val="18"/>
                <w:szCs w:val="18"/>
                <w:lang w:eastAsia="en-AU"/>
              </w:rPr>
              <w:t xml:space="preserve"> 133.9 </w:t>
            </w:r>
          </w:p>
        </w:tc>
        <w:tc>
          <w:tcPr>
            <w:tcW w:w="632" w:type="pct"/>
            <w:tcBorders>
              <w:top w:val="nil"/>
              <w:left w:val="nil"/>
              <w:bottom w:val="single" w:sz="4" w:space="0" w:color="auto"/>
              <w:right w:val="single" w:sz="4" w:space="0" w:color="auto"/>
            </w:tcBorders>
            <w:shd w:val="clear" w:color="auto" w:fill="auto"/>
            <w:noWrap/>
            <w:vAlign w:val="bottom"/>
            <w:hideMark/>
          </w:tcPr>
          <w:p w14:paraId="6D6E5E67" w14:textId="67A899F3" w:rsidR="009A356E" w:rsidRPr="00C10545" w:rsidRDefault="009A356E" w:rsidP="009A356E">
            <w:pPr>
              <w:rPr>
                <w:sz w:val="18"/>
                <w:szCs w:val="18"/>
                <w:lang w:eastAsia="en-AU"/>
              </w:rPr>
            </w:pPr>
            <w:r w:rsidRPr="00C10545">
              <w:rPr>
                <w:sz w:val="18"/>
                <w:szCs w:val="18"/>
                <w:lang w:eastAsia="en-AU"/>
              </w:rPr>
              <w:t xml:space="preserve"> 127.4 </w:t>
            </w:r>
          </w:p>
        </w:tc>
        <w:tc>
          <w:tcPr>
            <w:tcW w:w="632" w:type="pct"/>
            <w:tcBorders>
              <w:top w:val="nil"/>
              <w:left w:val="nil"/>
              <w:bottom w:val="single" w:sz="4" w:space="0" w:color="auto"/>
              <w:right w:val="single" w:sz="4" w:space="0" w:color="auto"/>
            </w:tcBorders>
            <w:shd w:val="clear" w:color="auto" w:fill="auto"/>
            <w:noWrap/>
            <w:vAlign w:val="bottom"/>
            <w:hideMark/>
          </w:tcPr>
          <w:p w14:paraId="3E28904D" w14:textId="1328018F" w:rsidR="009A356E" w:rsidRPr="00C10545" w:rsidRDefault="009A356E" w:rsidP="009A356E">
            <w:pPr>
              <w:rPr>
                <w:sz w:val="18"/>
                <w:szCs w:val="18"/>
                <w:lang w:eastAsia="en-AU"/>
              </w:rPr>
            </w:pPr>
            <w:r w:rsidRPr="00C10545">
              <w:rPr>
                <w:sz w:val="18"/>
                <w:szCs w:val="18"/>
                <w:lang w:eastAsia="en-AU"/>
              </w:rPr>
              <w:t xml:space="preserve"> 164.8 </w:t>
            </w:r>
          </w:p>
        </w:tc>
        <w:tc>
          <w:tcPr>
            <w:tcW w:w="632" w:type="pct"/>
            <w:tcBorders>
              <w:top w:val="nil"/>
              <w:left w:val="nil"/>
              <w:bottom w:val="single" w:sz="4" w:space="0" w:color="auto"/>
              <w:right w:val="single" w:sz="4" w:space="0" w:color="auto"/>
            </w:tcBorders>
            <w:shd w:val="clear" w:color="auto" w:fill="auto"/>
            <w:noWrap/>
            <w:vAlign w:val="bottom"/>
            <w:hideMark/>
          </w:tcPr>
          <w:p w14:paraId="3534AF9E" w14:textId="4C2612F4" w:rsidR="009A356E" w:rsidRPr="00C10545" w:rsidRDefault="009A356E" w:rsidP="009A356E">
            <w:pPr>
              <w:rPr>
                <w:sz w:val="18"/>
                <w:szCs w:val="18"/>
                <w:lang w:eastAsia="en-AU"/>
              </w:rPr>
            </w:pPr>
            <w:r w:rsidRPr="00C10545">
              <w:rPr>
                <w:sz w:val="18"/>
                <w:szCs w:val="18"/>
                <w:lang w:eastAsia="en-AU"/>
              </w:rPr>
              <w:t xml:space="preserve"> 195.3 </w:t>
            </w:r>
          </w:p>
        </w:tc>
        <w:tc>
          <w:tcPr>
            <w:tcW w:w="632" w:type="pct"/>
            <w:tcBorders>
              <w:top w:val="nil"/>
              <w:left w:val="nil"/>
              <w:bottom w:val="single" w:sz="4" w:space="0" w:color="auto"/>
              <w:right w:val="single" w:sz="4" w:space="0" w:color="auto"/>
            </w:tcBorders>
            <w:shd w:val="clear" w:color="auto" w:fill="auto"/>
            <w:noWrap/>
            <w:vAlign w:val="bottom"/>
            <w:hideMark/>
          </w:tcPr>
          <w:p w14:paraId="41420B7A" w14:textId="653EF436" w:rsidR="009A356E" w:rsidRPr="00C10545" w:rsidRDefault="009A356E" w:rsidP="009A356E">
            <w:pPr>
              <w:rPr>
                <w:sz w:val="18"/>
                <w:szCs w:val="18"/>
                <w:lang w:eastAsia="en-AU"/>
              </w:rPr>
            </w:pPr>
            <w:r w:rsidRPr="00C10545">
              <w:rPr>
                <w:sz w:val="18"/>
                <w:szCs w:val="18"/>
                <w:lang w:eastAsia="en-AU"/>
              </w:rPr>
              <w:t xml:space="preserve"> 207.3 </w:t>
            </w:r>
          </w:p>
        </w:tc>
        <w:tc>
          <w:tcPr>
            <w:tcW w:w="629" w:type="pct"/>
            <w:tcBorders>
              <w:top w:val="nil"/>
              <w:left w:val="nil"/>
              <w:bottom w:val="single" w:sz="4" w:space="0" w:color="auto"/>
              <w:right w:val="single" w:sz="4" w:space="0" w:color="auto"/>
            </w:tcBorders>
            <w:shd w:val="clear" w:color="auto" w:fill="auto"/>
            <w:noWrap/>
            <w:vAlign w:val="bottom"/>
            <w:hideMark/>
          </w:tcPr>
          <w:p w14:paraId="1DBF2150" w14:textId="4700E67B" w:rsidR="009A356E" w:rsidRPr="00C10545" w:rsidRDefault="009A356E" w:rsidP="009A356E">
            <w:pPr>
              <w:rPr>
                <w:sz w:val="18"/>
                <w:szCs w:val="18"/>
                <w:lang w:eastAsia="en-AU"/>
              </w:rPr>
            </w:pPr>
            <w:r w:rsidRPr="00C10545">
              <w:rPr>
                <w:sz w:val="18"/>
                <w:szCs w:val="18"/>
                <w:lang w:eastAsia="en-AU"/>
              </w:rPr>
              <w:t xml:space="preserve"> 201.3 </w:t>
            </w:r>
          </w:p>
        </w:tc>
      </w:tr>
      <w:tr w:rsidR="009A356E" w:rsidRPr="00F23FF7" w14:paraId="645C76A5" w14:textId="77777777" w:rsidTr="009A356E">
        <w:trPr>
          <w:trHeight w:val="240"/>
        </w:trPr>
        <w:tc>
          <w:tcPr>
            <w:tcW w:w="1211" w:type="pct"/>
            <w:tcBorders>
              <w:top w:val="nil"/>
              <w:left w:val="single" w:sz="4" w:space="0" w:color="auto"/>
              <w:bottom w:val="single" w:sz="4" w:space="0" w:color="auto"/>
              <w:right w:val="single" w:sz="4" w:space="0" w:color="auto"/>
            </w:tcBorders>
            <w:shd w:val="clear" w:color="auto" w:fill="auto"/>
            <w:noWrap/>
            <w:vAlign w:val="bottom"/>
            <w:hideMark/>
          </w:tcPr>
          <w:p w14:paraId="3384AED9" w14:textId="77777777" w:rsidR="009A356E" w:rsidRPr="00C10545" w:rsidRDefault="009A356E" w:rsidP="009A356E">
            <w:pPr>
              <w:rPr>
                <w:sz w:val="18"/>
                <w:szCs w:val="18"/>
                <w:lang w:eastAsia="en-AU"/>
              </w:rPr>
            </w:pPr>
            <w:r w:rsidRPr="00C10545">
              <w:rPr>
                <w:sz w:val="18"/>
                <w:szCs w:val="18"/>
                <w:lang w:eastAsia="en-AU"/>
              </w:rPr>
              <w:t>Corangamite</w:t>
            </w:r>
          </w:p>
        </w:tc>
        <w:tc>
          <w:tcPr>
            <w:tcW w:w="632" w:type="pct"/>
            <w:tcBorders>
              <w:top w:val="nil"/>
              <w:left w:val="nil"/>
              <w:bottom w:val="single" w:sz="4" w:space="0" w:color="auto"/>
              <w:right w:val="single" w:sz="4" w:space="0" w:color="auto"/>
            </w:tcBorders>
            <w:shd w:val="clear" w:color="auto" w:fill="auto"/>
            <w:noWrap/>
            <w:vAlign w:val="bottom"/>
            <w:hideMark/>
          </w:tcPr>
          <w:p w14:paraId="043489CF" w14:textId="499659C9" w:rsidR="009A356E" w:rsidRPr="00C10545" w:rsidRDefault="009A356E" w:rsidP="009A356E">
            <w:pPr>
              <w:rPr>
                <w:sz w:val="18"/>
                <w:szCs w:val="18"/>
                <w:lang w:eastAsia="en-AU"/>
              </w:rPr>
            </w:pPr>
            <w:r w:rsidRPr="00C10545">
              <w:rPr>
                <w:sz w:val="18"/>
                <w:szCs w:val="18"/>
                <w:lang w:eastAsia="en-AU"/>
              </w:rPr>
              <w:t xml:space="preserve"> 168.3 </w:t>
            </w:r>
          </w:p>
        </w:tc>
        <w:tc>
          <w:tcPr>
            <w:tcW w:w="632" w:type="pct"/>
            <w:tcBorders>
              <w:top w:val="nil"/>
              <w:left w:val="nil"/>
              <w:bottom w:val="single" w:sz="4" w:space="0" w:color="auto"/>
              <w:right w:val="single" w:sz="4" w:space="0" w:color="auto"/>
            </w:tcBorders>
            <w:shd w:val="clear" w:color="auto" w:fill="auto"/>
            <w:noWrap/>
            <w:vAlign w:val="bottom"/>
            <w:hideMark/>
          </w:tcPr>
          <w:p w14:paraId="6E978EE8" w14:textId="4EC70552" w:rsidR="009A356E" w:rsidRPr="00C10545" w:rsidRDefault="009A356E" w:rsidP="009A356E">
            <w:pPr>
              <w:rPr>
                <w:sz w:val="18"/>
                <w:szCs w:val="18"/>
                <w:lang w:eastAsia="en-AU"/>
              </w:rPr>
            </w:pPr>
            <w:r w:rsidRPr="00C10545">
              <w:rPr>
                <w:sz w:val="18"/>
                <w:szCs w:val="18"/>
                <w:lang w:eastAsia="en-AU"/>
              </w:rPr>
              <w:t xml:space="preserve"> 161.7 </w:t>
            </w:r>
          </w:p>
        </w:tc>
        <w:tc>
          <w:tcPr>
            <w:tcW w:w="632" w:type="pct"/>
            <w:tcBorders>
              <w:top w:val="nil"/>
              <w:left w:val="nil"/>
              <w:bottom w:val="single" w:sz="4" w:space="0" w:color="auto"/>
              <w:right w:val="single" w:sz="4" w:space="0" w:color="auto"/>
            </w:tcBorders>
            <w:shd w:val="clear" w:color="auto" w:fill="auto"/>
            <w:noWrap/>
            <w:vAlign w:val="bottom"/>
            <w:hideMark/>
          </w:tcPr>
          <w:p w14:paraId="475249C6" w14:textId="349496E9" w:rsidR="009A356E" w:rsidRPr="00C10545" w:rsidRDefault="009A356E" w:rsidP="009A356E">
            <w:pPr>
              <w:rPr>
                <w:sz w:val="18"/>
                <w:szCs w:val="18"/>
                <w:lang w:eastAsia="en-AU"/>
              </w:rPr>
            </w:pPr>
            <w:r w:rsidRPr="00C10545">
              <w:rPr>
                <w:sz w:val="18"/>
                <w:szCs w:val="18"/>
                <w:lang w:eastAsia="en-AU"/>
              </w:rPr>
              <w:t xml:space="preserve"> 222.6 </w:t>
            </w:r>
          </w:p>
        </w:tc>
        <w:tc>
          <w:tcPr>
            <w:tcW w:w="632" w:type="pct"/>
            <w:tcBorders>
              <w:top w:val="nil"/>
              <w:left w:val="nil"/>
              <w:bottom w:val="single" w:sz="4" w:space="0" w:color="auto"/>
              <w:right w:val="single" w:sz="4" w:space="0" w:color="auto"/>
            </w:tcBorders>
            <w:shd w:val="clear" w:color="auto" w:fill="auto"/>
            <w:noWrap/>
            <w:vAlign w:val="bottom"/>
            <w:hideMark/>
          </w:tcPr>
          <w:p w14:paraId="3AE5158F" w14:textId="3A8D7513" w:rsidR="009A356E" w:rsidRPr="00C10545" w:rsidRDefault="009A356E" w:rsidP="009A356E">
            <w:pPr>
              <w:rPr>
                <w:sz w:val="18"/>
                <w:szCs w:val="18"/>
                <w:lang w:eastAsia="en-AU"/>
              </w:rPr>
            </w:pPr>
            <w:r w:rsidRPr="00C10545">
              <w:rPr>
                <w:sz w:val="18"/>
                <w:szCs w:val="18"/>
                <w:lang w:eastAsia="en-AU"/>
              </w:rPr>
              <w:t xml:space="preserve"> 288.6 </w:t>
            </w:r>
          </w:p>
        </w:tc>
        <w:tc>
          <w:tcPr>
            <w:tcW w:w="632" w:type="pct"/>
            <w:tcBorders>
              <w:top w:val="nil"/>
              <w:left w:val="nil"/>
              <w:bottom w:val="single" w:sz="4" w:space="0" w:color="auto"/>
              <w:right w:val="single" w:sz="4" w:space="0" w:color="auto"/>
            </w:tcBorders>
            <w:shd w:val="clear" w:color="auto" w:fill="auto"/>
            <w:noWrap/>
            <w:vAlign w:val="bottom"/>
            <w:hideMark/>
          </w:tcPr>
          <w:p w14:paraId="0178E69F" w14:textId="4D0BF806" w:rsidR="009A356E" w:rsidRPr="00C10545" w:rsidRDefault="009A356E" w:rsidP="009A356E">
            <w:pPr>
              <w:rPr>
                <w:sz w:val="18"/>
                <w:szCs w:val="18"/>
                <w:lang w:eastAsia="en-AU"/>
              </w:rPr>
            </w:pPr>
            <w:r w:rsidRPr="00C10545">
              <w:rPr>
                <w:sz w:val="18"/>
                <w:szCs w:val="18"/>
                <w:lang w:eastAsia="en-AU"/>
              </w:rPr>
              <w:t xml:space="preserve"> 300.6 </w:t>
            </w:r>
          </w:p>
        </w:tc>
        <w:tc>
          <w:tcPr>
            <w:tcW w:w="629" w:type="pct"/>
            <w:tcBorders>
              <w:top w:val="nil"/>
              <w:left w:val="nil"/>
              <w:bottom w:val="single" w:sz="4" w:space="0" w:color="auto"/>
              <w:right w:val="single" w:sz="4" w:space="0" w:color="auto"/>
            </w:tcBorders>
            <w:shd w:val="clear" w:color="auto" w:fill="auto"/>
            <w:noWrap/>
            <w:vAlign w:val="bottom"/>
            <w:hideMark/>
          </w:tcPr>
          <w:p w14:paraId="163402CF" w14:textId="7E776D93" w:rsidR="009A356E" w:rsidRPr="00C10545" w:rsidRDefault="009A356E" w:rsidP="009A356E">
            <w:pPr>
              <w:rPr>
                <w:sz w:val="18"/>
                <w:szCs w:val="18"/>
                <w:lang w:eastAsia="en-AU"/>
              </w:rPr>
            </w:pPr>
            <w:r w:rsidRPr="00C10545">
              <w:rPr>
                <w:sz w:val="18"/>
                <w:szCs w:val="18"/>
                <w:lang w:eastAsia="en-AU"/>
              </w:rPr>
              <w:t xml:space="preserve"> 300.2</w:t>
            </w:r>
          </w:p>
        </w:tc>
      </w:tr>
      <w:tr w:rsidR="009A356E" w:rsidRPr="00F23FF7" w14:paraId="5708682C" w14:textId="77777777" w:rsidTr="009A356E">
        <w:trPr>
          <w:trHeight w:val="240"/>
        </w:trPr>
        <w:tc>
          <w:tcPr>
            <w:tcW w:w="1211" w:type="pct"/>
            <w:tcBorders>
              <w:top w:val="nil"/>
              <w:left w:val="single" w:sz="4" w:space="0" w:color="auto"/>
              <w:bottom w:val="single" w:sz="4" w:space="0" w:color="auto"/>
              <w:right w:val="single" w:sz="4" w:space="0" w:color="auto"/>
            </w:tcBorders>
            <w:shd w:val="clear" w:color="auto" w:fill="auto"/>
            <w:noWrap/>
            <w:vAlign w:val="bottom"/>
            <w:hideMark/>
          </w:tcPr>
          <w:p w14:paraId="4A408D2B" w14:textId="77777777" w:rsidR="009A356E" w:rsidRPr="00C10545" w:rsidRDefault="009A356E" w:rsidP="009A356E">
            <w:pPr>
              <w:rPr>
                <w:sz w:val="18"/>
                <w:szCs w:val="18"/>
                <w:lang w:eastAsia="en-AU"/>
              </w:rPr>
            </w:pPr>
            <w:r w:rsidRPr="00C10545">
              <w:rPr>
                <w:sz w:val="18"/>
                <w:szCs w:val="18"/>
                <w:lang w:eastAsia="en-AU"/>
              </w:rPr>
              <w:t>Mitchell</w:t>
            </w:r>
          </w:p>
        </w:tc>
        <w:tc>
          <w:tcPr>
            <w:tcW w:w="632" w:type="pct"/>
            <w:tcBorders>
              <w:top w:val="nil"/>
              <w:left w:val="nil"/>
              <w:bottom w:val="single" w:sz="4" w:space="0" w:color="auto"/>
              <w:right w:val="single" w:sz="4" w:space="0" w:color="auto"/>
            </w:tcBorders>
            <w:shd w:val="clear" w:color="auto" w:fill="auto"/>
            <w:noWrap/>
            <w:vAlign w:val="bottom"/>
            <w:hideMark/>
          </w:tcPr>
          <w:p w14:paraId="29747819" w14:textId="74F005CA" w:rsidR="009A356E" w:rsidRPr="00C10545" w:rsidRDefault="009A356E" w:rsidP="009A356E">
            <w:pPr>
              <w:rPr>
                <w:sz w:val="18"/>
                <w:szCs w:val="18"/>
                <w:lang w:eastAsia="en-AU"/>
              </w:rPr>
            </w:pPr>
            <w:r w:rsidRPr="00C10545">
              <w:rPr>
                <w:sz w:val="18"/>
                <w:szCs w:val="18"/>
                <w:lang w:eastAsia="en-AU"/>
              </w:rPr>
              <w:t xml:space="preserve"> 119.2 </w:t>
            </w:r>
          </w:p>
        </w:tc>
        <w:tc>
          <w:tcPr>
            <w:tcW w:w="632" w:type="pct"/>
            <w:tcBorders>
              <w:top w:val="nil"/>
              <w:left w:val="nil"/>
              <w:bottom w:val="single" w:sz="4" w:space="0" w:color="auto"/>
              <w:right w:val="single" w:sz="4" w:space="0" w:color="auto"/>
            </w:tcBorders>
            <w:shd w:val="clear" w:color="auto" w:fill="auto"/>
            <w:noWrap/>
            <w:vAlign w:val="bottom"/>
            <w:hideMark/>
          </w:tcPr>
          <w:p w14:paraId="743029E0" w14:textId="50687F46" w:rsidR="009A356E" w:rsidRPr="00C10545" w:rsidRDefault="009A356E" w:rsidP="009A356E">
            <w:pPr>
              <w:rPr>
                <w:sz w:val="18"/>
                <w:szCs w:val="18"/>
                <w:lang w:eastAsia="en-AU"/>
              </w:rPr>
            </w:pPr>
            <w:r w:rsidRPr="00C10545">
              <w:rPr>
                <w:sz w:val="18"/>
                <w:szCs w:val="18"/>
                <w:lang w:eastAsia="en-AU"/>
              </w:rPr>
              <w:t xml:space="preserve"> 121.2 </w:t>
            </w:r>
          </w:p>
        </w:tc>
        <w:tc>
          <w:tcPr>
            <w:tcW w:w="632" w:type="pct"/>
            <w:tcBorders>
              <w:top w:val="nil"/>
              <w:left w:val="nil"/>
              <w:bottom w:val="single" w:sz="4" w:space="0" w:color="auto"/>
              <w:right w:val="single" w:sz="4" w:space="0" w:color="auto"/>
            </w:tcBorders>
            <w:shd w:val="clear" w:color="auto" w:fill="auto"/>
            <w:noWrap/>
            <w:vAlign w:val="bottom"/>
            <w:hideMark/>
          </w:tcPr>
          <w:p w14:paraId="76C36B8F" w14:textId="55CCF602" w:rsidR="009A356E" w:rsidRPr="00C10545" w:rsidRDefault="009A356E" w:rsidP="009A356E">
            <w:pPr>
              <w:rPr>
                <w:sz w:val="18"/>
                <w:szCs w:val="18"/>
                <w:lang w:eastAsia="en-AU"/>
              </w:rPr>
            </w:pPr>
            <w:r w:rsidRPr="00C10545">
              <w:rPr>
                <w:sz w:val="18"/>
                <w:szCs w:val="18"/>
                <w:lang w:eastAsia="en-AU"/>
              </w:rPr>
              <w:t xml:space="preserve"> 122.6 </w:t>
            </w:r>
          </w:p>
        </w:tc>
        <w:tc>
          <w:tcPr>
            <w:tcW w:w="632" w:type="pct"/>
            <w:tcBorders>
              <w:top w:val="nil"/>
              <w:left w:val="nil"/>
              <w:bottom w:val="single" w:sz="4" w:space="0" w:color="auto"/>
              <w:right w:val="single" w:sz="4" w:space="0" w:color="auto"/>
            </w:tcBorders>
            <w:shd w:val="clear" w:color="auto" w:fill="auto"/>
            <w:noWrap/>
            <w:vAlign w:val="bottom"/>
            <w:hideMark/>
          </w:tcPr>
          <w:p w14:paraId="42025073" w14:textId="0A339328" w:rsidR="009A356E" w:rsidRPr="00C10545" w:rsidRDefault="009A356E" w:rsidP="009A356E">
            <w:pPr>
              <w:rPr>
                <w:sz w:val="18"/>
                <w:szCs w:val="18"/>
                <w:lang w:eastAsia="en-AU"/>
              </w:rPr>
            </w:pPr>
            <w:r w:rsidRPr="00C10545">
              <w:rPr>
                <w:sz w:val="18"/>
                <w:szCs w:val="18"/>
                <w:lang w:eastAsia="en-AU"/>
              </w:rPr>
              <w:t xml:space="preserve"> 123.8 </w:t>
            </w:r>
          </w:p>
        </w:tc>
        <w:tc>
          <w:tcPr>
            <w:tcW w:w="632" w:type="pct"/>
            <w:tcBorders>
              <w:top w:val="nil"/>
              <w:left w:val="nil"/>
              <w:bottom w:val="single" w:sz="4" w:space="0" w:color="auto"/>
              <w:right w:val="single" w:sz="4" w:space="0" w:color="auto"/>
            </w:tcBorders>
            <w:shd w:val="clear" w:color="auto" w:fill="auto"/>
            <w:noWrap/>
            <w:vAlign w:val="bottom"/>
            <w:hideMark/>
          </w:tcPr>
          <w:p w14:paraId="6DD51D39" w14:textId="2CD02846" w:rsidR="009A356E" w:rsidRPr="00C10545" w:rsidRDefault="009A356E" w:rsidP="009A356E">
            <w:pPr>
              <w:rPr>
                <w:sz w:val="18"/>
                <w:szCs w:val="18"/>
                <w:lang w:eastAsia="en-AU"/>
              </w:rPr>
            </w:pPr>
            <w:r w:rsidRPr="00C10545">
              <w:rPr>
                <w:sz w:val="18"/>
                <w:szCs w:val="18"/>
                <w:lang w:eastAsia="en-AU"/>
              </w:rPr>
              <w:t xml:space="preserve"> 111.4 </w:t>
            </w:r>
          </w:p>
        </w:tc>
        <w:tc>
          <w:tcPr>
            <w:tcW w:w="629" w:type="pct"/>
            <w:tcBorders>
              <w:top w:val="nil"/>
              <w:left w:val="nil"/>
              <w:bottom w:val="single" w:sz="4" w:space="0" w:color="auto"/>
              <w:right w:val="single" w:sz="4" w:space="0" w:color="auto"/>
            </w:tcBorders>
            <w:shd w:val="clear" w:color="auto" w:fill="auto"/>
            <w:noWrap/>
            <w:vAlign w:val="bottom"/>
            <w:hideMark/>
          </w:tcPr>
          <w:p w14:paraId="23CEFE8F" w14:textId="53FFEC72" w:rsidR="009A356E" w:rsidRPr="00C10545" w:rsidRDefault="009A356E" w:rsidP="009A356E">
            <w:pPr>
              <w:rPr>
                <w:sz w:val="18"/>
                <w:szCs w:val="18"/>
                <w:lang w:eastAsia="en-AU"/>
              </w:rPr>
            </w:pPr>
            <w:r w:rsidRPr="00C10545">
              <w:rPr>
                <w:sz w:val="18"/>
                <w:szCs w:val="18"/>
                <w:lang w:eastAsia="en-AU"/>
              </w:rPr>
              <w:t xml:space="preserve"> 109.7 </w:t>
            </w:r>
          </w:p>
        </w:tc>
      </w:tr>
      <w:tr w:rsidR="009A356E" w:rsidRPr="00F23FF7" w14:paraId="2C24DC3B" w14:textId="77777777" w:rsidTr="009A356E">
        <w:trPr>
          <w:trHeight w:val="240"/>
        </w:trPr>
        <w:tc>
          <w:tcPr>
            <w:tcW w:w="1211" w:type="pct"/>
            <w:tcBorders>
              <w:top w:val="nil"/>
              <w:left w:val="single" w:sz="4" w:space="0" w:color="auto"/>
              <w:bottom w:val="single" w:sz="4" w:space="0" w:color="auto"/>
              <w:right w:val="single" w:sz="4" w:space="0" w:color="auto"/>
            </w:tcBorders>
            <w:shd w:val="clear" w:color="auto" w:fill="auto"/>
            <w:noWrap/>
            <w:vAlign w:val="bottom"/>
            <w:hideMark/>
          </w:tcPr>
          <w:p w14:paraId="789150F9" w14:textId="77777777" w:rsidR="009A356E" w:rsidRPr="00C10545" w:rsidRDefault="009A356E" w:rsidP="009A356E">
            <w:pPr>
              <w:rPr>
                <w:sz w:val="18"/>
                <w:szCs w:val="18"/>
                <w:lang w:eastAsia="en-AU"/>
              </w:rPr>
            </w:pPr>
            <w:r w:rsidRPr="00C10545">
              <w:rPr>
                <w:sz w:val="18"/>
                <w:szCs w:val="18"/>
                <w:lang w:eastAsia="en-AU"/>
              </w:rPr>
              <w:t>Moira</w:t>
            </w:r>
          </w:p>
        </w:tc>
        <w:tc>
          <w:tcPr>
            <w:tcW w:w="632" w:type="pct"/>
            <w:tcBorders>
              <w:top w:val="nil"/>
              <w:left w:val="nil"/>
              <w:bottom w:val="single" w:sz="4" w:space="0" w:color="auto"/>
              <w:right w:val="single" w:sz="4" w:space="0" w:color="auto"/>
            </w:tcBorders>
            <w:shd w:val="clear" w:color="auto" w:fill="auto"/>
            <w:noWrap/>
            <w:vAlign w:val="bottom"/>
            <w:hideMark/>
          </w:tcPr>
          <w:p w14:paraId="79DC5D5C" w14:textId="35643699" w:rsidR="009A356E" w:rsidRPr="00C10545" w:rsidRDefault="009A356E" w:rsidP="009A356E">
            <w:pPr>
              <w:rPr>
                <w:sz w:val="18"/>
                <w:szCs w:val="18"/>
                <w:lang w:eastAsia="en-AU"/>
              </w:rPr>
            </w:pPr>
            <w:r w:rsidRPr="00C10545">
              <w:rPr>
                <w:sz w:val="18"/>
                <w:szCs w:val="18"/>
                <w:lang w:eastAsia="en-AU"/>
              </w:rPr>
              <w:t xml:space="preserve"> 150.7 </w:t>
            </w:r>
          </w:p>
        </w:tc>
        <w:tc>
          <w:tcPr>
            <w:tcW w:w="632" w:type="pct"/>
            <w:tcBorders>
              <w:top w:val="nil"/>
              <w:left w:val="nil"/>
              <w:bottom w:val="single" w:sz="4" w:space="0" w:color="auto"/>
              <w:right w:val="single" w:sz="4" w:space="0" w:color="auto"/>
            </w:tcBorders>
            <w:shd w:val="clear" w:color="auto" w:fill="auto"/>
            <w:noWrap/>
            <w:vAlign w:val="bottom"/>
            <w:hideMark/>
          </w:tcPr>
          <w:p w14:paraId="15F68AD6" w14:textId="0935B8D1" w:rsidR="009A356E" w:rsidRPr="00C10545" w:rsidRDefault="009A356E" w:rsidP="009A356E">
            <w:pPr>
              <w:rPr>
                <w:sz w:val="18"/>
                <w:szCs w:val="18"/>
                <w:lang w:eastAsia="en-AU"/>
              </w:rPr>
            </w:pPr>
            <w:r w:rsidRPr="00C10545">
              <w:rPr>
                <w:sz w:val="18"/>
                <w:szCs w:val="18"/>
                <w:lang w:eastAsia="en-AU"/>
              </w:rPr>
              <w:t xml:space="preserve"> 150.8 </w:t>
            </w:r>
          </w:p>
        </w:tc>
        <w:tc>
          <w:tcPr>
            <w:tcW w:w="632" w:type="pct"/>
            <w:tcBorders>
              <w:top w:val="nil"/>
              <w:left w:val="nil"/>
              <w:bottom w:val="single" w:sz="4" w:space="0" w:color="auto"/>
              <w:right w:val="single" w:sz="4" w:space="0" w:color="auto"/>
            </w:tcBorders>
            <w:shd w:val="clear" w:color="auto" w:fill="auto"/>
            <w:noWrap/>
            <w:vAlign w:val="bottom"/>
            <w:hideMark/>
          </w:tcPr>
          <w:p w14:paraId="2E38E353" w14:textId="7D404BBC" w:rsidR="009A356E" w:rsidRPr="00C10545" w:rsidRDefault="009A356E" w:rsidP="009A356E">
            <w:pPr>
              <w:rPr>
                <w:sz w:val="18"/>
                <w:szCs w:val="18"/>
                <w:lang w:eastAsia="en-AU"/>
              </w:rPr>
            </w:pPr>
            <w:r w:rsidRPr="00C10545">
              <w:rPr>
                <w:sz w:val="18"/>
                <w:szCs w:val="18"/>
                <w:lang w:eastAsia="en-AU"/>
              </w:rPr>
              <w:t xml:space="preserve"> 177.6 </w:t>
            </w:r>
          </w:p>
        </w:tc>
        <w:tc>
          <w:tcPr>
            <w:tcW w:w="632" w:type="pct"/>
            <w:tcBorders>
              <w:top w:val="nil"/>
              <w:left w:val="nil"/>
              <w:bottom w:val="single" w:sz="4" w:space="0" w:color="auto"/>
              <w:right w:val="single" w:sz="4" w:space="0" w:color="auto"/>
            </w:tcBorders>
            <w:shd w:val="clear" w:color="auto" w:fill="auto"/>
            <w:noWrap/>
            <w:vAlign w:val="bottom"/>
            <w:hideMark/>
          </w:tcPr>
          <w:p w14:paraId="5775A7BD" w14:textId="1F2DFFBB" w:rsidR="009A356E" w:rsidRPr="00C10545" w:rsidRDefault="009A356E" w:rsidP="009A356E">
            <w:pPr>
              <w:rPr>
                <w:sz w:val="18"/>
                <w:szCs w:val="18"/>
                <w:lang w:eastAsia="en-AU"/>
              </w:rPr>
            </w:pPr>
            <w:r w:rsidRPr="00C10545">
              <w:rPr>
                <w:sz w:val="18"/>
                <w:szCs w:val="18"/>
                <w:lang w:eastAsia="en-AU"/>
              </w:rPr>
              <w:t xml:space="preserve"> 215.5 </w:t>
            </w:r>
          </w:p>
        </w:tc>
        <w:tc>
          <w:tcPr>
            <w:tcW w:w="632" w:type="pct"/>
            <w:tcBorders>
              <w:top w:val="nil"/>
              <w:left w:val="nil"/>
              <w:bottom w:val="single" w:sz="4" w:space="0" w:color="auto"/>
              <w:right w:val="single" w:sz="4" w:space="0" w:color="auto"/>
            </w:tcBorders>
            <w:shd w:val="clear" w:color="auto" w:fill="auto"/>
            <w:noWrap/>
            <w:vAlign w:val="bottom"/>
            <w:hideMark/>
          </w:tcPr>
          <w:p w14:paraId="57B0ED87" w14:textId="20BD7F0E" w:rsidR="009A356E" w:rsidRPr="00C10545" w:rsidRDefault="009A356E" w:rsidP="009A356E">
            <w:pPr>
              <w:rPr>
                <w:sz w:val="18"/>
                <w:szCs w:val="18"/>
                <w:lang w:eastAsia="en-AU"/>
              </w:rPr>
            </w:pPr>
            <w:r w:rsidRPr="00C10545">
              <w:rPr>
                <w:sz w:val="18"/>
                <w:szCs w:val="18"/>
                <w:lang w:eastAsia="en-AU"/>
              </w:rPr>
              <w:t xml:space="preserve"> 227.5 </w:t>
            </w:r>
          </w:p>
        </w:tc>
        <w:tc>
          <w:tcPr>
            <w:tcW w:w="629" w:type="pct"/>
            <w:tcBorders>
              <w:top w:val="nil"/>
              <w:left w:val="nil"/>
              <w:bottom w:val="single" w:sz="4" w:space="0" w:color="auto"/>
              <w:right w:val="single" w:sz="4" w:space="0" w:color="auto"/>
            </w:tcBorders>
            <w:shd w:val="clear" w:color="auto" w:fill="auto"/>
            <w:noWrap/>
            <w:vAlign w:val="bottom"/>
            <w:hideMark/>
          </w:tcPr>
          <w:p w14:paraId="39953527" w14:textId="40F51ADF" w:rsidR="009A356E" w:rsidRPr="00C10545" w:rsidRDefault="009A356E" w:rsidP="009A356E">
            <w:pPr>
              <w:rPr>
                <w:sz w:val="18"/>
                <w:szCs w:val="18"/>
                <w:lang w:eastAsia="en-AU"/>
              </w:rPr>
            </w:pPr>
            <w:r w:rsidRPr="00C10545">
              <w:rPr>
                <w:sz w:val="18"/>
                <w:szCs w:val="18"/>
                <w:lang w:eastAsia="en-AU"/>
              </w:rPr>
              <w:t xml:space="preserve"> 223.7 </w:t>
            </w:r>
          </w:p>
        </w:tc>
      </w:tr>
      <w:tr w:rsidR="009A356E" w:rsidRPr="00F23FF7" w14:paraId="29B26625" w14:textId="77777777" w:rsidTr="009A356E">
        <w:trPr>
          <w:trHeight w:val="240"/>
        </w:trPr>
        <w:tc>
          <w:tcPr>
            <w:tcW w:w="1211" w:type="pct"/>
            <w:tcBorders>
              <w:top w:val="nil"/>
              <w:left w:val="single" w:sz="4" w:space="0" w:color="auto"/>
              <w:bottom w:val="single" w:sz="4" w:space="0" w:color="auto"/>
              <w:right w:val="single" w:sz="4" w:space="0" w:color="auto"/>
            </w:tcBorders>
            <w:shd w:val="clear" w:color="auto" w:fill="auto"/>
            <w:noWrap/>
            <w:vAlign w:val="bottom"/>
            <w:hideMark/>
          </w:tcPr>
          <w:p w14:paraId="1D218CB7" w14:textId="77777777" w:rsidR="009A356E" w:rsidRPr="00C10545" w:rsidRDefault="009A356E" w:rsidP="009A356E">
            <w:pPr>
              <w:rPr>
                <w:sz w:val="18"/>
                <w:szCs w:val="18"/>
                <w:lang w:eastAsia="en-AU"/>
              </w:rPr>
            </w:pPr>
            <w:r w:rsidRPr="00C10545">
              <w:rPr>
                <w:sz w:val="18"/>
                <w:szCs w:val="18"/>
                <w:lang w:eastAsia="en-AU"/>
              </w:rPr>
              <w:t>Moorabool</w:t>
            </w:r>
          </w:p>
        </w:tc>
        <w:tc>
          <w:tcPr>
            <w:tcW w:w="632" w:type="pct"/>
            <w:tcBorders>
              <w:top w:val="nil"/>
              <w:left w:val="nil"/>
              <w:bottom w:val="single" w:sz="4" w:space="0" w:color="auto"/>
              <w:right w:val="single" w:sz="4" w:space="0" w:color="auto"/>
            </w:tcBorders>
            <w:shd w:val="clear" w:color="auto" w:fill="auto"/>
            <w:noWrap/>
            <w:vAlign w:val="bottom"/>
            <w:hideMark/>
          </w:tcPr>
          <w:p w14:paraId="2B2014AF" w14:textId="76F2DF75" w:rsidR="009A356E" w:rsidRPr="00C10545" w:rsidRDefault="009A356E" w:rsidP="009A356E">
            <w:pPr>
              <w:rPr>
                <w:sz w:val="18"/>
                <w:szCs w:val="18"/>
                <w:lang w:eastAsia="en-AU"/>
              </w:rPr>
            </w:pPr>
            <w:r w:rsidRPr="00C10545">
              <w:rPr>
                <w:sz w:val="18"/>
                <w:szCs w:val="18"/>
                <w:lang w:eastAsia="en-AU"/>
              </w:rPr>
              <w:t xml:space="preserve"> 114.2 </w:t>
            </w:r>
          </w:p>
        </w:tc>
        <w:tc>
          <w:tcPr>
            <w:tcW w:w="632" w:type="pct"/>
            <w:tcBorders>
              <w:top w:val="nil"/>
              <w:left w:val="nil"/>
              <w:bottom w:val="single" w:sz="4" w:space="0" w:color="auto"/>
              <w:right w:val="single" w:sz="4" w:space="0" w:color="auto"/>
            </w:tcBorders>
            <w:shd w:val="clear" w:color="auto" w:fill="auto"/>
            <w:noWrap/>
            <w:vAlign w:val="bottom"/>
            <w:hideMark/>
          </w:tcPr>
          <w:p w14:paraId="08C64D00" w14:textId="13B77DC0" w:rsidR="009A356E" w:rsidRPr="00C10545" w:rsidRDefault="009A356E" w:rsidP="009A356E">
            <w:pPr>
              <w:rPr>
                <w:sz w:val="18"/>
                <w:szCs w:val="18"/>
                <w:lang w:eastAsia="en-AU"/>
              </w:rPr>
            </w:pPr>
            <w:r w:rsidRPr="00C10545">
              <w:rPr>
                <w:sz w:val="18"/>
                <w:szCs w:val="18"/>
                <w:lang w:eastAsia="en-AU"/>
              </w:rPr>
              <w:t xml:space="preserve"> 124.1 </w:t>
            </w:r>
          </w:p>
        </w:tc>
        <w:tc>
          <w:tcPr>
            <w:tcW w:w="632" w:type="pct"/>
            <w:tcBorders>
              <w:top w:val="nil"/>
              <w:left w:val="nil"/>
              <w:bottom w:val="single" w:sz="4" w:space="0" w:color="auto"/>
              <w:right w:val="single" w:sz="4" w:space="0" w:color="auto"/>
            </w:tcBorders>
            <w:shd w:val="clear" w:color="auto" w:fill="auto"/>
            <w:noWrap/>
            <w:vAlign w:val="bottom"/>
            <w:hideMark/>
          </w:tcPr>
          <w:p w14:paraId="3A84C128" w14:textId="2CBE8CCC" w:rsidR="009A356E" w:rsidRPr="00C10545" w:rsidRDefault="009A356E" w:rsidP="009A356E">
            <w:pPr>
              <w:rPr>
                <w:sz w:val="18"/>
                <w:szCs w:val="18"/>
                <w:lang w:eastAsia="en-AU"/>
              </w:rPr>
            </w:pPr>
            <w:r w:rsidRPr="00C10545">
              <w:rPr>
                <w:sz w:val="18"/>
                <w:szCs w:val="18"/>
                <w:lang w:eastAsia="en-AU"/>
              </w:rPr>
              <w:t xml:space="preserve"> 134.2 </w:t>
            </w:r>
          </w:p>
        </w:tc>
        <w:tc>
          <w:tcPr>
            <w:tcW w:w="632" w:type="pct"/>
            <w:tcBorders>
              <w:top w:val="nil"/>
              <w:left w:val="nil"/>
              <w:bottom w:val="single" w:sz="4" w:space="0" w:color="auto"/>
              <w:right w:val="single" w:sz="4" w:space="0" w:color="auto"/>
            </w:tcBorders>
            <w:shd w:val="clear" w:color="auto" w:fill="auto"/>
            <w:noWrap/>
            <w:vAlign w:val="bottom"/>
            <w:hideMark/>
          </w:tcPr>
          <w:p w14:paraId="11F2F24D" w14:textId="27709066" w:rsidR="009A356E" w:rsidRPr="00C10545" w:rsidRDefault="009A356E" w:rsidP="009A356E">
            <w:pPr>
              <w:rPr>
                <w:sz w:val="18"/>
                <w:szCs w:val="18"/>
                <w:lang w:eastAsia="en-AU"/>
              </w:rPr>
            </w:pPr>
            <w:r w:rsidRPr="00C10545">
              <w:rPr>
                <w:sz w:val="18"/>
                <w:szCs w:val="18"/>
                <w:lang w:eastAsia="en-AU"/>
              </w:rPr>
              <w:t xml:space="preserve"> 137.8 </w:t>
            </w:r>
          </w:p>
        </w:tc>
        <w:tc>
          <w:tcPr>
            <w:tcW w:w="632" w:type="pct"/>
            <w:tcBorders>
              <w:top w:val="nil"/>
              <w:left w:val="nil"/>
              <w:bottom w:val="single" w:sz="4" w:space="0" w:color="auto"/>
              <w:right w:val="single" w:sz="4" w:space="0" w:color="auto"/>
            </w:tcBorders>
            <w:shd w:val="clear" w:color="auto" w:fill="auto"/>
            <w:noWrap/>
            <w:vAlign w:val="bottom"/>
            <w:hideMark/>
          </w:tcPr>
          <w:p w14:paraId="3046347D" w14:textId="1FF7977E" w:rsidR="009A356E" w:rsidRPr="00C10545" w:rsidRDefault="009A356E" w:rsidP="009A356E">
            <w:pPr>
              <w:rPr>
                <w:sz w:val="18"/>
                <w:szCs w:val="18"/>
                <w:lang w:eastAsia="en-AU"/>
              </w:rPr>
            </w:pPr>
            <w:r w:rsidRPr="00C10545">
              <w:rPr>
                <w:sz w:val="18"/>
                <w:szCs w:val="18"/>
                <w:lang w:eastAsia="en-AU"/>
              </w:rPr>
              <w:t xml:space="preserve"> 124.2 </w:t>
            </w:r>
          </w:p>
        </w:tc>
        <w:tc>
          <w:tcPr>
            <w:tcW w:w="629" w:type="pct"/>
            <w:tcBorders>
              <w:top w:val="nil"/>
              <w:left w:val="nil"/>
              <w:bottom w:val="single" w:sz="4" w:space="0" w:color="auto"/>
              <w:right w:val="single" w:sz="4" w:space="0" w:color="auto"/>
            </w:tcBorders>
            <w:shd w:val="clear" w:color="auto" w:fill="auto"/>
            <w:noWrap/>
            <w:vAlign w:val="bottom"/>
            <w:hideMark/>
          </w:tcPr>
          <w:p w14:paraId="105861F3" w14:textId="25F26B57" w:rsidR="009A356E" w:rsidRPr="00C10545" w:rsidRDefault="009A356E" w:rsidP="009A356E">
            <w:pPr>
              <w:rPr>
                <w:sz w:val="18"/>
                <w:szCs w:val="18"/>
                <w:lang w:eastAsia="en-AU"/>
              </w:rPr>
            </w:pPr>
            <w:r w:rsidRPr="00C10545">
              <w:rPr>
                <w:sz w:val="18"/>
                <w:szCs w:val="18"/>
                <w:lang w:eastAsia="en-AU"/>
              </w:rPr>
              <w:t xml:space="preserve"> 121.0 </w:t>
            </w:r>
          </w:p>
        </w:tc>
      </w:tr>
      <w:tr w:rsidR="009A356E" w:rsidRPr="00F23FF7" w14:paraId="070A2114" w14:textId="77777777" w:rsidTr="009A356E">
        <w:trPr>
          <w:trHeight w:val="240"/>
        </w:trPr>
        <w:tc>
          <w:tcPr>
            <w:tcW w:w="1211" w:type="pct"/>
            <w:tcBorders>
              <w:top w:val="nil"/>
              <w:left w:val="single" w:sz="4" w:space="0" w:color="auto"/>
              <w:bottom w:val="single" w:sz="4" w:space="0" w:color="auto"/>
              <w:right w:val="single" w:sz="4" w:space="0" w:color="auto"/>
            </w:tcBorders>
            <w:shd w:val="clear" w:color="auto" w:fill="auto"/>
            <w:noWrap/>
            <w:vAlign w:val="bottom"/>
            <w:hideMark/>
          </w:tcPr>
          <w:p w14:paraId="3C055C21" w14:textId="77777777" w:rsidR="009A356E" w:rsidRPr="00C10545" w:rsidRDefault="009A356E" w:rsidP="009A356E">
            <w:pPr>
              <w:rPr>
                <w:sz w:val="18"/>
                <w:szCs w:val="18"/>
                <w:lang w:eastAsia="en-AU"/>
              </w:rPr>
            </w:pPr>
            <w:r w:rsidRPr="00C10545">
              <w:rPr>
                <w:sz w:val="18"/>
                <w:szCs w:val="18"/>
                <w:lang w:eastAsia="en-AU"/>
              </w:rPr>
              <w:t>Murrindindi</w:t>
            </w:r>
          </w:p>
        </w:tc>
        <w:tc>
          <w:tcPr>
            <w:tcW w:w="632" w:type="pct"/>
            <w:tcBorders>
              <w:top w:val="nil"/>
              <w:left w:val="nil"/>
              <w:bottom w:val="single" w:sz="4" w:space="0" w:color="auto"/>
              <w:right w:val="single" w:sz="4" w:space="0" w:color="auto"/>
            </w:tcBorders>
            <w:shd w:val="clear" w:color="auto" w:fill="auto"/>
            <w:noWrap/>
            <w:vAlign w:val="bottom"/>
            <w:hideMark/>
          </w:tcPr>
          <w:p w14:paraId="34AC2ACA" w14:textId="563CE8D2" w:rsidR="009A356E" w:rsidRPr="00C10545" w:rsidRDefault="009A356E" w:rsidP="009A356E">
            <w:pPr>
              <w:rPr>
                <w:sz w:val="18"/>
                <w:szCs w:val="18"/>
                <w:lang w:eastAsia="en-AU"/>
              </w:rPr>
            </w:pPr>
            <w:r w:rsidRPr="00C10545">
              <w:rPr>
                <w:sz w:val="18"/>
                <w:szCs w:val="18"/>
                <w:lang w:eastAsia="en-AU"/>
              </w:rPr>
              <w:t xml:space="preserve"> 132.6 </w:t>
            </w:r>
          </w:p>
        </w:tc>
        <w:tc>
          <w:tcPr>
            <w:tcW w:w="632" w:type="pct"/>
            <w:tcBorders>
              <w:top w:val="nil"/>
              <w:left w:val="nil"/>
              <w:bottom w:val="single" w:sz="4" w:space="0" w:color="auto"/>
              <w:right w:val="single" w:sz="4" w:space="0" w:color="auto"/>
            </w:tcBorders>
            <w:shd w:val="clear" w:color="auto" w:fill="auto"/>
            <w:noWrap/>
            <w:vAlign w:val="bottom"/>
            <w:hideMark/>
          </w:tcPr>
          <w:p w14:paraId="4BF26831" w14:textId="73755272" w:rsidR="009A356E" w:rsidRPr="00C10545" w:rsidRDefault="009A356E" w:rsidP="009A356E">
            <w:pPr>
              <w:rPr>
                <w:sz w:val="18"/>
                <w:szCs w:val="18"/>
                <w:lang w:eastAsia="en-AU"/>
              </w:rPr>
            </w:pPr>
            <w:r w:rsidRPr="00C10545">
              <w:rPr>
                <w:sz w:val="18"/>
                <w:szCs w:val="18"/>
                <w:lang w:eastAsia="en-AU"/>
              </w:rPr>
              <w:t xml:space="preserve"> 127.2 </w:t>
            </w:r>
          </w:p>
        </w:tc>
        <w:tc>
          <w:tcPr>
            <w:tcW w:w="632" w:type="pct"/>
            <w:tcBorders>
              <w:top w:val="nil"/>
              <w:left w:val="nil"/>
              <w:bottom w:val="single" w:sz="4" w:space="0" w:color="auto"/>
              <w:right w:val="single" w:sz="4" w:space="0" w:color="auto"/>
            </w:tcBorders>
            <w:shd w:val="clear" w:color="auto" w:fill="auto"/>
            <w:noWrap/>
            <w:vAlign w:val="bottom"/>
            <w:hideMark/>
          </w:tcPr>
          <w:p w14:paraId="2D93ED5A" w14:textId="3D1B8C1C" w:rsidR="009A356E" w:rsidRPr="00C10545" w:rsidRDefault="009A356E" w:rsidP="009A356E">
            <w:pPr>
              <w:rPr>
                <w:sz w:val="18"/>
                <w:szCs w:val="18"/>
                <w:lang w:eastAsia="en-AU"/>
              </w:rPr>
            </w:pPr>
            <w:r w:rsidRPr="00C10545">
              <w:rPr>
                <w:sz w:val="18"/>
                <w:szCs w:val="18"/>
                <w:lang w:eastAsia="en-AU"/>
              </w:rPr>
              <w:t xml:space="preserve"> 161.4 </w:t>
            </w:r>
          </w:p>
        </w:tc>
        <w:tc>
          <w:tcPr>
            <w:tcW w:w="632" w:type="pct"/>
            <w:tcBorders>
              <w:top w:val="nil"/>
              <w:left w:val="nil"/>
              <w:bottom w:val="single" w:sz="4" w:space="0" w:color="auto"/>
              <w:right w:val="single" w:sz="4" w:space="0" w:color="auto"/>
            </w:tcBorders>
            <w:shd w:val="clear" w:color="auto" w:fill="auto"/>
            <w:noWrap/>
            <w:vAlign w:val="bottom"/>
            <w:hideMark/>
          </w:tcPr>
          <w:p w14:paraId="1F056F76" w14:textId="76A63F58" w:rsidR="009A356E" w:rsidRPr="00C10545" w:rsidRDefault="009A356E" w:rsidP="009A356E">
            <w:pPr>
              <w:rPr>
                <w:sz w:val="18"/>
                <w:szCs w:val="18"/>
                <w:lang w:eastAsia="en-AU"/>
              </w:rPr>
            </w:pPr>
            <w:r w:rsidRPr="00C10545">
              <w:rPr>
                <w:sz w:val="18"/>
                <w:szCs w:val="18"/>
                <w:lang w:eastAsia="en-AU"/>
              </w:rPr>
              <w:t xml:space="preserve"> 230.7 </w:t>
            </w:r>
          </w:p>
        </w:tc>
        <w:tc>
          <w:tcPr>
            <w:tcW w:w="632" w:type="pct"/>
            <w:tcBorders>
              <w:top w:val="nil"/>
              <w:left w:val="nil"/>
              <w:bottom w:val="single" w:sz="4" w:space="0" w:color="auto"/>
              <w:right w:val="single" w:sz="4" w:space="0" w:color="auto"/>
            </w:tcBorders>
            <w:shd w:val="clear" w:color="auto" w:fill="auto"/>
            <w:noWrap/>
            <w:vAlign w:val="bottom"/>
            <w:hideMark/>
          </w:tcPr>
          <w:p w14:paraId="2E91CC92" w14:textId="330B6F03" w:rsidR="009A356E" w:rsidRPr="00C10545" w:rsidRDefault="009A356E" w:rsidP="009A356E">
            <w:pPr>
              <w:rPr>
                <w:sz w:val="18"/>
                <w:szCs w:val="18"/>
                <w:lang w:eastAsia="en-AU"/>
              </w:rPr>
            </w:pPr>
            <w:r w:rsidRPr="00C10545">
              <w:rPr>
                <w:sz w:val="18"/>
                <w:szCs w:val="18"/>
                <w:lang w:eastAsia="en-AU"/>
              </w:rPr>
              <w:t xml:space="preserve"> 213.8 </w:t>
            </w:r>
          </w:p>
        </w:tc>
        <w:tc>
          <w:tcPr>
            <w:tcW w:w="629" w:type="pct"/>
            <w:tcBorders>
              <w:top w:val="nil"/>
              <w:left w:val="nil"/>
              <w:bottom w:val="single" w:sz="4" w:space="0" w:color="auto"/>
              <w:right w:val="single" w:sz="4" w:space="0" w:color="auto"/>
            </w:tcBorders>
            <w:shd w:val="clear" w:color="auto" w:fill="auto"/>
            <w:noWrap/>
            <w:vAlign w:val="bottom"/>
            <w:hideMark/>
          </w:tcPr>
          <w:p w14:paraId="2A61DA8D" w14:textId="7EA15CFA" w:rsidR="009A356E" w:rsidRPr="00C10545" w:rsidRDefault="009A356E" w:rsidP="009A356E">
            <w:pPr>
              <w:rPr>
                <w:sz w:val="18"/>
                <w:szCs w:val="18"/>
                <w:lang w:eastAsia="en-AU"/>
              </w:rPr>
            </w:pPr>
            <w:r w:rsidRPr="00C10545">
              <w:rPr>
                <w:sz w:val="18"/>
                <w:szCs w:val="18"/>
                <w:lang w:eastAsia="en-AU"/>
              </w:rPr>
              <w:t xml:space="preserve"> 205.5 </w:t>
            </w:r>
          </w:p>
        </w:tc>
      </w:tr>
      <w:tr w:rsidR="009A356E" w:rsidRPr="00F23FF7" w14:paraId="51F6FBD5" w14:textId="77777777" w:rsidTr="009A356E">
        <w:trPr>
          <w:trHeight w:val="240"/>
        </w:trPr>
        <w:tc>
          <w:tcPr>
            <w:tcW w:w="1211" w:type="pct"/>
            <w:tcBorders>
              <w:top w:val="nil"/>
              <w:left w:val="single" w:sz="4" w:space="0" w:color="auto"/>
              <w:bottom w:val="single" w:sz="4" w:space="0" w:color="auto"/>
              <w:right w:val="single" w:sz="4" w:space="0" w:color="auto"/>
            </w:tcBorders>
            <w:shd w:val="clear" w:color="auto" w:fill="auto"/>
            <w:noWrap/>
            <w:vAlign w:val="bottom"/>
            <w:hideMark/>
          </w:tcPr>
          <w:p w14:paraId="2AA3A52E" w14:textId="77777777" w:rsidR="009A356E" w:rsidRPr="00C10545" w:rsidRDefault="009A356E" w:rsidP="009A356E">
            <w:pPr>
              <w:rPr>
                <w:sz w:val="18"/>
                <w:szCs w:val="18"/>
                <w:lang w:eastAsia="en-AU"/>
              </w:rPr>
            </w:pPr>
            <w:r w:rsidRPr="00C10545">
              <w:rPr>
                <w:sz w:val="18"/>
                <w:szCs w:val="18"/>
                <w:lang w:eastAsia="en-AU"/>
              </w:rPr>
              <w:t>South Gippsland</w:t>
            </w:r>
          </w:p>
        </w:tc>
        <w:tc>
          <w:tcPr>
            <w:tcW w:w="632" w:type="pct"/>
            <w:tcBorders>
              <w:top w:val="nil"/>
              <w:left w:val="nil"/>
              <w:bottom w:val="single" w:sz="4" w:space="0" w:color="auto"/>
              <w:right w:val="single" w:sz="4" w:space="0" w:color="auto"/>
            </w:tcBorders>
            <w:shd w:val="clear" w:color="auto" w:fill="auto"/>
            <w:noWrap/>
            <w:vAlign w:val="bottom"/>
            <w:hideMark/>
          </w:tcPr>
          <w:p w14:paraId="63048FEE" w14:textId="59416B80" w:rsidR="009A356E" w:rsidRPr="00C10545" w:rsidRDefault="009A356E" w:rsidP="009A356E">
            <w:pPr>
              <w:rPr>
                <w:sz w:val="18"/>
                <w:szCs w:val="18"/>
                <w:lang w:eastAsia="en-AU"/>
              </w:rPr>
            </w:pPr>
            <w:r w:rsidRPr="00C10545">
              <w:rPr>
                <w:sz w:val="18"/>
                <w:szCs w:val="18"/>
                <w:lang w:eastAsia="en-AU"/>
              </w:rPr>
              <w:t xml:space="preserve"> 165.8 </w:t>
            </w:r>
          </w:p>
        </w:tc>
        <w:tc>
          <w:tcPr>
            <w:tcW w:w="632" w:type="pct"/>
            <w:tcBorders>
              <w:top w:val="nil"/>
              <w:left w:val="nil"/>
              <w:bottom w:val="single" w:sz="4" w:space="0" w:color="auto"/>
              <w:right w:val="single" w:sz="4" w:space="0" w:color="auto"/>
            </w:tcBorders>
            <w:shd w:val="clear" w:color="auto" w:fill="auto"/>
            <w:noWrap/>
            <w:vAlign w:val="bottom"/>
            <w:hideMark/>
          </w:tcPr>
          <w:p w14:paraId="41127C78" w14:textId="59135E70" w:rsidR="009A356E" w:rsidRPr="00C10545" w:rsidRDefault="009A356E" w:rsidP="009A356E">
            <w:pPr>
              <w:rPr>
                <w:sz w:val="18"/>
                <w:szCs w:val="18"/>
                <w:lang w:eastAsia="en-AU"/>
              </w:rPr>
            </w:pPr>
            <w:r w:rsidRPr="00C10545">
              <w:rPr>
                <w:sz w:val="18"/>
                <w:szCs w:val="18"/>
                <w:lang w:eastAsia="en-AU"/>
              </w:rPr>
              <w:t xml:space="preserve"> 155.3 </w:t>
            </w:r>
          </w:p>
        </w:tc>
        <w:tc>
          <w:tcPr>
            <w:tcW w:w="632" w:type="pct"/>
            <w:tcBorders>
              <w:top w:val="nil"/>
              <w:left w:val="nil"/>
              <w:bottom w:val="single" w:sz="4" w:space="0" w:color="auto"/>
              <w:right w:val="single" w:sz="4" w:space="0" w:color="auto"/>
            </w:tcBorders>
            <w:shd w:val="clear" w:color="auto" w:fill="auto"/>
            <w:noWrap/>
            <w:vAlign w:val="bottom"/>
            <w:hideMark/>
          </w:tcPr>
          <w:p w14:paraId="7D3DEDB8" w14:textId="61695B02" w:rsidR="009A356E" w:rsidRPr="00C10545" w:rsidRDefault="009A356E" w:rsidP="009A356E">
            <w:pPr>
              <w:rPr>
                <w:sz w:val="18"/>
                <w:szCs w:val="18"/>
                <w:lang w:eastAsia="en-AU"/>
              </w:rPr>
            </w:pPr>
            <w:r w:rsidRPr="00C10545">
              <w:rPr>
                <w:sz w:val="18"/>
                <w:szCs w:val="18"/>
                <w:lang w:eastAsia="en-AU"/>
              </w:rPr>
              <w:t xml:space="preserve"> 216.4 </w:t>
            </w:r>
          </w:p>
        </w:tc>
        <w:tc>
          <w:tcPr>
            <w:tcW w:w="632" w:type="pct"/>
            <w:tcBorders>
              <w:top w:val="nil"/>
              <w:left w:val="nil"/>
              <w:bottom w:val="single" w:sz="4" w:space="0" w:color="auto"/>
              <w:right w:val="single" w:sz="4" w:space="0" w:color="auto"/>
            </w:tcBorders>
            <w:shd w:val="clear" w:color="auto" w:fill="auto"/>
            <w:noWrap/>
            <w:vAlign w:val="bottom"/>
            <w:hideMark/>
          </w:tcPr>
          <w:p w14:paraId="4BD59BC9" w14:textId="1E5FD7A3" w:rsidR="009A356E" w:rsidRPr="00C10545" w:rsidRDefault="009A356E" w:rsidP="009A356E">
            <w:pPr>
              <w:rPr>
                <w:sz w:val="18"/>
                <w:szCs w:val="18"/>
                <w:lang w:eastAsia="en-AU"/>
              </w:rPr>
            </w:pPr>
            <w:r w:rsidRPr="00C10545">
              <w:rPr>
                <w:sz w:val="18"/>
                <w:szCs w:val="18"/>
                <w:lang w:eastAsia="en-AU"/>
              </w:rPr>
              <w:t xml:space="preserve"> 206.2 </w:t>
            </w:r>
          </w:p>
        </w:tc>
        <w:tc>
          <w:tcPr>
            <w:tcW w:w="632" w:type="pct"/>
            <w:tcBorders>
              <w:top w:val="nil"/>
              <w:left w:val="nil"/>
              <w:bottom w:val="single" w:sz="4" w:space="0" w:color="auto"/>
              <w:right w:val="single" w:sz="4" w:space="0" w:color="auto"/>
            </w:tcBorders>
            <w:shd w:val="clear" w:color="auto" w:fill="auto"/>
            <w:noWrap/>
            <w:vAlign w:val="bottom"/>
            <w:hideMark/>
          </w:tcPr>
          <w:p w14:paraId="5CC65618" w14:textId="7C64770D" w:rsidR="009A356E" w:rsidRPr="00C10545" w:rsidRDefault="009A356E" w:rsidP="009A356E">
            <w:pPr>
              <w:rPr>
                <w:sz w:val="18"/>
                <w:szCs w:val="18"/>
                <w:lang w:eastAsia="en-AU"/>
              </w:rPr>
            </w:pPr>
            <w:r w:rsidRPr="00C10545">
              <w:rPr>
                <w:sz w:val="18"/>
                <w:szCs w:val="18"/>
                <w:lang w:eastAsia="en-AU"/>
              </w:rPr>
              <w:t xml:space="preserve"> 207.9 </w:t>
            </w:r>
          </w:p>
        </w:tc>
        <w:tc>
          <w:tcPr>
            <w:tcW w:w="629" w:type="pct"/>
            <w:tcBorders>
              <w:top w:val="nil"/>
              <w:left w:val="nil"/>
              <w:bottom w:val="single" w:sz="4" w:space="0" w:color="auto"/>
              <w:right w:val="single" w:sz="4" w:space="0" w:color="auto"/>
            </w:tcBorders>
            <w:shd w:val="clear" w:color="auto" w:fill="auto"/>
            <w:noWrap/>
            <w:vAlign w:val="bottom"/>
            <w:hideMark/>
          </w:tcPr>
          <w:p w14:paraId="3FE1BC06" w14:textId="73D00C7D" w:rsidR="009A356E" w:rsidRPr="00C10545" w:rsidRDefault="009A356E" w:rsidP="009A356E">
            <w:pPr>
              <w:rPr>
                <w:sz w:val="18"/>
                <w:szCs w:val="18"/>
                <w:lang w:eastAsia="en-AU"/>
              </w:rPr>
            </w:pPr>
            <w:r w:rsidRPr="00C10545">
              <w:rPr>
                <w:sz w:val="18"/>
                <w:szCs w:val="18"/>
                <w:lang w:eastAsia="en-AU"/>
              </w:rPr>
              <w:t xml:space="preserve"> 212.5 </w:t>
            </w:r>
          </w:p>
        </w:tc>
      </w:tr>
      <w:tr w:rsidR="009A356E" w:rsidRPr="00F23FF7" w14:paraId="26E8A73D" w14:textId="77777777" w:rsidTr="009A356E">
        <w:trPr>
          <w:trHeight w:val="240"/>
        </w:trPr>
        <w:tc>
          <w:tcPr>
            <w:tcW w:w="1211" w:type="pct"/>
            <w:tcBorders>
              <w:top w:val="nil"/>
              <w:left w:val="single" w:sz="4" w:space="0" w:color="auto"/>
              <w:bottom w:val="single" w:sz="4" w:space="0" w:color="auto"/>
              <w:right w:val="single" w:sz="4" w:space="0" w:color="auto"/>
            </w:tcBorders>
            <w:shd w:val="clear" w:color="000000" w:fill="E4DFEC"/>
            <w:noWrap/>
            <w:vAlign w:val="bottom"/>
            <w:hideMark/>
          </w:tcPr>
          <w:p w14:paraId="0B28096D" w14:textId="77777777" w:rsidR="009A356E" w:rsidRPr="00C10545" w:rsidRDefault="009A356E" w:rsidP="009A356E">
            <w:pPr>
              <w:rPr>
                <w:b/>
                <w:bCs/>
                <w:sz w:val="18"/>
                <w:szCs w:val="18"/>
                <w:lang w:eastAsia="en-AU"/>
              </w:rPr>
            </w:pPr>
            <w:r w:rsidRPr="00C10545">
              <w:rPr>
                <w:b/>
                <w:bCs/>
                <w:sz w:val="18"/>
                <w:szCs w:val="18"/>
                <w:lang w:eastAsia="en-AU"/>
              </w:rPr>
              <w:t>Regional Cities</w:t>
            </w:r>
          </w:p>
        </w:tc>
        <w:tc>
          <w:tcPr>
            <w:tcW w:w="632" w:type="pct"/>
            <w:tcBorders>
              <w:top w:val="nil"/>
              <w:left w:val="nil"/>
              <w:bottom w:val="single" w:sz="4" w:space="0" w:color="auto"/>
              <w:right w:val="single" w:sz="4" w:space="0" w:color="auto"/>
            </w:tcBorders>
            <w:shd w:val="clear" w:color="000000" w:fill="000000"/>
            <w:noWrap/>
            <w:vAlign w:val="bottom"/>
            <w:hideMark/>
          </w:tcPr>
          <w:p w14:paraId="19FE556B" w14:textId="77777777" w:rsidR="009A356E" w:rsidRPr="00C10545" w:rsidRDefault="009A356E" w:rsidP="009A356E">
            <w:pPr>
              <w:rPr>
                <w:sz w:val="18"/>
                <w:szCs w:val="18"/>
                <w:lang w:eastAsia="en-AU"/>
              </w:rPr>
            </w:pPr>
            <w:r w:rsidRPr="00C10545">
              <w:rPr>
                <w:sz w:val="18"/>
                <w:szCs w:val="18"/>
                <w:lang w:eastAsia="en-AU"/>
              </w:rPr>
              <w:t> </w:t>
            </w:r>
          </w:p>
        </w:tc>
        <w:tc>
          <w:tcPr>
            <w:tcW w:w="632" w:type="pct"/>
            <w:tcBorders>
              <w:top w:val="nil"/>
              <w:left w:val="nil"/>
              <w:bottom w:val="single" w:sz="4" w:space="0" w:color="auto"/>
              <w:right w:val="single" w:sz="4" w:space="0" w:color="auto"/>
            </w:tcBorders>
            <w:shd w:val="clear" w:color="000000" w:fill="000000"/>
            <w:noWrap/>
            <w:vAlign w:val="bottom"/>
            <w:hideMark/>
          </w:tcPr>
          <w:p w14:paraId="4D1FB3E6" w14:textId="77777777" w:rsidR="009A356E" w:rsidRPr="00C10545" w:rsidRDefault="009A356E" w:rsidP="009A356E">
            <w:pPr>
              <w:rPr>
                <w:sz w:val="18"/>
                <w:szCs w:val="18"/>
                <w:lang w:eastAsia="en-AU"/>
              </w:rPr>
            </w:pPr>
            <w:r w:rsidRPr="00C10545">
              <w:rPr>
                <w:sz w:val="18"/>
                <w:szCs w:val="18"/>
                <w:lang w:eastAsia="en-AU"/>
              </w:rPr>
              <w:t> </w:t>
            </w:r>
          </w:p>
        </w:tc>
        <w:tc>
          <w:tcPr>
            <w:tcW w:w="632" w:type="pct"/>
            <w:tcBorders>
              <w:top w:val="nil"/>
              <w:left w:val="nil"/>
              <w:bottom w:val="single" w:sz="4" w:space="0" w:color="auto"/>
              <w:right w:val="single" w:sz="4" w:space="0" w:color="auto"/>
            </w:tcBorders>
            <w:shd w:val="clear" w:color="000000" w:fill="000000"/>
            <w:noWrap/>
            <w:vAlign w:val="bottom"/>
            <w:hideMark/>
          </w:tcPr>
          <w:p w14:paraId="54456A13" w14:textId="77777777" w:rsidR="009A356E" w:rsidRPr="00C10545" w:rsidRDefault="009A356E" w:rsidP="009A356E">
            <w:pPr>
              <w:rPr>
                <w:sz w:val="18"/>
                <w:szCs w:val="18"/>
                <w:lang w:eastAsia="en-AU"/>
              </w:rPr>
            </w:pPr>
            <w:r w:rsidRPr="00C10545">
              <w:rPr>
                <w:sz w:val="18"/>
                <w:szCs w:val="18"/>
                <w:lang w:eastAsia="en-AU"/>
              </w:rPr>
              <w:t> </w:t>
            </w:r>
          </w:p>
        </w:tc>
        <w:tc>
          <w:tcPr>
            <w:tcW w:w="632" w:type="pct"/>
            <w:tcBorders>
              <w:top w:val="nil"/>
              <w:left w:val="nil"/>
              <w:bottom w:val="single" w:sz="4" w:space="0" w:color="auto"/>
              <w:right w:val="single" w:sz="4" w:space="0" w:color="auto"/>
            </w:tcBorders>
            <w:shd w:val="clear" w:color="000000" w:fill="000000"/>
            <w:noWrap/>
            <w:vAlign w:val="bottom"/>
            <w:hideMark/>
          </w:tcPr>
          <w:p w14:paraId="06034DD9" w14:textId="77777777" w:rsidR="009A356E" w:rsidRPr="00C10545" w:rsidRDefault="009A356E" w:rsidP="009A356E">
            <w:pPr>
              <w:rPr>
                <w:sz w:val="18"/>
                <w:szCs w:val="18"/>
                <w:lang w:eastAsia="en-AU"/>
              </w:rPr>
            </w:pPr>
            <w:r w:rsidRPr="00C10545">
              <w:rPr>
                <w:sz w:val="18"/>
                <w:szCs w:val="18"/>
                <w:lang w:eastAsia="en-AU"/>
              </w:rPr>
              <w:t> </w:t>
            </w:r>
          </w:p>
        </w:tc>
        <w:tc>
          <w:tcPr>
            <w:tcW w:w="632" w:type="pct"/>
            <w:tcBorders>
              <w:top w:val="nil"/>
              <w:left w:val="nil"/>
              <w:bottom w:val="single" w:sz="4" w:space="0" w:color="auto"/>
              <w:right w:val="single" w:sz="4" w:space="0" w:color="auto"/>
            </w:tcBorders>
            <w:shd w:val="clear" w:color="000000" w:fill="000000"/>
            <w:noWrap/>
            <w:vAlign w:val="bottom"/>
            <w:hideMark/>
          </w:tcPr>
          <w:p w14:paraId="47CE235F" w14:textId="77777777" w:rsidR="009A356E" w:rsidRPr="00C10545" w:rsidRDefault="009A356E" w:rsidP="009A356E">
            <w:pPr>
              <w:rPr>
                <w:sz w:val="18"/>
                <w:szCs w:val="18"/>
                <w:lang w:eastAsia="en-AU"/>
              </w:rPr>
            </w:pPr>
            <w:r w:rsidRPr="00C10545">
              <w:rPr>
                <w:sz w:val="18"/>
                <w:szCs w:val="18"/>
                <w:lang w:eastAsia="en-AU"/>
              </w:rPr>
              <w:t> </w:t>
            </w:r>
          </w:p>
        </w:tc>
        <w:tc>
          <w:tcPr>
            <w:tcW w:w="629" w:type="pct"/>
            <w:tcBorders>
              <w:top w:val="nil"/>
              <w:left w:val="nil"/>
              <w:bottom w:val="single" w:sz="4" w:space="0" w:color="auto"/>
              <w:right w:val="single" w:sz="4" w:space="0" w:color="auto"/>
            </w:tcBorders>
            <w:shd w:val="clear" w:color="000000" w:fill="000000"/>
            <w:noWrap/>
            <w:vAlign w:val="bottom"/>
            <w:hideMark/>
          </w:tcPr>
          <w:p w14:paraId="4A2FCD6D" w14:textId="77777777" w:rsidR="009A356E" w:rsidRPr="00C10545" w:rsidRDefault="009A356E" w:rsidP="009A356E">
            <w:pPr>
              <w:rPr>
                <w:sz w:val="18"/>
                <w:szCs w:val="18"/>
                <w:lang w:eastAsia="en-AU"/>
              </w:rPr>
            </w:pPr>
            <w:r w:rsidRPr="00C10545">
              <w:rPr>
                <w:sz w:val="18"/>
                <w:szCs w:val="18"/>
                <w:lang w:eastAsia="en-AU"/>
              </w:rPr>
              <w:t> </w:t>
            </w:r>
          </w:p>
        </w:tc>
      </w:tr>
      <w:tr w:rsidR="009A356E" w:rsidRPr="00F23FF7" w14:paraId="4D9CD619" w14:textId="77777777" w:rsidTr="009A356E">
        <w:trPr>
          <w:trHeight w:val="240"/>
        </w:trPr>
        <w:tc>
          <w:tcPr>
            <w:tcW w:w="1211" w:type="pct"/>
            <w:tcBorders>
              <w:top w:val="nil"/>
              <w:left w:val="single" w:sz="4" w:space="0" w:color="auto"/>
              <w:bottom w:val="single" w:sz="4" w:space="0" w:color="auto"/>
              <w:right w:val="single" w:sz="4" w:space="0" w:color="auto"/>
            </w:tcBorders>
            <w:shd w:val="clear" w:color="auto" w:fill="auto"/>
            <w:noWrap/>
            <w:vAlign w:val="bottom"/>
            <w:hideMark/>
          </w:tcPr>
          <w:p w14:paraId="4664A46E" w14:textId="77777777" w:rsidR="009A356E" w:rsidRPr="00C10545" w:rsidRDefault="009A356E" w:rsidP="009A356E">
            <w:pPr>
              <w:rPr>
                <w:sz w:val="18"/>
                <w:szCs w:val="18"/>
                <w:lang w:eastAsia="en-AU"/>
              </w:rPr>
            </w:pPr>
            <w:r w:rsidRPr="00C10545">
              <w:rPr>
                <w:sz w:val="18"/>
                <w:szCs w:val="18"/>
                <w:lang w:eastAsia="en-AU"/>
              </w:rPr>
              <w:t>Greater Bendigo</w:t>
            </w:r>
          </w:p>
        </w:tc>
        <w:tc>
          <w:tcPr>
            <w:tcW w:w="632" w:type="pct"/>
            <w:tcBorders>
              <w:top w:val="nil"/>
              <w:left w:val="nil"/>
              <w:bottom w:val="single" w:sz="4" w:space="0" w:color="auto"/>
              <w:right w:val="single" w:sz="4" w:space="0" w:color="auto"/>
            </w:tcBorders>
            <w:shd w:val="clear" w:color="auto" w:fill="auto"/>
            <w:noWrap/>
            <w:vAlign w:val="bottom"/>
            <w:hideMark/>
          </w:tcPr>
          <w:p w14:paraId="1E04DE90" w14:textId="01FDE546" w:rsidR="009A356E" w:rsidRPr="00C10545" w:rsidRDefault="009A356E" w:rsidP="009A356E">
            <w:pPr>
              <w:rPr>
                <w:sz w:val="18"/>
                <w:szCs w:val="18"/>
                <w:lang w:eastAsia="en-AU"/>
              </w:rPr>
            </w:pPr>
            <w:r w:rsidRPr="00C10545">
              <w:rPr>
                <w:sz w:val="18"/>
                <w:szCs w:val="18"/>
                <w:lang w:eastAsia="en-AU"/>
              </w:rPr>
              <w:t xml:space="preserve"> 98.7 </w:t>
            </w:r>
          </w:p>
        </w:tc>
        <w:tc>
          <w:tcPr>
            <w:tcW w:w="632" w:type="pct"/>
            <w:tcBorders>
              <w:top w:val="nil"/>
              <w:left w:val="nil"/>
              <w:bottom w:val="single" w:sz="4" w:space="0" w:color="auto"/>
              <w:right w:val="single" w:sz="4" w:space="0" w:color="auto"/>
            </w:tcBorders>
            <w:shd w:val="clear" w:color="auto" w:fill="auto"/>
            <w:noWrap/>
            <w:vAlign w:val="bottom"/>
            <w:hideMark/>
          </w:tcPr>
          <w:p w14:paraId="3BDB028B" w14:textId="04232EC9" w:rsidR="009A356E" w:rsidRPr="00C10545" w:rsidRDefault="009A356E" w:rsidP="009A356E">
            <w:pPr>
              <w:rPr>
                <w:sz w:val="18"/>
                <w:szCs w:val="18"/>
                <w:lang w:eastAsia="en-AU"/>
              </w:rPr>
            </w:pPr>
            <w:r w:rsidRPr="00C10545">
              <w:rPr>
                <w:sz w:val="18"/>
                <w:szCs w:val="18"/>
                <w:lang w:eastAsia="en-AU"/>
              </w:rPr>
              <w:t xml:space="preserve"> 98.1 </w:t>
            </w:r>
          </w:p>
        </w:tc>
        <w:tc>
          <w:tcPr>
            <w:tcW w:w="632" w:type="pct"/>
            <w:tcBorders>
              <w:top w:val="nil"/>
              <w:left w:val="nil"/>
              <w:bottom w:val="single" w:sz="4" w:space="0" w:color="auto"/>
              <w:right w:val="single" w:sz="4" w:space="0" w:color="auto"/>
            </w:tcBorders>
            <w:shd w:val="clear" w:color="auto" w:fill="auto"/>
            <w:noWrap/>
            <w:vAlign w:val="bottom"/>
            <w:hideMark/>
          </w:tcPr>
          <w:p w14:paraId="5BFD6C3B" w14:textId="7CD81CEB" w:rsidR="009A356E" w:rsidRPr="00C10545" w:rsidRDefault="009A356E" w:rsidP="009A356E">
            <w:pPr>
              <w:rPr>
                <w:sz w:val="18"/>
                <w:szCs w:val="18"/>
                <w:lang w:eastAsia="en-AU"/>
              </w:rPr>
            </w:pPr>
            <w:r w:rsidRPr="00C10545">
              <w:rPr>
                <w:sz w:val="18"/>
                <w:szCs w:val="18"/>
                <w:lang w:eastAsia="en-AU"/>
              </w:rPr>
              <w:t xml:space="preserve"> 90.8 </w:t>
            </w:r>
          </w:p>
        </w:tc>
        <w:tc>
          <w:tcPr>
            <w:tcW w:w="632" w:type="pct"/>
            <w:tcBorders>
              <w:top w:val="nil"/>
              <w:left w:val="nil"/>
              <w:bottom w:val="single" w:sz="4" w:space="0" w:color="auto"/>
              <w:right w:val="single" w:sz="4" w:space="0" w:color="auto"/>
            </w:tcBorders>
            <w:shd w:val="clear" w:color="auto" w:fill="auto"/>
            <w:noWrap/>
            <w:vAlign w:val="bottom"/>
            <w:hideMark/>
          </w:tcPr>
          <w:p w14:paraId="242DF631" w14:textId="520AB070" w:rsidR="009A356E" w:rsidRPr="00C10545" w:rsidRDefault="009A356E" w:rsidP="009A356E">
            <w:pPr>
              <w:rPr>
                <w:sz w:val="18"/>
                <w:szCs w:val="18"/>
                <w:lang w:eastAsia="en-AU"/>
              </w:rPr>
            </w:pPr>
            <w:r w:rsidRPr="00C10545">
              <w:rPr>
                <w:sz w:val="18"/>
                <w:szCs w:val="18"/>
                <w:lang w:eastAsia="en-AU"/>
              </w:rPr>
              <w:t xml:space="preserve"> 101.2 </w:t>
            </w:r>
          </w:p>
        </w:tc>
        <w:tc>
          <w:tcPr>
            <w:tcW w:w="632" w:type="pct"/>
            <w:tcBorders>
              <w:top w:val="nil"/>
              <w:left w:val="nil"/>
              <w:bottom w:val="single" w:sz="4" w:space="0" w:color="auto"/>
              <w:right w:val="single" w:sz="4" w:space="0" w:color="auto"/>
            </w:tcBorders>
            <w:shd w:val="clear" w:color="auto" w:fill="auto"/>
            <w:noWrap/>
            <w:vAlign w:val="bottom"/>
            <w:hideMark/>
          </w:tcPr>
          <w:p w14:paraId="124A78B7" w14:textId="660F18BE" w:rsidR="009A356E" w:rsidRPr="00C10545" w:rsidRDefault="009A356E" w:rsidP="009A356E">
            <w:pPr>
              <w:rPr>
                <w:sz w:val="18"/>
                <w:szCs w:val="18"/>
                <w:lang w:eastAsia="en-AU"/>
              </w:rPr>
            </w:pPr>
            <w:r w:rsidRPr="00C10545">
              <w:rPr>
                <w:sz w:val="18"/>
                <w:szCs w:val="18"/>
                <w:lang w:eastAsia="en-AU"/>
              </w:rPr>
              <w:t xml:space="preserve"> 93.9 </w:t>
            </w:r>
          </w:p>
        </w:tc>
        <w:tc>
          <w:tcPr>
            <w:tcW w:w="629" w:type="pct"/>
            <w:tcBorders>
              <w:top w:val="nil"/>
              <w:left w:val="nil"/>
              <w:bottom w:val="single" w:sz="4" w:space="0" w:color="auto"/>
              <w:right w:val="single" w:sz="4" w:space="0" w:color="auto"/>
            </w:tcBorders>
            <w:shd w:val="clear" w:color="auto" w:fill="auto"/>
            <w:noWrap/>
            <w:vAlign w:val="bottom"/>
            <w:hideMark/>
          </w:tcPr>
          <w:p w14:paraId="4E05BFD3" w14:textId="6B0AC8D5" w:rsidR="009A356E" w:rsidRPr="00C10545" w:rsidRDefault="009A356E" w:rsidP="009A356E">
            <w:pPr>
              <w:rPr>
                <w:sz w:val="18"/>
                <w:szCs w:val="18"/>
                <w:lang w:eastAsia="en-AU"/>
              </w:rPr>
            </w:pPr>
            <w:r w:rsidRPr="00C10545">
              <w:rPr>
                <w:sz w:val="18"/>
                <w:szCs w:val="18"/>
                <w:lang w:eastAsia="en-AU"/>
              </w:rPr>
              <w:t xml:space="preserve"> 90.7 </w:t>
            </w:r>
          </w:p>
        </w:tc>
      </w:tr>
      <w:tr w:rsidR="009A356E" w:rsidRPr="00F23FF7" w14:paraId="4D907D39" w14:textId="77777777" w:rsidTr="009A356E">
        <w:trPr>
          <w:trHeight w:val="240"/>
        </w:trPr>
        <w:tc>
          <w:tcPr>
            <w:tcW w:w="1211" w:type="pct"/>
            <w:tcBorders>
              <w:top w:val="nil"/>
              <w:left w:val="single" w:sz="4" w:space="0" w:color="auto"/>
              <w:bottom w:val="single" w:sz="4" w:space="0" w:color="auto"/>
              <w:right w:val="single" w:sz="4" w:space="0" w:color="auto"/>
            </w:tcBorders>
            <w:shd w:val="clear" w:color="auto" w:fill="auto"/>
            <w:noWrap/>
            <w:vAlign w:val="bottom"/>
            <w:hideMark/>
          </w:tcPr>
          <w:p w14:paraId="14CE4BC2" w14:textId="77777777" w:rsidR="009A356E" w:rsidRPr="00C10545" w:rsidRDefault="009A356E" w:rsidP="009A356E">
            <w:pPr>
              <w:rPr>
                <w:sz w:val="18"/>
                <w:szCs w:val="18"/>
                <w:lang w:eastAsia="en-AU"/>
              </w:rPr>
            </w:pPr>
            <w:r w:rsidRPr="00C10545">
              <w:rPr>
                <w:sz w:val="18"/>
                <w:szCs w:val="18"/>
                <w:lang w:eastAsia="en-AU"/>
              </w:rPr>
              <w:t>Greater Geelong</w:t>
            </w:r>
          </w:p>
        </w:tc>
        <w:tc>
          <w:tcPr>
            <w:tcW w:w="632" w:type="pct"/>
            <w:tcBorders>
              <w:top w:val="nil"/>
              <w:left w:val="nil"/>
              <w:bottom w:val="single" w:sz="4" w:space="0" w:color="auto"/>
              <w:right w:val="single" w:sz="4" w:space="0" w:color="auto"/>
            </w:tcBorders>
            <w:shd w:val="clear" w:color="auto" w:fill="auto"/>
            <w:noWrap/>
            <w:vAlign w:val="bottom"/>
            <w:hideMark/>
          </w:tcPr>
          <w:p w14:paraId="493D20AD" w14:textId="35290325" w:rsidR="009A356E" w:rsidRPr="00C10545" w:rsidRDefault="009A356E" w:rsidP="009A356E">
            <w:pPr>
              <w:rPr>
                <w:sz w:val="18"/>
                <w:szCs w:val="18"/>
                <w:lang w:eastAsia="en-AU"/>
              </w:rPr>
            </w:pPr>
            <w:r w:rsidRPr="00C10545">
              <w:rPr>
                <w:sz w:val="18"/>
                <w:szCs w:val="18"/>
                <w:lang w:eastAsia="en-AU"/>
              </w:rPr>
              <w:t xml:space="preserve"> 65.7 </w:t>
            </w:r>
          </w:p>
        </w:tc>
        <w:tc>
          <w:tcPr>
            <w:tcW w:w="632" w:type="pct"/>
            <w:tcBorders>
              <w:top w:val="nil"/>
              <w:left w:val="nil"/>
              <w:bottom w:val="single" w:sz="4" w:space="0" w:color="auto"/>
              <w:right w:val="single" w:sz="4" w:space="0" w:color="auto"/>
            </w:tcBorders>
            <w:shd w:val="clear" w:color="auto" w:fill="auto"/>
            <w:noWrap/>
            <w:vAlign w:val="bottom"/>
            <w:hideMark/>
          </w:tcPr>
          <w:p w14:paraId="491B6676" w14:textId="0E1AF2E4" w:rsidR="009A356E" w:rsidRPr="00C10545" w:rsidRDefault="009A356E" w:rsidP="009A356E">
            <w:pPr>
              <w:rPr>
                <w:sz w:val="18"/>
                <w:szCs w:val="18"/>
                <w:lang w:eastAsia="en-AU"/>
              </w:rPr>
            </w:pPr>
            <w:r w:rsidRPr="00C10545">
              <w:rPr>
                <w:sz w:val="18"/>
                <w:szCs w:val="18"/>
                <w:lang w:eastAsia="en-AU"/>
              </w:rPr>
              <w:t xml:space="preserve"> 64.6 </w:t>
            </w:r>
          </w:p>
        </w:tc>
        <w:tc>
          <w:tcPr>
            <w:tcW w:w="632" w:type="pct"/>
            <w:tcBorders>
              <w:top w:val="nil"/>
              <w:left w:val="nil"/>
              <w:bottom w:val="single" w:sz="4" w:space="0" w:color="auto"/>
              <w:right w:val="single" w:sz="4" w:space="0" w:color="auto"/>
            </w:tcBorders>
            <w:shd w:val="clear" w:color="auto" w:fill="auto"/>
            <w:noWrap/>
            <w:vAlign w:val="bottom"/>
            <w:hideMark/>
          </w:tcPr>
          <w:p w14:paraId="3B369FFF" w14:textId="7DD0D442" w:rsidR="009A356E" w:rsidRPr="00C10545" w:rsidRDefault="009A356E" w:rsidP="009A356E">
            <w:pPr>
              <w:rPr>
                <w:sz w:val="18"/>
                <w:szCs w:val="18"/>
                <w:lang w:eastAsia="en-AU"/>
              </w:rPr>
            </w:pPr>
            <w:r w:rsidRPr="00C10545">
              <w:rPr>
                <w:sz w:val="18"/>
                <w:szCs w:val="18"/>
                <w:lang w:eastAsia="en-AU"/>
              </w:rPr>
              <w:t xml:space="preserve"> 63.4 </w:t>
            </w:r>
          </w:p>
        </w:tc>
        <w:tc>
          <w:tcPr>
            <w:tcW w:w="632" w:type="pct"/>
            <w:tcBorders>
              <w:top w:val="nil"/>
              <w:left w:val="nil"/>
              <w:bottom w:val="single" w:sz="4" w:space="0" w:color="auto"/>
              <w:right w:val="single" w:sz="4" w:space="0" w:color="auto"/>
            </w:tcBorders>
            <w:shd w:val="clear" w:color="auto" w:fill="auto"/>
            <w:noWrap/>
            <w:vAlign w:val="bottom"/>
            <w:hideMark/>
          </w:tcPr>
          <w:p w14:paraId="39A4DF64" w14:textId="2953216E" w:rsidR="009A356E" w:rsidRPr="00C10545" w:rsidRDefault="009A356E" w:rsidP="009A356E">
            <w:pPr>
              <w:rPr>
                <w:sz w:val="18"/>
                <w:szCs w:val="18"/>
                <w:lang w:eastAsia="en-AU"/>
              </w:rPr>
            </w:pPr>
            <w:r w:rsidRPr="00C10545">
              <w:rPr>
                <w:sz w:val="18"/>
                <w:szCs w:val="18"/>
                <w:lang w:eastAsia="en-AU"/>
              </w:rPr>
              <w:t xml:space="preserve"> 63.9 </w:t>
            </w:r>
          </w:p>
        </w:tc>
        <w:tc>
          <w:tcPr>
            <w:tcW w:w="632" w:type="pct"/>
            <w:tcBorders>
              <w:top w:val="nil"/>
              <w:left w:val="nil"/>
              <w:bottom w:val="single" w:sz="4" w:space="0" w:color="auto"/>
              <w:right w:val="single" w:sz="4" w:space="0" w:color="auto"/>
            </w:tcBorders>
            <w:shd w:val="clear" w:color="auto" w:fill="auto"/>
            <w:noWrap/>
            <w:vAlign w:val="bottom"/>
            <w:hideMark/>
          </w:tcPr>
          <w:p w14:paraId="051ACC6F" w14:textId="01795ED4" w:rsidR="009A356E" w:rsidRPr="00C10545" w:rsidRDefault="009A356E" w:rsidP="009A356E">
            <w:pPr>
              <w:rPr>
                <w:sz w:val="18"/>
                <w:szCs w:val="18"/>
                <w:lang w:eastAsia="en-AU"/>
              </w:rPr>
            </w:pPr>
            <w:r w:rsidRPr="00C10545">
              <w:rPr>
                <w:sz w:val="18"/>
                <w:szCs w:val="18"/>
                <w:lang w:eastAsia="en-AU"/>
              </w:rPr>
              <w:t xml:space="preserve"> 57.6 </w:t>
            </w:r>
          </w:p>
        </w:tc>
        <w:tc>
          <w:tcPr>
            <w:tcW w:w="629" w:type="pct"/>
            <w:tcBorders>
              <w:top w:val="nil"/>
              <w:left w:val="nil"/>
              <w:bottom w:val="single" w:sz="4" w:space="0" w:color="auto"/>
              <w:right w:val="single" w:sz="4" w:space="0" w:color="auto"/>
            </w:tcBorders>
            <w:shd w:val="clear" w:color="auto" w:fill="auto"/>
            <w:noWrap/>
            <w:vAlign w:val="bottom"/>
            <w:hideMark/>
          </w:tcPr>
          <w:p w14:paraId="70216E47" w14:textId="6DD04401" w:rsidR="009A356E" w:rsidRPr="00C10545" w:rsidRDefault="009A356E" w:rsidP="009A356E">
            <w:pPr>
              <w:rPr>
                <w:sz w:val="18"/>
                <w:szCs w:val="18"/>
                <w:lang w:eastAsia="en-AU"/>
              </w:rPr>
            </w:pPr>
            <w:r w:rsidRPr="00C10545">
              <w:rPr>
                <w:sz w:val="18"/>
                <w:szCs w:val="18"/>
                <w:lang w:eastAsia="en-AU"/>
              </w:rPr>
              <w:t xml:space="preserve"> 55.0 </w:t>
            </w:r>
          </w:p>
        </w:tc>
      </w:tr>
      <w:tr w:rsidR="009A356E" w:rsidRPr="00F23FF7" w14:paraId="68E997B8" w14:textId="77777777" w:rsidTr="009A356E">
        <w:trPr>
          <w:trHeight w:val="240"/>
        </w:trPr>
        <w:tc>
          <w:tcPr>
            <w:tcW w:w="1211" w:type="pct"/>
            <w:tcBorders>
              <w:top w:val="nil"/>
              <w:left w:val="single" w:sz="4" w:space="0" w:color="auto"/>
              <w:bottom w:val="single" w:sz="4" w:space="0" w:color="auto"/>
              <w:right w:val="single" w:sz="4" w:space="0" w:color="auto"/>
            </w:tcBorders>
            <w:shd w:val="clear" w:color="auto" w:fill="auto"/>
            <w:noWrap/>
            <w:vAlign w:val="bottom"/>
            <w:hideMark/>
          </w:tcPr>
          <w:p w14:paraId="3B20CF0C" w14:textId="77777777" w:rsidR="009A356E" w:rsidRPr="00C10545" w:rsidRDefault="009A356E" w:rsidP="009A356E">
            <w:pPr>
              <w:rPr>
                <w:sz w:val="18"/>
                <w:szCs w:val="18"/>
                <w:lang w:eastAsia="en-AU"/>
              </w:rPr>
            </w:pPr>
            <w:r w:rsidRPr="00C10545">
              <w:rPr>
                <w:sz w:val="18"/>
                <w:szCs w:val="18"/>
                <w:lang w:eastAsia="en-AU"/>
              </w:rPr>
              <w:t>Greater Shepparton</w:t>
            </w:r>
          </w:p>
        </w:tc>
        <w:tc>
          <w:tcPr>
            <w:tcW w:w="632" w:type="pct"/>
            <w:tcBorders>
              <w:top w:val="nil"/>
              <w:left w:val="nil"/>
              <w:bottom w:val="single" w:sz="4" w:space="0" w:color="auto"/>
              <w:right w:val="single" w:sz="4" w:space="0" w:color="auto"/>
            </w:tcBorders>
            <w:shd w:val="clear" w:color="auto" w:fill="auto"/>
            <w:noWrap/>
            <w:vAlign w:val="bottom"/>
            <w:hideMark/>
          </w:tcPr>
          <w:p w14:paraId="74B3C2F1" w14:textId="1C694A9F" w:rsidR="009A356E" w:rsidRPr="00C10545" w:rsidRDefault="009A356E" w:rsidP="009A356E">
            <w:pPr>
              <w:rPr>
                <w:sz w:val="18"/>
                <w:szCs w:val="18"/>
                <w:lang w:eastAsia="en-AU"/>
              </w:rPr>
            </w:pPr>
            <w:r w:rsidRPr="00C10545">
              <w:rPr>
                <w:sz w:val="18"/>
                <w:szCs w:val="18"/>
                <w:lang w:eastAsia="en-AU"/>
              </w:rPr>
              <w:t xml:space="preserve"> 102.9 </w:t>
            </w:r>
          </w:p>
        </w:tc>
        <w:tc>
          <w:tcPr>
            <w:tcW w:w="632" w:type="pct"/>
            <w:tcBorders>
              <w:top w:val="nil"/>
              <w:left w:val="nil"/>
              <w:bottom w:val="single" w:sz="4" w:space="0" w:color="auto"/>
              <w:right w:val="single" w:sz="4" w:space="0" w:color="auto"/>
            </w:tcBorders>
            <w:shd w:val="clear" w:color="auto" w:fill="auto"/>
            <w:noWrap/>
            <w:vAlign w:val="bottom"/>
            <w:hideMark/>
          </w:tcPr>
          <w:p w14:paraId="2F4A919C" w14:textId="69D33F94" w:rsidR="009A356E" w:rsidRPr="00C10545" w:rsidRDefault="009A356E" w:rsidP="009A356E">
            <w:pPr>
              <w:rPr>
                <w:sz w:val="18"/>
                <w:szCs w:val="18"/>
                <w:lang w:eastAsia="en-AU"/>
              </w:rPr>
            </w:pPr>
            <w:r w:rsidRPr="00C10545">
              <w:rPr>
                <w:sz w:val="18"/>
                <w:szCs w:val="18"/>
                <w:lang w:eastAsia="en-AU"/>
              </w:rPr>
              <w:t xml:space="preserve"> 105.4 </w:t>
            </w:r>
          </w:p>
        </w:tc>
        <w:tc>
          <w:tcPr>
            <w:tcW w:w="632" w:type="pct"/>
            <w:tcBorders>
              <w:top w:val="nil"/>
              <w:left w:val="nil"/>
              <w:bottom w:val="single" w:sz="4" w:space="0" w:color="auto"/>
              <w:right w:val="single" w:sz="4" w:space="0" w:color="auto"/>
            </w:tcBorders>
            <w:shd w:val="clear" w:color="auto" w:fill="auto"/>
            <w:noWrap/>
            <w:vAlign w:val="bottom"/>
            <w:hideMark/>
          </w:tcPr>
          <w:p w14:paraId="5AC0E377" w14:textId="1BFC912F" w:rsidR="009A356E" w:rsidRPr="00C10545" w:rsidRDefault="009A356E" w:rsidP="009A356E">
            <w:pPr>
              <w:rPr>
                <w:sz w:val="18"/>
                <w:szCs w:val="18"/>
                <w:lang w:eastAsia="en-AU"/>
              </w:rPr>
            </w:pPr>
            <w:r w:rsidRPr="00C10545">
              <w:rPr>
                <w:sz w:val="18"/>
                <w:szCs w:val="18"/>
                <w:lang w:eastAsia="en-AU"/>
              </w:rPr>
              <w:t xml:space="preserve"> 105.7 </w:t>
            </w:r>
          </w:p>
        </w:tc>
        <w:tc>
          <w:tcPr>
            <w:tcW w:w="632" w:type="pct"/>
            <w:tcBorders>
              <w:top w:val="nil"/>
              <w:left w:val="nil"/>
              <w:bottom w:val="single" w:sz="4" w:space="0" w:color="auto"/>
              <w:right w:val="single" w:sz="4" w:space="0" w:color="auto"/>
            </w:tcBorders>
            <w:shd w:val="clear" w:color="auto" w:fill="auto"/>
            <w:noWrap/>
            <w:vAlign w:val="bottom"/>
            <w:hideMark/>
          </w:tcPr>
          <w:p w14:paraId="34E3253F" w14:textId="59EA59BE" w:rsidR="009A356E" w:rsidRPr="00C10545" w:rsidRDefault="009A356E" w:rsidP="009A356E">
            <w:pPr>
              <w:rPr>
                <w:sz w:val="18"/>
                <w:szCs w:val="18"/>
                <w:lang w:eastAsia="en-AU"/>
              </w:rPr>
            </w:pPr>
            <w:r w:rsidRPr="00C10545">
              <w:rPr>
                <w:sz w:val="18"/>
                <w:szCs w:val="18"/>
                <w:lang w:eastAsia="en-AU"/>
              </w:rPr>
              <w:t xml:space="preserve"> 118.0 </w:t>
            </w:r>
          </w:p>
        </w:tc>
        <w:tc>
          <w:tcPr>
            <w:tcW w:w="632" w:type="pct"/>
            <w:tcBorders>
              <w:top w:val="nil"/>
              <w:left w:val="nil"/>
              <w:bottom w:val="single" w:sz="4" w:space="0" w:color="auto"/>
              <w:right w:val="single" w:sz="4" w:space="0" w:color="auto"/>
            </w:tcBorders>
            <w:shd w:val="clear" w:color="auto" w:fill="auto"/>
            <w:noWrap/>
            <w:vAlign w:val="bottom"/>
            <w:hideMark/>
          </w:tcPr>
          <w:p w14:paraId="0918B3A3" w14:textId="283A033B" w:rsidR="009A356E" w:rsidRPr="00C10545" w:rsidRDefault="009A356E" w:rsidP="009A356E">
            <w:pPr>
              <w:rPr>
                <w:sz w:val="18"/>
                <w:szCs w:val="18"/>
                <w:lang w:eastAsia="en-AU"/>
              </w:rPr>
            </w:pPr>
            <w:r w:rsidRPr="00C10545">
              <w:rPr>
                <w:sz w:val="18"/>
                <w:szCs w:val="18"/>
                <w:lang w:eastAsia="en-AU"/>
              </w:rPr>
              <w:t xml:space="preserve"> 122.7 </w:t>
            </w:r>
          </w:p>
        </w:tc>
        <w:tc>
          <w:tcPr>
            <w:tcW w:w="629" w:type="pct"/>
            <w:tcBorders>
              <w:top w:val="nil"/>
              <w:left w:val="nil"/>
              <w:bottom w:val="single" w:sz="4" w:space="0" w:color="auto"/>
              <w:right w:val="single" w:sz="4" w:space="0" w:color="auto"/>
            </w:tcBorders>
            <w:shd w:val="clear" w:color="auto" w:fill="auto"/>
            <w:noWrap/>
            <w:vAlign w:val="bottom"/>
            <w:hideMark/>
          </w:tcPr>
          <w:p w14:paraId="13B02E36" w14:textId="6662D761" w:rsidR="009A356E" w:rsidRPr="00C10545" w:rsidRDefault="009A356E" w:rsidP="009A356E">
            <w:pPr>
              <w:rPr>
                <w:sz w:val="18"/>
                <w:szCs w:val="18"/>
                <w:lang w:eastAsia="en-AU"/>
              </w:rPr>
            </w:pPr>
            <w:r w:rsidRPr="00C10545">
              <w:rPr>
                <w:sz w:val="18"/>
                <w:szCs w:val="18"/>
                <w:lang w:eastAsia="en-AU"/>
              </w:rPr>
              <w:t xml:space="preserve"> 119.3 </w:t>
            </w:r>
          </w:p>
        </w:tc>
      </w:tr>
      <w:tr w:rsidR="009A356E" w:rsidRPr="00F23FF7" w14:paraId="74C04B76" w14:textId="77777777" w:rsidTr="009A356E">
        <w:trPr>
          <w:trHeight w:val="240"/>
        </w:trPr>
        <w:tc>
          <w:tcPr>
            <w:tcW w:w="1211" w:type="pct"/>
            <w:tcBorders>
              <w:top w:val="nil"/>
              <w:left w:val="single" w:sz="4" w:space="0" w:color="auto"/>
              <w:bottom w:val="single" w:sz="4" w:space="0" w:color="auto"/>
              <w:right w:val="single" w:sz="4" w:space="0" w:color="auto"/>
            </w:tcBorders>
            <w:shd w:val="clear" w:color="auto" w:fill="auto"/>
            <w:noWrap/>
            <w:vAlign w:val="bottom"/>
            <w:hideMark/>
          </w:tcPr>
          <w:p w14:paraId="646E6055" w14:textId="77777777" w:rsidR="009A356E" w:rsidRPr="00C10545" w:rsidRDefault="009A356E" w:rsidP="009A356E">
            <w:pPr>
              <w:rPr>
                <w:sz w:val="18"/>
                <w:szCs w:val="18"/>
                <w:lang w:eastAsia="en-AU"/>
              </w:rPr>
            </w:pPr>
            <w:r w:rsidRPr="00C10545">
              <w:rPr>
                <w:sz w:val="18"/>
                <w:szCs w:val="18"/>
                <w:lang w:eastAsia="en-AU"/>
              </w:rPr>
              <w:t>Mildura</w:t>
            </w:r>
          </w:p>
        </w:tc>
        <w:tc>
          <w:tcPr>
            <w:tcW w:w="632" w:type="pct"/>
            <w:tcBorders>
              <w:top w:val="nil"/>
              <w:left w:val="nil"/>
              <w:bottom w:val="single" w:sz="4" w:space="0" w:color="auto"/>
              <w:right w:val="single" w:sz="4" w:space="0" w:color="auto"/>
            </w:tcBorders>
            <w:shd w:val="clear" w:color="auto" w:fill="auto"/>
            <w:noWrap/>
            <w:vAlign w:val="bottom"/>
            <w:hideMark/>
          </w:tcPr>
          <w:p w14:paraId="79728BB2" w14:textId="45A24381" w:rsidR="009A356E" w:rsidRPr="00C10545" w:rsidRDefault="009A356E" w:rsidP="009A356E">
            <w:pPr>
              <w:rPr>
                <w:sz w:val="18"/>
                <w:szCs w:val="18"/>
                <w:lang w:eastAsia="en-AU"/>
              </w:rPr>
            </w:pPr>
            <w:r w:rsidRPr="00C10545">
              <w:rPr>
                <w:sz w:val="18"/>
                <w:szCs w:val="18"/>
                <w:lang w:eastAsia="en-AU"/>
              </w:rPr>
              <w:t xml:space="preserve"> 121.0 </w:t>
            </w:r>
          </w:p>
        </w:tc>
        <w:tc>
          <w:tcPr>
            <w:tcW w:w="632" w:type="pct"/>
            <w:tcBorders>
              <w:top w:val="nil"/>
              <w:left w:val="nil"/>
              <w:bottom w:val="single" w:sz="4" w:space="0" w:color="auto"/>
              <w:right w:val="single" w:sz="4" w:space="0" w:color="auto"/>
            </w:tcBorders>
            <w:shd w:val="clear" w:color="auto" w:fill="auto"/>
            <w:noWrap/>
            <w:vAlign w:val="bottom"/>
            <w:hideMark/>
          </w:tcPr>
          <w:p w14:paraId="3A661E4E" w14:textId="2BF13C23" w:rsidR="009A356E" w:rsidRPr="00C10545" w:rsidRDefault="009A356E" w:rsidP="009A356E">
            <w:pPr>
              <w:rPr>
                <w:sz w:val="18"/>
                <w:szCs w:val="18"/>
                <w:lang w:eastAsia="en-AU"/>
              </w:rPr>
            </w:pPr>
            <w:r w:rsidRPr="00C10545">
              <w:rPr>
                <w:sz w:val="18"/>
                <w:szCs w:val="18"/>
                <w:lang w:eastAsia="en-AU"/>
              </w:rPr>
              <w:t xml:space="preserve"> 130.0 </w:t>
            </w:r>
          </w:p>
        </w:tc>
        <w:tc>
          <w:tcPr>
            <w:tcW w:w="632" w:type="pct"/>
            <w:tcBorders>
              <w:top w:val="nil"/>
              <w:left w:val="nil"/>
              <w:bottom w:val="single" w:sz="4" w:space="0" w:color="auto"/>
              <w:right w:val="single" w:sz="4" w:space="0" w:color="auto"/>
            </w:tcBorders>
            <w:shd w:val="clear" w:color="auto" w:fill="auto"/>
            <w:noWrap/>
            <w:vAlign w:val="bottom"/>
            <w:hideMark/>
          </w:tcPr>
          <w:p w14:paraId="7AA56CBA" w14:textId="381E79DC" w:rsidR="009A356E" w:rsidRPr="00C10545" w:rsidRDefault="009A356E" w:rsidP="009A356E">
            <w:pPr>
              <w:rPr>
                <w:sz w:val="18"/>
                <w:szCs w:val="18"/>
                <w:lang w:eastAsia="en-AU"/>
              </w:rPr>
            </w:pPr>
            <w:r w:rsidRPr="00C10545">
              <w:rPr>
                <w:sz w:val="18"/>
                <w:szCs w:val="18"/>
                <w:lang w:eastAsia="en-AU"/>
              </w:rPr>
              <w:t xml:space="preserve"> 137.4 </w:t>
            </w:r>
          </w:p>
        </w:tc>
        <w:tc>
          <w:tcPr>
            <w:tcW w:w="632" w:type="pct"/>
            <w:tcBorders>
              <w:top w:val="nil"/>
              <w:left w:val="nil"/>
              <w:bottom w:val="single" w:sz="4" w:space="0" w:color="auto"/>
              <w:right w:val="single" w:sz="4" w:space="0" w:color="auto"/>
            </w:tcBorders>
            <w:shd w:val="clear" w:color="auto" w:fill="auto"/>
            <w:noWrap/>
            <w:vAlign w:val="bottom"/>
            <w:hideMark/>
          </w:tcPr>
          <w:p w14:paraId="374905F8" w14:textId="450BC3F4" w:rsidR="009A356E" w:rsidRPr="00C10545" w:rsidRDefault="009A356E" w:rsidP="009A356E">
            <w:pPr>
              <w:rPr>
                <w:sz w:val="18"/>
                <w:szCs w:val="18"/>
                <w:lang w:eastAsia="en-AU"/>
              </w:rPr>
            </w:pPr>
            <w:r w:rsidRPr="00C10545">
              <w:rPr>
                <w:sz w:val="18"/>
                <w:szCs w:val="18"/>
                <w:lang w:eastAsia="en-AU"/>
              </w:rPr>
              <w:t xml:space="preserve"> 162.5 </w:t>
            </w:r>
          </w:p>
        </w:tc>
        <w:tc>
          <w:tcPr>
            <w:tcW w:w="632" w:type="pct"/>
            <w:tcBorders>
              <w:top w:val="nil"/>
              <w:left w:val="nil"/>
              <w:bottom w:val="single" w:sz="4" w:space="0" w:color="auto"/>
              <w:right w:val="single" w:sz="4" w:space="0" w:color="auto"/>
            </w:tcBorders>
            <w:shd w:val="clear" w:color="auto" w:fill="auto"/>
            <w:noWrap/>
            <w:vAlign w:val="bottom"/>
            <w:hideMark/>
          </w:tcPr>
          <w:p w14:paraId="0776D23D" w14:textId="061813F7" w:rsidR="009A356E" w:rsidRPr="00C10545" w:rsidRDefault="009A356E" w:rsidP="009A356E">
            <w:pPr>
              <w:rPr>
                <w:sz w:val="18"/>
                <w:szCs w:val="18"/>
                <w:lang w:eastAsia="en-AU"/>
              </w:rPr>
            </w:pPr>
            <w:r w:rsidRPr="00C10545">
              <w:rPr>
                <w:sz w:val="18"/>
                <w:szCs w:val="18"/>
                <w:lang w:eastAsia="en-AU"/>
              </w:rPr>
              <w:t xml:space="preserve"> 168.4 </w:t>
            </w:r>
          </w:p>
        </w:tc>
        <w:tc>
          <w:tcPr>
            <w:tcW w:w="629" w:type="pct"/>
            <w:tcBorders>
              <w:top w:val="nil"/>
              <w:left w:val="nil"/>
              <w:bottom w:val="single" w:sz="4" w:space="0" w:color="auto"/>
              <w:right w:val="single" w:sz="4" w:space="0" w:color="auto"/>
            </w:tcBorders>
            <w:shd w:val="clear" w:color="auto" w:fill="auto"/>
            <w:noWrap/>
            <w:vAlign w:val="bottom"/>
            <w:hideMark/>
          </w:tcPr>
          <w:p w14:paraId="746C2B26" w14:textId="0FC27018" w:rsidR="009A356E" w:rsidRPr="00C10545" w:rsidRDefault="009A356E" w:rsidP="009A356E">
            <w:pPr>
              <w:rPr>
                <w:sz w:val="18"/>
                <w:szCs w:val="18"/>
                <w:lang w:eastAsia="en-AU"/>
              </w:rPr>
            </w:pPr>
            <w:r w:rsidRPr="00C10545">
              <w:rPr>
                <w:sz w:val="18"/>
                <w:szCs w:val="18"/>
                <w:lang w:eastAsia="en-AU"/>
              </w:rPr>
              <w:t xml:space="preserve"> 167.5 </w:t>
            </w:r>
          </w:p>
        </w:tc>
      </w:tr>
      <w:tr w:rsidR="009A356E" w:rsidRPr="00F23FF7" w14:paraId="425366B8" w14:textId="77777777" w:rsidTr="009A356E">
        <w:trPr>
          <w:trHeight w:val="240"/>
        </w:trPr>
        <w:tc>
          <w:tcPr>
            <w:tcW w:w="1211" w:type="pct"/>
            <w:tcBorders>
              <w:top w:val="nil"/>
              <w:left w:val="single" w:sz="4" w:space="0" w:color="auto"/>
              <w:bottom w:val="single" w:sz="4" w:space="0" w:color="auto"/>
              <w:right w:val="single" w:sz="4" w:space="0" w:color="auto"/>
            </w:tcBorders>
            <w:shd w:val="clear" w:color="auto" w:fill="auto"/>
            <w:noWrap/>
            <w:vAlign w:val="bottom"/>
            <w:hideMark/>
          </w:tcPr>
          <w:p w14:paraId="101BD50C" w14:textId="77777777" w:rsidR="009A356E" w:rsidRPr="00C10545" w:rsidRDefault="009A356E" w:rsidP="009A356E">
            <w:pPr>
              <w:rPr>
                <w:sz w:val="18"/>
                <w:szCs w:val="18"/>
                <w:lang w:eastAsia="en-AU"/>
              </w:rPr>
            </w:pPr>
            <w:r w:rsidRPr="00C10545">
              <w:rPr>
                <w:sz w:val="18"/>
                <w:szCs w:val="18"/>
                <w:lang w:eastAsia="en-AU"/>
              </w:rPr>
              <w:t>Warrnambool</w:t>
            </w:r>
          </w:p>
        </w:tc>
        <w:tc>
          <w:tcPr>
            <w:tcW w:w="632" w:type="pct"/>
            <w:tcBorders>
              <w:top w:val="nil"/>
              <w:left w:val="nil"/>
              <w:bottom w:val="single" w:sz="4" w:space="0" w:color="auto"/>
              <w:right w:val="single" w:sz="4" w:space="0" w:color="auto"/>
            </w:tcBorders>
            <w:shd w:val="clear" w:color="auto" w:fill="auto"/>
            <w:noWrap/>
            <w:vAlign w:val="bottom"/>
            <w:hideMark/>
          </w:tcPr>
          <w:p w14:paraId="16C8E57C" w14:textId="7A7B4E44" w:rsidR="009A356E" w:rsidRPr="00C10545" w:rsidRDefault="009A356E" w:rsidP="009A356E">
            <w:pPr>
              <w:rPr>
                <w:sz w:val="18"/>
                <w:szCs w:val="18"/>
                <w:lang w:eastAsia="en-AU"/>
              </w:rPr>
            </w:pPr>
            <w:r w:rsidRPr="00C10545">
              <w:rPr>
                <w:sz w:val="18"/>
                <w:szCs w:val="18"/>
                <w:lang w:eastAsia="en-AU"/>
              </w:rPr>
              <w:t xml:space="preserve"> 78.3 </w:t>
            </w:r>
          </w:p>
        </w:tc>
        <w:tc>
          <w:tcPr>
            <w:tcW w:w="632" w:type="pct"/>
            <w:tcBorders>
              <w:top w:val="nil"/>
              <w:left w:val="nil"/>
              <w:bottom w:val="single" w:sz="4" w:space="0" w:color="auto"/>
              <w:right w:val="single" w:sz="4" w:space="0" w:color="auto"/>
            </w:tcBorders>
            <w:shd w:val="clear" w:color="auto" w:fill="auto"/>
            <w:noWrap/>
            <w:vAlign w:val="bottom"/>
            <w:hideMark/>
          </w:tcPr>
          <w:p w14:paraId="34187B66" w14:textId="499D4BFA" w:rsidR="009A356E" w:rsidRPr="00C10545" w:rsidRDefault="009A356E" w:rsidP="009A356E">
            <w:pPr>
              <w:rPr>
                <w:sz w:val="18"/>
                <w:szCs w:val="18"/>
                <w:lang w:eastAsia="en-AU"/>
              </w:rPr>
            </w:pPr>
            <w:r w:rsidRPr="00C10545">
              <w:rPr>
                <w:sz w:val="18"/>
                <w:szCs w:val="18"/>
                <w:lang w:eastAsia="en-AU"/>
              </w:rPr>
              <w:t xml:space="preserve"> 77.3 </w:t>
            </w:r>
          </w:p>
        </w:tc>
        <w:tc>
          <w:tcPr>
            <w:tcW w:w="632" w:type="pct"/>
            <w:tcBorders>
              <w:top w:val="nil"/>
              <w:left w:val="nil"/>
              <w:bottom w:val="single" w:sz="4" w:space="0" w:color="auto"/>
              <w:right w:val="single" w:sz="4" w:space="0" w:color="auto"/>
            </w:tcBorders>
            <w:shd w:val="clear" w:color="auto" w:fill="auto"/>
            <w:noWrap/>
            <w:vAlign w:val="bottom"/>
            <w:hideMark/>
          </w:tcPr>
          <w:p w14:paraId="2A42B81F" w14:textId="76DC3477" w:rsidR="009A356E" w:rsidRPr="00C10545" w:rsidRDefault="009A356E" w:rsidP="009A356E">
            <w:pPr>
              <w:rPr>
                <w:sz w:val="18"/>
                <w:szCs w:val="18"/>
                <w:lang w:eastAsia="en-AU"/>
              </w:rPr>
            </w:pPr>
            <w:r w:rsidRPr="00C10545">
              <w:rPr>
                <w:sz w:val="18"/>
                <w:szCs w:val="18"/>
                <w:lang w:eastAsia="en-AU"/>
              </w:rPr>
              <w:t xml:space="preserve"> 75.1 </w:t>
            </w:r>
          </w:p>
        </w:tc>
        <w:tc>
          <w:tcPr>
            <w:tcW w:w="632" w:type="pct"/>
            <w:tcBorders>
              <w:top w:val="nil"/>
              <w:left w:val="nil"/>
              <w:bottom w:val="single" w:sz="4" w:space="0" w:color="auto"/>
              <w:right w:val="single" w:sz="4" w:space="0" w:color="auto"/>
            </w:tcBorders>
            <w:shd w:val="clear" w:color="auto" w:fill="auto"/>
            <w:noWrap/>
            <w:vAlign w:val="bottom"/>
            <w:hideMark/>
          </w:tcPr>
          <w:p w14:paraId="5C9E3C5A" w14:textId="3E448C9B" w:rsidR="009A356E" w:rsidRPr="00C10545" w:rsidRDefault="009A356E" w:rsidP="009A356E">
            <w:pPr>
              <w:rPr>
                <w:sz w:val="18"/>
                <w:szCs w:val="18"/>
                <w:lang w:eastAsia="en-AU"/>
              </w:rPr>
            </w:pPr>
            <w:r w:rsidRPr="00C10545">
              <w:rPr>
                <w:sz w:val="18"/>
                <w:szCs w:val="18"/>
                <w:lang w:eastAsia="en-AU"/>
              </w:rPr>
              <w:t xml:space="preserve"> 77.5 </w:t>
            </w:r>
          </w:p>
        </w:tc>
        <w:tc>
          <w:tcPr>
            <w:tcW w:w="632" w:type="pct"/>
            <w:tcBorders>
              <w:top w:val="nil"/>
              <w:left w:val="nil"/>
              <w:bottom w:val="single" w:sz="4" w:space="0" w:color="auto"/>
              <w:right w:val="single" w:sz="4" w:space="0" w:color="auto"/>
            </w:tcBorders>
            <w:shd w:val="clear" w:color="auto" w:fill="auto"/>
            <w:noWrap/>
            <w:vAlign w:val="bottom"/>
            <w:hideMark/>
          </w:tcPr>
          <w:p w14:paraId="3D7E2049" w14:textId="139B328F" w:rsidR="009A356E" w:rsidRPr="00C10545" w:rsidRDefault="009A356E" w:rsidP="009A356E">
            <w:pPr>
              <w:rPr>
                <w:sz w:val="18"/>
                <w:szCs w:val="18"/>
                <w:lang w:eastAsia="en-AU"/>
              </w:rPr>
            </w:pPr>
            <w:r w:rsidRPr="00C10545">
              <w:rPr>
                <w:sz w:val="18"/>
                <w:szCs w:val="18"/>
                <w:lang w:eastAsia="en-AU"/>
              </w:rPr>
              <w:t xml:space="preserve"> 71.4 </w:t>
            </w:r>
          </w:p>
        </w:tc>
        <w:tc>
          <w:tcPr>
            <w:tcW w:w="629" w:type="pct"/>
            <w:tcBorders>
              <w:top w:val="nil"/>
              <w:left w:val="nil"/>
              <w:bottom w:val="single" w:sz="4" w:space="0" w:color="auto"/>
              <w:right w:val="single" w:sz="4" w:space="0" w:color="auto"/>
            </w:tcBorders>
            <w:shd w:val="clear" w:color="auto" w:fill="auto"/>
            <w:noWrap/>
            <w:vAlign w:val="bottom"/>
            <w:hideMark/>
          </w:tcPr>
          <w:p w14:paraId="2AA97753" w14:textId="415F557A" w:rsidR="009A356E" w:rsidRPr="00C10545" w:rsidRDefault="009A356E" w:rsidP="009A356E">
            <w:pPr>
              <w:rPr>
                <w:sz w:val="18"/>
                <w:szCs w:val="18"/>
                <w:lang w:eastAsia="en-AU"/>
              </w:rPr>
            </w:pPr>
            <w:r w:rsidRPr="00C10545">
              <w:rPr>
                <w:sz w:val="18"/>
                <w:szCs w:val="18"/>
                <w:lang w:eastAsia="en-AU"/>
              </w:rPr>
              <w:t xml:space="preserve"> 68.8 </w:t>
            </w:r>
          </w:p>
        </w:tc>
      </w:tr>
      <w:tr w:rsidR="009A356E" w:rsidRPr="00F23FF7" w14:paraId="287B11D8" w14:textId="77777777" w:rsidTr="009A356E">
        <w:trPr>
          <w:trHeight w:val="240"/>
        </w:trPr>
        <w:tc>
          <w:tcPr>
            <w:tcW w:w="1211" w:type="pct"/>
            <w:tcBorders>
              <w:top w:val="nil"/>
              <w:left w:val="single" w:sz="4" w:space="0" w:color="auto"/>
              <w:bottom w:val="single" w:sz="4" w:space="0" w:color="auto"/>
              <w:right w:val="single" w:sz="4" w:space="0" w:color="auto"/>
            </w:tcBorders>
            <w:shd w:val="clear" w:color="000000" w:fill="000000"/>
            <w:noWrap/>
            <w:vAlign w:val="bottom"/>
            <w:hideMark/>
          </w:tcPr>
          <w:p w14:paraId="14988A32" w14:textId="77777777" w:rsidR="009A356E" w:rsidRPr="00C10545" w:rsidRDefault="009A356E" w:rsidP="009A356E">
            <w:pPr>
              <w:rPr>
                <w:sz w:val="18"/>
                <w:szCs w:val="18"/>
                <w:lang w:eastAsia="en-AU"/>
              </w:rPr>
            </w:pPr>
            <w:r w:rsidRPr="00C10545">
              <w:rPr>
                <w:sz w:val="18"/>
                <w:szCs w:val="18"/>
                <w:lang w:eastAsia="en-AU"/>
              </w:rPr>
              <w:t> </w:t>
            </w:r>
          </w:p>
        </w:tc>
        <w:tc>
          <w:tcPr>
            <w:tcW w:w="632" w:type="pct"/>
            <w:tcBorders>
              <w:top w:val="nil"/>
              <w:left w:val="nil"/>
              <w:bottom w:val="single" w:sz="4" w:space="0" w:color="auto"/>
              <w:right w:val="single" w:sz="4" w:space="0" w:color="auto"/>
            </w:tcBorders>
            <w:shd w:val="clear" w:color="000000" w:fill="000000"/>
            <w:noWrap/>
            <w:vAlign w:val="bottom"/>
            <w:hideMark/>
          </w:tcPr>
          <w:p w14:paraId="3AFA627A" w14:textId="77777777" w:rsidR="009A356E" w:rsidRPr="00C10545" w:rsidRDefault="009A356E" w:rsidP="009A356E">
            <w:pPr>
              <w:rPr>
                <w:sz w:val="18"/>
                <w:szCs w:val="18"/>
                <w:lang w:eastAsia="en-AU"/>
              </w:rPr>
            </w:pPr>
            <w:r w:rsidRPr="00C10545">
              <w:rPr>
                <w:sz w:val="18"/>
                <w:szCs w:val="18"/>
                <w:lang w:eastAsia="en-AU"/>
              </w:rPr>
              <w:t> </w:t>
            </w:r>
          </w:p>
        </w:tc>
        <w:tc>
          <w:tcPr>
            <w:tcW w:w="632" w:type="pct"/>
            <w:tcBorders>
              <w:top w:val="nil"/>
              <w:left w:val="nil"/>
              <w:bottom w:val="single" w:sz="4" w:space="0" w:color="auto"/>
              <w:right w:val="single" w:sz="4" w:space="0" w:color="auto"/>
            </w:tcBorders>
            <w:shd w:val="clear" w:color="000000" w:fill="000000"/>
            <w:noWrap/>
            <w:vAlign w:val="bottom"/>
            <w:hideMark/>
          </w:tcPr>
          <w:p w14:paraId="32A0B2A5" w14:textId="77777777" w:rsidR="009A356E" w:rsidRPr="00C10545" w:rsidRDefault="009A356E" w:rsidP="009A356E">
            <w:pPr>
              <w:rPr>
                <w:sz w:val="18"/>
                <w:szCs w:val="18"/>
                <w:lang w:eastAsia="en-AU"/>
              </w:rPr>
            </w:pPr>
            <w:r w:rsidRPr="00C10545">
              <w:rPr>
                <w:sz w:val="18"/>
                <w:szCs w:val="18"/>
                <w:lang w:eastAsia="en-AU"/>
              </w:rPr>
              <w:t> </w:t>
            </w:r>
          </w:p>
        </w:tc>
        <w:tc>
          <w:tcPr>
            <w:tcW w:w="632" w:type="pct"/>
            <w:tcBorders>
              <w:top w:val="nil"/>
              <w:left w:val="nil"/>
              <w:bottom w:val="single" w:sz="4" w:space="0" w:color="auto"/>
              <w:right w:val="single" w:sz="4" w:space="0" w:color="auto"/>
            </w:tcBorders>
            <w:shd w:val="clear" w:color="000000" w:fill="000000"/>
            <w:noWrap/>
            <w:vAlign w:val="bottom"/>
            <w:hideMark/>
          </w:tcPr>
          <w:p w14:paraId="59F232FD" w14:textId="77777777" w:rsidR="009A356E" w:rsidRPr="00C10545" w:rsidRDefault="009A356E" w:rsidP="009A356E">
            <w:pPr>
              <w:rPr>
                <w:sz w:val="18"/>
                <w:szCs w:val="18"/>
                <w:lang w:eastAsia="en-AU"/>
              </w:rPr>
            </w:pPr>
            <w:r w:rsidRPr="00C10545">
              <w:rPr>
                <w:sz w:val="18"/>
                <w:szCs w:val="18"/>
                <w:lang w:eastAsia="en-AU"/>
              </w:rPr>
              <w:t> </w:t>
            </w:r>
          </w:p>
        </w:tc>
        <w:tc>
          <w:tcPr>
            <w:tcW w:w="632" w:type="pct"/>
            <w:tcBorders>
              <w:top w:val="nil"/>
              <w:left w:val="nil"/>
              <w:bottom w:val="single" w:sz="4" w:space="0" w:color="auto"/>
              <w:right w:val="single" w:sz="4" w:space="0" w:color="auto"/>
            </w:tcBorders>
            <w:shd w:val="clear" w:color="000000" w:fill="000000"/>
            <w:noWrap/>
            <w:vAlign w:val="bottom"/>
            <w:hideMark/>
          </w:tcPr>
          <w:p w14:paraId="3B9B05F4" w14:textId="77777777" w:rsidR="009A356E" w:rsidRPr="00C10545" w:rsidRDefault="009A356E" w:rsidP="009A356E">
            <w:pPr>
              <w:rPr>
                <w:sz w:val="18"/>
                <w:szCs w:val="18"/>
                <w:lang w:eastAsia="en-AU"/>
              </w:rPr>
            </w:pPr>
            <w:r w:rsidRPr="00C10545">
              <w:rPr>
                <w:sz w:val="18"/>
                <w:szCs w:val="18"/>
                <w:lang w:eastAsia="en-AU"/>
              </w:rPr>
              <w:t> </w:t>
            </w:r>
          </w:p>
        </w:tc>
        <w:tc>
          <w:tcPr>
            <w:tcW w:w="632" w:type="pct"/>
            <w:tcBorders>
              <w:top w:val="nil"/>
              <w:left w:val="nil"/>
              <w:bottom w:val="single" w:sz="4" w:space="0" w:color="auto"/>
              <w:right w:val="single" w:sz="4" w:space="0" w:color="auto"/>
            </w:tcBorders>
            <w:shd w:val="clear" w:color="000000" w:fill="000000"/>
            <w:noWrap/>
            <w:vAlign w:val="bottom"/>
            <w:hideMark/>
          </w:tcPr>
          <w:p w14:paraId="454026A6" w14:textId="77777777" w:rsidR="009A356E" w:rsidRPr="00C10545" w:rsidRDefault="009A356E" w:rsidP="009A356E">
            <w:pPr>
              <w:rPr>
                <w:sz w:val="18"/>
                <w:szCs w:val="18"/>
                <w:lang w:eastAsia="en-AU"/>
              </w:rPr>
            </w:pPr>
            <w:r w:rsidRPr="00C10545">
              <w:rPr>
                <w:sz w:val="18"/>
                <w:szCs w:val="18"/>
                <w:lang w:eastAsia="en-AU"/>
              </w:rPr>
              <w:t> </w:t>
            </w:r>
          </w:p>
        </w:tc>
        <w:tc>
          <w:tcPr>
            <w:tcW w:w="629" w:type="pct"/>
            <w:tcBorders>
              <w:top w:val="nil"/>
              <w:left w:val="nil"/>
              <w:bottom w:val="single" w:sz="4" w:space="0" w:color="auto"/>
              <w:right w:val="single" w:sz="4" w:space="0" w:color="auto"/>
            </w:tcBorders>
            <w:shd w:val="clear" w:color="000000" w:fill="000000"/>
            <w:noWrap/>
            <w:vAlign w:val="bottom"/>
            <w:hideMark/>
          </w:tcPr>
          <w:p w14:paraId="4917934F" w14:textId="77777777" w:rsidR="009A356E" w:rsidRPr="00C10545" w:rsidRDefault="009A356E" w:rsidP="009A356E">
            <w:pPr>
              <w:rPr>
                <w:sz w:val="18"/>
                <w:szCs w:val="18"/>
                <w:lang w:eastAsia="en-AU"/>
              </w:rPr>
            </w:pPr>
            <w:r w:rsidRPr="00C10545">
              <w:rPr>
                <w:sz w:val="18"/>
                <w:szCs w:val="18"/>
                <w:lang w:eastAsia="en-AU"/>
              </w:rPr>
              <w:t> </w:t>
            </w:r>
          </w:p>
        </w:tc>
      </w:tr>
      <w:tr w:rsidR="009A356E" w:rsidRPr="00F23FF7" w14:paraId="2F0EB1E3" w14:textId="77777777" w:rsidTr="009A356E">
        <w:trPr>
          <w:trHeight w:val="240"/>
        </w:trPr>
        <w:tc>
          <w:tcPr>
            <w:tcW w:w="1211" w:type="pct"/>
            <w:tcBorders>
              <w:top w:val="nil"/>
              <w:left w:val="single" w:sz="4" w:space="0" w:color="auto"/>
              <w:bottom w:val="single" w:sz="4" w:space="0" w:color="auto"/>
              <w:right w:val="single" w:sz="4" w:space="0" w:color="auto"/>
            </w:tcBorders>
            <w:shd w:val="clear" w:color="000000" w:fill="000000"/>
            <w:noWrap/>
            <w:vAlign w:val="bottom"/>
            <w:hideMark/>
          </w:tcPr>
          <w:p w14:paraId="146864A3" w14:textId="77777777" w:rsidR="009A356E" w:rsidRPr="00C10545" w:rsidRDefault="009A356E" w:rsidP="009A356E">
            <w:pPr>
              <w:rPr>
                <w:sz w:val="18"/>
                <w:szCs w:val="18"/>
                <w:lang w:eastAsia="en-AU"/>
              </w:rPr>
            </w:pPr>
            <w:r w:rsidRPr="00C10545">
              <w:rPr>
                <w:sz w:val="18"/>
                <w:szCs w:val="18"/>
                <w:lang w:eastAsia="en-AU"/>
              </w:rPr>
              <w:t> </w:t>
            </w:r>
          </w:p>
        </w:tc>
        <w:tc>
          <w:tcPr>
            <w:tcW w:w="3789" w:type="pct"/>
            <w:gridSpan w:val="6"/>
            <w:tcBorders>
              <w:top w:val="single" w:sz="4" w:space="0" w:color="auto"/>
              <w:left w:val="nil"/>
              <w:bottom w:val="single" w:sz="4" w:space="0" w:color="auto"/>
              <w:right w:val="single" w:sz="4" w:space="0" w:color="auto"/>
            </w:tcBorders>
            <w:shd w:val="clear" w:color="auto" w:fill="auto"/>
            <w:noWrap/>
            <w:vAlign w:val="bottom"/>
            <w:hideMark/>
          </w:tcPr>
          <w:p w14:paraId="03E97A8A" w14:textId="77777777" w:rsidR="009A356E" w:rsidRPr="00C10545" w:rsidRDefault="009A356E" w:rsidP="009A356E">
            <w:pPr>
              <w:jc w:val="center"/>
              <w:rPr>
                <w:b/>
                <w:bCs/>
                <w:sz w:val="18"/>
                <w:szCs w:val="18"/>
                <w:lang w:eastAsia="en-AU"/>
              </w:rPr>
            </w:pPr>
            <w:r w:rsidRPr="00C10545">
              <w:rPr>
                <w:b/>
                <w:bCs/>
                <w:sz w:val="18"/>
                <w:szCs w:val="18"/>
                <w:lang w:eastAsia="en-AU"/>
              </w:rPr>
              <w:t>Discounted by 60% CPI/40% WPI</w:t>
            </w:r>
          </w:p>
        </w:tc>
      </w:tr>
      <w:tr w:rsidR="009A356E" w:rsidRPr="00F23FF7" w14:paraId="12B8B430" w14:textId="77777777" w:rsidTr="009A356E">
        <w:trPr>
          <w:trHeight w:val="240"/>
        </w:trPr>
        <w:tc>
          <w:tcPr>
            <w:tcW w:w="1211" w:type="pct"/>
            <w:tcBorders>
              <w:top w:val="nil"/>
              <w:left w:val="single" w:sz="4" w:space="0" w:color="auto"/>
              <w:bottom w:val="single" w:sz="4" w:space="0" w:color="auto"/>
              <w:right w:val="single" w:sz="4" w:space="0" w:color="auto"/>
            </w:tcBorders>
            <w:shd w:val="clear" w:color="000000" w:fill="FDE9D9"/>
            <w:noWrap/>
            <w:vAlign w:val="bottom"/>
            <w:hideMark/>
          </w:tcPr>
          <w:p w14:paraId="61CB1C51" w14:textId="77777777" w:rsidR="009A356E" w:rsidRPr="00C10545" w:rsidRDefault="009A356E" w:rsidP="009A356E">
            <w:pPr>
              <w:rPr>
                <w:b/>
                <w:bCs/>
                <w:sz w:val="18"/>
                <w:szCs w:val="18"/>
                <w:lang w:eastAsia="en-AU"/>
              </w:rPr>
            </w:pPr>
            <w:r w:rsidRPr="00C10545">
              <w:rPr>
                <w:b/>
                <w:bCs/>
                <w:sz w:val="18"/>
                <w:szCs w:val="18"/>
                <w:lang w:eastAsia="en-AU"/>
              </w:rPr>
              <w:t>Small Shires</w:t>
            </w:r>
          </w:p>
        </w:tc>
        <w:tc>
          <w:tcPr>
            <w:tcW w:w="632" w:type="pct"/>
            <w:tcBorders>
              <w:top w:val="nil"/>
              <w:left w:val="nil"/>
              <w:bottom w:val="single" w:sz="4" w:space="0" w:color="auto"/>
              <w:right w:val="single" w:sz="4" w:space="0" w:color="auto"/>
            </w:tcBorders>
            <w:shd w:val="clear" w:color="000000" w:fill="000000"/>
            <w:noWrap/>
            <w:vAlign w:val="bottom"/>
            <w:hideMark/>
          </w:tcPr>
          <w:p w14:paraId="480A3ADF" w14:textId="77777777" w:rsidR="009A356E" w:rsidRPr="00C10545" w:rsidRDefault="009A356E" w:rsidP="009A356E">
            <w:pPr>
              <w:rPr>
                <w:sz w:val="18"/>
                <w:szCs w:val="18"/>
                <w:lang w:eastAsia="en-AU"/>
              </w:rPr>
            </w:pPr>
            <w:r w:rsidRPr="00C10545">
              <w:rPr>
                <w:sz w:val="18"/>
                <w:szCs w:val="18"/>
                <w:lang w:eastAsia="en-AU"/>
              </w:rPr>
              <w:t> </w:t>
            </w:r>
          </w:p>
        </w:tc>
        <w:tc>
          <w:tcPr>
            <w:tcW w:w="632" w:type="pct"/>
            <w:tcBorders>
              <w:top w:val="nil"/>
              <w:left w:val="nil"/>
              <w:bottom w:val="single" w:sz="4" w:space="0" w:color="auto"/>
              <w:right w:val="single" w:sz="4" w:space="0" w:color="auto"/>
            </w:tcBorders>
            <w:shd w:val="clear" w:color="000000" w:fill="000000"/>
            <w:noWrap/>
            <w:vAlign w:val="bottom"/>
            <w:hideMark/>
          </w:tcPr>
          <w:p w14:paraId="4B8168FC" w14:textId="77777777" w:rsidR="009A356E" w:rsidRPr="00C10545" w:rsidRDefault="009A356E" w:rsidP="009A356E">
            <w:pPr>
              <w:rPr>
                <w:sz w:val="18"/>
                <w:szCs w:val="18"/>
                <w:lang w:eastAsia="en-AU"/>
              </w:rPr>
            </w:pPr>
            <w:r w:rsidRPr="00C10545">
              <w:rPr>
                <w:sz w:val="18"/>
                <w:szCs w:val="18"/>
                <w:lang w:eastAsia="en-AU"/>
              </w:rPr>
              <w:t> </w:t>
            </w:r>
          </w:p>
        </w:tc>
        <w:tc>
          <w:tcPr>
            <w:tcW w:w="632" w:type="pct"/>
            <w:tcBorders>
              <w:top w:val="nil"/>
              <w:left w:val="nil"/>
              <w:bottom w:val="single" w:sz="4" w:space="0" w:color="auto"/>
              <w:right w:val="single" w:sz="4" w:space="0" w:color="auto"/>
            </w:tcBorders>
            <w:shd w:val="clear" w:color="000000" w:fill="000000"/>
            <w:noWrap/>
            <w:vAlign w:val="bottom"/>
            <w:hideMark/>
          </w:tcPr>
          <w:p w14:paraId="3EA55B92" w14:textId="77777777" w:rsidR="009A356E" w:rsidRPr="00C10545" w:rsidRDefault="009A356E" w:rsidP="009A356E">
            <w:pPr>
              <w:rPr>
                <w:sz w:val="18"/>
                <w:szCs w:val="18"/>
                <w:lang w:eastAsia="en-AU"/>
              </w:rPr>
            </w:pPr>
            <w:r w:rsidRPr="00C10545">
              <w:rPr>
                <w:sz w:val="18"/>
                <w:szCs w:val="18"/>
                <w:lang w:eastAsia="en-AU"/>
              </w:rPr>
              <w:t> </w:t>
            </w:r>
          </w:p>
        </w:tc>
        <w:tc>
          <w:tcPr>
            <w:tcW w:w="632" w:type="pct"/>
            <w:tcBorders>
              <w:top w:val="nil"/>
              <w:left w:val="nil"/>
              <w:bottom w:val="single" w:sz="4" w:space="0" w:color="auto"/>
              <w:right w:val="single" w:sz="4" w:space="0" w:color="auto"/>
            </w:tcBorders>
            <w:shd w:val="clear" w:color="000000" w:fill="000000"/>
            <w:noWrap/>
            <w:vAlign w:val="bottom"/>
            <w:hideMark/>
          </w:tcPr>
          <w:p w14:paraId="68B6C994" w14:textId="77777777" w:rsidR="009A356E" w:rsidRPr="00C10545" w:rsidRDefault="009A356E" w:rsidP="009A356E">
            <w:pPr>
              <w:rPr>
                <w:sz w:val="18"/>
                <w:szCs w:val="18"/>
                <w:lang w:eastAsia="en-AU"/>
              </w:rPr>
            </w:pPr>
            <w:r w:rsidRPr="00C10545">
              <w:rPr>
                <w:sz w:val="18"/>
                <w:szCs w:val="18"/>
                <w:lang w:eastAsia="en-AU"/>
              </w:rPr>
              <w:t> </w:t>
            </w:r>
          </w:p>
        </w:tc>
        <w:tc>
          <w:tcPr>
            <w:tcW w:w="632" w:type="pct"/>
            <w:tcBorders>
              <w:top w:val="nil"/>
              <w:left w:val="nil"/>
              <w:bottom w:val="single" w:sz="4" w:space="0" w:color="auto"/>
              <w:right w:val="single" w:sz="4" w:space="0" w:color="auto"/>
            </w:tcBorders>
            <w:shd w:val="clear" w:color="000000" w:fill="000000"/>
            <w:noWrap/>
            <w:vAlign w:val="bottom"/>
            <w:hideMark/>
          </w:tcPr>
          <w:p w14:paraId="47600EED" w14:textId="77777777" w:rsidR="009A356E" w:rsidRPr="00C10545" w:rsidRDefault="009A356E" w:rsidP="009A356E">
            <w:pPr>
              <w:rPr>
                <w:sz w:val="18"/>
                <w:szCs w:val="18"/>
                <w:lang w:eastAsia="en-AU"/>
              </w:rPr>
            </w:pPr>
            <w:r w:rsidRPr="00C10545">
              <w:rPr>
                <w:sz w:val="18"/>
                <w:szCs w:val="18"/>
                <w:lang w:eastAsia="en-AU"/>
              </w:rPr>
              <w:t> </w:t>
            </w:r>
          </w:p>
        </w:tc>
        <w:tc>
          <w:tcPr>
            <w:tcW w:w="629" w:type="pct"/>
            <w:tcBorders>
              <w:top w:val="nil"/>
              <w:left w:val="nil"/>
              <w:bottom w:val="single" w:sz="4" w:space="0" w:color="auto"/>
              <w:right w:val="single" w:sz="4" w:space="0" w:color="auto"/>
            </w:tcBorders>
            <w:shd w:val="clear" w:color="000000" w:fill="000000"/>
            <w:noWrap/>
            <w:vAlign w:val="bottom"/>
            <w:hideMark/>
          </w:tcPr>
          <w:p w14:paraId="4B2983F9" w14:textId="77777777" w:rsidR="009A356E" w:rsidRPr="00C10545" w:rsidRDefault="009A356E" w:rsidP="009A356E">
            <w:pPr>
              <w:rPr>
                <w:sz w:val="18"/>
                <w:szCs w:val="18"/>
                <w:lang w:eastAsia="en-AU"/>
              </w:rPr>
            </w:pPr>
            <w:r w:rsidRPr="00C10545">
              <w:rPr>
                <w:sz w:val="18"/>
                <w:szCs w:val="18"/>
                <w:lang w:eastAsia="en-AU"/>
              </w:rPr>
              <w:t> </w:t>
            </w:r>
          </w:p>
        </w:tc>
      </w:tr>
      <w:tr w:rsidR="009A356E" w:rsidRPr="00F23FF7" w14:paraId="573F5EAD" w14:textId="77777777" w:rsidTr="009A356E">
        <w:trPr>
          <w:trHeight w:val="240"/>
        </w:trPr>
        <w:tc>
          <w:tcPr>
            <w:tcW w:w="1211" w:type="pct"/>
            <w:tcBorders>
              <w:top w:val="nil"/>
              <w:left w:val="single" w:sz="4" w:space="0" w:color="auto"/>
              <w:bottom w:val="single" w:sz="4" w:space="0" w:color="auto"/>
              <w:right w:val="single" w:sz="4" w:space="0" w:color="auto"/>
            </w:tcBorders>
            <w:shd w:val="clear" w:color="auto" w:fill="auto"/>
            <w:noWrap/>
            <w:vAlign w:val="bottom"/>
            <w:hideMark/>
          </w:tcPr>
          <w:p w14:paraId="52E548EA" w14:textId="77777777" w:rsidR="009A356E" w:rsidRPr="00C10545" w:rsidRDefault="009A356E" w:rsidP="009A356E">
            <w:pPr>
              <w:rPr>
                <w:sz w:val="18"/>
                <w:szCs w:val="18"/>
                <w:lang w:eastAsia="en-AU"/>
              </w:rPr>
            </w:pPr>
            <w:r w:rsidRPr="00C10545">
              <w:rPr>
                <w:sz w:val="18"/>
                <w:szCs w:val="18"/>
                <w:lang w:eastAsia="en-AU"/>
              </w:rPr>
              <w:t>Alpine</w:t>
            </w:r>
          </w:p>
        </w:tc>
        <w:tc>
          <w:tcPr>
            <w:tcW w:w="632" w:type="pct"/>
            <w:tcBorders>
              <w:top w:val="nil"/>
              <w:left w:val="nil"/>
              <w:bottom w:val="single" w:sz="4" w:space="0" w:color="auto"/>
              <w:right w:val="single" w:sz="4" w:space="0" w:color="auto"/>
            </w:tcBorders>
            <w:shd w:val="clear" w:color="auto" w:fill="auto"/>
            <w:noWrap/>
            <w:vAlign w:val="bottom"/>
            <w:hideMark/>
          </w:tcPr>
          <w:p w14:paraId="412B0AAE" w14:textId="009C8D15" w:rsidR="009A356E" w:rsidRPr="00C10545" w:rsidRDefault="009A356E" w:rsidP="009A356E">
            <w:pPr>
              <w:rPr>
                <w:sz w:val="18"/>
                <w:szCs w:val="18"/>
                <w:lang w:eastAsia="en-AU"/>
              </w:rPr>
            </w:pPr>
            <w:r w:rsidRPr="00C10545">
              <w:rPr>
                <w:sz w:val="18"/>
                <w:szCs w:val="18"/>
                <w:lang w:eastAsia="en-AU"/>
              </w:rPr>
              <w:t xml:space="preserve"> 116.9 </w:t>
            </w:r>
          </w:p>
        </w:tc>
        <w:tc>
          <w:tcPr>
            <w:tcW w:w="632" w:type="pct"/>
            <w:tcBorders>
              <w:top w:val="nil"/>
              <w:left w:val="nil"/>
              <w:bottom w:val="single" w:sz="4" w:space="0" w:color="auto"/>
              <w:right w:val="single" w:sz="4" w:space="0" w:color="auto"/>
            </w:tcBorders>
            <w:shd w:val="clear" w:color="auto" w:fill="auto"/>
            <w:noWrap/>
            <w:vAlign w:val="bottom"/>
            <w:hideMark/>
          </w:tcPr>
          <w:p w14:paraId="2B458E9A" w14:textId="077889DB" w:rsidR="009A356E" w:rsidRPr="00C10545" w:rsidRDefault="009A356E" w:rsidP="009A356E">
            <w:pPr>
              <w:rPr>
                <w:sz w:val="18"/>
                <w:szCs w:val="18"/>
                <w:lang w:eastAsia="en-AU"/>
              </w:rPr>
            </w:pPr>
            <w:r w:rsidRPr="00C10545">
              <w:rPr>
                <w:sz w:val="18"/>
                <w:szCs w:val="18"/>
                <w:lang w:eastAsia="en-AU"/>
              </w:rPr>
              <w:t xml:space="preserve"> 128.8 </w:t>
            </w:r>
          </w:p>
        </w:tc>
        <w:tc>
          <w:tcPr>
            <w:tcW w:w="632" w:type="pct"/>
            <w:tcBorders>
              <w:top w:val="nil"/>
              <w:left w:val="nil"/>
              <w:bottom w:val="single" w:sz="4" w:space="0" w:color="auto"/>
              <w:right w:val="single" w:sz="4" w:space="0" w:color="auto"/>
            </w:tcBorders>
            <w:shd w:val="clear" w:color="auto" w:fill="auto"/>
            <w:noWrap/>
            <w:vAlign w:val="bottom"/>
            <w:hideMark/>
          </w:tcPr>
          <w:p w14:paraId="267C782C" w14:textId="3CDE3DE3" w:rsidR="009A356E" w:rsidRPr="00C10545" w:rsidRDefault="009A356E" w:rsidP="009A356E">
            <w:pPr>
              <w:rPr>
                <w:sz w:val="18"/>
                <w:szCs w:val="18"/>
                <w:lang w:eastAsia="en-AU"/>
              </w:rPr>
            </w:pPr>
            <w:r w:rsidRPr="00C10545">
              <w:rPr>
                <w:sz w:val="18"/>
                <w:szCs w:val="18"/>
                <w:lang w:eastAsia="en-AU"/>
              </w:rPr>
              <w:t xml:space="preserve"> 153.7 </w:t>
            </w:r>
          </w:p>
        </w:tc>
        <w:tc>
          <w:tcPr>
            <w:tcW w:w="632" w:type="pct"/>
            <w:tcBorders>
              <w:top w:val="nil"/>
              <w:left w:val="nil"/>
              <w:bottom w:val="single" w:sz="4" w:space="0" w:color="auto"/>
              <w:right w:val="single" w:sz="4" w:space="0" w:color="auto"/>
            </w:tcBorders>
            <w:shd w:val="clear" w:color="auto" w:fill="auto"/>
            <w:noWrap/>
            <w:vAlign w:val="bottom"/>
            <w:hideMark/>
          </w:tcPr>
          <w:p w14:paraId="101AFBBD" w14:textId="58130C11" w:rsidR="009A356E" w:rsidRPr="00C10545" w:rsidRDefault="009A356E" w:rsidP="009A356E">
            <w:pPr>
              <w:rPr>
                <w:sz w:val="18"/>
                <w:szCs w:val="18"/>
                <w:lang w:eastAsia="en-AU"/>
              </w:rPr>
            </w:pPr>
            <w:r w:rsidRPr="00C10545">
              <w:rPr>
                <w:sz w:val="18"/>
                <w:szCs w:val="18"/>
                <w:lang w:eastAsia="en-AU"/>
              </w:rPr>
              <w:t xml:space="preserve"> 189.0 </w:t>
            </w:r>
          </w:p>
        </w:tc>
        <w:tc>
          <w:tcPr>
            <w:tcW w:w="632" w:type="pct"/>
            <w:tcBorders>
              <w:top w:val="nil"/>
              <w:left w:val="nil"/>
              <w:bottom w:val="single" w:sz="4" w:space="0" w:color="auto"/>
              <w:right w:val="single" w:sz="4" w:space="0" w:color="auto"/>
            </w:tcBorders>
            <w:shd w:val="clear" w:color="auto" w:fill="auto"/>
            <w:noWrap/>
            <w:vAlign w:val="bottom"/>
            <w:hideMark/>
          </w:tcPr>
          <w:p w14:paraId="76384DA2" w14:textId="53655657" w:rsidR="009A356E" w:rsidRPr="00C10545" w:rsidRDefault="009A356E" w:rsidP="009A356E">
            <w:pPr>
              <w:rPr>
                <w:sz w:val="18"/>
                <w:szCs w:val="18"/>
                <w:lang w:eastAsia="en-AU"/>
              </w:rPr>
            </w:pPr>
            <w:r w:rsidRPr="00C10545">
              <w:rPr>
                <w:sz w:val="18"/>
                <w:szCs w:val="18"/>
                <w:lang w:eastAsia="en-AU"/>
              </w:rPr>
              <w:t xml:space="preserve"> 178.1 </w:t>
            </w:r>
          </w:p>
        </w:tc>
        <w:tc>
          <w:tcPr>
            <w:tcW w:w="629" w:type="pct"/>
            <w:tcBorders>
              <w:top w:val="nil"/>
              <w:left w:val="nil"/>
              <w:bottom w:val="single" w:sz="4" w:space="0" w:color="auto"/>
              <w:right w:val="single" w:sz="4" w:space="0" w:color="auto"/>
            </w:tcBorders>
            <w:shd w:val="clear" w:color="auto" w:fill="auto"/>
            <w:noWrap/>
            <w:vAlign w:val="bottom"/>
            <w:hideMark/>
          </w:tcPr>
          <w:p w14:paraId="69074718" w14:textId="797B7147" w:rsidR="009A356E" w:rsidRPr="00C10545" w:rsidRDefault="009A356E" w:rsidP="009A356E">
            <w:pPr>
              <w:rPr>
                <w:sz w:val="18"/>
                <w:szCs w:val="18"/>
                <w:lang w:eastAsia="en-AU"/>
              </w:rPr>
            </w:pPr>
            <w:r w:rsidRPr="00C10545">
              <w:rPr>
                <w:sz w:val="18"/>
                <w:szCs w:val="18"/>
                <w:lang w:eastAsia="en-AU"/>
              </w:rPr>
              <w:t xml:space="preserve"> 170.7 </w:t>
            </w:r>
          </w:p>
        </w:tc>
      </w:tr>
      <w:tr w:rsidR="009A356E" w:rsidRPr="00F23FF7" w14:paraId="70DCE5FF" w14:textId="77777777" w:rsidTr="009A356E">
        <w:trPr>
          <w:trHeight w:val="240"/>
        </w:trPr>
        <w:tc>
          <w:tcPr>
            <w:tcW w:w="1211" w:type="pct"/>
            <w:tcBorders>
              <w:top w:val="nil"/>
              <w:left w:val="single" w:sz="4" w:space="0" w:color="auto"/>
              <w:bottom w:val="single" w:sz="4" w:space="0" w:color="auto"/>
              <w:right w:val="single" w:sz="4" w:space="0" w:color="auto"/>
            </w:tcBorders>
            <w:shd w:val="clear" w:color="auto" w:fill="auto"/>
            <w:noWrap/>
            <w:vAlign w:val="bottom"/>
            <w:hideMark/>
          </w:tcPr>
          <w:p w14:paraId="351FEF76" w14:textId="77777777" w:rsidR="009A356E" w:rsidRPr="00C10545" w:rsidRDefault="009A356E" w:rsidP="009A356E">
            <w:pPr>
              <w:rPr>
                <w:sz w:val="18"/>
                <w:szCs w:val="18"/>
                <w:lang w:eastAsia="en-AU"/>
              </w:rPr>
            </w:pPr>
            <w:r w:rsidRPr="00C10545">
              <w:rPr>
                <w:sz w:val="18"/>
                <w:szCs w:val="18"/>
                <w:lang w:eastAsia="en-AU"/>
              </w:rPr>
              <w:t>Bass Coast</w:t>
            </w:r>
          </w:p>
        </w:tc>
        <w:tc>
          <w:tcPr>
            <w:tcW w:w="632" w:type="pct"/>
            <w:tcBorders>
              <w:top w:val="nil"/>
              <w:left w:val="nil"/>
              <w:bottom w:val="single" w:sz="4" w:space="0" w:color="auto"/>
              <w:right w:val="single" w:sz="4" w:space="0" w:color="auto"/>
            </w:tcBorders>
            <w:shd w:val="clear" w:color="auto" w:fill="auto"/>
            <w:noWrap/>
            <w:vAlign w:val="bottom"/>
            <w:hideMark/>
          </w:tcPr>
          <w:p w14:paraId="253248D4" w14:textId="1B7C6F59" w:rsidR="009A356E" w:rsidRPr="00C10545" w:rsidRDefault="009A356E" w:rsidP="009A356E">
            <w:pPr>
              <w:rPr>
                <w:sz w:val="18"/>
                <w:szCs w:val="18"/>
                <w:lang w:eastAsia="en-AU"/>
              </w:rPr>
            </w:pPr>
            <w:r w:rsidRPr="00C10545">
              <w:rPr>
                <w:sz w:val="18"/>
                <w:szCs w:val="18"/>
                <w:lang w:eastAsia="en-AU"/>
              </w:rPr>
              <w:t xml:space="preserve"> 116.6 </w:t>
            </w:r>
          </w:p>
        </w:tc>
        <w:tc>
          <w:tcPr>
            <w:tcW w:w="632" w:type="pct"/>
            <w:tcBorders>
              <w:top w:val="nil"/>
              <w:left w:val="nil"/>
              <w:bottom w:val="single" w:sz="4" w:space="0" w:color="auto"/>
              <w:right w:val="single" w:sz="4" w:space="0" w:color="auto"/>
            </w:tcBorders>
            <w:shd w:val="clear" w:color="auto" w:fill="auto"/>
            <w:noWrap/>
            <w:vAlign w:val="bottom"/>
            <w:hideMark/>
          </w:tcPr>
          <w:p w14:paraId="1520A105" w14:textId="6F47AC2D" w:rsidR="009A356E" w:rsidRPr="00C10545" w:rsidRDefault="009A356E" w:rsidP="009A356E">
            <w:pPr>
              <w:rPr>
                <w:sz w:val="18"/>
                <w:szCs w:val="18"/>
                <w:lang w:eastAsia="en-AU"/>
              </w:rPr>
            </w:pPr>
            <w:r w:rsidRPr="00C10545">
              <w:rPr>
                <w:sz w:val="18"/>
                <w:szCs w:val="18"/>
                <w:lang w:eastAsia="en-AU"/>
              </w:rPr>
              <w:t xml:space="preserve"> 113.6 </w:t>
            </w:r>
          </w:p>
        </w:tc>
        <w:tc>
          <w:tcPr>
            <w:tcW w:w="632" w:type="pct"/>
            <w:tcBorders>
              <w:top w:val="nil"/>
              <w:left w:val="nil"/>
              <w:bottom w:val="single" w:sz="4" w:space="0" w:color="auto"/>
              <w:right w:val="single" w:sz="4" w:space="0" w:color="auto"/>
            </w:tcBorders>
            <w:shd w:val="clear" w:color="auto" w:fill="auto"/>
            <w:noWrap/>
            <w:vAlign w:val="bottom"/>
            <w:hideMark/>
          </w:tcPr>
          <w:p w14:paraId="1FCDF28B" w14:textId="02EC6716" w:rsidR="009A356E" w:rsidRPr="00C10545" w:rsidRDefault="009A356E" w:rsidP="009A356E">
            <w:pPr>
              <w:rPr>
                <w:sz w:val="18"/>
                <w:szCs w:val="18"/>
                <w:lang w:eastAsia="en-AU"/>
              </w:rPr>
            </w:pPr>
            <w:r w:rsidRPr="00C10545">
              <w:rPr>
                <w:sz w:val="18"/>
                <w:szCs w:val="18"/>
                <w:lang w:eastAsia="en-AU"/>
              </w:rPr>
              <w:t xml:space="preserve"> 111.5 </w:t>
            </w:r>
          </w:p>
        </w:tc>
        <w:tc>
          <w:tcPr>
            <w:tcW w:w="632" w:type="pct"/>
            <w:tcBorders>
              <w:top w:val="nil"/>
              <w:left w:val="nil"/>
              <w:bottom w:val="single" w:sz="4" w:space="0" w:color="auto"/>
              <w:right w:val="single" w:sz="4" w:space="0" w:color="auto"/>
            </w:tcBorders>
            <w:shd w:val="clear" w:color="auto" w:fill="auto"/>
            <w:noWrap/>
            <w:vAlign w:val="bottom"/>
            <w:hideMark/>
          </w:tcPr>
          <w:p w14:paraId="3ADE7B0A" w14:textId="0AA0D209" w:rsidR="009A356E" w:rsidRPr="00C10545" w:rsidRDefault="009A356E" w:rsidP="009A356E">
            <w:pPr>
              <w:rPr>
                <w:sz w:val="18"/>
                <w:szCs w:val="18"/>
                <w:lang w:eastAsia="en-AU"/>
              </w:rPr>
            </w:pPr>
            <w:r w:rsidRPr="00C10545">
              <w:rPr>
                <w:sz w:val="18"/>
                <w:szCs w:val="18"/>
                <w:lang w:eastAsia="en-AU"/>
              </w:rPr>
              <w:t xml:space="preserve"> 117.5 </w:t>
            </w:r>
          </w:p>
        </w:tc>
        <w:tc>
          <w:tcPr>
            <w:tcW w:w="632" w:type="pct"/>
            <w:tcBorders>
              <w:top w:val="nil"/>
              <w:left w:val="nil"/>
              <w:bottom w:val="single" w:sz="4" w:space="0" w:color="auto"/>
              <w:right w:val="single" w:sz="4" w:space="0" w:color="auto"/>
            </w:tcBorders>
            <w:shd w:val="clear" w:color="auto" w:fill="auto"/>
            <w:noWrap/>
            <w:vAlign w:val="bottom"/>
            <w:hideMark/>
          </w:tcPr>
          <w:p w14:paraId="0422FF7C" w14:textId="55081447" w:rsidR="009A356E" w:rsidRPr="00C10545" w:rsidRDefault="009A356E" w:rsidP="009A356E">
            <w:pPr>
              <w:rPr>
                <w:sz w:val="18"/>
                <w:szCs w:val="18"/>
                <w:lang w:eastAsia="en-AU"/>
              </w:rPr>
            </w:pPr>
            <w:r w:rsidRPr="00C10545">
              <w:rPr>
                <w:sz w:val="18"/>
                <w:szCs w:val="18"/>
                <w:lang w:eastAsia="en-AU"/>
              </w:rPr>
              <w:t xml:space="preserve"> 105.6 </w:t>
            </w:r>
          </w:p>
        </w:tc>
        <w:tc>
          <w:tcPr>
            <w:tcW w:w="629" w:type="pct"/>
            <w:tcBorders>
              <w:top w:val="nil"/>
              <w:left w:val="nil"/>
              <w:bottom w:val="single" w:sz="4" w:space="0" w:color="auto"/>
              <w:right w:val="single" w:sz="4" w:space="0" w:color="auto"/>
            </w:tcBorders>
            <w:shd w:val="clear" w:color="auto" w:fill="auto"/>
            <w:noWrap/>
            <w:vAlign w:val="bottom"/>
            <w:hideMark/>
          </w:tcPr>
          <w:p w14:paraId="4DAFEB26" w14:textId="75DF219B" w:rsidR="009A356E" w:rsidRPr="00C10545" w:rsidRDefault="009A356E" w:rsidP="009A356E">
            <w:pPr>
              <w:rPr>
                <w:sz w:val="18"/>
                <w:szCs w:val="18"/>
                <w:lang w:eastAsia="en-AU"/>
              </w:rPr>
            </w:pPr>
            <w:r w:rsidRPr="00C10545">
              <w:rPr>
                <w:sz w:val="18"/>
                <w:szCs w:val="18"/>
                <w:lang w:eastAsia="en-AU"/>
              </w:rPr>
              <w:t xml:space="preserve"> 99.9 </w:t>
            </w:r>
          </w:p>
        </w:tc>
      </w:tr>
      <w:tr w:rsidR="009A356E" w:rsidRPr="00F23FF7" w14:paraId="7A1F36EE" w14:textId="77777777" w:rsidTr="009A356E">
        <w:trPr>
          <w:trHeight w:val="240"/>
        </w:trPr>
        <w:tc>
          <w:tcPr>
            <w:tcW w:w="1211" w:type="pct"/>
            <w:tcBorders>
              <w:top w:val="nil"/>
              <w:left w:val="single" w:sz="4" w:space="0" w:color="auto"/>
              <w:bottom w:val="single" w:sz="4" w:space="0" w:color="auto"/>
              <w:right w:val="single" w:sz="4" w:space="0" w:color="auto"/>
            </w:tcBorders>
            <w:shd w:val="clear" w:color="auto" w:fill="auto"/>
            <w:noWrap/>
            <w:vAlign w:val="bottom"/>
            <w:hideMark/>
          </w:tcPr>
          <w:p w14:paraId="657055A1" w14:textId="77777777" w:rsidR="009A356E" w:rsidRPr="00C10545" w:rsidRDefault="009A356E" w:rsidP="009A356E">
            <w:pPr>
              <w:rPr>
                <w:sz w:val="18"/>
                <w:szCs w:val="18"/>
                <w:lang w:eastAsia="en-AU"/>
              </w:rPr>
            </w:pPr>
            <w:proofErr w:type="spellStart"/>
            <w:r w:rsidRPr="00C10545">
              <w:rPr>
                <w:sz w:val="18"/>
                <w:szCs w:val="18"/>
                <w:lang w:eastAsia="en-AU"/>
              </w:rPr>
              <w:t>Buloke</w:t>
            </w:r>
            <w:proofErr w:type="spellEnd"/>
          </w:p>
        </w:tc>
        <w:tc>
          <w:tcPr>
            <w:tcW w:w="632" w:type="pct"/>
            <w:tcBorders>
              <w:top w:val="nil"/>
              <w:left w:val="nil"/>
              <w:bottom w:val="single" w:sz="4" w:space="0" w:color="auto"/>
              <w:right w:val="single" w:sz="4" w:space="0" w:color="auto"/>
            </w:tcBorders>
            <w:shd w:val="clear" w:color="auto" w:fill="auto"/>
            <w:noWrap/>
            <w:vAlign w:val="bottom"/>
            <w:hideMark/>
          </w:tcPr>
          <w:p w14:paraId="2191F435" w14:textId="4244133E" w:rsidR="009A356E" w:rsidRPr="00C10545" w:rsidRDefault="009A356E" w:rsidP="009A356E">
            <w:pPr>
              <w:rPr>
                <w:sz w:val="18"/>
                <w:szCs w:val="18"/>
                <w:lang w:eastAsia="en-AU"/>
              </w:rPr>
            </w:pPr>
            <w:r w:rsidRPr="00C10545">
              <w:rPr>
                <w:sz w:val="18"/>
                <w:szCs w:val="18"/>
                <w:lang w:eastAsia="en-AU"/>
              </w:rPr>
              <w:t xml:space="preserve"> 372.1 </w:t>
            </w:r>
          </w:p>
        </w:tc>
        <w:tc>
          <w:tcPr>
            <w:tcW w:w="632" w:type="pct"/>
            <w:tcBorders>
              <w:top w:val="nil"/>
              <w:left w:val="nil"/>
              <w:bottom w:val="single" w:sz="4" w:space="0" w:color="auto"/>
              <w:right w:val="single" w:sz="4" w:space="0" w:color="auto"/>
            </w:tcBorders>
            <w:shd w:val="clear" w:color="auto" w:fill="auto"/>
            <w:noWrap/>
            <w:vAlign w:val="bottom"/>
            <w:hideMark/>
          </w:tcPr>
          <w:p w14:paraId="77524C40" w14:textId="082FD789" w:rsidR="009A356E" w:rsidRPr="00C10545" w:rsidRDefault="009A356E" w:rsidP="009A356E">
            <w:pPr>
              <w:rPr>
                <w:sz w:val="18"/>
                <w:szCs w:val="18"/>
                <w:lang w:eastAsia="en-AU"/>
              </w:rPr>
            </w:pPr>
            <w:r w:rsidRPr="00C10545">
              <w:rPr>
                <w:sz w:val="18"/>
                <w:szCs w:val="18"/>
                <w:lang w:eastAsia="en-AU"/>
              </w:rPr>
              <w:t xml:space="preserve"> 373.5 </w:t>
            </w:r>
          </w:p>
        </w:tc>
        <w:tc>
          <w:tcPr>
            <w:tcW w:w="632" w:type="pct"/>
            <w:tcBorders>
              <w:top w:val="nil"/>
              <w:left w:val="nil"/>
              <w:bottom w:val="single" w:sz="4" w:space="0" w:color="auto"/>
              <w:right w:val="single" w:sz="4" w:space="0" w:color="auto"/>
            </w:tcBorders>
            <w:shd w:val="clear" w:color="auto" w:fill="auto"/>
            <w:noWrap/>
            <w:vAlign w:val="bottom"/>
            <w:hideMark/>
          </w:tcPr>
          <w:p w14:paraId="2B441987" w14:textId="00033BF6" w:rsidR="009A356E" w:rsidRPr="00C10545" w:rsidRDefault="009A356E" w:rsidP="009A356E">
            <w:pPr>
              <w:rPr>
                <w:sz w:val="18"/>
                <w:szCs w:val="18"/>
                <w:lang w:eastAsia="en-AU"/>
              </w:rPr>
            </w:pPr>
            <w:r w:rsidRPr="00C10545">
              <w:rPr>
                <w:sz w:val="18"/>
                <w:szCs w:val="18"/>
                <w:lang w:eastAsia="en-AU"/>
              </w:rPr>
              <w:t xml:space="preserve"> 355.0 </w:t>
            </w:r>
          </w:p>
        </w:tc>
        <w:tc>
          <w:tcPr>
            <w:tcW w:w="632" w:type="pct"/>
            <w:tcBorders>
              <w:top w:val="nil"/>
              <w:left w:val="nil"/>
              <w:bottom w:val="single" w:sz="4" w:space="0" w:color="auto"/>
              <w:right w:val="single" w:sz="4" w:space="0" w:color="auto"/>
            </w:tcBorders>
            <w:shd w:val="clear" w:color="auto" w:fill="auto"/>
            <w:noWrap/>
            <w:vAlign w:val="bottom"/>
            <w:hideMark/>
          </w:tcPr>
          <w:p w14:paraId="6E9427A2" w14:textId="01C5273E" w:rsidR="009A356E" w:rsidRPr="00C10545" w:rsidRDefault="009A356E" w:rsidP="009A356E">
            <w:pPr>
              <w:rPr>
                <w:sz w:val="18"/>
                <w:szCs w:val="18"/>
                <w:lang w:eastAsia="en-AU"/>
              </w:rPr>
            </w:pPr>
            <w:r w:rsidRPr="00C10545">
              <w:rPr>
                <w:sz w:val="18"/>
                <w:szCs w:val="18"/>
                <w:lang w:eastAsia="en-AU"/>
              </w:rPr>
              <w:t xml:space="preserve"> 504.0 </w:t>
            </w:r>
          </w:p>
        </w:tc>
        <w:tc>
          <w:tcPr>
            <w:tcW w:w="632" w:type="pct"/>
            <w:tcBorders>
              <w:top w:val="nil"/>
              <w:left w:val="nil"/>
              <w:bottom w:val="single" w:sz="4" w:space="0" w:color="auto"/>
              <w:right w:val="single" w:sz="4" w:space="0" w:color="auto"/>
            </w:tcBorders>
            <w:shd w:val="clear" w:color="auto" w:fill="auto"/>
            <w:noWrap/>
            <w:vAlign w:val="bottom"/>
            <w:hideMark/>
          </w:tcPr>
          <w:p w14:paraId="44C158A7" w14:textId="23CDDBD5" w:rsidR="009A356E" w:rsidRPr="00C10545" w:rsidRDefault="009A356E" w:rsidP="009A356E">
            <w:pPr>
              <w:rPr>
                <w:sz w:val="18"/>
                <w:szCs w:val="18"/>
                <w:lang w:eastAsia="en-AU"/>
              </w:rPr>
            </w:pPr>
            <w:r w:rsidRPr="00C10545">
              <w:rPr>
                <w:sz w:val="18"/>
                <w:szCs w:val="18"/>
                <w:lang w:eastAsia="en-AU"/>
              </w:rPr>
              <w:t xml:space="preserve"> 550.6 </w:t>
            </w:r>
          </w:p>
        </w:tc>
        <w:tc>
          <w:tcPr>
            <w:tcW w:w="629" w:type="pct"/>
            <w:tcBorders>
              <w:top w:val="nil"/>
              <w:left w:val="nil"/>
              <w:bottom w:val="single" w:sz="4" w:space="0" w:color="auto"/>
              <w:right w:val="single" w:sz="4" w:space="0" w:color="auto"/>
            </w:tcBorders>
            <w:shd w:val="clear" w:color="auto" w:fill="auto"/>
            <w:noWrap/>
            <w:vAlign w:val="bottom"/>
            <w:hideMark/>
          </w:tcPr>
          <w:p w14:paraId="4872E099" w14:textId="5E6B4FA9" w:rsidR="009A356E" w:rsidRPr="00C10545" w:rsidRDefault="009A356E" w:rsidP="009A356E">
            <w:pPr>
              <w:rPr>
                <w:sz w:val="18"/>
                <w:szCs w:val="18"/>
                <w:lang w:eastAsia="en-AU"/>
              </w:rPr>
            </w:pPr>
            <w:r w:rsidRPr="00C10545">
              <w:rPr>
                <w:sz w:val="18"/>
                <w:szCs w:val="18"/>
                <w:lang w:eastAsia="en-AU"/>
              </w:rPr>
              <w:t xml:space="preserve"> 559.5 </w:t>
            </w:r>
          </w:p>
        </w:tc>
      </w:tr>
      <w:tr w:rsidR="009A356E" w:rsidRPr="00F23FF7" w14:paraId="7BA43FA6" w14:textId="77777777" w:rsidTr="009A356E">
        <w:trPr>
          <w:trHeight w:val="240"/>
        </w:trPr>
        <w:tc>
          <w:tcPr>
            <w:tcW w:w="1211" w:type="pct"/>
            <w:tcBorders>
              <w:top w:val="nil"/>
              <w:left w:val="single" w:sz="4" w:space="0" w:color="auto"/>
              <w:bottom w:val="single" w:sz="4" w:space="0" w:color="auto"/>
              <w:right w:val="single" w:sz="4" w:space="0" w:color="auto"/>
            </w:tcBorders>
            <w:shd w:val="clear" w:color="auto" w:fill="auto"/>
            <w:noWrap/>
            <w:vAlign w:val="bottom"/>
            <w:hideMark/>
          </w:tcPr>
          <w:p w14:paraId="1A8B3123" w14:textId="77777777" w:rsidR="009A356E" w:rsidRPr="00C10545" w:rsidRDefault="009A356E" w:rsidP="009A356E">
            <w:pPr>
              <w:rPr>
                <w:sz w:val="18"/>
                <w:szCs w:val="18"/>
                <w:lang w:eastAsia="en-AU"/>
              </w:rPr>
            </w:pPr>
            <w:r w:rsidRPr="00C10545">
              <w:rPr>
                <w:sz w:val="18"/>
                <w:szCs w:val="18"/>
                <w:lang w:eastAsia="en-AU"/>
              </w:rPr>
              <w:t>Golden Plains</w:t>
            </w:r>
          </w:p>
        </w:tc>
        <w:tc>
          <w:tcPr>
            <w:tcW w:w="632" w:type="pct"/>
            <w:tcBorders>
              <w:top w:val="nil"/>
              <w:left w:val="nil"/>
              <w:bottom w:val="single" w:sz="4" w:space="0" w:color="auto"/>
              <w:right w:val="single" w:sz="4" w:space="0" w:color="auto"/>
            </w:tcBorders>
            <w:shd w:val="clear" w:color="auto" w:fill="auto"/>
            <w:noWrap/>
            <w:vAlign w:val="bottom"/>
            <w:hideMark/>
          </w:tcPr>
          <w:p w14:paraId="68E8DC1C" w14:textId="3092A089" w:rsidR="009A356E" w:rsidRPr="00C10545" w:rsidRDefault="009A356E" w:rsidP="009A356E">
            <w:pPr>
              <w:rPr>
                <w:sz w:val="18"/>
                <w:szCs w:val="18"/>
                <w:lang w:eastAsia="en-AU"/>
              </w:rPr>
            </w:pPr>
            <w:r w:rsidRPr="00C10545">
              <w:rPr>
                <w:sz w:val="18"/>
                <w:szCs w:val="18"/>
                <w:lang w:eastAsia="en-AU"/>
              </w:rPr>
              <w:t xml:space="preserve"> 156.4 </w:t>
            </w:r>
          </w:p>
        </w:tc>
        <w:tc>
          <w:tcPr>
            <w:tcW w:w="632" w:type="pct"/>
            <w:tcBorders>
              <w:top w:val="nil"/>
              <w:left w:val="nil"/>
              <w:bottom w:val="single" w:sz="4" w:space="0" w:color="auto"/>
              <w:right w:val="single" w:sz="4" w:space="0" w:color="auto"/>
            </w:tcBorders>
            <w:shd w:val="clear" w:color="auto" w:fill="auto"/>
            <w:noWrap/>
            <w:vAlign w:val="bottom"/>
            <w:hideMark/>
          </w:tcPr>
          <w:p w14:paraId="48511A8D" w14:textId="1A93D02A" w:rsidR="009A356E" w:rsidRPr="00C10545" w:rsidRDefault="009A356E" w:rsidP="009A356E">
            <w:pPr>
              <w:rPr>
                <w:sz w:val="18"/>
                <w:szCs w:val="18"/>
                <w:lang w:eastAsia="en-AU"/>
              </w:rPr>
            </w:pPr>
            <w:r w:rsidRPr="00C10545">
              <w:rPr>
                <w:sz w:val="18"/>
                <w:szCs w:val="18"/>
                <w:lang w:eastAsia="en-AU"/>
              </w:rPr>
              <w:t xml:space="preserve"> 162.9 </w:t>
            </w:r>
          </w:p>
        </w:tc>
        <w:tc>
          <w:tcPr>
            <w:tcW w:w="632" w:type="pct"/>
            <w:tcBorders>
              <w:top w:val="nil"/>
              <w:left w:val="nil"/>
              <w:bottom w:val="single" w:sz="4" w:space="0" w:color="auto"/>
              <w:right w:val="single" w:sz="4" w:space="0" w:color="auto"/>
            </w:tcBorders>
            <w:shd w:val="clear" w:color="auto" w:fill="auto"/>
            <w:noWrap/>
            <w:vAlign w:val="bottom"/>
            <w:hideMark/>
          </w:tcPr>
          <w:p w14:paraId="6A748124" w14:textId="3E4BBDA9" w:rsidR="009A356E" w:rsidRPr="00C10545" w:rsidRDefault="009A356E" w:rsidP="009A356E">
            <w:pPr>
              <w:rPr>
                <w:sz w:val="18"/>
                <w:szCs w:val="18"/>
                <w:lang w:eastAsia="en-AU"/>
              </w:rPr>
            </w:pPr>
            <w:r w:rsidRPr="00C10545">
              <w:rPr>
                <w:sz w:val="18"/>
                <w:szCs w:val="18"/>
                <w:lang w:eastAsia="en-AU"/>
              </w:rPr>
              <w:t xml:space="preserve"> 178.3 </w:t>
            </w:r>
          </w:p>
        </w:tc>
        <w:tc>
          <w:tcPr>
            <w:tcW w:w="632" w:type="pct"/>
            <w:tcBorders>
              <w:top w:val="nil"/>
              <w:left w:val="nil"/>
              <w:bottom w:val="single" w:sz="4" w:space="0" w:color="auto"/>
              <w:right w:val="single" w:sz="4" w:space="0" w:color="auto"/>
            </w:tcBorders>
            <w:shd w:val="clear" w:color="auto" w:fill="auto"/>
            <w:noWrap/>
            <w:vAlign w:val="bottom"/>
            <w:hideMark/>
          </w:tcPr>
          <w:p w14:paraId="128B2DD4" w14:textId="546FEC52" w:rsidR="009A356E" w:rsidRPr="00C10545" w:rsidRDefault="009A356E" w:rsidP="009A356E">
            <w:pPr>
              <w:rPr>
                <w:sz w:val="18"/>
                <w:szCs w:val="18"/>
                <w:lang w:eastAsia="en-AU"/>
              </w:rPr>
            </w:pPr>
            <w:r w:rsidRPr="00C10545">
              <w:rPr>
                <w:sz w:val="18"/>
                <w:szCs w:val="18"/>
                <w:lang w:eastAsia="en-AU"/>
              </w:rPr>
              <w:t xml:space="preserve"> 171.8 </w:t>
            </w:r>
          </w:p>
        </w:tc>
        <w:tc>
          <w:tcPr>
            <w:tcW w:w="632" w:type="pct"/>
            <w:tcBorders>
              <w:top w:val="nil"/>
              <w:left w:val="nil"/>
              <w:bottom w:val="single" w:sz="4" w:space="0" w:color="auto"/>
              <w:right w:val="single" w:sz="4" w:space="0" w:color="auto"/>
            </w:tcBorders>
            <w:shd w:val="clear" w:color="auto" w:fill="auto"/>
            <w:noWrap/>
            <w:vAlign w:val="bottom"/>
            <w:hideMark/>
          </w:tcPr>
          <w:p w14:paraId="0069D923" w14:textId="5DCF6910" w:rsidR="009A356E" w:rsidRPr="00C10545" w:rsidRDefault="009A356E" w:rsidP="009A356E">
            <w:pPr>
              <w:rPr>
                <w:sz w:val="18"/>
                <w:szCs w:val="18"/>
                <w:lang w:eastAsia="en-AU"/>
              </w:rPr>
            </w:pPr>
            <w:r w:rsidRPr="00C10545">
              <w:rPr>
                <w:sz w:val="18"/>
                <w:szCs w:val="18"/>
                <w:lang w:eastAsia="en-AU"/>
              </w:rPr>
              <w:t xml:space="preserve"> 152.0 </w:t>
            </w:r>
          </w:p>
        </w:tc>
        <w:tc>
          <w:tcPr>
            <w:tcW w:w="629" w:type="pct"/>
            <w:tcBorders>
              <w:top w:val="nil"/>
              <w:left w:val="nil"/>
              <w:bottom w:val="single" w:sz="4" w:space="0" w:color="auto"/>
              <w:right w:val="single" w:sz="4" w:space="0" w:color="auto"/>
            </w:tcBorders>
            <w:shd w:val="clear" w:color="auto" w:fill="auto"/>
            <w:noWrap/>
            <w:vAlign w:val="bottom"/>
            <w:hideMark/>
          </w:tcPr>
          <w:p w14:paraId="77BBD340" w14:textId="3C0FC2A4" w:rsidR="009A356E" w:rsidRPr="00C10545" w:rsidRDefault="009A356E" w:rsidP="009A356E">
            <w:pPr>
              <w:rPr>
                <w:sz w:val="18"/>
                <w:szCs w:val="18"/>
                <w:lang w:eastAsia="en-AU"/>
              </w:rPr>
            </w:pPr>
            <w:r w:rsidRPr="00C10545">
              <w:rPr>
                <w:sz w:val="18"/>
                <w:szCs w:val="18"/>
                <w:lang w:eastAsia="en-AU"/>
              </w:rPr>
              <w:t xml:space="preserve"> 143.7 </w:t>
            </w:r>
          </w:p>
        </w:tc>
      </w:tr>
      <w:tr w:rsidR="009A356E" w:rsidRPr="00F23FF7" w14:paraId="0C3D5CD1" w14:textId="77777777" w:rsidTr="009A356E">
        <w:trPr>
          <w:trHeight w:val="240"/>
        </w:trPr>
        <w:tc>
          <w:tcPr>
            <w:tcW w:w="1211" w:type="pct"/>
            <w:tcBorders>
              <w:top w:val="nil"/>
              <w:left w:val="single" w:sz="4" w:space="0" w:color="auto"/>
              <w:bottom w:val="single" w:sz="4" w:space="0" w:color="auto"/>
              <w:right w:val="single" w:sz="4" w:space="0" w:color="auto"/>
            </w:tcBorders>
            <w:shd w:val="clear" w:color="auto" w:fill="auto"/>
            <w:noWrap/>
            <w:vAlign w:val="bottom"/>
            <w:hideMark/>
          </w:tcPr>
          <w:p w14:paraId="672AC60D" w14:textId="77777777" w:rsidR="009A356E" w:rsidRPr="00C10545" w:rsidRDefault="009A356E" w:rsidP="009A356E">
            <w:pPr>
              <w:rPr>
                <w:sz w:val="18"/>
                <w:szCs w:val="18"/>
                <w:lang w:eastAsia="en-AU"/>
              </w:rPr>
            </w:pPr>
            <w:r w:rsidRPr="00C10545">
              <w:rPr>
                <w:sz w:val="18"/>
                <w:szCs w:val="18"/>
                <w:lang w:eastAsia="en-AU"/>
              </w:rPr>
              <w:t>Indigo</w:t>
            </w:r>
          </w:p>
        </w:tc>
        <w:tc>
          <w:tcPr>
            <w:tcW w:w="632" w:type="pct"/>
            <w:tcBorders>
              <w:top w:val="nil"/>
              <w:left w:val="nil"/>
              <w:bottom w:val="single" w:sz="4" w:space="0" w:color="auto"/>
              <w:right w:val="single" w:sz="4" w:space="0" w:color="auto"/>
            </w:tcBorders>
            <w:shd w:val="clear" w:color="auto" w:fill="auto"/>
            <w:noWrap/>
            <w:vAlign w:val="bottom"/>
            <w:hideMark/>
          </w:tcPr>
          <w:p w14:paraId="6EFCDF93" w14:textId="12279304" w:rsidR="009A356E" w:rsidRPr="00C10545" w:rsidRDefault="009A356E" w:rsidP="009A356E">
            <w:pPr>
              <w:rPr>
                <w:sz w:val="18"/>
                <w:szCs w:val="18"/>
                <w:lang w:eastAsia="en-AU"/>
              </w:rPr>
            </w:pPr>
            <w:r w:rsidRPr="00C10545">
              <w:rPr>
                <w:sz w:val="18"/>
                <w:szCs w:val="18"/>
                <w:lang w:eastAsia="en-AU"/>
              </w:rPr>
              <w:t xml:space="preserve"> 132.9 </w:t>
            </w:r>
          </w:p>
        </w:tc>
        <w:tc>
          <w:tcPr>
            <w:tcW w:w="632" w:type="pct"/>
            <w:tcBorders>
              <w:top w:val="nil"/>
              <w:left w:val="nil"/>
              <w:bottom w:val="single" w:sz="4" w:space="0" w:color="auto"/>
              <w:right w:val="single" w:sz="4" w:space="0" w:color="auto"/>
            </w:tcBorders>
            <w:shd w:val="clear" w:color="auto" w:fill="auto"/>
            <w:noWrap/>
            <w:vAlign w:val="bottom"/>
            <w:hideMark/>
          </w:tcPr>
          <w:p w14:paraId="7619F818" w14:textId="47284456" w:rsidR="009A356E" w:rsidRPr="00C10545" w:rsidRDefault="009A356E" w:rsidP="009A356E">
            <w:pPr>
              <w:rPr>
                <w:sz w:val="18"/>
                <w:szCs w:val="18"/>
                <w:lang w:eastAsia="en-AU"/>
              </w:rPr>
            </w:pPr>
            <w:r w:rsidRPr="00C10545">
              <w:rPr>
                <w:sz w:val="18"/>
                <w:szCs w:val="18"/>
                <w:lang w:eastAsia="en-AU"/>
              </w:rPr>
              <w:t xml:space="preserve"> 146.2 </w:t>
            </w:r>
          </w:p>
        </w:tc>
        <w:tc>
          <w:tcPr>
            <w:tcW w:w="632" w:type="pct"/>
            <w:tcBorders>
              <w:top w:val="nil"/>
              <w:left w:val="nil"/>
              <w:bottom w:val="single" w:sz="4" w:space="0" w:color="auto"/>
              <w:right w:val="single" w:sz="4" w:space="0" w:color="auto"/>
            </w:tcBorders>
            <w:shd w:val="clear" w:color="auto" w:fill="auto"/>
            <w:noWrap/>
            <w:vAlign w:val="bottom"/>
            <w:hideMark/>
          </w:tcPr>
          <w:p w14:paraId="5D4FADEC" w14:textId="2A0EA1EF" w:rsidR="009A356E" w:rsidRPr="00C10545" w:rsidRDefault="009A356E" w:rsidP="009A356E">
            <w:pPr>
              <w:rPr>
                <w:sz w:val="18"/>
                <w:szCs w:val="18"/>
                <w:lang w:eastAsia="en-AU"/>
              </w:rPr>
            </w:pPr>
            <w:r w:rsidRPr="00C10545">
              <w:rPr>
                <w:sz w:val="18"/>
                <w:szCs w:val="18"/>
                <w:lang w:eastAsia="en-AU"/>
              </w:rPr>
              <w:t xml:space="preserve"> 153.1 </w:t>
            </w:r>
          </w:p>
        </w:tc>
        <w:tc>
          <w:tcPr>
            <w:tcW w:w="632" w:type="pct"/>
            <w:tcBorders>
              <w:top w:val="nil"/>
              <w:left w:val="nil"/>
              <w:bottom w:val="single" w:sz="4" w:space="0" w:color="auto"/>
              <w:right w:val="single" w:sz="4" w:space="0" w:color="auto"/>
            </w:tcBorders>
            <w:shd w:val="clear" w:color="auto" w:fill="auto"/>
            <w:noWrap/>
            <w:vAlign w:val="bottom"/>
            <w:hideMark/>
          </w:tcPr>
          <w:p w14:paraId="54D024A7" w14:textId="304AA7BF" w:rsidR="009A356E" w:rsidRPr="00C10545" w:rsidRDefault="009A356E" w:rsidP="009A356E">
            <w:pPr>
              <w:rPr>
                <w:sz w:val="18"/>
                <w:szCs w:val="18"/>
                <w:lang w:eastAsia="en-AU"/>
              </w:rPr>
            </w:pPr>
            <w:r w:rsidRPr="00C10545">
              <w:rPr>
                <w:sz w:val="18"/>
                <w:szCs w:val="18"/>
                <w:lang w:eastAsia="en-AU"/>
              </w:rPr>
              <w:t xml:space="preserve"> 181.0 </w:t>
            </w:r>
          </w:p>
        </w:tc>
        <w:tc>
          <w:tcPr>
            <w:tcW w:w="632" w:type="pct"/>
            <w:tcBorders>
              <w:top w:val="nil"/>
              <w:left w:val="nil"/>
              <w:bottom w:val="single" w:sz="4" w:space="0" w:color="auto"/>
              <w:right w:val="single" w:sz="4" w:space="0" w:color="auto"/>
            </w:tcBorders>
            <w:shd w:val="clear" w:color="auto" w:fill="auto"/>
            <w:noWrap/>
            <w:vAlign w:val="bottom"/>
            <w:hideMark/>
          </w:tcPr>
          <w:p w14:paraId="501B066A" w14:textId="6FE76458" w:rsidR="009A356E" w:rsidRPr="00C10545" w:rsidRDefault="009A356E" w:rsidP="009A356E">
            <w:pPr>
              <w:rPr>
                <w:sz w:val="18"/>
                <w:szCs w:val="18"/>
                <w:lang w:eastAsia="en-AU"/>
              </w:rPr>
            </w:pPr>
            <w:r w:rsidRPr="00C10545">
              <w:rPr>
                <w:sz w:val="18"/>
                <w:szCs w:val="18"/>
                <w:lang w:eastAsia="en-AU"/>
              </w:rPr>
              <w:t xml:space="preserve"> 173.1 </w:t>
            </w:r>
          </w:p>
        </w:tc>
        <w:tc>
          <w:tcPr>
            <w:tcW w:w="629" w:type="pct"/>
            <w:tcBorders>
              <w:top w:val="nil"/>
              <w:left w:val="nil"/>
              <w:bottom w:val="single" w:sz="4" w:space="0" w:color="auto"/>
              <w:right w:val="single" w:sz="4" w:space="0" w:color="auto"/>
            </w:tcBorders>
            <w:shd w:val="clear" w:color="auto" w:fill="auto"/>
            <w:noWrap/>
            <w:vAlign w:val="bottom"/>
            <w:hideMark/>
          </w:tcPr>
          <w:p w14:paraId="37D1F1FE" w14:textId="144EE4D3" w:rsidR="009A356E" w:rsidRPr="00C10545" w:rsidRDefault="009A356E" w:rsidP="009A356E">
            <w:pPr>
              <w:rPr>
                <w:sz w:val="18"/>
                <w:szCs w:val="18"/>
                <w:lang w:eastAsia="en-AU"/>
              </w:rPr>
            </w:pPr>
            <w:r w:rsidRPr="00C10545">
              <w:rPr>
                <w:sz w:val="18"/>
                <w:szCs w:val="18"/>
                <w:lang w:eastAsia="en-AU"/>
              </w:rPr>
              <w:t xml:space="preserve"> 164.3 </w:t>
            </w:r>
          </w:p>
        </w:tc>
      </w:tr>
      <w:tr w:rsidR="009A356E" w:rsidRPr="00F23FF7" w14:paraId="702F7C83" w14:textId="77777777" w:rsidTr="009A356E">
        <w:trPr>
          <w:trHeight w:val="240"/>
        </w:trPr>
        <w:tc>
          <w:tcPr>
            <w:tcW w:w="1211" w:type="pct"/>
            <w:tcBorders>
              <w:top w:val="nil"/>
              <w:left w:val="single" w:sz="4" w:space="0" w:color="auto"/>
              <w:bottom w:val="single" w:sz="4" w:space="0" w:color="auto"/>
              <w:right w:val="single" w:sz="4" w:space="0" w:color="auto"/>
            </w:tcBorders>
            <w:shd w:val="clear" w:color="auto" w:fill="auto"/>
            <w:noWrap/>
            <w:vAlign w:val="bottom"/>
            <w:hideMark/>
          </w:tcPr>
          <w:p w14:paraId="291E729A" w14:textId="77777777" w:rsidR="009A356E" w:rsidRPr="00C10545" w:rsidRDefault="009A356E" w:rsidP="009A356E">
            <w:pPr>
              <w:rPr>
                <w:sz w:val="18"/>
                <w:szCs w:val="18"/>
                <w:lang w:eastAsia="en-AU"/>
              </w:rPr>
            </w:pPr>
            <w:r w:rsidRPr="00C10545">
              <w:rPr>
                <w:sz w:val="18"/>
                <w:szCs w:val="18"/>
                <w:lang w:eastAsia="en-AU"/>
              </w:rPr>
              <w:t>Loddon</w:t>
            </w:r>
          </w:p>
        </w:tc>
        <w:tc>
          <w:tcPr>
            <w:tcW w:w="632" w:type="pct"/>
            <w:tcBorders>
              <w:top w:val="nil"/>
              <w:left w:val="nil"/>
              <w:bottom w:val="single" w:sz="4" w:space="0" w:color="auto"/>
              <w:right w:val="single" w:sz="4" w:space="0" w:color="auto"/>
            </w:tcBorders>
            <w:shd w:val="clear" w:color="auto" w:fill="auto"/>
            <w:noWrap/>
            <w:vAlign w:val="bottom"/>
            <w:hideMark/>
          </w:tcPr>
          <w:p w14:paraId="101F4C06" w14:textId="3DC40579" w:rsidR="009A356E" w:rsidRPr="00C10545" w:rsidRDefault="009A356E" w:rsidP="009A356E">
            <w:pPr>
              <w:rPr>
                <w:sz w:val="18"/>
                <w:szCs w:val="18"/>
                <w:lang w:eastAsia="en-AU"/>
              </w:rPr>
            </w:pPr>
            <w:r w:rsidRPr="00C10545">
              <w:rPr>
                <w:sz w:val="18"/>
                <w:szCs w:val="18"/>
                <w:lang w:eastAsia="en-AU"/>
              </w:rPr>
              <w:t xml:space="preserve"> 358.9 </w:t>
            </w:r>
          </w:p>
        </w:tc>
        <w:tc>
          <w:tcPr>
            <w:tcW w:w="632" w:type="pct"/>
            <w:tcBorders>
              <w:top w:val="nil"/>
              <w:left w:val="nil"/>
              <w:bottom w:val="single" w:sz="4" w:space="0" w:color="auto"/>
              <w:right w:val="single" w:sz="4" w:space="0" w:color="auto"/>
            </w:tcBorders>
            <w:shd w:val="clear" w:color="auto" w:fill="auto"/>
            <w:noWrap/>
            <w:vAlign w:val="bottom"/>
            <w:hideMark/>
          </w:tcPr>
          <w:p w14:paraId="1BB44000" w14:textId="3C8CEEF5" w:rsidR="009A356E" w:rsidRPr="00C10545" w:rsidRDefault="009A356E" w:rsidP="009A356E">
            <w:pPr>
              <w:rPr>
                <w:sz w:val="18"/>
                <w:szCs w:val="18"/>
                <w:lang w:eastAsia="en-AU"/>
              </w:rPr>
            </w:pPr>
            <w:r w:rsidRPr="00C10545">
              <w:rPr>
                <w:sz w:val="18"/>
                <w:szCs w:val="18"/>
                <w:lang w:eastAsia="en-AU"/>
              </w:rPr>
              <w:t xml:space="preserve"> 359.9 </w:t>
            </w:r>
          </w:p>
        </w:tc>
        <w:tc>
          <w:tcPr>
            <w:tcW w:w="632" w:type="pct"/>
            <w:tcBorders>
              <w:top w:val="nil"/>
              <w:left w:val="nil"/>
              <w:bottom w:val="single" w:sz="4" w:space="0" w:color="auto"/>
              <w:right w:val="single" w:sz="4" w:space="0" w:color="auto"/>
            </w:tcBorders>
            <w:shd w:val="clear" w:color="auto" w:fill="auto"/>
            <w:noWrap/>
            <w:vAlign w:val="bottom"/>
            <w:hideMark/>
          </w:tcPr>
          <w:p w14:paraId="6D07EDDB" w14:textId="035EF623" w:rsidR="009A356E" w:rsidRPr="00C10545" w:rsidRDefault="009A356E" w:rsidP="009A356E">
            <w:pPr>
              <w:rPr>
                <w:sz w:val="18"/>
                <w:szCs w:val="18"/>
                <w:lang w:eastAsia="en-AU"/>
              </w:rPr>
            </w:pPr>
            <w:r w:rsidRPr="00C10545">
              <w:rPr>
                <w:sz w:val="18"/>
                <w:szCs w:val="18"/>
                <w:lang w:eastAsia="en-AU"/>
              </w:rPr>
              <w:t xml:space="preserve"> 435.5 </w:t>
            </w:r>
          </w:p>
        </w:tc>
        <w:tc>
          <w:tcPr>
            <w:tcW w:w="632" w:type="pct"/>
            <w:tcBorders>
              <w:top w:val="nil"/>
              <w:left w:val="nil"/>
              <w:bottom w:val="single" w:sz="4" w:space="0" w:color="auto"/>
              <w:right w:val="single" w:sz="4" w:space="0" w:color="auto"/>
            </w:tcBorders>
            <w:shd w:val="clear" w:color="auto" w:fill="auto"/>
            <w:noWrap/>
            <w:vAlign w:val="bottom"/>
            <w:hideMark/>
          </w:tcPr>
          <w:p w14:paraId="643CCAB1" w14:textId="1EE71DC7" w:rsidR="009A356E" w:rsidRPr="00C10545" w:rsidRDefault="009A356E" w:rsidP="009A356E">
            <w:pPr>
              <w:rPr>
                <w:sz w:val="18"/>
                <w:szCs w:val="18"/>
                <w:lang w:eastAsia="en-AU"/>
              </w:rPr>
            </w:pPr>
            <w:r w:rsidRPr="00C10545">
              <w:rPr>
                <w:sz w:val="18"/>
                <w:szCs w:val="18"/>
                <w:lang w:eastAsia="en-AU"/>
              </w:rPr>
              <w:t xml:space="preserve"> 599.1 </w:t>
            </w:r>
          </w:p>
        </w:tc>
        <w:tc>
          <w:tcPr>
            <w:tcW w:w="632" w:type="pct"/>
            <w:tcBorders>
              <w:top w:val="nil"/>
              <w:left w:val="nil"/>
              <w:bottom w:val="single" w:sz="4" w:space="0" w:color="auto"/>
              <w:right w:val="single" w:sz="4" w:space="0" w:color="auto"/>
            </w:tcBorders>
            <w:shd w:val="clear" w:color="auto" w:fill="auto"/>
            <w:noWrap/>
            <w:vAlign w:val="bottom"/>
            <w:hideMark/>
          </w:tcPr>
          <w:p w14:paraId="0B38C3F1" w14:textId="40FC92B8" w:rsidR="009A356E" w:rsidRPr="00C10545" w:rsidRDefault="009A356E" w:rsidP="009A356E">
            <w:pPr>
              <w:rPr>
                <w:sz w:val="18"/>
                <w:szCs w:val="18"/>
                <w:lang w:eastAsia="en-AU"/>
              </w:rPr>
            </w:pPr>
            <w:r w:rsidRPr="00C10545">
              <w:rPr>
                <w:sz w:val="18"/>
                <w:szCs w:val="18"/>
                <w:lang w:eastAsia="en-AU"/>
              </w:rPr>
              <w:t xml:space="preserve"> 639.2 </w:t>
            </w:r>
          </w:p>
        </w:tc>
        <w:tc>
          <w:tcPr>
            <w:tcW w:w="629" w:type="pct"/>
            <w:tcBorders>
              <w:top w:val="nil"/>
              <w:left w:val="nil"/>
              <w:bottom w:val="single" w:sz="4" w:space="0" w:color="auto"/>
              <w:right w:val="single" w:sz="4" w:space="0" w:color="auto"/>
            </w:tcBorders>
            <w:shd w:val="clear" w:color="auto" w:fill="auto"/>
            <w:noWrap/>
            <w:vAlign w:val="bottom"/>
            <w:hideMark/>
          </w:tcPr>
          <w:p w14:paraId="1BC1ADA6" w14:textId="479DBE91" w:rsidR="009A356E" w:rsidRPr="00C10545" w:rsidRDefault="009A356E" w:rsidP="009A356E">
            <w:pPr>
              <w:rPr>
                <w:sz w:val="18"/>
                <w:szCs w:val="18"/>
                <w:lang w:eastAsia="en-AU"/>
              </w:rPr>
            </w:pPr>
            <w:r w:rsidRPr="00C10545">
              <w:rPr>
                <w:sz w:val="18"/>
                <w:szCs w:val="18"/>
                <w:lang w:eastAsia="en-AU"/>
              </w:rPr>
              <w:t xml:space="preserve"> 641.0 </w:t>
            </w:r>
          </w:p>
        </w:tc>
      </w:tr>
      <w:tr w:rsidR="009A356E" w:rsidRPr="00F23FF7" w14:paraId="05636FC1" w14:textId="77777777" w:rsidTr="009A356E">
        <w:trPr>
          <w:trHeight w:val="240"/>
        </w:trPr>
        <w:tc>
          <w:tcPr>
            <w:tcW w:w="1211" w:type="pct"/>
            <w:tcBorders>
              <w:top w:val="nil"/>
              <w:left w:val="single" w:sz="4" w:space="0" w:color="auto"/>
              <w:bottom w:val="single" w:sz="4" w:space="0" w:color="auto"/>
              <w:right w:val="single" w:sz="4" w:space="0" w:color="auto"/>
            </w:tcBorders>
            <w:shd w:val="clear" w:color="auto" w:fill="auto"/>
            <w:noWrap/>
            <w:vAlign w:val="bottom"/>
            <w:hideMark/>
          </w:tcPr>
          <w:p w14:paraId="68C8AB2B" w14:textId="77777777" w:rsidR="009A356E" w:rsidRPr="00C10545" w:rsidRDefault="009A356E" w:rsidP="009A356E">
            <w:pPr>
              <w:rPr>
                <w:sz w:val="18"/>
                <w:szCs w:val="18"/>
                <w:lang w:eastAsia="en-AU"/>
              </w:rPr>
            </w:pPr>
            <w:r w:rsidRPr="00C10545">
              <w:rPr>
                <w:sz w:val="18"/>
                <w:szCs w:val="18"/>
                <w:lang w:eastAsia="en-AU"/>
              </w:rPr>
              <w:t>Northern Grampians</w:t>
            </w:r>
          </w:p>
        </w:tc>
        <w:tc>
          <w:tcPr>
            <w:tcW w:w="632" w:type="pct"/>
            <w:tcBorders>
              <w:top w:val="nil"/>
              <w:left w:val="nil"/>
              <w:bottom w:val="single" w:sz="4" w:space="0" w:color="auto"/>
              <w:right w:val="single" w:sz="4" w:space="0" w:color="auto"/>
            </w:tcBorders>
            <w:shd w:val="clear" w:color="auto" w:fill="auto"/>
            <w:noWrap/>
            <w:vAlign w:val="bottom"/>
            <w:hideMark/>
          </w:tcPr>
          <w:p w14:paraId="755B7AF1" w14:textId="1A0A0713" w:rsidR="009A356E" w:rsidRPr="00C10545" w:rsidRDefault="009A356E" w:rsidP="009A356E">
            <w:pPr>
              <w:rPr>
                <w:sz w:val="18"/>
                <w:szCs w:val="18"/>
                <w:lang w:eastAsia="en-AU"/>
              </w:rPr>
            </w:pPr>
            <w:r w:rsidRPr="00C10545">
              <w:rPr>
                <w:sz w:val="18"/>
                <w:szCs w:val="18"/>
                <w:lang w:eastAsia="en-AU"/>
              </w:rPr>
              <w:t xml:space="preserve"> 220.1 </w:t>
            </w:r>
          </w:p>
        </w:tc>
        <w:tc>
          <w:tcPr>
            <w:tcW w:w="632" w:type="pct"/>
            <w:tcBorders>
              <w:top w:val="nil"/>
              <w:left w:val="nil"/>
              <w:bottom w:val="single" w:sz="4" w:space="0" w:color="auto"/>
              <w:right w:val="single" w:sz="4" w:space="0" w:color="auto"/>
            </w:tcBorders>
            <w:shd w:val="clear" w:color="auto" w:fill="auto"/>
            <w:noWrap/>
            <w:vAlign w:val="bottom"/>
            <w:hideMark/>
          </w:tcPr>
          <w:p w14:paraId="51886616" w14:textId="4E348D9E" w:rsidR="009A356E" w:rsidRPr="00C10545" w:rsidRDefault="009A356E" w:rsidP="009A356E">
            <w:pPr>
              <w:rPr>
                <w:sz w:val="18"/>
                <w:szCs w:val="18"/>
                <w:lang w:eastAsia="en-AU"/>
              </w:rPr>
            </w:pPr>
            <w:r w:rsidRPr="00C10545">
              <w:rPr>
                <w:sz w:val="18"/>
                <w:szCs w:val="18"/>
                <w:lang w:eastAsia="en-AU"/>
              </w:rPr>
              <w:t xml:space="preserve"> 228.4 </w:t>
            </w:r>
          </w:p>
        </w:tc>
        <w:tc>
          <w:tcPr>
            <w:tcW w:w="632" w:type="pct"/>
            <w:tcBorders>
              <w:top w:val="nil"/>
              <w:left w:val="nil"/>
              <w:bottom w:val="single" w:sz="4" w:space="0" w:color="auto"/>
              <w:right w:val="single" w:sz="4" w:space="0" w:color="auto"/>
            </w:tcBorders>
            <w:shd w:val="clear" w:color="auto" w:fill="auto"/>
            <w:noWrap/>
            <w:vAlign w:val="bottom"/>
            <w:hideMark/>
          </w:tcPr>
          <w:p w14:paraId="78C14177" w14:textId="2F4A0138" w:rsidR="009A356E" w:rsidRPr="00C10545" w:rsidRDefault="009A356E" w:rsidP="009A356E">
            <w:pPr>
              <w:rPr>
                <w:sz w:val="18"/>
                <w:szCs w:val="18"/>
                <w:lang w:eastAsia="en-AU"/>
              </w:rPr>
            </w:pPr>
            <w:r w:rsidRPr="00C10545">
              <w:rPr>
                <w:sz w:val="18"/>
                <w:szCs w:val="18"/>
                <w:lang w:eastAsia="en-AU"/>
              </w:rPr>
              <w:t xml:space="preserve"> 246.5 </w:t>
            </w:r>
          </w:p>
        </w:tc>
        <w:tc>
          <w:tcPr>
            <w:tcW w:w="632" w:type="pct"/>
            <w:tcBorders>
              <w:top w:val="nil"/>
              <w:left w:val="nil"/>
              <w:bottom w:val="single" w:sz="4" w:space="0" w:color="auto"/>
              <w:right w:val="single" w:sz="4" w:space="0" w:color="auto"/>
            </w:tcBorders>
            <w:shd w:val="clear" w:color="auto" w:fill="auto"/>
            <w:noWrap/>
            <w:vAlign w:val="bottom"/>
            <w:hideMark/>
          </w:tcPr>
          <w:p w14:paraId="28F96C84" w14:textId="286F107F" w:rsidR="009A356E" w:rsidRPr="00C10545" w:rsidRDefault="009A356E" w:rsidP="009A356E">
            <w:pPr>
              <w:rPr>
                <w:sz w:val="18"/>
                <w:szCs w:val="18"/>
                <w:lang w:eastAsia="en-AU"/>
              </w:rPr>
            </w:pPr>
            <w:r w:rsidRPr="00C10545">
              <w:rPr>
                <w:sz w:val="18"/>
                <w:szCs w:val="18"/>
                <w:lang w:eastAsia="en-AU"/>
              </w:rPr>
              <w:t xml:space="preserve"> 328.0 </w:t>
            </w:r>
          </w:p>
        </w:tc>
        <w:tc>
          <w:tcPr>
            <w:tcW w:w="632" w:type="pct"/>
            <w:tcBorders>
              <w:top w:val="nil"/>
              <w:left w:val="nil"/>
              <w:bottom w:val="single" w:sz="4" w:space="0" w:color="auto"/>
              <w:right w:val="single" w:sz="4" w:space="0" w:color="auto"/>
            </w:tcBorders>
            <w:shd w:val="clear" w:color="auto" w:fill="auto"/>
            <w:noWrap/>
            <w:vAlign w:val="bottom"/>
            <w:hideMark/>
          </w:tcPr>
          <w:p w14:paraId="03C4C838" w14:textId="4A197BB6" w:rsidR="009A356E" w:rsidRPr="00C10545" w:rsidRDefault="009A356E" w:rsidP="009A356E">
            <w:pPr>
              <w:rPr>
                <w:sz w:val="18"/>
                <w:szCs w:val="18"/>
                <w:lang w:eastAsia="en-AU"/>
              </w:rPr>
            </w:pPr>
            <w:r w:rsidRPr="00C10545">
              <w:rPr>
                <w:sz w:val="18"/>
                <w:szCs w:val="18"/>
                <w:lang w:eastAsia="en-AU"/>
              </w:rPr>
              <w:t xml:space="preserve"> 340.5 </w:t>
            </w:r>
          </w:p>
        </w:tc>
        <w:tc>
          <w:tcPr>
            <w:tcW w:w="629" w:type="pct"/>
            <w:tcBorders>
              <w:top w:val="nil"/>
              <w:left w:val="nil"/>
              <w:bottom w:val="single" w:sz="4" w:space="0" w:color="auto"/>
              <w:right w:val="single" w:sz="4" w:space="0" w:color="auto"/>
            </w:tcBorders>
            <w:shd w:val="clear" w:color="auto" w:fill="auto"/>
            <w:noWrap/>
            <w:vAlign w:val="bottom"/>
            <w:hideMark/>
          </w:tcPr>
          <w:p w14:paraId="2F41ABAA" w14:textId="3E05C6C1" w:rsidR="009A356E" w:rsidRPr="00C10545" w:rsidRDefault="009A356E" w:rsidP="009A356E">
            <w:pPr>
              <w:rPr>
                <w:sz w:val="18"/>
                <w:szCs w:val="18"/>
                <w:lang w:eastAsia="en-AU"/>
              </w:rPr>
            </w:pPr>
            <w:r w:rsidRPr="00C10545">
              <w:rPr>
                <w:sz w:val="18"/>
                <w:szCs w:val="18"/>
                <w:lang w:eastAsia="en-AU"/>
              </w:rPr>
              <w:t xml:space="preserve"> 340.6 </w:t>
            </w:r>
          </w:p>
        </w:tc>
      </w:tr>
      <w:tr w:rsidR="009A356E" w:rsidRPr="00F23FF7" w14:paraId="7AADD254" w14:textId="77777777" w:rsidTr="009A356E">
        <w:trPr>
          <w:trHeight w:val="240"/>
        </w:trPr>
        <w:tc>
          <w:tcPr>
            <w:tcW w:w="1211" w:type="pct"/>
            <w:tcBorders>
              <w:top w:val="nil"/>
              <w:left w:val="single" w:sz="4" w:space="0" w:color="auto"/>
              <w:bottom w:val="single" w:sz="4" w:space="0" w:color="auto"/>
              <w:right w:val="single" w:sz="4" w:space="0" w:color="auto"/>
            </w:tcBorders>
            <w:shd w:val="clear" w:color="auto" w:fill="auto"/>
            <w:noWrap/>
            <w:vAlign w:val="bottom"/>
            <w:hideMark/>
          </w:tcPr>
          <w:p w14:paraId="52C2EE2B" w14:textId="77777777" w:rsidR="009A356E" w:rsidRPr="00C10545" w:rsidRDefault="009A356E" w:rsidP="009A356E">
            <w:pPr>
              <w:rPr>
                <w:sz w:val="18"/>
                <w:szCs w:val="18"/>
                <w:lang w:eastAsia="en-AU"/>
              </w:rPr>
            </w:pPr>
            <w:proofErr w:type="spellStart"/>
            <w:r w:rsidRPr="00C10545">
              <w:rPr>
                <w:sz w:val="18"/>
                <w:szCs w:val="18"/>
                <w:lang w:eastAsia="en-AU"/>
              </w:rPr>
              <w:t>Yarriambiack</w:t>
            </w:r>
            <w:proofErr w:type="spellEnd"/>
          </w:p>
        </w:tc>
        <w:tc>
          <w:tcPr>
            <w:tcW w:w="632" w:type="pct"/>
            <w:tcBorders>
              <w:top w:val="nil"/>
              <w:left w:val="nil"/>
              <w:bottom w:val="single" w:sz="4" w:space="0" w:color="auto"/>
              <w:right w:val="single" w:sz="4" w:space="0" w:color="auto"/>
            </w:tcBorders>
            <w:shd w:val="clear" w:color="auto" w:fill="auto"/>
            <w:noWrap/>
            <w:vAlign w:val="bottom"/>
            <w:hideMark/>
          </w:tcPr>
          <w:p w14:paraId="1B37C429" w14:textId="0D6B8B21" w:rsidR="009A356E" w:rsidRPr="00C10545" w:rsidRDefault="009A356E" w:rsidP="009A356E">
            <w:pPr>
              <w:rPr>
                <w:sz w:val="18"/>
                <w:szCs w:val="18"/>
                <w:lang w:eastAsia="en-AU"/>
              </w:rPr>
            </w:pPr>
            <w:r w:rsidRPr="00C10545">
              <w:rPr>
                <w:sz w:val="18"/>
                <w:szCs w:val="18"/>
                <w:lang w:eastAsia="en-AU"/>
              </w:rPr>
              <w:t xml:space="preserve"> 276.6 </w:t>
            </w:r>
          </w:p>
        </w:tc>
        <w:tc>
          <w:tcPr>
            <w:tcW w:w="632" w:type="pct"/>
            <w:tcBorders>
              <w:top w:val="nil"/>
              <w:left w:val="nil"/>
              <w:bottom w:val="single" w:sz="4" w:space="0" w:color="auto"/>
              <w:right w:val="single" w:sz="4" w:space="0" w:color="auto"/>
            </w:tcBorders>
            <w:shd w:val="clear" w:color="auto" w:fill="auto"/>
            <w:noWrap/>
            <w:vAlign w:val="bottom"/>
            <w:hideMark/>
          </w:tcPr>
          <w:p w14:paraId="456D18E2" w14:textId="3EB269F6" w:rsidR="009A356E" w:rsidRPr="00C10545" w:rsidRDefault="009A356E" w:rsidP="009A356E">
            <w:pPr>
              <w:rPr>
                <w:sz w:val="18"/>
                <w:szCs w:val="18"/>
                <w:lang w:eastAsia="en-AU"/>
              </w:rPr>
            </w:pPr>
            <w:r w:rsidRPr="00C10545">
              <w:rPr>
                <w:sz w:val="18"/>
                <w:szCs w:val="18"/>
                <w:lang w:eastAsia="en-AU"/>
              </w:rPr>
              <w:t xml:space="preserve"> 278.7 </w:t>
            </w:r>
          </w:p>
        </w:tc>
        <w:tc>
          <w:tcPr>
            <w:tcW w:w="632" w:type="pct"/>
            <w:tcBorders>
              <w:top w:val="nil"/>
              <w:left w:val="nil"/>
              <w:bottom w:val="single" w:sz="4" w:space="0" w:color="auto"/>
              <w:right w:val="single" w:sz="4" w:space="0" w:color="auto"/>
            </w:tcBorders>
            <w:shd w:val="clear" w:color="auto" w:fill="auto"/>
            <w:noWrap/>
            <w:vAlign w:val="bottom"/>
            <w:hideMark/>
          </w:tcPr>
          <w:p w14:paraId="05607497" w14:textId="23899E05" w:rsidR="009A356E" w:rsidRPr="00C10545" w:rsidRDefault="009A356E" w:rsidP="009A356E">
            <w:pPr>
              <w:rPr>
                <w:sz w:val="18"/>
                <w:szCs w:val="18"/>
                <w:lang w:eastAsia="en-AU"/>
              </w:rPr>
            </w:pPr>
            <w:r w:rsidRPr="00C10545">
              <w:rPr>
                <w:sz w:val="18"/>
                <w:szCs w:val="18"/>
                <w:lang w:eastAsia="en-AU"/>
              </w:rPr>
              <w:t xml:space="preserve"> 294.1 </w:t>
            </w:r>
          </w:p>
        </w:tc>
        <w:tc>
          <w:tcPr>
            <w:tcW w:w="632" w:type="pct"/>
            <w:tcBorders>
              <w:top w:val="nil"/>
              <w:left w:val="nil"/>
              <w:bottom w:val="single" w:sz="4" w:space="0" w:color="auto"/>
              <w:right w:val="single" w:sz="4" w:space="0" w:color="auto"/>
            </w:tcBorders>
            <w:shd w:val="clear" w:color="auto" w:fill="auto"/>
            <w:noWrap/>
            <w:vAlign w:val="bottom"/>
            <w:hideMark/>
          </w:tcPr>
          <w:p w14:paraId="60657A34" w14:textId="55E42DAD" w:rsidR="009A356E" w:rsidRPr="00C10545" w:rsidRDefault="009A356E" w:rsidP="009A356E">
            <w:pPr>
              <w:rPr>
                <w:sz w:val="18"/>
                <w:szCs w:val="18"/>
                <w:lang w:eastAsia="en-AU"/>
              </w:rPr>
            </w:pPr>
            <w:r w:rsidRPr="00C10545">
              <w:rPr>
                <w:sz w:val="18"/>
                <w:szCs w:val="18"/>
                <w:lang w:eastAsia="en-AU"/>
              </w:rPr>
              <w:t xml:space="preserve"> 403.3 </w:t>
            </w:r>
          </w:p>
        </w:tc>
        <w:tc>
          <w:tcPr>
            <w:tcW w:w="632" w:type="pct"/>
            <w:tcBorders>
              <w:top w:val="nil"/>
              <w:left w:val="nil"/>
              <w:bottom w:val="single" w:sz="4" w:space="0" w:color="auto"/>
              <w:right w:val="single" w:sz="4" w:space="0" w:color="auto"/>
            </w:tcBorders>
            <w:shd w:val="clear" w:color="auto" w:fill="auto"/>
            <w:noWrap/>
            <w:vAlign w:val="bottom"/>
            <w:hideMark/>
          </w:tcPr>
          <w:p w14:paraId="300E0352" w14:textId="79FBBCF3" w:rsidR="009A356E" w:rsidRPr="00C10545" w:rsidRDefault="009A356E" w:rsidP="009A356E">
            <w:pPr>
              <w:rPr>
                <w:sz w:val="18"/>
                <w:szCs w:val="18"/>
                <w:lang w:eastAsia="en-AU"/>
              </w:rPr>
            </w:pPr>
            <w:r w:rsidRPr="00C10545">
              <w:rPr>
                <w:sz w:val="18"/>
                <w:szCs w:val="18"/>
                <w:lang w:eastAsia="en-AU"/>
              </w:rPr>
              <w:t xml:space="preserve"> 424.8 </w:t>
            </w:r>
          </w:p>
        </w:tc>
        <w:tc>
          <w:tcPr>
            <w:tcW w:w="629" w:type="pct"/>
            <w:tcBorders>
              <w:top w:val="nil"/>
              <w:left w:val="nil"/>
              <w:bottom w:val="single" w:sz="4" w:space="0" w:color="auto"/>
              <w:right w:val="single" w:sz="4" w:space="0" w:color="auto"/>
            </w:tcBorders>
            <w:shd w:val="clear" w:color="auto" w:fill="auto"/>
            <w:noWrap/>
            <w:vAlign w:val="bottom"/>
            <w:hideMark/>
          </w:tcPr>
          <w:p w14:paraId="24A21FE1" w14:textId="7362695B" w:rsidR="009A356E" w:rsidRPr="00C10545" w:rsidRDefault="009A356E" w:rsidP="009A356E">
            <w:pPr>
              <w:rPr>
                <w:sz w:val="18"/>
                <w:szCs w:val="18"/>
                <w:lang w:eastAsia="en-AU"/>
              </w:rPr>
            </w:pPr>
            <w:r w:rsidRPr="00C10545">
              <w:rPr>
                <w:sz w:val="18"/>
                <w:szCs w:val="18"/>
                <w:lang w:eastAsia="en-AU"/>
              </w:rPr>
              <w:t xml:space="preserve"> 418.3 </w:t>
            </w:r>
          </w:p>
        </w:tc>
      </w:tr>
      <w:tr w:rsidR="009A356E" w:rsidRPr="00F23FF7" w14:paraId="01B1AA7A" w14:textId="77777777" w:rsidTr="009A356E">
        <w:trPr>
          <w:trHeight w:val="240"/>
        </w:trPr>
        <w:tc>
          <w:tcPr>
            <w:tcW w:w="1211" w:type="pct"/>
            <w:tcBorders>
              <w:top w:val="nil"/>
              <w:left w:val="single" w:sz="4" w:space="0" w:color="auto"/>
              <w:bottom w:val="single" w:sz="4" w:space="0" w:color="auto"/>
              <w:right w:val="single" w:sz="4" w:space="0" w:color="auto"/>
            </w:tcBorders>
            <w:shd w:val="clear" w:color="000000" w:fill="DAEEF3"/>
            <w:noWrap/>
            <w:vAlign w:val="bottom"/>
            <w:hideMark/>
          </w:tcPr>
          <w:p w14:paraId="796AC750" w14:textId="77777777" w:rsidR="009A356E" w:rsidRPr="00C10545" w:rsidRDefault="009A356E" w:rsidP="009A356E">
            <w:pPr>
              <w:rPr>
                <w:b/>
                <w:bCs/>
                <w:sz w:val="18"/>
                <w:szCs w:val="18"/>
                <w:lang w:eastAsia="en-AU"/>
              </w:rPr>
            </w:pPr>
            <w:r w:rsidRPr="00C10545">
              <w:rPr>
                <w:b/>
                <w:bCs/>
                <w:sz w:val="18"/>
                <w:szCs w:val="18"/>
                <w:lang w:eastAsia="en-AU"/>
              </w:rPr>
              <w:t>Large Shires</w:t>
            </w:r>
          </w:p>
        </w:tc>
        <w:tc>
          <w:tcPr>
            <w:tcW w:w="632" w:type="pct"/>
            <w:tcBorders>
              <w:top w:val="nil"/>
              <w:left w:val="nil"/>
              <w:bottom w:val="single" w:sz="4" w:space="0" w:color="auto"/>
              <w:right w:val="single" w:sz="4" w:space="0" w:color="auto"/>
            </w:tcBorders>
            <w:shd w:val="clear" w:color="000000" w:fill="000000"/>
            <w:noWrap/>
            <w:vAlign w:val="bottom"/>
            <w:hideMark/>
          </w:tcPr>
          <w:p w14:paraId="106D505C" w14:textId="77777777" w:rsidR="009A356E" w:rsidRPr="00C10545" w:rsidRDefault="009A356E" w:rsidP="009A356E">
            <w:pPr>
              <w:rPr>
                <w:sz w:val="18"/>
                <w:szCs w:val="18"/>
                <w:lang w:eastAsia="en-AU"/>
              </w:rPr>
            </w:pPr>
            <w:r w:rsidRPr="00C10545">
              <w:rPr>
                <w:sz w:val="18"/>
                <w:szCs w:val="18"/>
                <w:lang w:eastAsia="en-AU"/>
              </w:rPr>
              <w:t> </w:t>
            </w:r>
          </w:p>
        </w:tc>
        <w:tc>
          <w:tcPr>
            <w:tcW w:w="632" w:type="pct"/>
            <w:tcBorders>
              <w:top w:val="nil"/>
              <w:left w:val="nil"/>
              <w:bottom w:val="single" w:sz="4" w:space="0" w:color="auto"/>
              <w:right w:val="single" w:sz="4" w:space="0" w:color="auto"/>
            </w:tcBorders>
            <w:shd w:val="clear" w:color="000000" w:fill="000000"/>
            <w:noWrap/>
            <w:vAlign w:val="bottom"/>
            <w:hideMark/>
          </w:tcPr>
          <w:p w14:paraId="4CB09C7B" w14:textId="77777777" w:rsidR="009A356E" w:rsidRPr="00C10545" w:rsidRDefault="009A356E" w:rsidP="009A356E">
            <w:pPr>
              <w:rPr>
                <w:sz w:val="18"/>
                <w:szCs w:val="18"/>
                <w:lang w:eastAsia="en-AU"/>
              </w:rPr>
            </w:pPr>
            <w:r w:rsidRPr="00C10545">
              <w:rPr>
                <w:sz w:val="18"/>
                <w:szCs w:val="18"/>
                <w:lang w:eastAsia="en-AU"/>
              </w:rPr>
              <w:t> </w:t>
            </w:r>
          </w:p>
        </w:tc>
        <w:tc>
          <w:tcPr>
            <w:tcW w:w="632" w:type="pct"/>
            <w:tcBorders>
              <w:top w:val="nil"/>
              <w:left w:val="nil"/>
              <w:bottom w:val="single" w:sz="4" w:space="0" w:color="auto"/>
              <w:right w:val="single" w:sz="4" w:space="0" w:color="auto"/>
            </w:tcBorders>
            <w:shd w:val="clear" w:color="000000" w:fill="000000"/>
            <w:noWrap/>
            <w:vAlign w:val="bottom"/>
            <w:hideMark/>
          </w:tcPr>
          <w:p w14:paraId="2E700A54" w14:textId="77777777" w:rsidR="009A356E" w:rsidRPr="00C10545" w:rsidRDefault="009A356E" w:rsidP="009A356E">
            <w:pPr>
              <w:rPr>
                <w:sz w:val="18"/>
                <w:szCs w:val="18"/>
                <w:lang w:eastAsia="en-AU"/>
              </w:rPr>
            </w:pPr>
            <w:r w:rsidRPr="00C10545">
              <w:rPr>
                <w:sz w:val="18"/>
                <w:szCs w:val="18"/>
                <w:lang w:eastAsia="en-AU"/>
              </w:rPr>
              <w:t> </w:t>
            </w:r>
          </w:p>
        </w:tc>
        <w:tc>
          <w:tcPr>
            <w:tcW w:w="632" w:type="pct"/>
            <w:tcBorders>
              <w:top w:val="nil"/>
              <w:left w:val="nil"/>
              <w:bottom w:val="single" w:sz="4" w:space="0" w:color="auto"/>
              <w:right w:val="single" w:sz="4" w:space="0" w:color="auto"/>
            </w:tcBorders>
            <w:shd w:val="clear" w:color="000000" w:fill="000000"/>
            <w:noWrap/>
            <w:vAlign w:val="bottom"/>
            <w:hideMark/>
          </w:tcPr>
          <w:p w14:paraId="1B4904B8" w14:textId="77777777" w:rsidR="009A356E" w:rsidRPr="00C10545" w:rsidRDefault="009A356E" w:rsidP="009A356E">
            <w:pPr>
              <w:rPr>
                <w:sz w:val="18"/>
                <w:szCs w:val="18"/>
                <w:lang w:eastAsia="en-AU"/>
              </w:rPr>
            </w:pPr>
            <w:r w:rsidRPr="00C10545">
              <w:rPr>
                <w:sz w:val="18"/>
                <w:szCs w:val="18"/>
                <w:lang w:eastAsia="en-AU"/>
              </w:rPr>
              <w:t> </w:t>
            </w:r>
          </w:p>
        </w:tc>
        <w:tc>
          <w:tcPr>
            <w:tcW w:w="632" w:type="pct"/>
            <w:tcBorders>
              <w:top w:val="nil"/>
              <w:left w:val="nil"/>
              <w:bottom w:val="single" w:sz="4" w:space="0" w:color="auto"/>
              <w:right w:val="single" w:sz="4" w:space="0" w:color="auto"/>
            </w:tcBorders>
            <w:shd w:val="clear" w:color="000000" w:fill="000000"/>
            <w:noWrap/>
            <w:vAlign w:val="bottom"/>
            <w:hideMark/>
          </w:tcPr>
          <w:p w14:paraId="5B46D644" w14:textId="77777777" w:rsidR="009A356E" w:rsidRPr="00C10545" w:rsidRDefault="009A356E" w:rsidP="009A356E">
            <w:pPr>
              <w:rPr>
                <w:sz w:val="18"/>
                <w:szCs w:val="18"/>
                <w:lang w:eastAsia="en-AU"/>
              </w:rPr>
            </w:pPr>
            <w:r w:rsidRPr="00C10545">
              <w:rPr>
                <w:sz w:val="18"/>
                <w:szCs w:val="18"/>
                <w:lang w:eastAsia="en-AU"/>
              </w:rPr>
              <w:t> </w:t>
            </w:r>
          </w:p>
        </w:tc>
        <w:tc>
          <w:tcPr>
            <w:tcW w:w="629" w:type="pct"/>
            <w:tcBorders>
              <w:top w:val="nil"/>
              <w:left w:val="nil"/>
              <w:bottom w:val="single" w:sz="4" w:space="0" w:color="auto"/>
              <w:right w:val="single" w:sz="4" w:space="0" w:color="auto"/>
            </w:tcBorders>
            <w:shd w:val="clear" w:color="000000" w:fill="000000"/>
            <w:noWrap/>
            <w:vAlign w:val="bottom"/>
            <w:hideMark/>
          </w:tcPr>
          <w:p w14:paraId="4796DD39" w14:textId="77777777" w:rsidR="009A356E" w:rsidRPr="00C10545" w:rsidRDefault="009A356E" w:rsidP="009A356E">
            <w:pPr>
              <w:rPr>
                <w:sz w:val="18"/>
                <w:szCs w:val="18"/>
                <w:lang w:eastAsia="en-AU"/>
              </w:rPr>
            </w:pPr>
            <w:r w:rsidRPr="00C10545">
              <w:rPr>
                <w:sz w:val="18"/>
                <w:szCs w:val="18"/>
                <w:lang w:eastAsia="en-AU"/>
              </w:rPr>
              <w:t> </w:t>
            </w:r>
          </w:p>
        </w:tc>
      </w:tr>
      <w:tr w:rsidR="009A356E" w:rsidRPr="00F23FF7" w14:paraId="1EA4780A" w14:textId="77777777" w:rsidTr="009A356E">
        <w:trPr>
          <w:trHeight w:val="240"/>
        </w:trPr>
        <w:tc>
          <w:tcPr>
            <w:tcW w:w="1211" w:type="pct"/>
            <w:tcBorders>
              <w:top w:val="nil"/>
              <w:left w:val="single" w:sz="4" w:space="0" w:color="auto"/>
              <w:bottom w:val="single" w:sz="4" w:space="0" w:color="auto"/>
              <w:right w:val="single" w:sz="4" w:space="0" w:color="auto"/>
            </w:tcBorders>
            <w:shd w:val="clear" w:color="auto" w:fill="auto"/>
            <w:noWrap/>
            <w:vAlign w:val="bottom"/>
            <w:hideMark/>
          </w:tcPr>
          <w:p w14:paraId="17E5CAD6" w14:textId="77777777" w:rsidR="009A356E" w:rsidRPr="00C10545" w:rsidRDefault="009A356E" w:rsidP="009A356E">
            <w:pPr>
              <w:rPr>
                <w:sz w:val="18"/>
                <w:szCs w:val="18"/>
                <w:lang w:eastAsia="en-AU"/>
              </w:rPr>
            </w:pPr>
            <w:r w:rsidRPr="00C10545">
              <w:rPr>
                <w:sz w:val="18"/>
                <w:szCs w:val="18"/>
                <w:lang w:eastAsia="en-AU"/>
              </w:rPr>
              <w:t>Campaspe</w:t>
            </w:r>
          </w:p>
        </w:tc>
        <w:tc>
          <w:tcPr>
            <w:tcW w:w="632" w:type="pct"/>
            <w:tcBorders>
              <w:top w:val="nil"/>
              <w:left w:val="nil"/>
              <w:bottom w:val="single" w:sz="4" w:space="0" w:color="auto"/>
              <w:right w:val="single" w:sz="4" w:space="0" w:color="auto"/>
            </w:tcBorders>
            <w:shd w:val="clear" w:color="auto" w:fill="auto"/>
            <w:noWrap/>
            <w:vAlign w:val="bottom"/>
            <w:hideMark/>
          </w:tcPr>
          <w:p w14:paraId="65A33647" w14:textId="114044BD" w:rsidR="009A356E" w:rsidRPr="00C10545" w:rsidRDefault="009A356E" w:rsidP="009A356E">
            <w:pPr>
              <w:rPr>
                <w:sz w:val="18"/>
                <w:szCs w:val="18"/>
                <w:lang w:eastAsia="en-AU"/>
              </w:rPr>
            </w:pPr>
            <w:r w:rsidRPr="00C10545">
              <w:rPr>
                <w:sz w:val="18"/>
                <w:szCs w:val="18"/>
                <w:lang w:eastAsia="en-AU"/>
              </w:rPr>
              <w:t xml:space="preserve"> 133.9 </w:t>
            </w:r>
          </w:p>
        </w:tc>
        <w:tc>
          <w:tcPr>
            <w:tcW w:w="632" w:type="pct"/>
            <w:tcBorders>
              <w:top w:val="nil"/>
              <w:left w:val="nil"/>
              <w:bottom w:val="single" w:sz="4" w:space="0" w:color="auto"/>
              <w:right w:val="single" w:sz="4" w:space="0" w:color="auto"/>
            </w:tcBorders>
            <w:shd w:val="clear" w:color="auto" w:fill="auto"/>
            <w:noWrap/>
            <w:vAlign w:val="bottom"/>
            <w:hideMark/>
          </w:tcPr>
          <w:p w14:paraId="41663E06" w14:textId="7B488CF9" w:rsidR="009A356E" w:rsidRPr="00C10545" w:rsidRDefault="009A356E" w:rsidP="009A356E">
            <w:pPr>
              <w:rPr>
                <w:sz w:val="18"/>
                <w:szCs w:val="18"/>
                <w:lang w:eastAsia="en-AU"/>
              </w:rPr>
            </w:pPr>
            <w:r w:rsidRPr="00C10545">
              <w:rPr>
                <w:sz w:val="18"/>
                <w:szCs w:val="18"/>
                <w:lang w:eastAsia="en-AU"/>
              </w:rPr>
              <w:t xml:space="preserve"> 127.9 </w:t>
            </w:r>
          </w:p>
        </w:tc>
        <w:tc>
          <w:tcPr>
            <w:tcW w:w="632" w:type="pct"/>
            <w:tcBorders>
              <w:top w:val="nil"/>
              <w:left w:val="nil"/>
              <w:bottom w:val="single" w:sz="4" w:space="0" w:color="auto"/>
              <w:right w:val="single" w:sz="4" w:space="0" w:color="auto"/>
            </w:tcBorders>
            <w:shd w:val="clear" w:color="auto" w:fill="auto"/>
            <w:noWrap/>
            <w:vAlign w:val="bottom"/>
            <w:hideMark/>
          </w:tcPr>
          <w:p w14:paraId="0A664C2B" w14:textId="4D8289BD" w:rsidR="009A356E" w:rsidRPr="00C10545" w:rsidRDefault="009A356E" w:rsidP="009A356E">
            <w:pPr>
              <w:rPr>
                <w:sz w:val="18"/>
                <w:szCs w:val="18"/>
                <w:lang w:eastAsia="en-AU"/>
              </w:rPr>
            </w:pPr>
            <w:r w:rsidRPr="00C10545">
              <w:rPr>
                <w:sz w:val="18"/>
                <w:szCs w:val="18"/>
                <w:lang w:eastAsia="en-AU"/>
              </w:rPr>
              <w:t xml:space="preserve"> 163.9 </w:t>
            </w:r>
          </w:p>
        </w:tc>
        <w:tc>
          <w:tcPr>
            <w:tcW w:w="632" w:type="pct"/>
            <w:tcBorders>
              <w:top w:val="nil"/>
              <w:left w:val="nil"/>
              <w:bottom w:val="single" w:sz="4" w:space="0" w:color="auto"/>
              <w:right w:val="single" w:sz="4" w:space="0" w:color="auto"/>
            </w:tcBorders>
            <w:shd w:val="clear" w:color="auto" w:fill="auto"/>
            <w:noWrap/>
            <w:vAlign w:val="bottom"/>
            <w:hideMark/>
          </w:tcPr>
          <w:p w14:paraId="1184B4E3" w14:textId="66C6DEE1" w:rsidR="009A356E" w:rsidRPr="00C10545" w:rsidRDefault="009A356E" w:rsidP="009A356E">
            <w:pPr>
              <w:rPr>
                <w:sz w:val="18"/>
                <w:szCs w:val="18"/>
                <w:lang w:eastAsia="en-AU"/>
              </w:rPr>
            </w:pPr>
            <w:r w:rsidRPr="00C10545">
              <w:rPr>
                <w:sz w:val="18"/>
                <w:szCs w:val="18"/>
                <w:lang w:eastAsia="en-AU"/>
              </w:rPr>
              <w:t xml:space="preserve"> 181.0 </w:t>
            </w:r>
          </w:p>
        </w:tc>
        <w:tc>
          <w:tcPr>
            <w:tcW w:w="632" w:type="pct"/>
            <w:tcBorders>
              <w:top w:val="nil"/>
              <w:left w:val="nil"/>
              <w:bottom w:val="single" w:sz="4" w:space="0" w:color="auto"/>
              <w:right w:val="single" w:sz="4" w:space="0" w:color="auto"/>
            </w:tcBorders>
            <w:shd w:val="clear" w:color="auto" w:fill="auto"/>
            <w:noWrap/>
            <w:vAlign w:val="bottom"/>
            <w:hideMark/>
          </w:tcPr>
          <w:p w14:paraId="2B1C22D6" w14:textId="3822E73E" w:rsidR="009A356E" w:rsidRPr="00C10545" w:rsidRDefault="009A356E" w:rsidP="009A356E">
            <w:pPr>
              <w:rPr>
                <w:sz w:val="18"/>
                <w:szCs w:val="18"/>
                <w:lang w:eastAsia="en-AU"/>
              </w:rPr>
            </w:pPr>
            <w:r w:rsidRPr="00C10545">
              <w:rPr>
                <w:sz w:val="18"/>
                <w:szCs w:val="18"/>
                <w:lang w:eastAsia="en-AU"/>
              </w:rPr>
              <w:t xml:space="preserve"> 185.7 </w:t>
            </w:r>
          </w:p>
        </w:tc>
        <w:tc>
          <w:tcPr>
            <w:tcW w:w="629" w:type="pct"/>
            <w:tcBorders>
              <w:top w:val="nil"/>
              <w:left w:val="nil"/>
              <w:bottom w:val="single" w:sz="4" w:space="0" w:color="auto"/>
              <w:right w:val="single" w:sz="4" w:space="0" w:color="auto"/>
            </w:tcBorders>
            <w:shd w:val="clear" w:color="auto" w:fill="auto"/>
            <w:noWrap/>
            <w:vAlign w:val="bottom"/>
            <w:hideMark/>
          </w:tcPr>
          <w:p w14:paraId="71713252" w14:textId="573D424C" w:rsidR="009A356E" w:rsidRPr="00C10545" w:rsidRDefault="009A356E" w:rsidP="009A356E">
            <w:pPr>
              <w:rPr>
                <w:sz w:val="18"/>
                <w:szCs w:val="18"/>
                <w:lang w:eastAsia="en-AU"/>
              </w:rPr>
            </w:pPr>
            <w:r w:rsidRPr="00C10545">
              <w:rPr>
                <w:sz w:val="18"/>
                <w:szCs w:val="18"/>
                <w:lang w:eastAsia="en-AU"/>
              </w:rPr>
              <w:t xml:space="preserve"> 178.9 </w:t>
            </w:r>
          </w:p>
        </w:tc>
      </w:tr>
      <w:tr w:rsidR="009A356E" w:rsidRPr="00F23FF7" w14:paraId="794C2D2B" w14:textId="77777777" w:rsidTr="009A356E">
        <w:trPr>
          <w:trHeight w:val="240"/>
        </w:trPr>
        <w:tc>
          <w:tcPr>
            <w:tcW w:w="1211" w:type="pct"/>
            <w:tcBorders>
              <w:top w:val="nil"/>
              <w:left w:val="single" w:sz="4" w:space="0" w:color="auto"/>
              <w:bottom w:val="single" w:sz="4" w:space="0" w:color="auto"/>
              <w:right w:val="single" w:sz="4" w:space="0" w:color="auto"/>
            </w:tcBorders>
            <w:shd w:val="clear" w:color="auto" w:fill="auto"/>
            <w:noWrap/>
            <w:vAlign w:val="bottom"/>
            <w:hideMark/>
          </w:tcPr>
          <w:p w14:paraId="269DE20A" w14:textId="77777777" w:rsidR="009A356E" w:rsidRPr="00C10545" w:rsidRDefault="009A356E" w:rsidP="009A356E">
            <w:pPr>
              <w:rPr>
                <w:sz w:val="18"/>
                <w:szCs w:val="18"/>
                <w:lang w:eastAsia="en-AU"/>
              </w:rPr>
            </w:pPr>
            <w:r w:rsidRPr="00C10545">
              <w:rPr>
                <w:sz w:val="18"/>
                <w:szCs w:val="18"/>
                <w:lang w:eastAsia="en-AU"/>
              </w:rPr>
              <w:t>Corangamite</w:t>
            </w:r>
          </w:p>
        </w:tc>
        <w:tc>
          <w:tcPr>
            <w:tcW w:w="632" w:type="pct"/>
            <w:tcBorders>
              <w:top w:val="nil"/>
              <w:left w:val="nil"/>
              <w:bottom w:val="single" w:sz="4" w:space="0" w:color="auto"/>
              <w:right w:val="single" w:sz="4" w:space="0" w:color="auto"/>
            </w:tcBorders>
            <w:shd w:val="clear" w:color="auto" w:fill="auto"/>
            <w:noWrap/>
            <w:vAlign w:val="bottom"/>
            <w:hideMark/>
          </w:tcPr>
          <w:p w14:paraId="11F55B46" w14:textId="407C1CCB" w:rsidR="009A356E" w:rsidRPr="00C10545" w:rsidRDefault="009A356E" w:rsidP="009A356E">
            <w:pPr>
              <w:rPr>
                <w:sz w:val="18"/>
                <w:szCs w:val="18"/>
                <w:lang w:eastAsia="en-AU"/>
              </w:rPr>
            </w:pPr>
            <w:r w:rsidRPr="00C10545">
              <w:rPr>
                <w:sz w:val="18"/>
                <w:szCs w:val="18"/>
                <w:lang w:eastAsia="en-AU"/>
              </w:rPr>
              <w:t xml:space="preserve"> 168.3 </w:t>
            </w:r>
          </w:p>
        </w:tc>
        <w:tc>
          <w:tcPr>
            <w:tcW w:w="632" w:type="pct"/>
            <w:tcBorders>
              <w:top w:val="nil"/>
              <w:left w:val="nil"/>
              <w:bottom w:val="single" w:sz="4" w:space="0" w:color="auto"/>
              <w:right w:val="single" w:sz="4" w:space="0" w:color="auto"/>
            </w:tcBorders>
            <w:shd w:val="clear" w:color="auto" w:fill="auto"/>
            <w:noWrap/>
            <w:vAlign w:val="bottom"/>
            <w:hideMark/>
          </w:tcPr>
          <w:p w14:paraId="0CBB4468" w14:textId="11B549E9" w:rsidR="009A356E" w:rsidRPr="00C10545" w:rsidRDefault="009A356E" w:rsidP="009A356E">
            <w:pPr>
              <w:rPr>
                <w:sz w:val="18"/>
                <w:szCs w:val="18"/>
                <w:lang w:eastAsia="en-AU"/>
              </w:rPr>
            </w:pPr>
            <w:r w:rsidRPr="00C10545">
              <w:rPr>
                <w:sz w:val="18"/>
                <w:szCs w:val="18"/>
                <w:lang w:eastAsia="en-AU"/>
              </w:rPr>
              <w:t xml:space="preserve"> 162.3 </w:t>
            </w:r>
          </w:p>
        </w:tc>
        <w:tc>
          <w:tcPr>
            <w:tcW w:w="632" w:type="pct"/>
            <w:tcBorders>
              <w:top w:val="nil"/>
              <w:left w:val="nil"/>
              <w:bottom w:val="single" w:sz="4" w:space="0" w:color="auto"/>
              <w:right w:val="single" w:sz="4" w:space="0" w:color="auto"/>
            </w:tcBorders>
            <w:shd w:val="clear" w:color="auto" w:fill="auto"/>
            <w:noWrap/>
            <w:vAlign w:val="bottom"/>
            <w:hideMark/>
          </w:tcPr>
          <w:p w14:paraId="073BF133" w14:textId="15D60616" w:rsidR="009A356E" w:rsidRPr="00C10545" w:rsidRDefault="009A356E" w:rsidP="009A356E">
            <w:pPr>
              <w:rPr>
                <w:sz w:val="18"/>
                <w:szCs w:val="18"/>
                <w:lang w:eastAsia="en-AU"/>
              </w:rPr>
            </w:pPr>
            <w:r w:rsidRPr="00C10545">
              <w:rPr>
                <w:sz w:val="18"/>
                <w:szCs w:val="18"/>
                <w:lang w:eastAsia="en-AU"/>
              </w:rPr>
              <w:t xml:space="preserve"> 221.3 </w:t>
            </w:r>
          </w:p>
        </w:tc>
        <w:tc>
          <w:tcPr>
            <w:tcW w:w="632" w:type="pct"/>
            <w:tcBorders>
              <w:top w:val="nil"/>
              <w:left w:val="nil"/>
              <w:bottom w:val="single" w:sz="4" w:space="0" w:color="auto"/>
              <w:right w:val="single" w:sz="4" w:space="0" w:color="auto"/>
            </w:tcBorders>
            <w:shd w:val="clear" w:color="auto" w:fill="auto"/>
            <w:noWrap/>
            <w:vAlign w:val="bottom"/>
            <w:hideMark/>
          </w:tcPr>
          <w:p w14:paraId="21A0D379" w14:textId="3546CECC" w:rsidR="009A356E" w:rsidRPr="00C10545" w:rsidRDefault="009A356E" w:rsidP="009A356E">
            <w:pPr>
              <w:rPr>
                <w:sz w:val="18"/>
                <w:szCs w:val="18"/>
                <w:lang w:eastAsia="en-AU"/>
              </w:rPr>
            </w:pPr>
            <w:r w:rsidRPr="00C10545">
              <w:rPr>
                <w:sz w:val="18"/>
                <w:szCs w:val="18"/>
                <w:lang w:eastAsia="en-AU"/>
              </w:rPr>
              <w:t xml:space="preserve"> 267.4 </w:t>
            </w:r>
          </w:p>
        </w:tc>
        <w:tc>
          <w:tcPr>
            <w:tcW w:w="632" w:type="pct"/>
            <w:tcBorders>
              <w:top w:val="nil"/>
              <w:left w:val="nil"/>
              <w:bottom w:val="single" w:sz="4" w:space="0" w:color="auto"/>
              <w:right w:val="single" w:sz="4" w:space="0" w:color="auto"/>
            </w:tcBorders>
            <w:shd w:val="clear" w:color="auto" w:fill="auto"/>
            <w:noWrap/>
            <w:vAlign w:val="bottom"/>
            <w:hideMark/>
          </w:tcPr>
          <w:p w14:paraId="31DD874C" w14:textId="71C70DF8" w:rsidR="009A356E" w:rsidRPr="00C10545" w:rsidRDefault="009A356E" w:rsidP="009A356E">
            <w:pPr>
              <w:rPr>
                <w:sz w:val="18"/>
                <w:szCs w:val="18"/>
                <w:lang w:eastAsia="en-AU"/>
              </w:rPr>
            </w:pPr>
            <w:r w:rsidRPr="00C10545">
              <w:rPr>
                <w:sz w:val="18"/>
                <w:szCs w:val="18"/>
                <w:lang w:eastAsia="en-AU"/>
              </w:rPr>
              <w:t xml:space="preserve"> 269.2 </w:t>
            </w:r>
          </w:p>
        </w:tc>
        <w:tc>
          <w:tcPr>
            <w:tcW w:w="629" w:type="pct"/>
            <w:tcBorders>
              <w:top w:val="nil"/>
              <w:left w:val="nil"/>
              <w:bottom w:val="single" w:sz="4" w:space="0" w:color="auto"/>
              <w:right w:val="single" w:sz="4" w:space="0" w:color="auto"/>
            </w:tcBorders>
            <w:shd w:val="clear" w:color="auto" w:fill="auto"/>
            <w:noWrap/>
            <w:vAlign w:val="bottom"/>
            <w:hideMark/>
          </w:tcPr>
          <w:p w14:paraId="1A9C4D3F" w14:textId="35F640DF" w:rsidR="009A356E" w:rsidRPr="00C10545" w:rsidRDefault="009A356E" w:rsidP="009A356E">
            <w:pPr>
              <w:rPr>
                <w:sz w:val="18"/>
                <w:szCs w:val="18"/>
                <w:lang w:eastAsia="en-AU"/>
              </w:rPr>
            </w:pPr>
            <w:r w:rsidRPr="00C10545">
              <w:rPr>
                <w:sz w:val="18"/>
                <w:szCs w:val="18"/>
                <w:lang w:eastAsia="en-AU"/>
              </w:rPr>
              <w:t xml:space="preserve"> 266.8 </w:t>
            </w:r>
          </w:p>
        </w:tc>
      </w:tr>
      <w:tr w:rsidR="009A356E" w:rsidRPr="00F23FF7" w14:paraId="40111E51" w14:textId="77777777" w:rsidTr="009A356E">
        <w:trPr>
          <w:trHeight w:val="240"/>
        </w:trPr>
        <w:tc>
          <w:tcPr>
            <w:tcW w:w="1211" w:type="pct"/>
            <w:tcBorders>
              <w:top w:val="nil"/>
              <w:left w:val="single" w:sz="4" w:space="0" w:color="auto"/>
              <w:bottom w:val="single" w:sz="4" w:space="0" w:color="auto"/>
              <w:right w:val="single" w:sz="4" w:space="0" w:color="auto"/>
            </w:tcBorders>
            <w:shd w:val="clear" w:color="auto" w:fill="auto"/>
            <w:noWrap/>
            <w:vAlign w:val="bottom"/>
            <w:hideMark/>
          </w:tcPr>
          <w:p w14:paraId="7A6DCF2A" w14:textId="77777777" w:rsidR="009A356E" w:rsidRPr="00C10545" w:rsidRDefault="009A356E" w:rsidP="009A356E">
            <w:pPr>
              <w:rPr>
                <w:sz w:val="18"/>
                <w:szCs w:val="18"/>
                <w:lang w:eastAsia="en-AU"/>
              </w:rPr>
            </w:pPr>
            <w:r w:rsidRPr="00C10545">
              <w:rPr>
                <w:sz w:val="18"/>
                <w:szCs w:val="18"/>
                <w:lang w:eastAsia="en-AU"/>
              </w:rPr>
              <w:t>Mitchell</w:t>
            </w:r>
          </w:p>
        </w:tc>
        <w:tc>
          <w:tcPr>
            <w:tcW w:w="632" w:type="pct"/>
            <w:tcBorders>
              <w:top w:val="nil"/>
              <w:left w:val="nil"/>
              <w:bottom w:val="single" w:sz="4" w:space="0" w:color="auto"/>
              <w:right w:val="single" w:sz="4" w:space="0" w:color="auto"/>
            </w:tcBorders>
            <w:shd w:val="clear" w:color="auto" w:fill="auto"/>
            <w:noWrap/>
            <w:vAlign w:val="bottom"/>
            <w:hideMark/>
          </w:tcPr>
          <w:p w14:paraId="61B18AE6" w14:textId="0AF8EB20" w:rsidR="009A356E" w:rsidRPr="00C10545" w:rsidRDefault="009A356E" w:rsidP="009A356E">
            <w:pPr>
              <w:rPr>
                <w:sz w:val="18"/>
                <w:szCs w:val="18"/>
                <w:lang w:eastAsia="en-AU"/>
              </w:rPr>
            </w:pPr>
            <w:r w:rsidRPr="00C10545">
              <w:rPr>
                <w:sz w:val="18"/>
                <w:szCs w:val="18"/>
                <w:lang w:eastAsia="en-AU"/>
              </w:rPr>
              <w:t xml:space="preserve"> 119.2 </w:t>
            </w:r>
          </w:p>
        </w:tc>
        <w:tc>
          <w:tcPr>
            <w:tcW w:w="632" w:type="pct"/>
            <w:tcBorders>
              <w:top w:val="nil"/>
              <w:left w:val="nil"/>
              <w:bottom w:val="single" w:sz="4" w:space="0" w:color="auto"/>
              <w:right w:val="single" w:sz="4" w:space="0" w:color="auto"/>
            </w:tcBorders>
            <w:shd w:val="clear" w:color="auto" w:fill="auto"/>
            <w:noWrap/>
            <w:vAlign w:val="bottom"/>
            <w:hideMark/>
          </w:tcPr>
          <w:p w14:paraId="732A7125" w14:textId="6360F0AB" w:rsidR="009A356E" w:rsidRPr="00C10545" w:rsidRDefault="009A356E" w:rsidP="009A356E">
            <w:pPr>
              <w:rPr>
                <w:sz w:val="18"/>
                <w:szCs w:val="18"/>
                <w:lang w:eastAsia="en-AU"/>
              </w:rPr>
            </w:pPr>
            <w:r w:rsidRPr="00C10545">
              <w:rPr>
                <w:sz w:val="18"/>
                <w:szCs w:val="18"/>
                <w:lang w:eastAsia="en-AU"/>
              </w:rPr>
              <w:t xml:space="preserve"> 121.7 </w:t>
            </w:r>
          </w:p>
        </w:tc>
        <w:tc>
          <w:tcPr>
            <w:tcW w:w="632" w:type="pct"/>
            <w:tcBorders>
              <w:top w:val="nil"/>
              <w:left w:val="nil"/>
              <w:bottom w:val="single" w:sz="4" w:space="0" w:color="auto"/>
              <w:right w:val="single" w:sz="4" w:space="0" w:color="auto"/>
            </w:tcBorders>
            <w:shd w:val="clear" w:color="auto" w:fill="auto"/>
            <w:noWrap/>
            <w:vAlign w:val="bottom"/>
            <w:hideMark/>
          </w:tcPr>
          <w:p w14:paraId="3E437F3E" w14:textId="18285428" w:rsidR="009A356E" w:rsidRPr="00C10545" w:rsidRDefault="009A356E" w:rsidP="009A356E">
            <w:pPr>
              <w:rPr>
                <w:sz w:val="18"/>
                <w:szCs w:val="18"/>
                <w:lang w:eastAsia="en-AU"/>
              </w:rPr>
            </w:pPr>
            <w:r w:rsidRPr="00C10545">
              <w:rPr>
                <w:sz w:val="18"/>
                <w:szCs w:val="18"/>
                <w:lang w:eastAsia="en-AU"/>
              </w:rPr>
              <w:t xml:space="preserve"> 121.9 </w:t>
            </w:r>
          </w:p>
        </w:tc>
        <w:tc>
          <w:tcPr>
            <w:tcW w:w="632" w:type="pct"/>
            <w:tcBorders>
              <w:top w:val="nil"/>
              <w:left w:val="nil"/>
              <w:bottom w:val="single" w:sz="4" w:space="0" w:color="auto"/>
              <w:right w:val="single" w:sz="4" w:space="0" w:color="auto"/>
            </w:tcBorders>
            <w:shd w:val="clear" w:color="auto" w:fill="auto"/>
            <w:noWrap/>
            <w:vAlign w:val="bottom"/>
            <w:hideMark/>
          </w:tcPr>
          <w:p w14:paraId="3E754F75" w14:textId="39BA69D3" w:rsidR="009A356E" w:rsidRPr="00C10545" w:rsidRDefault="009A356E" w:rsidP="009A356E">
            <w:pPr>
              <w:rPr>
                <w:sz w:val="18"/>
                <w:szCs w:val="18"/>
                <w:lang w:eastAsia="en-AU"/>
              </w:rPr>
            </w:pPr>
            <w:r w:rsidRPr="00C10545">
              <w:rPr>
                <w:sz w:val="18"/>
                <w:szCs w:val="18"/>
                <w:lang w:eastAsia="en-AU"/>
              </w:rPr>
              <w:t xml:space="preserve"> 114.8 </w:t>
            </w:r>
          </w:p>
        </w:tc>
        <w:tc>
          <w:tcPr>
            <w:tcW w:w="632" w:type="pct"/>
            <w:tcBorders>
              <w:top w:val="nil"/>
              <w:left w:val="nil"/>
              <w:bottom w:val="single" w:sz="4" w:space="0" w:color="auto"/>
              <w:right w:val="single" w:sz="4" w:space="0" w:color="auto"/>
            </w:tcBorders>
            <w:shd w:val="clear" w:color="auto" w:fill="auto"/>
            <w:noWrap/>
            <w:vAlign w:val="bottom"/>
            <w:hideMark/>
          </w:tcPr>
          <w:p w14:paraId="3575FE7E" w14:textId="48F36774" w:rsidR="009A356E" w:rsidRPr="00C10545" w:rsidRDefault="009A356E" w:rsidP="009A356E">
            <w:pPr>
              <w:rPr>
                <w:sz w:val="18"/>
                <w:szCs w:val="18"/>
                <w:lang w:eastAsia="en-AU"/>
              </w:rPr>
            </w:pPr>
            <w:r w:rsidRPr="00C10545">
              <w:rPr>
                <w:sz w:val="18"/>
                <w:szCs w:val="18"/>
                <w:lang w:eastAsia="en-AU"/>
              </w:rPr>
              <w:t xml:space="preserve"> 99.8 </w:t>
            </w:r>
          </w:p>
        </w:tc>
        <w:tc>
          <w:tcPr>
            <w:tcW w:w="629" w:type="pct"/>
            <w:tcBorders>
              <w:top w:val="nil"/>
              <w:left w:val="nil"/>
              <w:bottom w:val="single" w:sz="4" w:space="0" w:color="auto"/>
              <w:right w:val="single" w:sz="4" w:space="0" w:color="auto"/>
            </w:tcBorders>
            <w:shd w:val="clear" w:color="auto" w:fill="auto"/>
            <w:noWrap/>
            <w:vAlign w:val="bottom"/>
            <w:hideMark/>
          </w:tcPr>
          <w:p w14:paraId="0AB0EA17" w14:textId="08881844" w:rsidR="009A356E" w:rsidRPr="00C10545" w:rsidRDefault="009A356E" w:rsidP="009A356E">
            <w:pPr>
              <w:rPr>
                <w:sz w:val="18"/>
                <w:szCs w:val="18"/>
                <w:lang w:eastAsia="en-AU"/>
              </w:rPr>
            </w:pPr>
            <w:r w:rsidRPr="00C10545">
              <w:rPr>
                <w:sz w:val="18"/>
                <w:szCs w:val="18"/>
                <w:lang w:eastAsia="en-AU"/>
              </w:rPr>
              <w:t xml:space="preserve"> 97.5 </w:t>
            </w:r>
          </w:p>
        </w:tc>
      </w:tr>
      <w:tr w:rsidR="009A356E" w:rsidRPr="00F23FF7" w14:paraId="4708606D" w14:textId="77777777" w:rsidTr="009A356E">
        <w:trPr>
          <w:trHeight w:val="240"/>
        </w:trPr>
        <w:tc>
          <w:tcPr>
            <w:tcW w:w="1211" w:type="pct"/>
            <w:tcBorders>
              <w:top w:val="nil"/>
              <w:left w:val="single" w:sz="4" w:space="0" w:color="auto"/>
              <w:bottom w:val="single" w:sz="4" w:space="0" w:color="auto"/>
              <w:right w:val="single" w:sz="4" w:space="0" w:color="auto"/>
            </w:tcBorders>
            <w:shd w:val="clear" w:color="auto" w:fill="auto"/>
            <w:noWrap/>
            <w:vAlign w:val="bottom"/>
            <w:hideMark/>
          </w:tcPr>
          <w:p w14:paraId="6BC4D879" w14:textId="77777777" w:rsidR="009A356E" w:rsidRPr="00C10545" w:rsidRDefault="009A356E" w:rsidP="009A356E">
            <w:pPr>
              <w:rPr>
                <w:sz w:val="18"/>
                <w:szCs w:val="18"/>
                <w:lang w:eastAsia="en-AU"/>
              </w:rPr>
            </w:pPr>
            <w:r w:rsidRPr="00C10545">
              <w:rPr>
                <w:sz w:val="18"/>
                <w:szCs w:val="18"/>
                <w:lang w:eastAsia="en-AU"/>
              </w:rPr>
              <w:t>Moira</w:t>
            </w:r>
          </w:p>
        </w:tc>
        <w:tc>
          <w:tcPr>
            <w:tcW w:w="632" w:type="pct"/>
            <w:tcBorders>
              <w:top w:val="nil"/>
              <w:left w:val="nil"/>
              <w:bottom w:val="single" w:sz="4" w:space="0" w:color="auto"/>
              <w:right w:val="single" w:sz="4" w:space="0" w:color="auto"/>
            </w:tcBorders>
            <w:shd w:val="clear" w:color="auto" w:fill="auto"/>
            <w:noWrap/>
            <w:vAlign w:val="bottom"/>
            <w:hideMark/>
          </w:tcPr>
          <w:p w14:paraId="79B18BFF" w14:textId="46FB519F" w:rsidR="009A356E" w:rsidRPr="00C10545" w:rsidRDefault="009A356E" w:rsidP="009A356E">
            <w:pPr>
              <w:rPr>
                <w:sz w:val="18"/>
                <w:szCs w:val="18"/>
                <w:lang w:eastAsia="en-AU"/>
              </w:rPr>
            </w:pPr>
            <w:r w:rsidRPr="00C10545">
              <w:rPr>
                <w:sz w:val="18"/>
                <w:szCs w:val="18"/>
                <w:lang w:eastAsia="en-AU"/>
              </w:rPr>
              <w:t xml:space="preserve"> 150.7 </w:t>
            </w:r>
          </w:p>
        </w:tc>
        <w:tc>
          <w:tcPr>
            <w:tcW w:w="632" w:type="pct"/>
            <w:tcBorders>
              <w:top w:val="nil"/>
              <w:left w:val="nil"/>
              <w:bottom w:val="single" w:sz="4" w:space="0" w:color="auto"/>
              <w:right w:val="single" w:sz="4" w:space="0" w:color="auto"/>
            </w:tcBorders>
            <w:shd w:val="clear" w:color="auto" w:fill="auto"/>
            <w:noWrap/>
            <w:vAlign w:val="bottom"/>
            <w:hideMark/>
          </w:tcPr>
          <w:p w14:paraId="2B54A103" w14:textId="53D394B8" w:rsidR="009A356E" w:rsidRPr="00C10545" w:rsidRDefault="009A356E" w:rsidP="009A356E">
            <w:pPr>
              <w:rPr>
                <w:sz w:val="18"/>
                <w:szCs w:val="18"/>
                <w:lang w:eastAsia="en-AU"/>
              </w:rPr>
            </w:pPr>
            <w:r w:rsidRPr="00C10545">
              <w:rPr>
                <w:sz w:val="18"/>
                <w:szCs w:val="18"/>
                <w:lang w:eastAsia="en-AU"/>
              </w:rPr>
              <w:t xml:space="preserve"> 151.4 </w:t>
            </w:r>
          </w:p>
        </w:tc>
        <w:tc>
          <w:tcPr>
            <w:tcW w:w="632" w:type="pct"/>
            <w:tcBorders>
              <w:top w:val="nil"/>
              <w:left w:val="nil"/>
              <w:bottom w:val="single" w:sz="4" w:space="0" w:color="auto"/>
              <w:right w:val="single" w:sz="4" w:space="0" w:color="auto"/>
            </w:tcBorders>
            <w:shd w:val="clear" w:color="auto" w:fill="auto"/>
            <w:noWrap/>
            <w:vAlign w:val="bottom"/>
            <w:hideMark/>
          </w:tcPr>
          <w:p w14:paraId="68B1AECD" w14:textId="13F3CB7B" w:rsidR="009A356E" w:rsidRPr="00C10545" w:rsidRDefault="009A356E" w:rsidP="009A356E">
            <w:pPr>
              <w:rPr>
                <w:sz w:val="18"/>
                <w:szCs w:val="18"/>
                <w:lang w:eastAsia="en-AU"/>
              </w:rPr>
            </w:pPr>
            <w:r w:rsidRPr="00C10545">
              <w:rPr>
                <w:sz w:val="18"/>
                <w:szCs w:val="18"/>
                <w:lang w:eastAsia="en-AU"/>
              </w:rPr>
              <w:t xml:space="preserve"> 176.6 </w:t>
            </w:r>
          </w:p>
        </w:tc>
        <w:tc>
          <w:tcPr>
            <w:tcW w:w="632" w:type="pct"/>
            <w:tcBorders>
              <w:top w:val="nil"/>
              <w:left w:val="nil"/>
              <w:bottom w:val="single" w:sz="4" w:space="0" w:color="auto"/>
              <w:right w:val="single" w:sz="4" w:space="0" w:color="auto"/>
            </w:tcBorders>
            <w:shd w:val="clear" w:color="auto" w:fill="auto"/>
            <w:noWrap/>
            <w:vAlign w:val="bottom"/>
            <w:hideMark/>
          </w:tcPr>
          <w:p w14:paraId="038BEFF4" w14:textId="10940913" w:rsidR="009A356E" w:rsidRPr="00C10545" w:rsidRDefault="009A356E" w:rsidP="009A356E">
            <w:pPr>
              <w:rPr>
                <w:sz w:val="18"/>
                <w:szCs w:val="18"/>
                <w:lang w:eastAsia="en-AU"/>
              </w:rPr>
            </w:pPr>
            <w:r w:rsidRPr="00C10545">
              <w:rPr>
                <w:sz w:val="18"/>
                <w:szCs w:val="18"/>
                <w:lang w:eastAsia="en-AU"/>
              </w:rPr>
              <w:t xml:space="preserve"> 199.7 </w:t>
            </w:r>
          </w:p>
        </w:tc>
        <w:tc>
          <w:tcPr>
            <w:tcW w:w="632" w:type="pct"/>
            <w:tcBorders>
              <w:top w:val="nil"/>
              <w:left w:val="nil"/>
              <w:bottom w:val="single" w:sz="4" w:space="0" w:color="auto"/>
              <w:right w:val="single" w:sz="4" w:space="0" w:color="auto"/>
            </w:tcBorders>
            <w:shd w:val="clear" w:color="auto" w:fill="auto"/>
            <w:noWrap/>
            <w:vAlign w:val="bottom"/>
            <w:hideMark/>
          </w:tcPr>
          <w:p w14:paraId="2A811253" w14:textId="385D66A0" w:rsidR="009A356E" w:rsidRPr="00C10545" w:rsidRDefault="009A356E" w:rsidP="009A356E">
            <w:pPr>
              <w:rPr>
                <w:sz w:val="18"/>
                <w:szCs w:val="18"/>
                <w:lang w:eastAsia="en-AU"/>
              </w:rPr>
            </w:pPr>
            <w:r w:rsidRPr="00C10545">
              <w:rPr>
                <w:sz w:val="18"/>
                <w:szCs w:val="18"/>
                <w:lang w:eastAsia="en-AU"/>
              </w:rPr>
              <w:t xml:space="preserve"> 203.8 </w:t>
            </w:r>
          </w:p>
        </w:tc>
        <w:tc>
          <w:tcPr>
            <w:tcW w:w="629" w:type="pct"/>
            <w:tcBorders>
              <w:top w:val="nil"/>
              <w:left w:val="nil"/>
              <w:bottom w:val="single" w:sz="4" w:space="0" w:color="auto"/>
              <w:right w:val="single" w:sz="4" w:space="0" w:color="auto"/>
            </w:tcBorders>
            <w:shd w:val="clear" w:color="auto" w:fill="auto"/>
            <w:noWrap/>
            <w:vAlign w:val="bottom"/>
            <w:hideMark/>
          </w:tcPr>
          <w:p w14:paraId="34A8B3D9" w14:textId="51BA16E6" w:rsidR="009A356E" w:rsidRPr="00C10545" w:rsidRDefault="009A356E" w:rsidP="009A356E">
            <w:pPr>
              <w:rPr>
                <w:sz w:val="18"/>
                <w:szCs w:val="18"/>
                <w:lang w:eastAsia="en-AU"/>
              </w:rPr>
            </w:pPr>
            <w:r w:rsidRPr="00C10545">
              <w:rPr>
                <w:sz w:val="18"/>
                <w:szCs w:val="18"/>
                <w:lang w:eastAsia="en-AU"/>
              </w:rPr>
              <w:t xml:space="preserve"> 198.9 </w:t>
            </w:r>
          </w:p>
        </w:tc>
      </w:tr>
      <w:tr w:rsidR="009A356E" w:rsidRPr="00F23FF7" w14:paraId="3380FFC0" w14:textId="77777777" w:rsidTr="009A356E">
        <w:trPr>
          <w:trHeight w:val="240"/>
        </w:trPr>
        <w:tc>
          <w:tcPr>
            <w:tcW w:w="1211" w:type="pct"/>
            <w:tcBorders>
              <w:top w:val="nil"/>
              <w:left w:val="single" w:sz="4" w:space="0" w:color="auto"/>
              <w:bottom w:val="single" w:sz="4" w:space="0" w:color="auto"/>
              <w:right w:val="single" w:sz="4" w:space="0" w:color="auto"/>
            </w:tcBorders>
            <w:shd w:val="clear" w:color="auto" w:fill="auto"/>
            <w:noWrap/>
            <w:vAlign w:val="bottom"/>
            <w:hideMark/>
          </w:tcPr>
          <w:p w14:paraId="27681236" w14:textId="77777777" w:rsidR="009A356E" w:rsidRPr="00C10545" w:rsidRDefault="009A356E" w:rsidP="009A356E">
            <w:pPr>
              <w:rPr>
                <w:sz w:val="18"/>
                <w:szCs w:val="18"/>
                <w:lang w:eastAsia="en-AU"/>
              </w:rPr>
            </w:pPr>
            <w:r w:rsidRPr="00C10545">
              <w:rPr>
                <w:sz w:val="18"/>
                <w:szCs w:val="18"/>
                <w:lang w:eastAsia="en-AU"/>
              </w:rPr>
              <w:t>Moorabool</w:t>
            </w:r>
          </w:p>
        </w:tc>
        <w:tc>
          <w:tcPr>
            <w:tcW w:w="632" w:type="pct"/>
            <w:tcBorders>
              <w:top w:val="nil"/>
              <w:left w:val="nil"/>
              <w:bottom w:val="single" w:sz="4" w:space="0" w:color="auto"/>
              <w:right w:val="single" w:sz="4" w:space="0" w:color="auto"/>
            </w:tcBorders>
            <w:shd w:val="clear" w:color="auto" w:fill="auto"/>
            <w:noWrap/>
            <w:vAlign w:val="bottom"/>
            <w:hideMark/>
          </w:tcPr>
          <w:p w14:paraId="5E8F6893" w14:textId="7D099859" w:rsidR="009A356E" w:rsidRPr="00C10545" w:rsidRDefault="009A356E" w:rsidP="009A356E">
            <w:pPr>
              <w:rPr>
                <w:sz w:val="18"/>
                <w:szCs w:val="18"/>
                <w:lang w:eastAsia="en-AU"/>
              </w:rPr>
            </w:pPr>
            <w:r w:rsidRPr="00C10545">
              <w:rPr>
                <w:sz w:val="18"/>
                <w:szCs w:val="18"/>
                <w:lang w:eastAsia="en-AU"/>
              </w:rPr>
              <w:t xml:space="preserve"> 114.2 </w:t>
            </w:r>
          </w:p>
        </w:tc>
        <w:tc>
          <w:tcPr>
            <w:tcW w:w="632" w:type="pct"/>
            <w:tcBorders>
              <w:top w:val="nil"/>
              <w:left w:val="nil"/>
              <w:bottom w:val="single" w:sz="4" w:space="0" w:color="auto"/>
              <w:right w:val="single" w:sz="4" w:space="0" w:color="auto"/>
            </w:tcBorders>
            <w:shd w:val="clear" w:color="auto" w:fill="auto"/>
            <w:noWrap/>
            <w:vAlign w:val="bottom"/>
            <w:hideMark/>
          </w:tcPr>
          <w:p w14:paraId="3EABA9C4" w14:textId="47FF3E02" w:rsidR="009A356E" w:rsidRPr="00C10545" w:rsidRDefault="009A356E" w:rsidP="009A356E">
            <w:pPr>
              <w:rPr>
                <w:sz w:val="18"/>
                <w:szCs w:val="18"/>
                <w:lang w:eastAsia="en-AU"/>
              </w:rPr>
            </w:pPr>
            <w:r w:rsidRPr="00C10545">
              <w:rPr>
                <w:sz w:val="18"/>
                <w:szCs w:val="18"/>
                <w:lang w:eastAsia="en-AU"/>
              </w:rPr>
              <w:t xml:space="preserve"> 124.6 </w:t>
            </w:r>
          </w:p>
        </w:tc>
        <w:tc>
          <w:tcPr>
            <w:tcW w:w="632" w:type="pct"/>
            <w:tcBorders>
              <w:top w:val="nil"/>
              <w:left w:val="nil"/>
              <w:bottom w:val="single" w:sz="4" w:space="0" w:color="auto"/>
              <w:right w:val="single" w:sz="4" w:space="0" w:color="auto"/>
            </w:tcBorders>
            <w:shd w:val="clear" w:color="auto" w:fill="auto"/>
            <w:noWrap/>
            <w:vAlign w:val="bottom"/>
            <w:hideMark/>
          </w:tcPr>
          <w:p w14:paraId="5A9CA04A" w14:textId="3C3636B6" w:rsidR="009A356E" w:rsidRPr="00C10545" w:rsidRDefault="009A356E" w:rsidP="009A356E">
            <w:pPr>
              <w:rPr>
                <w:sz w:val="18"/>
                <w:szCs w:val="18"/>
                <w:lang w:eastAsia="en-AU"/>
              </w:rPr>
            </w:pPr>
            <w:r w:rsidRPr="00C10545">
              <w:rPr>
                <w:sz w:val="18"/>
                <w:szCs w:val="18"/>
                <w:lang w:eastAsia="en-AU"/>
              </w:rPr>
              <w:t xml:space="preserve"> 133.4 </w:t>
            </w:r>
          </w:p>
        </w:tc>
        <w:tc>
          <w:tcPr>
            <w:tcW w:w="632" w:type="pct"/>
            <w:tcBorders>
              <w:top w:val="nil"/>
              <w:left w:val="nil"/>
              <w:bottom w:val="single" w:sz="4" w:space="0" w:color="auto"/>
              <w:right w:val="single" w:sz="4" w:space="0" w:color="auto"/>
            </w:tcBorders>
            <w:shd w:val="clear" w:color="auto" w:fill="auto"/>
            <w:noWrap/>
            <w:vAlign w:val="bottom"/>
            <w:hideMark/>
          </w:tcPr>
          <w:p w14:paraId="45BE19CA" w14:textId="2660A09D" w:rsidR="009A356E" w:rsidRPr="00C10545" w:rsidRDefault="009A356E" w:rsidP="009A356E">
            <w:pPr>
              <w:rPr>
                <w:sz w:val="18"/>
                <w:szCs w:val="18"/>
                <w:lang w:eastAsia="en-AU"/>
              </w:rPr>
            </w:pPr>
            <w:r w:rsidRPr="00C10545">
              <w:rPr>
                <w:sz w:val="18"/>
                <w:szCs w:val="18"/>
                <w:lang w:eastAsia="en-AU"/>
              </w:rPr>
              <w:t xml:space="preserve"> 127.7 </w:t>
            </w:r>
          </w:p>
        </w:tc>
        <w:tc>
          <w:tcPr>
            <w:tcW w:w="632" w:type="pct"/>
            <w:tcBorders>
              <w:top w:val="nil"/>
              <w:left w:val="nil"/>
              <w:bottom w:val="single" w:sz="4" w:space="0" w:color="auto"/>
              <w:right w:val="single" w:sz="4" w:space="0" w:color="auto"/>
            </w:tcBorders>
            <w:shd w:val="clear" w:color="auto" w:fill="auto"/>
            <w:noWrap/>
            <w:vAlign w:val="bottom"/>
            <w:hideMark/>
          </w:tcPr>
          <w:p w14:paraId="28F02B3B" w14:textId="6EB62A0E" w:rsidR="009A356E" w:rsidRPr="00C10545" w:rsidRDefault="009A356E" w:rsidP="009A356E">
            <w:pPr>
              <w:rPr>
                <w:sz w:val="18"/>
                <w:szCs w:val="18"/>
                <w:lang w:eastAsia="en-AU"/>
              </w:rPr>
            </w:pPr>
            <w:r w:rsidRPr="00C10545">
              <w:rPr>
                <w:sz w:val="18"/>
                <w:szCs w:val="18"/>
                <w:lang w:eastAsia="en-AU"/>
              </w:rPr>
              <w:t xml:space="preserve"> 111.3 </w:t>
            </w:r>
          </w:p>
        </w:tc>
        <w:tc>
          <w:tcPr>
            <w:tcW w:w="629" w:type="pct"/>
            <w:tcBorders>
              <w:top w:val="nil"/>
              <w:left w:val="nil"/>
              <w:bottom w:val="single" w:sz="4" w:space="0" w:color="auto"/>
              <w:right w:val="single" w:sz="4" w:space="0" w:color="auto"/>
            </w:tcBorders>
            <w:shd w:val="clear" w:color="auto" w:fill="auto"/>
            <w:noWrap/>
            <w:vAlign w:val="bottom"/>
            <w:hideMark/>
          </w:tcPr>
          <w:p w14:paraId="20B74FE6" w14:textId="13228F2A" w:rsidR="009A356E" w:rsidRPr="00C10545" w:rsidRDefault="009A356E" w:rsidP="009A356E">
            <w:pPr>
              <w:rPr>
                <w:sz w:val="18"/>
                <w:szCs w:val="18"/>
                <w:lang w:eastAsia="en-AU"/>
              </w:rPr>
            </w:pPr>
            <w:r w:rsidRPr="00C10545">
              <w:rPr>
                <w:sz w:val="18"/>
                <w:szCs w:val="18"/>
                <w:lang w:eastAsia="en-AU"/>
              </w:rPr>
              <w:t xml:space="preserve"> 107.6 </w:t>
            </w:r>
          </w:p>
        </w:tc>
      </w:tr>
      <w:tr w:rsidR="009A356E" w:rsidRPr="00F23FF7" w14:paraId="51E75B76" w14:textId="77777777" w:rsidTr="009A356E">
        <w:trPr>
          <w:trHeight w:val="240"/>
        </w:trPr>
        <w:tc>
          <w:tcPr>
            <w:tcW w:w="1211" w:type="pct"/>
            <w:tcBorders>
              <w:top w:val="nil"/>
              <w:left w:val="single" w:sz="4" w:space="0" w:color="auto"/>
              <w:bottom w:val="single" w:sz="4" w:space="0" w:color="auto"/>
              <w:right w:val="single" w:sz="4" w:space="0" w:color="auto"/>
            </w:tcBorders>
            <w:shd w:val="clear" w:color="auto" w:fill="auto"/>
            <w:noWrap/>
            <w:vAlign w:val="bottom"/>
            <w:hideMark/>
          </w:tcPr>
          <w:p w14:paraId="76E03061" w14:textId="77777777" w:rsidR="009A356E" w:rsidRPr="00C10545" w:rsidRDefault="009A356E" w:rsidP="009A356E">
            <w:pPr>
              <w:rPr>
                <w:sz w:val="18"/>
                <w:szCs w:val="18"/>
                <w:lang w:eastAsia="en-AU"/>
              </w:rPr>
            </w:pPr>
            <w:r w:rsidRPr="00C10545">
              <w:rPr>
                <w:sz w:val="18"/>
                <w:szCs w:val="18"/>
                <w:lang w:eastAsia="en-AU"/>
              </w:rPr>
              <w:t>Murrindindi</w:t>
            </w:r>
          </w:p>
        </w:tc>
        <w:tc>
          <w:tcPr>
            <w:tcW w:w="632" w:type="pct"/>
            <w:tcBorders>
              <w:top w:val="nil"/>
              <w:left w:val="nil"/>
              <w:bottom w:val="single" w:sz="4" w:space="0" w:color="auto"/>
              <w:right w:val="single" w:sz="4" w:space="0" w:color="auto"/>
            </w:tcBorders>
            <w:shd w:val="clear" w:color="auto" w:fill="auto"/>
            <w:noWrap/>
            <w:vAlign w:val="bottom"/>
            <w:hideMark/>
          </w:tcPr>
          <w:p w14:paraId="11ACEBF5" w14:textId="74ACED65" w:rsidR="009A356E" w:rsidRPr="00C10545" w:rsidRDefault="009A356E" w:rsidP="009A356E">
            <w:pPr>
              <w:rPr>
                <w:sz w:val="18"/>
                <w:szCs w:val="18"/>
                <w:lang w:eastAsia="en-AU"/>
              </w:rPr>
            </w:pPr>
            <w:r w:rsidRPr="00C10545">
              <w:rPr>
                <w:sz w:val="18"/>
                <w:szCs w:val="18"/>
                <w:lang w:eastAsia="en-AU"/>
              </w:rPr>
              <w:t xml:space="preserve"> 132.6 </w:t>
            </w:r>
          </w:p>
        </w:tc>
        <w:tc>
          <w:tcPr>
            <w:tcW w:w="632" w:type="pct"/>
            <w:tcBorders>
              <w:top w:val="nil"/>
              <w:left w:val="nil"/>
              <w:bottom w:val="single" w:sz="4" w:space="0" w:color="auto"/>
              <w:right w:val="single" w:sz="4" w:space="0" w:color="auto"/>
            </w:tcBorders>
            <w:shd w:val="clear" w:color="auto" w:fill="auto"/>
            <w:noWrap/>
            <w:vAlign w:val="bottom"/>
            <w:hideMark/>
          </w:tcPr>
          <w:p w14:paraId="31E4CD14" w14:textId="74D32575" w:rsidR="009A356E" w:rsidRPr="00C10545" w:rsidRDefault="009A356E" w:rsidP="009A356E">
            <w:pPr>
              <w:rPr>
                <w:sz w:val="18"/>
                <w:szCs w:val="18"/>
                <w:lang w:eastAsia="en-AU"/>
              </w:rPr>
            </w:pPr>
            <w:r w:rsidRPr="00C10545">
              <w:rPr>
                <w:sz w:val="18"/>
                <w:szCs w:val="18"/>
                <w:lang w:eastAsia="en-AU"/>
              </w:rPr>
              <w:t xml:space="preserve"> 127.6 </w:t>
            </w:r>
          </w:p>
        </w:tc>
        <w:tc>
          <w:tcPr>
            <w:tcW w:w="632" w:type="pct"/>
            <w:tcBorders>
              <w:top w:val="nil"/>
              <w:left w:val="nil"/>
              <w:bottom w:val="single" w:sz="4" w:space="0" w:color="auto"/>
              <w:right w:val="single" w:sz="4" w:space="0" w:color="auto"/>
            </w:tcBorders>
            <w:shd w:val="clear" w:color="auto" w:fill="auto"/>
            <w:noWrap/>
            <w:vAlign w:val="bottom"/>
            <w:hideMark/>
          </w:tcPr>
          <w:p w14:paraId="319C3F26" w14:textId="10C3EFE1" w:rsidR="009A356E" w:rsidRPr="00C10545" w:rsidRDefault="009A356E" w:rsidP="009A356E">
            <w:pPr>
              <w:rPr>
                <w:sz w:val="18"/>
                <w:szCs w:val="18"/>
                <w:lang w:eastAsia="en-AU"/>
              </w:rPr>
            </w:pPr>
            <w:r w:rsidRPr="00C10545">
              <w:rPr>
                <w:sz w:val="18"/>
                <w:szCs w:val="18"/>
                <w:lang w:eastAsia="en-AU"/>
              </w:rPr>
              <w:t xml:space="preserve"> 160.5 </w:t>
            </w:r>
          </w:p>
        </w:tc>
        <w:tc>
          <w:tcPr>
            <w:tcW w:w="632" w:type="pct"/>
            <w:tcBorders>
              <w:top w:val="nil"/>
              <w:left w:val="nil"/>
              <w:bottom w:val="single" w:sz="4" w:space="0" w:color="auto"/>
              <w:right w:val="single" w:sz="4" w:space="0" w:color="auto"/>
            </w:tcBorders>
            <w:shd w:val="clear" w:color="auto" w:fill="auto"/>
            <w:noWrap/>
            <w:vAlign w:val="bottom"/>
            <w:hideMark/>
          </w:tcPr>
          <w:p w14:paraId="522F6833" w14:textId="2BDA54DF" w:rsidR="009A356E" w:rsidRPr="00C10545" w:rsidRDefault="009A356E" w:rsidP="009A356E">
            <w:pPr>
              <w:rPr>
                <w:sz w:val="18"/>
                <w:szCs w:val="18"/>
                <w:lang w:eastAsia="en-AU"/>
              </w:rPr>
            </w:pPr>
            <w:r w:rsidRPr="00C10545">
              <w:rPr>
                <w:sz w:val="18"/>
                <w:szCs w:val="18"/>
                <w:lang w:eastAsia="en-AU"/>
              </w:rPr>
              <w:t xml:space="preserve"> 213.8 </w:t>
            </w:r>
          </w:p>
        </w:tc>
        <w:tc>
          <w:tcPr>
            <w:tcW w:w="632" w:type="pct"/>
            <w:tcBorders>
              <w:top w:val="nil"/>
              <w:left w:val="nil"/>
              <w:bottom w:val="single" w:sz="4" w:space="0" w:color="auto"/>
              <w:right w:val="single" w:sz="4" w:space="0" w:color="auto"/>
            </w:tcBorders>
            <w:shd w:val="clear" w:color="auto" w:fill="auto"/>
            <w:noWrap/>
            <w:vAlign w:val="bottom"/>
            <w:hideMark/>
          </w:tcPr>
          <w:p w14:paraId="7FBD4CBB" w14:textId="6CCBFDB7" w:rsidR="009A356E" w:rsidRPr="00C10545" w:rsidRDefault="009A356E" w:rsidP="009A356E">
            <w:pPr>
              <w:rPr>
                <w:sz w:val="18"/>
                <w:szCs w:val="18"/>
                <w:lang w:eastAsia="en-AU"/>
              </w:rPr>
            </w:pPr>
            <w:r w:rsidRPr="00C10545">
              <w:rPr>
                <w:sz w:val="18"/>
                <w:szCs w:val="18"/>
                <w:lang w:eastAsia="en-AU"/>
              </w:rPr>
              <w:t xml:space="preserve"> 191.6 </w:t>
            </w:r>
          </w:p>
        </w:tc>
        <w:tc>
          <w:tcPr>
            <w:tcW w:w="629" w:type="pct"/>
            <w:tcBorders>
              <w:top w:val="nil"/>
              <w:left w:val="nil"/>
              <w:bottom w:val="single" w:sz="4" w:space="0" w:color="auto"/>
              <w:right w:val="single" w:sz="4" w:space="0" w:color="auto"/>
            </w:tcBorders>
            <w:shd w:val="clear" w:color="auto" w:fill="auto"/>
            <w:noWrap/>
            <w:vAlign w:val="bottom"/>
            <w:hideMark/>
          </w:tcPr>
          <w:p w14:paraId="1C35AAD5" w14:textId="637D0D27" w:rsidR="009A356E" w:rsidRPr="00C10545" w:rsidRDefault="009A356E" w:rsidP="009A356E">
            <w:pPr>
              <w:rPr>
                <w:sz w:val="18"/>
                <w:szCs w:val="18"/>
                <w:lang w:eastAsia="en-AU"/>
              </w:rPr>
            </w:pPr>
            <w:r w:rsidRPr="00C10545">
              <w:rPr>
                <w:sz w:val="18"/>
                <w:szCs w:val="18"/>
                <w:lang w:eastAsia="en-AU"/>
              </w:rPr>
              <w:t xml:space="preserve"> 182.7 </w:t>
            </w:r>
          </w:p>
        </w:tc>
      </w:tr>
      <w:tr w:rsidR="009A356E" w:rsidRPr="00F23FF7" w14:paraId="0149D4B7" w14:textId="77777777" w:rsidTr="009A356E">
        <w:trPr>
          <w:trHeight w:val="240"/>
        </w:trPr>
        <w:tc>
          <w:tcPr>
            <w:tcW w:w="1211" w:type="pct"/>
            <w:tcBorders>
              <w:top w:val="nil"/>
              <w:left w:val="single" w:sz="4" w:space="0" w:color="auto"/>
              <w:bottom w:val="single" w:sz="4" w:space="0" w:color="auto"/>
              <w:right w:val="single" w:sz="4" w:space="0" w:color="auto"/>
            </w:tcBorders>
            <w:shd w:val="clear" w:color="auto" w:fill="auto"/>
            <w:noWrap/>
            <w:vAlign w:val="bottom"/>
            <w:hideMark/>
          </w:tcPr>
          <w:p w14:paraId="33AC8C8B" w14:textId="77777777" w:rsidR="009A356E" w:rsidRPr="00C10545" w:rsidRDefault="009A356E" w:rsidP="009A356E">
            <w:pPr>
              <w:rPr>
                <w:sz w:val="18"/>
                <w:szCs w:val="18"/>
                <w:lang w:eastAsia="en-AU"/>
              </w:rPr>
            </w:pPr>
            <w:r w:rsidRPr="00C10545">
              <w:rPr>
                <w:sz w:val="18"/>
                <w:szCs w:val="18"/>
                <w:lang w:eastAsia="en-AU"/>
              </w:rPr>
              <w:t>South Gippsland</w:t>
            </w:r>
          </w:p>
        </w:tc>
        <w:tc>
          <w:tcPr>
            <w:tcW w:w="632" w:type="pct"/>
            <w:tcBorders>
              <w:top w:val="nil"/>
              <w:left w:val="nil"/>
              <w:bottom w:val="single" w:sz="4" w:space="0" w:color="auto"/>
              <w:right w:val="single" w:sz="4" w:space="0" w:color="auto"/>
            </w:tcBorders>
            <w:shd w:val="clear" w:color="auto" w:fill="auto"/>
            <w:noWrap/>
            <w:vAlign w:val="bottom"/>
            <w:hideMark/>
          </w:tcPr>
          <w:p w14:paraId="7D987FB1" w14:textId="1A6914E4" w:rsidR="009A356E" w:rsidRPr="00C10545" w:rsidRDefault="009A356E" w:rsidP="009A356E">
            <w:pPr>
              <w:rPr>
                <w:sz w:val="18"/>
                <w:szCs w:val="18"/>
                <w:lang w:eastAsia="en-AU"/>
              </w:rPr>
            </w:pPr>
            <w:r w:rsidRPr="00C10545">
              <w:rPr>
                <w:sz w:val="18"/>
                <w:szCs w:val="18"/>
                <w:lang w:eastAsia="en-AU"/>
              </w:rPr>
              <w:t xml:space="preserve"> 165.8 </w:t>
            </w:r>
          </w:p>
        </w:tc>
        <w:tc>
          <w:tcPr>
            <w:tcW w:w="632" w:type="pct"/>
            <w:tcBorders>
              <w:top w:val="nil"/>
              <w:left w:val="nil"/>
              <w:bottom w:val="single" w:sz="4" w:space="0" w:color="auto"/>
              <w:right w:val="single" w:sz="4" w:space="0" w:color="auto"/>
            </w:tcBorders>
            <w:shd w:val="clear" w:color="auto" w:fill="auto"/>
            <w:noWrap/>
            <w:vAlign w:val="bottom"/>
            <w:hideMark/>
          </w:tcPr>
          <w:p w14:paraId="5E67A947" w14:textId="27875DA7" w:rsidR="009A356E" w:rsidRPr="00C10545" w:rsidRDefault="009A356E" w:rsidP="009A356E">
            <w:pPr>
              <w:rPr>
                <w:sz w:val="18"/>
                <w:szCs w:val="18"/>
                <w:lang w:eastAsia="en-AU"/>
              </w:rPr>
            </w:pPr>
            <w:r w:rsidRPr="00C10545">
              <w:rPr>
                <w:sz w:val="18"/>
                <w:szCs w:val="18"/>
                <w:lang w:eastAsia="en-AU"/>
              </w:rPr>
              <w:t xml:space="preserve"> 155.9 </w:t>
            </w:r>
          </w:p>
        </w:tc>
        <w:tc>
          <w:tcPr>
            <w:tcW w:w="632" w:type="pct"/>
            <w:tcBorders>
              <w:top w:val="nil"/>
              <w:left w:val="nil"/>
              <w:bottom w:val="single" w:sz="4" w:space="0" w:color="auto"/>
              <w:right w:val="single" w:sz="4" w:space="0" w:color="auto"/>
            </w:tcBorders>
            <w:shd w:val="clear" w:color="auto" w:fill="auto"/>
            <w:noWrap/>
            <w:vAlign w:val="bottom"/>
            <w:hideMark/>
          </w:tcPr>
          <w:p w14:paraId="49D5EBEC" w14:textId="1EFA6745" w:rsidR="009A356E" w:rsidRPr="00C10545" w:rsidRDefault="009A356E" w:rsidP="009A356E">
            <w:pPr>
              <w:rPr>
                <w:sz w:val="18"/>
                <w:szCs w:val="18"/>
                <w:lang w:eastAsia="en-AU"/>
              </w:rPr>
            </w:pPr>
            <w:r w:rsidRPr="00C10545">
              <w:rPr>
                <w:sz w:val="18"/>
                <w:szCs w:val="18"/>
                <w:lang w:eastAsia="en-AU"/>
              </w:rPr>
              <w:t xml:space="preserve"> 215.1 </w:t>
            </w:r>
          </w:p>
        </w:tc>
        <w:tc>
          <w:tcPr>
            <w:tcW w:w="632" w:type="pct"/>
            <w:tcBorders>
              <w:top w:val="nil"/>
              <w:left w:val="nil"/>
              <w:bottom w:val="single" w:sz="4" w:space="0" w:color="auto"/>
              <w:right w:val="single" w:sz="4" w:space="0" w:color="auto"/>
            </w:tcBorders>
            <w:shd w:val="clear" w:color="auto" w:fill="auto"/>
            <w:noWrap/>
            <w:vAlign w:val="bottom"/>
            <w:hideMark/>
          </w:tcPr>
          <w:p w14:paraId="2EC8A27D" w14:textId="6580B48D" w:rsidR="009A356E" w:rsidRPr="00C10545" w:rsidRDefault="009A356E" w:rsidP="009A356E">
            <w:pPr>
              <w:rPr>
                <w:sz w:val="18"/>
                <w:szCs w:val="18"/>
                <w:lang w:eastAsia="en-AU"/>
              </w:rPr>
            </w:pPr>
            <w:r w:rsidRPr="00C10545">
              <w:rPr>
                <w:sz w:val="18"/>
                <w:szCs w:val="18"/>
                <w:lang w:eastAsia="en-AU"/>
              </w:rPr>
              <w:t xml:space="preserve"> 191.1 </w:t>
            </w:r>
          </w:p>
        </w:tc>
        <w:tc>
          <w:tcPr>
            <w:tcW w:w="632" w:type="pct"/>
            <w:tcBorders>
              <w:top w:val="nil"/>
              <w:left w:val="nil"/>
              <w:bottom w:val="single" w:sz="4" w:space="0" w:color="auto"/>
              <w:right w:val="single" w:sz="4" w:space="0" w:color="auto"/>
            </w:tcBorders>
            <w:shd w:val="clear" w:color="auto" w:fill="auto"/>
            <w:noWrap/>
            <w:vAlign w:val="bottom"/>
            <w:hideMark/>
          </w:tcPr>
          <w:p w14:paraId="620E6282" w14:textId="755041E1" w:rsidR="009A356E" w:rsidRPr="00C10545" w:rsidRDefault="009A356E" w:rsidP="009A356E">
            <w:pPr>
              <w:rPr>
                <w:sz w:val="18"/>
                <w:szCs w:val="18"/>
                <w:lang w:eastAsia="en-AU"/>
              </w:rPr>
            </w:pPr>
            <w:r w:rsidRPr="00C10545">
              <w:rPr>
                <w:sz w:val="18"/>
                <w:szCs w:val="18"/>
                <w:lang w:eastAsia="en-AU"/>
              </w:rPr>
              <w:t xml:space="preserve"> 186.3 </w:t>
            </w:r>
          </w:p>
        </w:tc>
        <w:tc>
          <w:tcPr>
            <w:tcW w:w="629" w:type="pct"/>
            <w:tcBorders>
              <w:top w:val="nil"/>
              <w:left w:val="nil"/>
              <w:bottom w:val="single" w:sz="4" w:space="0" w:color="auto"/>
              <w:right w:val="single" w:sz="4" w:space="0" w:color="auto"/>
            </w:tcBorders>
            <w:shd w:val="clear" w:color="auto" w:fill="auto"/>
            <w:noWrap/>
            <w:vAlign w:val="bottom"/>
            <w:hideMark/>
          </w:tcPr>
          <w:p w14:paraId="5CE611E8" w14:textId="2929C07E" w:rsidR="009A356E" w:rsidRPr="00C10545" w:rsidRDefault="009A356E" w:rsidP="009A356E">
            <w:pPr>
              <w:rPr>
                <w:sz w:val="18"/>
                <w:szCs w:val="18"/>
                <w:lang w:eastAsia="en-AU"/>
              </w:rPr>
            </w:pPr>
            <w:r w:rsidRPr="00C10545">
              <w:rPr>
                <w:sz w:val="18"/>
                <w:szCs w:val="18"/>
                <w:lang w:eastAsia="en-AU"/>
              </w:rPr>
              <w:t xml:space="preserve"> 188.9 </w:t>
            </w:r>
          </w:p>
        </w:tc>
      </w:tr>
      <w:tr w:rsidR="009A356E" w:rsidRPr="00F23FF7" w14:paraId="7760BD87" w14:textId="77777777" w:rsidTr="009A356E">
        <w:trPr>
          <w:trHeight w:val="240"/>
        </w:trPr>
        <w:tc>
          <w:tcPr>
            <w:tcW w:w="1211" w:type="pct"/>
            <w:tcBorders>
              <w:top w:val="nil"/>
              <w:left w:val="single" w:sz="4" w:space="0" w:color="auto"/>
              <w:bottom w:val="single" w:sz="4" w:space="0" w:color="auto"/>
              <w:right w:val="single" w:sz="4" w:space="0" w:color="auto"/>
            </w:tcBorders>
            <w:shd w:val="clear" w:color="000000" w:fill="E4DFEC"/>
            <w:noWrap/>
            <w:vAlign w:val="bottom"/>
            <w:hideMark/>
          </w:tcPr>
          <w:p w14:paraId="08722562" w14:textId="77777777" w:rsidR="009A356E" w:rsidRPr="00C10545" w:rsidRDefault="009A356E" w:rsidP="009A356E">
            <w:pPr>
              <w:rPr>
                <w:b/>
                <w:bCs/>
                <w:sz w:val="18"/>
                <w:szCs w:val="18"/>
                <w:lang w:eastAsia="en-AU"/>
              </w:rPr>
            </w:pPr>
            <w:r w:rsidRPr="00C10545">
              <w:rPr>
                <w:b/>
                <w:bCs/>
                <w:sz w:val="18"/>
                <w:szCs w:val="18"/>
                <w:lang w:eastAsia="en-AU"/>
              </w:rPr>
              <w:t>Regional Cities</w:t>
            </w:r>
          </w:p>
        </w:tc>
        <w:tc>
          <w:tcPr>
            <w:tcW w:w="632" w:type="pct"/>
            <w:tcBorders>
              <w:top w:val="nil"/>
              <w:left w:val="nil"/>
              <w:bottom w:val="single" w:sz="4" w:space="0" w:color="auto"/>
              <w:right w:val="single" w:sz="4" w:space="0" w:color="auto"/>
            </w:tcBorders>
            <w:shd w:val="clear" w:color="000000" w:fill="000000"/>
            <w:noWrap/>
            <w:vAlign w:val="bottom"/>
            <w:hideMark/>
          </w:tcPr>
          <w:p w14:paraId="1E10DD39" w14:textId="77777777" w:rsidR="009A356E" w:rsidRPr="00C10545" w:rsidRDefault="009A356E" w:rsidP="009A356E">
            <w:pPr>
              <w:rPr>
                <w:sz w:val="18"/>
                <w:szCs w:val="18"/>
                <w:lang w:eastAsia="en-AU"/>
              </w:rPr>
            </w:pPr>
            <w:r w:rsidRPr="00C10545">
              <w:rPr>
                <w:sz w:val="18"/>
                <w:szCs w:val="18"/>
                <w:lang w:eastAsia="en-AU"/>
              </w:rPr>
              <w:t> </w:t>
            </w:r>
          </w:p>
        </w:tc>
        <w:tc>
          <w:tcPr>
            <w:tcW w:w="632" w:type="pct"/>
            <w:tcBorders>
              <w:top w:val="nil"/>
              <w:left w:val="nil"/>
              <w:bottom w:val="single" w:sz="4" w:space="0" w:color="auto"/>
              <w:right w:val="single" w:sz="4" w:space="0" w:color="auto"/>
            </w:tcBorders>
            <w:shd w:val="clear" w:color="000000" w:fill="000000"/>
            <w:noWrap/>
            <w:vAlign w:val="bottom"/>
            <w:hideMark/>
          </w:tcPr>
          <w:p w14:paraId="080390AA" w14:textId="77777777" w:rsidR="009A356E" w:rsidRPr="00C10545" w:rsidRDefault="009A356E" w:rsidP="009A356E">
            <w:pPr>
              <w:rPr>
                <w:sz w:val="18"/>
                <w:szCs w:val="18"/>
                <w:lang w:eastAsia="en-AU"/>
              </w:rPr>
            </w:pPr>
            <w:r w:rsidRPr="00C10545">
              <w:rPr>
                <w:sz w:val="18"/>
                <w:szCs w:val="18"/>
                <w:lang w:eastAsia="en-AU"/>
              </w:rPr>
              <w:t> </w:t>
            </w:r>
          </w:p>
        </w:tc>
        <w:tc>
          <w:tcPr>
            <w:tcW w:w="632" w:type="pct"/>
            <w:tcBorders>
              <w:top w:val="nil"/>
              <w:left w:val="nil"/>
              <w:bottom w:val="single" w:sz="4" w:space="0" w:color="auto"/>
              <w:right w:val="single" w:sz="4" w:space="0" w:color="auto"/>
            </w:tcBorders>
            <w:shd w:val="clear" w:color="000000" w:fill="000000"/>
            <w:noWrap/>
            <w:vAlign w:val="bottom"/>
            <w:hideMark/>
          </w:tcPr>
          <w:p w14:paraId="0BD18764" w14:textId="77777777" w:rsidR="009A356E" w:rsidRPr="00C10545" w:rsidRDefault="009A356E" w:rsidP="009A356E">
            <w:pPr>
              <w:rPr>
                <w:sz w:val="18"/>
                <w:szCs w:val="18"/>
                <w:lang w:eastAsia="en-AU"/>
              </w:rPr>
            </w:pPr>
            <w:r w:rsidRPr="00C10545">
              <w:rPr>
                <w:sz w:val="18"/>
                <w:szCs w:val="18"/>
                <w:lang w:eastAsia="en-AU"/>
              </w:rPr>
              <w:t> </w:t>
            </w:r>
          </w:p>
        </w:tc>
        <w:tc>
          <w:tcPr>
            <w:tcW w:w="632" w:type="pct"/>
            <w:tcBorders>
              <w:top w:val="nil"/>
              <w:left w:val="nil"/>
              <w:bottom w:val="single" w:sz="4" w:space="0" w:color="auto"/>
              <w:right w:val="single" w:sz="4" w:space="0" w:color="auto"/>
            </w:tcBorders>
            <w:shd w:val="clear" w:color="000000" w:fill="000000"/>
            <w:noWrap/>
            <w:vAlign w:val="bottom"/>
            <w:hideMark/>
          </w:tcPr>
          <w:p w14:paraId="0043B6F3" w14:textId="77777777" w:rsidR="009A356E" w:rsidRPr="00C10545" w:rsidRDefault="009A356E" w:rsidP="009A356E">
            <w:pPr>
              <w:rPr>
                <w:sz w:val="18"/>
                <w:szCs w:val="18"/>
                <w:lang w:eastAsia="en-AU"/>
              </w:rPr>
            </w:pPr>
            <w:r w:rsidRPr="00C10545">
              <w:rPr>
                <w:sz w:val="18"/>
                <w:szCs w:val="18"/>
                <w:lang w:eastAsia="en-AU"/>
              </w:rPr>
              <w:t> </w:t>
            </w:r>
          </w:p>
        </w:tc>
        <w:tc>
          <w:tcPr>
            <w:tcW w:w="632" w:type="pct"/>
            <w:tcBorders>
              <w:top w:val="nil"/>
              <w:left w:val="nil"/>
              <w:bottom w:val="single" w:sz="4" w:space="0" w:color="auto"/>
              <w:right w:val="single" w:sz="4" w:space="0" w:color="auto"/>
            </w:tcBorders>
            <w:shd w:val="clear" w:color="000000" w:fill="000000"/>
            <w:noWrap/>
            <w:vAlign w:val="bottom"/>
            <w:hideMark/>
          </w:tcPr>
          <w:p w14:paraId="40CE392B" w14:textId="77777777" w:rsidR="009A356E" w:rsidRPr="00C10545" w:rsidRDefault="009A356E" w:rsidP="009A356E">
            <w:pPr>
              <w:rPr>
                <w:sz w:val="18"/>
                <w:szCs w:val="18"/>
                <w:lang w:eastAsia="en-AU"/>
              </w:rPr>
            </w:pPr>
            <w:r w:rsidRPr="00C10545">
              <w:rPr>
                <w:sz w:val="18"/>
                <w:szCs w:val="18"/>
                <w:lang w:eastAsia="en-AU"/>
              </w:rPr>
              <w:t> </w:t>
            </w:r>
          </w:p>
        </w:tc>
        <w:tc>
          <w:tcPr>
            <w:tcW w:w="629" w:type="pct"/>
            <w:tcBorders>
              <w:top w:val="nil"/>
              <w:left w:val="nil"/>
              <w:bottom w:val="single" w:sz="4" w:space="0" w:color="auto"/>
              <w:right w:val="single" w:sz="4" w:space="0" w:color="auto"/>
            </w:tcBorders>
            <w:shd w:val="clear" w:color="000000" w:fill="000000"/>
            <w:noWrap/>
            <w:vAlign w:val="bottom"/>
            <w:hideMark/>
          </w:tcPr>
          <w:p w14:paraId="42740140" w14:textId="77777777" w:rsidR="009A356E" w:rsidRPr="00C10545" w:rsidRDefault="009A356E" w:rsidP="009A356E">
            <w:pPr>
              <w:rPr>
                <w:sz w:val="18"/>
                <w:szCs w:val="18"/>
                <w:lang w:eastAsia="en-AU"/>
              </w:rPr>
            </w:pPr>
            <w:r w:rsidRPr="00C10545">
              <w:rPr>
                <w:sz w:val="18"/>
                <w:szCs w:val="18"/>
                <w:lang w:eastAsia="en-AU"/>
              </w:rPr>
              <w:t> </w:t>
            </w:r>
          </w:p>
        </w:tc>
      </w:tr>
      <w:tr w:rsidR="009A356E" w:rsidRPr="00F23FF7" w14:paraId="11B127BA" w14:textId="77777777" w:rsidTr="009A356E">
        <w:trPr>
          <w:trHeight w:val="240"/>
        </w:trPr>
        <w:tc>
          <w:tcPr>
            <w:tcW w:w="1211" w:type="pct"/>
            <w:tcBorders>
              <w:top w:val="nil"/>
              <w:left w:val="single" w:sz="4" w:space="0" w:color="auto"/>
              <w:bottom w:val="single" w:sz="4" w:space="0" w:color="auto"/>
              <w:right w:val="single" w:sz="4" w:space="0" w:color="auto"/>
            </w:tcBorders>
            <w:shd w:val="clear" w:color="auto" w:fill="auto"/>
            <w:noWrap/>
            <w:vAlign w:val="bottom"/>
            <w:hideMark/>
          </w:tcPr>
          <w:p w14:paraId="5553D69B" w14:textId="77777777" w:rsidR="009A356E" w:rsidRPr="00C10545" w:rsidRDefault="009A356E" w:rsidP="009A356E">
            <w:pPr>
              <w:rPr>
                <w:sz w:val="18"/>
                <w:szCs w:val="18"/>
                <w:lang w:eastAsia="en-AU"/>
              </w:rPr>
            </w:pPr>
            <w:r w:rsidRPr="00C10545">
              <w:rPr>
                <w:sz w:val="18"/>
                <w:szCs w:val="18"/>
                <w:lang w:eastAsia="en-AU"/>
              </w:rPr>
              <w:lastRenderedPageBreak/>
              <w:t>Greater Bendigo</w:t>
            </w:r>
          </w:p>
        </w:tc>
        <w:tc>
          <w:tcPr>
            <w:tcW w:w="632" w:type="pct"/>
            <w:tcBorders>
              <w:top w:val="nil"/>
              <w:left w:val="nil"/>
              <w:bottom w:val="single" w:sz="4" w:space="0" w:color="auto"/>
              <w:right w:val="single" w:sz="4" w:space="0" w:color="auto"/>
            </w:tcBorders>
            <w:shd w:val="clear" w:color="auto" w:fill="auto"/>
            <w:noWrap/>
            <w:vAlign w:val="bottom"/>
            <w:hideMark/>
          </w:tcPr>
          <w:p w14:paraId="0C5CEE2D" w14:textId="7A23B9B4" w:rsidR="009A356E" w:rsidRPr="00C10545" w:rsidRDefault="009A356E" w:rsidP="009A356E">
            <w:pPr>
              <w:rPr>
                <w:sz w:val="18"/>
                <w:szCs w:val="18"/>
                <w:lang w:eastAsia="en-AU"/>
              </w:rPr>
            </w:pPr>
            <w:r w:rsidRPr="00C10545">
              <w:rPr>
                <w:sz w:val="18"/>
                <w:szCs w:val="18"/>
                <w:lang w:eastAsia="en-AU"/>
              </w:rPr>
              <w:t xml:space="preserve"> 98.7 </w:t>
            </w:r>
          </w:p>
        </w:tc>
        <w:tc>
          <w:tcPr>
            <w:tcW w:w="632" w:type="pct"/>
            <w:tcBorders>
              <w:top w:val="nil"/>
              <w:left w:val="nil"/>
              <w:bottom w:val="single" w:sz="4" w:space="0" w:color="auto"/>
              <w:right w:val="single" w:sz="4" w:space="0" w:color="auto"/>
            </w:tcBorders>
            <w:shd w:val="clear" w:color="auto" w:fill="auto"/>
            <w:noWrap/>
            <w:vAlign w:val="bottom"/>
            <w:hideMark/>
          </w:tcPr>
          <w:p w14:paraId="6429DD1B" w14:textId="3310C15C" w:rsidR="009A356E" w:rsidRPr="00C10545" w:rsidRDefault="009A356E" w:rsidP="009A356E">
            <w:pPr>
              <w:rPr>
                <w:sz w:val="18"/>
                <w:szCs w:val="18"/>
                <w:lang w:eastAsia="en-AU"/>
              </w:rPr>
            </w:pPr>
            <w:r w:rsidRPr="00C10545">
              <w:rPr>
                <w:sz w:val="18"/>
                <w:szCs w:val="18"/>
                <w:lang w:eastAsia="en-AU"/>
              </w:rPr>
              <w:t xml:space="preserve"> 98.4 </w:t>
            </w:r>
          </w:p>
        </w:tc>
        <w:tc>
          <w:tcPr>
            <w:tcW w:w="632" w:type="pct"/>
            <w:tcBorders>
              <w:top w:val="nil"/>
              <w:left w:val="nil"/>
              <w:bottom w:val="single" w:sz="4" w:space="0" w:color="auto"/>
              <w:right w:val="single" w:sz="4" w:space="0" w:color="auto"/>
            </w:tcBorders>
            <w:shd w:val="clear" w:color="auto" w:fill="auto"/>
            <w:noWrap/>
            <w:vAlign w:val="bottom"/>
            <w:hideMark/>
          </w:tcPr>
          <w:p w14:paraId="35144DD2" w14:textId="2DE27A39" w:rsidR="009A356E" w:rsidRPr="00C10545" w:rsidRDefault="009A356E" w:rsidP="009A356E">
            <w:pPr>
              <w:rPr>
                <w:sz w:val="18"/>
                <w:szCs w:val="18"/>
                <w:lang w:eastAsia="en-AU"/>
              </w:rPr>
            </w:pPr>
            <w:r w:rsidRPr="00C10545">
              <w:rPr>
                <w:sz w:val="18"/>
                <w:szCs w:val="18"/>
                <w:lang w:eastAsia="en-AU"/>
              </w:rPr>
              <w:t xml:space="preserve"> 90.3 </w:t>
            </w:r>
          </w:p>
        </w:tc>
        <w:tc>
          <w:tcPr>
            <w:tcW w:w="632" w:type="pct"/>
            <w:tcBorders>
              <w:top w:val="nil"/>
              <w:left w:val="nil"/>
              <w:bottom w:val="single" w:sz="4" w:space="0" w:color="auto"/>
              <w:right w:val="single" w:sz="4" w:space="0" w:color="auto"/>
            </w:tcBorders>
            <w:shd w:val="clear" w:color="auto" w:fill="auto"/>
            <w:noWrap/>
            <w:vAlign w:val="bottom"/>
            <w:hideMark/>
          </w:tcPr>
          <w:p w14:paraId="66FA322D" w14:textId="78402CDD" w:rsidR="009A356E" w:rsidRPr="00C10545" w:rsidRDefault="009A356E" w:rsidP="009A356E">
            <w:pPr>
              <w:rPr>
                <w:sz w:val="18"/>
                <w:szCs w:val="18"/>
                <w:lang w:eastAsia="en-AU"/>
              </w:rPr>
            </w:pPr>
            <w:r w:rsidRPr="00C10545">
              <w:rPr>
                <w:sz w:val="18"/>
                <w:szCs w:val="18"/>
                <w:lang w:eastAsia="en-AU"/>
              </w:rPr>
              <w:t xml:space="preserve"> 93.8 </w:t>
            </w:r>
          </w:p>
        </w:tc>
        <w:tc>
          <w:tcPr>
            <w:tcW w:w="632" w:type="pct"/>
            <w:tcBorders>
              <w:top w:val="nil"/>
              <w:left w:val="nil"/>
              <w:bottom w:val="single" w:sz="4" w:space="0" w:color="auto"/>
              <w:right w:val="single" w:sz="4" w:space="0" w:color="auto"/>
            </w:tcBorders>
            <w:shd w:val="clear" w:color="auto" w:fill="auto"/>
            <w:noWrap/>
            <w:vAlign w:val="bottom"/>
            <w:hideMark/>
          </w:tcPr>
          <w:p w14:paraId="2763CDBA" w14:textId="031227C0" w:rsidR="009A356E" w:rsidRPr="00C10545" w:rsidRDefault="009A356E" w:rsidP="009A356E">
            <w:pPr>
              <w:rPr>
                <w:sz w:val="18"/>
                <w:szCs w:val="18"/>
                <w:lang w:eastAsia="en-AU"/>
              </w:rPr>
            </w:pPr>
            <w:r w:rsidRPr="00C10545">
              <w:rPr>
                <w:sz w:val="18"/>
                <w:szCs w:val="18"/>
                <w:lang w:eastAsia="en-AU"/>
              </w:rPr>
              <w:t xml:space="preserve"> 84.1 </w:t>
            </w:r>
          </w:p>
        </w:tc>
        <w:tc>
          <w:tcPr>
            <w:tcW w:w="629" w:type="pct"/>
            <w:tcBorders>
              <w:top w:val="nil"/>
              <w:left w:val="nil"/>
              <w:bottom w:val="single" w:sz="4" w:space="0" w:color="auto"/>
              <w:right w:val="single" w:sz="4" w:space="0" w:color="auto"/>
            </w:tcBorders>
            <w:shd w:val="clear" w:color="auto" w:fill="auto"/>
            <w:noWrap/>
            <w:vAlign w:val="bottom"/>
            <w:hideMark/>
          </w:tcPr>
          <w:p w14:paraId="3AD82932" w14:textId="2B5B6339" w:rsidR="009A356E" w:rsidRPr="00C10545" w:rsidRDefault="009A356E" w:rsidP="009A356E">
            <w:pPr>
              <w:rPr>
                <w:sz w:val="18"/>
                <w:szCs w:val="18"/>
                <w:lang w:eastAsia="en-AU"/>
              </w:rPr>
            </w:pPr>
            <w:r w:rsidRPr="00C10545">
              <w:rPr>
                <w:sz w:val="18"/>
                <w:szCs w:val="18"/>
                <w:lang w:eastAsia="en-AU"/>
              </w:rPr>
              <w:t xml:space="preserve"> 80.6 </w:t>
            </w:r>
          </w:p>
        </w:tc>
      </w:tr>
      <w:tr w:rsidR="009A356E" w:rsidRPr="00F23FF7" w14:paraId="67450B78" w14:textId="77777777" w:rsidTr="009A356E">
        <w:trPr>
          <w:trHeight w:val="240"/>
        </w:trPr>
        <w:tc>
          <w:tcPr>
            <w:tcW w:w="1211" w:type="pct"/>
            <w:tcBorders>
              <w:top w:val="nil"/>
              <w:left w:val="single" w:sz="4" w:space="0" w:color="auto"/>
              <w:bottom w:val="single" w:sz="4" w:space="0" w:color="auto"/>
              <w:right w:val="single" w:sz="4" w:space="0" w:color="auto"/>
            </w:tcBorders>
            <w:shd w:val="clear" w:color="auto" w:fill="auto"/>
            <w:noWrap/>
            <w:vAlign w:val="bottom"/>
            <w:hideMark/>
          </w:tcPr>
          <w:p w14:paraId="544DC5C3" w14:textId="77777777" w:rsidR="009A356E" w:rsidRPr="00C10545" w:rsidRDefault="009A356E" w:rsidP="009A356E">
            <w:pPr>
              <w:rPr>
                <w:sz w:val="18"/>
                <w:szCs w:val="18"/>
                <w:lang w:eastAsia="en-AU"/>
              </w:rPr>
            </w:pPr>
            <w:r w:rsidRPr="00C10545">
              <w:rPr>
                <w:sz w:val="18"/>
                <w:szCs w:val="18"/>
                <w:lang w:eastAsia="en-AU"/>
              </w:rPr>
              <w:t>Greater Geelong</w:t>
            </w:r>
          </w:p>
        </w:tc>
        <w:tc>
          <w:tcPr>
            <w:tcW w:w="632" w:type="pct"/>
            <w:tcBorders>
              <w:top w:val="nil"/>
              <w:left w:val="nil"/>
              <w:bottom w:val="single" w:sz="4" w:space="0" w:color="auto"/>
              <w:right w:val="single" w:sz="4" w:space="0" w:color="auto"/>
            </w:tcBorders>
            <w:shd w:val="clear" w:color="auto" w:fill="auto"/>
            <w:noWrap/>
            <w:vAlign w:val="bottom"/>
            <w:hideMark/>
          </w:tcPr>
          <w:p w14:paraId="46A8B6B6" w14:textId="0D54CD4A" w:rsidR="009A356E" w:rsidRPr="00C10545" w:rsidRDefault="009A356E" w:rsidP="009A356E">
            <w:pPr>
              <w:rPr>
                <w:sz w:val="18"/>
                <w:szCs w:val="18"/>
                <w:lang w:eastAsia="en-AU"/>
              </w:rPr>
            </w:pPr>
            <w:r w:rsidRPr="00C10545">
              <w:rPr>
                <w:sz w:val="18"/>
                <w:szCs w:val="18"/>
                <w:lang w:eastAsia="en-AU"/>
              </w:rPr>
              <w:t xml:space="preserve"> 65.7 </w:t>
            </w:r>
          </w:p>
        </w:tc>
        <w:tc>
          <w:tcPr>
            <w:tcW w:w="632" w:type="pct"/>
            <w:tcBorders>
              <w:top w:val="nil"/>
              <w:left w:val="nil"/>
              <w:bottom w:val="single" w:sz="4" w:space="0" w:color="auto"/>
              <w:right w:val="single" w:sz="4" w:space="0" w:color="auto"/>
            </w:tcBorders>
            <w:shd w:val="clear" w:color="auto" w:fill="auto"/>
            <w:noWrap/>
            <w:vAlign w:val="bottom"/>
            <w:hideMark/>
          </w:tcPr>
          <w:p w14:paraId="51763B09" w14:textId="34E44C1B" w:rsidR="009A356E" w:rsidRPr="00C10545" w:rsidRDefault="009A356E" w:rsidP="009A356E">
            <w:pPr>
              <w:rPr>
                <w:sz w:val="18"/>
                <w:szCs w:val="18"/>
                <w:lang w:eastAsia="en-AU"/>
              </w:rPr>
            </w:pPr>
            <w:r w:rsidRPr="00C10545">
              <w:rPr>
                <w:sz w:val="18"/>
                <w:szCs w:val="18"/>
                <w:lang w:eastAsia="en-AU"/>
              </w:rPr>
              <w:t xml:space="preserve"> 64.8 </w:t>
            </w:r>
          </w:p>
        </w:tc>
        <w:tc>
          <w:tcPr>
            <w:tcW w:w="632" w:type="pct"/>
            <w:tcBorders>
              <w:top w:val="nil"/>
              <w:left w:val="nil"/>
              <w:bottom w:val="single" w:sz="4" w:space="0" w:color="auto"/>
              <w:right w:val="single" w:sz="4" w:space="0" w:color="auto"/>
            </w:tcBorders>
            <w:shd w:val="clear" w:color="auto" w:fill="auto"/>
            <w:noWrap/>
            <w:vAlign w:val="bottom"/>
            <w:hideMark/>
          </w:tcPr>
          <w:p w14:paraId="3FC396B8" w14:textId="6900C499" w:rsidR="009A356E" w:rsidRPr="00C10545" w:rsidRDefault="009A356E" w:rsidP="009A356E">
            <w:pPr>
              <w:rPr>
                <w:sz w:val="18"/>
                <w:szCs w:val="18"/>
                <w:lang w:eastAsia="en-AU"/>
              </w:rPr>
            </w:pPr>
            <w:r w:rsidRPr="00C10545">
              <w:rPr>
                <w:sz w:val="18"/>
                <w:szCs w:val="18"/>
                <w:lang w:eastAsia="en-AU"/>
              </w:rPr>
              <w:t xml:space="preserve"> 63.1 </w:t>
            </w:r>
          </w:p>
        </w:tc>
        <w:tc>
          <w:tcPr>
            <w:tcW w:w="632" w:type="pct"/>
            <w:tcBorders>
              <w:top w:val="nil"/>
              <w:left w:val="nil"/>
              <w:bottom w:val="single" w:sz="4" w:space="0" w:color="auto"/>
              <w:right w:val="single" w:sz="4" w:space="0" w:color="auto"/>
            </w:tcBorders>
            <w:shd w:val="clear" w:color="auto" w:fill="auto"/>
            <w:noWrap/>
            <w:vAlign w:val="bottom"/>
            <w:hideMark/>
          </w:tcPr>
          <w:p w14:paraId="4D79F180" w14:textId="57EF039B" w:rsidR="009A356E" w:rsidRPr="00C10545" w:rsidRDefault="009A356E" w:rsidP="009A356E">
            <w:pPr>
              <w:rPr>
                <w:sz w:val="18"/>
                <w:szCs w:val="18"/>
                <w:lang w:eastAsia="en-AU"/>
              </w:rPr>
            </w:pPr>
            <w:r w:rsidRPr="00C10545">
              <w:rPr>
                <w:sz w:val="18"/>
                <w:szCs w:val="18"/>
                <w:lang w:eastAsia="en-AU"/>
              </w:rPr>
              <w:t xml:space="preserve"> 59.2 </w:t>
            </w:r>
          </w:p>
        </w:tc>
        <w:tc>
          <w:tcPr>
            <w:tcW w:w="632" w:type="pct"/>
            <w:tcBorders>
              <w:top w:val="nil"/>
              <w:left w:val="nil"/>
              <w:bottom w:val="single" w:sz="4" w:space="0" w:color="auto"/>
              <w:right w:val="single" w:sz="4" w:space="0" w:color="auto"/>
            </w:tcBorders>
            <w:shd w:val="clear" w:color="auto" w:fill="auto"/>
            <w:noWrap/>
            <w:vAlign w:val="bottom"/>
            <w:hideMark/>
          </w:tcPr>
          <w:p w14:paraId="5A32A17A" w14:textId="75F2A319" w:rsidR="009A356E" w:rsidRPr="00C10545" w:rsidRDefault="009A356E" w:rsidP="009A356E">
            <w:pPr>
              <w:rPr>
                <w:sz w:val="18"/>
                <w:szCs w:val="18"/>
                <w:lang w:eastAsia="en-AU"/>
              </w:rPr>
            </w:pPr>
            <w:r w:rsidRPr="00C10545">
              <w:rPr>
                <w:sz w:val="18"/>
                <w:szCs w:val="18"/>
                <w:lang w:eastAsia="en-AU"/>
              </w:rPr>
              <w:t xml:space="preserve"> 51.6 </w:t>
            </w:r>
          </w:p>
        </w:tc>
        <w:tc>
          <w:tcPr>
            <w:tcW w:w="629" w:type="pct"/>
            <w:tcBorders>
              <w:top w:val="nil"/>
              <w:left w:val="nil"/>
              <w:bottom w:val="single" w:sz="4" w:space="0" w:color="auto"/>
              <w:right w:val="single" w:sz="4" w:space="0" w:color="auto"/>
            </w:tcBorders>
            <w:shd w:val="clear" w:color="auto" w:fill="auto"/>
            <w:noWrap/>
            <w:vAlign w:val="bottom"/>
            <w:hideMark/>
          </w:tcPr>
          <w:p w14:paraId="6369A753" w14:textId="38221EAB" w:rsidR="009A356E" w:rsidRPr="00C10545" w:rsidRDefault="009A356E" w:rsidP="009A356E">
            <w:pPr>
              <w:rPr>
                <w:sz w:val="18"/>
                <w:szCs w:val="18"/>
                <w:lang w:eastAsia="en-AU"/>
              </w:rPr>
            </w:pPr>
            <w:r w:rsidRPr="00C10545">
              <w:rPr>
                <w:sz w:val="18"/>
                <w:szCs w:val="18"/>
                <w:lang w:eastAsia="en-AU"/>
              </w:rPr>
              <w:t xml:space="preserve"> 48.8 </w:t>
            </w:r>
          </w:p>
        </w:tc>
      </w:tr>
      <w:tr w:rsidR="009A356E" w:rsidRPr="00F23FF7" w14:paraId="0D96C3B9" w14:textId="77777777" w:rsidTr="009A356E">
        <w:trPr>
          <w:trHeight w:val="240"/>
        </w:trPr>
        <w:tc>
          <w:tcPr>
            <w:tcW w:w="1211" w:type="pct"/>
            <w:tcBorders>
              <w:top w:val="nil"/>
              <w:left w:val="single" w:sz="4" w:space="0" w:color="auto"/>
              <w:bottom w:val="single" w:sz="4" w:space="0" w:color="auto"/>
              <w:right w:val="single" w:sz="4" w:space="0" w:color="auto"/>
            </w:tcBorders>
            <w:shd w:val="clear" w:color="auto" w:fill="auto"/>
            <w:noWrap/>
            <w:vAlign w:val="bottom"/>
            <w:hideMark/>
          </w:tcPr>
          <w:p w14:paraId="5ED5DF25" w14:textId="77777777" w:rsidR="009A356E" w:rsidRPr="00C10545" w:rsidRDefault="009A356E" w:rsidP="009A356E">
            <w:pPr>
              <w:rPr>
                <w:sz w:val="18"/>
                <w:szCs w:val="18"/>
                <w:lang w:eastAsia="en-AU"/>
              </w:rPr>
            </w:pPr>
            <w:r w:rsidRPr="00C10545">
              <w:rPr>
                <w:sz w:val="18"/>
                <w:szCs w:val="18"/>
                <w:lang w:eastAsia="en-AU"/>
              </w:rPr>
              <w:t>Greater Shepparton</w:t>
            </w:r>
          </w:p>
        </w:tc>
        <w:tc>
          <w:tcPr>
            <w:tcW w:w="632" w:type="pct"/>
            <w:tcBorders>
              <w:top w:val="nil"/>
              <w:left w:val="nil"/>
              <w:bottom w:val="single" w:sz="4" w:space="0" w:color="auto"/>
              <w:right w:val="single" w:sz="4" w:space="0" w:color="auto"/>
            </w:tcBorders>
            <w:shd w:val="clear" w:color="auto" w:fill="auto"/>
            <w:noWrap/>
            <w:vAlign w:val="bottom"/>
            <w:hideMark/>
          </w:tcPr>
          <w:p w14:paraId="4DDE8580" w14:textId="711845BE" w:rsidR="009A356E" w:rsidRPr="00C10545" w:rsidRDefault="009A356E" w:rsidP="009A356E">
            <w:pPr>
              <w:rPr>
                <w:sz w:val="18"/>
                <w:szCs w:val="18"/>
                <w:lang w:eastAsia="en-AU"/>
              </w:rPr>
            </w:pPr>
            <w:r w:rsidRPr="00C10545">
              <w:rPr>
                <w:sz w:val="18"/>
                <w:szCs w:val="18"/>
                <w:lang w:eastAsia="en-AU"/>
              </w:rPr>
              <w:t xml:space="preserve"> 102.9 </w:t>
            </w:r>
          </w:p>
        </w:tc>
        <w:tc>
          <w:tcPr>
            <w:tcW w:w="632" w:type="pct"/>
            <w:tcBorders>
              <w:top w:val="nil"/>
              <w:left w:val="nil"/>
              <w:bottom w:val="single" w:sz="4" w:space="0" w:color="auto"/>
              <w:right w:val="single" w:sz="4" w:space="0" w:color="auto"/>
            </w:tcBorders>
            <w:shd w:val="clear" w:color="auto" w:fill="auto"/>
            <w:noWrap/>
            <w:vAlign w:val="bottom"/>
            <w:hideMark/>
          </w:tcPr>
          <w:p w14:paraId="6CB47163" w14:textId="4D9F69AA" w:rsidR="009A356E" w:rsidRPr="00C10545" w:rsidRDefault="009A356E" w:rsidP="009A356E">
            <w:pPr>
              <w:rPr>
                <w:sz w:val="18"/>
                <w:szCs w:val="18"/>
                <w:lang w:eastAsia="en-AU"/>
              </w:rPr>
            </w:pPr>
            <w:r w:rsidRPr="00C10545">
              <w:rPr>
                <w:sz w:val="18"/>
                <w:szCs w:val="18"/>
                <w:lang w:eastAsia="en-AU"/>
              </w:rPr>
              <w:t xml:space="preserve"> 105.8 </w:t>
            </w:r>
          </w:p>
        </w:tc>
        <w:tc>
          <w:tcPr>
            <w:tcW w:w="632" w:type="pct"/>
            <w:tcBorders>
              <w:top w:val="nil"/>
              <w:left w:val="nil"/>
              <w:bottom w:val="single" w:sz="4" w:space="0" w:color="auto"/>
              <w:right w:val="single" w:sz="4" w:space="0" w:color="auto"/>
            </w:tcBorders>
            <w:shd w:val="clear" w:color="auto" w:fill="auto"/>
            <w:noWrap/>
            <w:vAlign w:val="bottom"/>
            <w:hideMark/>
          </w:tcPr>
          <w:p w14:paraId="616EE6C3" w14:textId="0AB666F6" w:rsidR="009A356E" w:rsidRPr="00C10545" w:rsidRDefault="009A356E" w:rsidP="009A356E">
            <w:pPr>
              <w:rPr>
                <w:sz w:val="18"/>
                <w:szCs w:val="18"/>
                <w:lang w:eastAsia="en-AU"/>
              </w:rPr>
            </w:pPr>
            <w:r w:rsidRPr="00C10545">
              <w:rPr>
                <w:sz w:val="18"/>
                <w:szCs w:val="18"/>
                <w:lang w:eastAsia="en-AU"/>
              </w:rPr>
              <w:t xml:space="preserve"> 105.1 </w:t>
            </w:r>
          </w:p>
        </w:tc>
        <w:tc>
          <w:tcPr>
            <w:tcW w:w="632" w:type="pct"/>
            <w:tcBorders>
              <w:top w:val="nil"/>
              <w:left w:val="nil"/>
              <w:bottom w:val="single" w:sz="4" w:space="0" w:color="auto"/>
              <w:right w:val="single" w:sz="4" w:space="0" w:color="auto"/>
            </w:tcBorders>
            <w:shd w:val="clear" w:color="auto" w:fill="auto"/>
            <w:noWrap/>
            <w:vAlign w:val="bottom"/>
            <w:hideMark/>
          </w:tcPr>
          <w:p w14:paraId="7697B428" w14:textId="775C8DB5" w:rsidR="009A356E" w:rsidRPr="00C10545" w:rsidRDefault="009A356E" w:rsidP="009A356E">
            <w:pPr>
              <w:rPr>
                <w:sz w:val="18"/>
                <w:szCs w:val="18"/>
                <w:lang w:eastAsia="en-AU"/>
              </w:rPr>
            </w:pPr>
            <w:r w:rsidRPr="00C10545">
              <w:rPr>
                <w:sz w:val="18"/>
                <w:szCs w:val="18"/>
                <w:lang w:eastAsia="en-AU"/>
              </w:rPr>
              <w:t xml:space="preserve"> 109.3 </w:t>
            </w:r>
          </w:p>
        </w:tc>
        <w:tc>
          <w:tcPr>
            <w:tcW w:w="632" w:type="pct"/>
            <w:tcBorders>
              <w:top w:val="nil"/>
              <w:left w:val="nil"/>
              <w:bottom w:val="single" w:sz="4" w:space="0" w:color="auto"/>
              <w:right w:val="single" w:sz="4" w:space="0" w:color="auto"/>
            </w:tcBorders>
            <w:shd w:val="clear" w:color="auto" w:fill="auto"/>
            <w:noWrap/>
            <w:vAlign w:val="bottom"/>
            <w:hideMark/>
          </w:tcPr>
          <w:p w14:paraId="34E76342" w14:textId="314D4218" w:rsidR="009A356E" w:rsidRPr="00C10545" w:rsidRDefault="009A356E" w:rsidP="009A356E">
            <w:pPr>
              <w:rPr>
                <w:sz w:val="18"/>
                <w:szCs w:val="18"/>
                <w:lang w:eastAsia="en-AU"/>
              </w:rPr>
            </w:pPr>
            <w:r w:rsidRPr="00C10545">
              <w:rPr>
                <w:sz w:val="18"/>
                <w:szCs w:val="18"/>
                <w:lang w:eastAsia="en-AU"/>
              </w:rPr>
              <w:t xml:space="preserve"> 109.9 </w:t>
            </w:r>
          </w:p>
        </w:tc>
        <w:tc>
          <w:tcPr>
            <w:tcW w:w="629" w:type="pct"/>
            <w:tcBorders>
              <w:top w:val="nil"/>
              <w:left w:val="nil"/>
              <w:bottom w:val="single" w:sz="4" w:space="0" w:color="auto"/>
              <w:right w:val="single" w:sz="4" w:space="0" w:color="auto"/>
            </w:tcBorders>
            <w:shd w:val="clear" w:color="auto" w:fill="auto"/>
            <w:noWrap/>
            <w:vAlign w:val="bottom"/>
            <w:hideMark/>
          </w:tcPr>
          <w:p w14:paraId="2BD7B711" w14:textId="740F3BE7" w:rsidR="009A356E" w:rsidRPr="00C10545" w:rsidRDefault="009A356E" w:rsidP="009A356E">
            <w:pPr>
              <w:rPr>
                <w:sz w:val="18"/>
                <w:szCs w:val="18"/>
                <w:lang w:eastAsia="en-AU"/>
              </w:rPr>
            </w:pPr>
            <w:r w:rsidRPr="00C10545">
              <w:rPr>
                <w:sz w:val="18"/>
                <w:szCs w:val="18"/>
                <w:lang w:eastAsia="en-AU"/>
              </w:rPr>
              <w:t xml:space="preserve"> 106.1 </w:t>
            </w:r>
          </w:p>
        </w:tc>
      </w:tr>
      <w:tr w:rsidR="009A356E" w:rsidRPr="00F23FF7" w14:paraId="4EEB845B" w14:textId="77777777" w:rsidTr="009A356E">
        <w:trPr>
          <w:trHeight w:val="240"/>
        </w:trPr>
        <w:tc>
          <w:tcPr>
            <w:tcW w:w="1211" w:type="pct"/>
            <w:tcBorders>
              <w:top w:val="nil"/>
              <w:left w:val="single" w:sz="4" w:space="0" w:color="auto"/>
              <w:bottom w:val="single" w:sz="4" w:space="0" w:color="auto"/>
              <w:right w:val="single" w:sz="4" w:space="0" w:color="auto"/>
            </w:tcBorders>
            <w:shd w:val="clear" w:color="auto" w:fill="auto"/>
            <w:noWrap/>
            <w:vAlign w:val="bottom"/>
            <w:hideMark/>
          </w:tcPr>
          <w:p w14:paraId="6BDF3AB0" w14:textId="77777777" w:rsidR="009A356E" w:rsidRPr="00C10545" w:rsidRDefault="009A356E" w:rsidP="009A356E">
            <w:pPr>
              <w:rPr>
                <w:sz w:val="18"/>
                <w:szCs w:val="18"/>
                <w:lang w:eastAsia="en-AU"/>
              </w:rPr>
            </w:pPr>
            <w:r w:rsidRPr="00C10545">
              <w:rPr>
                <w:sz w:val="18"/>
                <w:szCs w:val="18"/>
                <w:lang w:eastAsia="en-AU"/>
              </w:rPr>
              <w:t>Mildura</w:t>
            </w:r>
          </w:p>
        </w:tc>
        <w:tc>
          <w:tcPr>
            <w:tcW w:w="632" w:type="pct"/>
            <w:tcBorders>
              <w:top w:val="nil"/>
              <w:left w:val="nil"/>
              <w:bottom w:val="single" w:sz="4" w:space="0" w:color="auto"/>
              <w:right w:val="single" w:sz="4" w:space="0" w:color="auto"/>
            </w:tcBorders>
            <w:shd w:val="clear" w:color="auto" w:fill="auto"/>
            <w:noWrap/>
            <w:vAlign w:val="bottom"/>
            <w:hideMark/>
          </w:tcPr>
          <w:p w14:paraId="6DDB71C3" w14:textId="6FD77E9D" w:rsidR="009A356E" w:rsidRPr="00C10545" w:rsidRDefault="009A356E" w:rsidP="009A356E">
            <w:pPr>
              <w:rPr>
                <w:sz w:val="18"/>
                <w:szCs w:val="18"/>
                <w:lang w:eastAsia="en-AU"/>
              </w:rPr>
            </w:pPr>
            <w:r w:rsidRPr="00C10545">
              <w:rPr>
                <w:sz w:val="18"/>
                <w:szCs w:val="18"/>
                <w:lang w:eastAsia="en-AU"/>
              </w:rPr>
              <w:t xml:space="preserve"> 121.0 </w:t>
            </w:r>
          </w:p>
        </w:tc>
        <w:tc>
          <w:tcPr>
            <w:tcW w:w="632" w:type="pct"/>
            <w:tcBorders>
              <w:top w:val="nil"/>
              <w:left w:val="nil"/>
              <w:bottom w:val="single" w:sz="4" w:space="0" w:color="auto"/>
              <w:right w:val="single" w:sz="4" w:space="0" w:color="auto"/>
            </w:tcBorders>
            <w:shd w:val="clear" w:color="auto" w:fill="auto"/>
            <w:noWrap/>
            <w:vAlign w:val="bottom"/>
            <w:hideMark/>
          </w:tcPr>
          <w:p w14:paraId="16A84166" w14:textId="651BC48E" w:rsidR="009A356E" w:rsidRPr="00C10545" w:rsidRDefault="009A356E" w:rsidP="009A356E">
            <w:pPr>
              <w:rPr>
                <w:sz w:val="18"/>
                <w:szCs w:val="18"/>
                <w:lang w:eastAsia="en-AU"/>
              </w:rPr>
            </w:pPr>
            <w:r w:rsidRPr="00C10545">
              <w:rPr>
                <w:sz w:val="18"/>
                <w:szCs w:val="18"/>
                <w:lang w:eastAsia="en-AU"/>
              </w:rPr>
              <w:t xml:space="preserve"> 130.5 </w:t>
            </w:r>
          </w:p>
        </w:tc>
        <w:tc>
          <w:tcPr>
            <w:tcW w:w="632" w:type="pct"/>
            <w:tcBorders>
              <w:top w:val="nil"/>
              <w:left w:val="nil"/>
              <w:bottom w:val="single" w:sz="4" w:space="0" w:color="auto"/>
              <w:right w:val="single" w:sz="4" w:space="0" w:color="auto"/>
            </w:tcBorders>
            <w:shd w:val="clear" w:color="auto" w:fill="auto"/>
            <w:noWrap/>
            <w:vAlign w:val="bottom"/>
            <w:hideMark/>
          </w:tcPr>
          <w:p w14:paraId="4FE1ADC3" w14:textId="4B193C26" w:rsidR="009A356E" w:rsidRPr="00C10545" w:rsidRDefault="009A356E" w:rsidP="009A356E">
            <w:pPr>
              <w:rPr>
                <w:sz w:val="18"/>
                <w:szCs w:val="18"/>
                <w:lang w:eastAsia="en-AU"/>
              </w:rPr>
            </w:pPr>
            <w:r w:rsidRPr="00C10545">
              <w:rPr>
                <w:sz w:val="18"/>
                <w:szCs w:val="18"/>
                <w:lang w:eastAsia="en-AU"/>
              </w:rPr>
              <w:t xml:space="preserve"> 136.6 </w:t>
            </w:r>
          </w:p>
        </w:tc>
        <w:tc>
          <w:tcPr>
            <w:tcW w:w="632" w:type="pct"/>
            <w:tcBorders>
              <w:top w:val="nil"/>
              <w:left w:val="nil"/>
              <w:bottom w:val="single" w:sz="4" w:space="0" w:color="auto"/>
              <w:right w:val="single" w:sz="4" w:space="0" w:color="auto"/>
            </w:tcBorders>
            <w:shd w:val="clear" w:color="auto" w:fill="auto"/>
            <w:noWrap/>
            <w:vAlign w:val="bottom"/>
            <w:hideMark/>
          </w:tcPr>
          <w:p w14:paraId="1FD3E52A" w14:textId="1D1B2120" w:rsidR="009A356E" w:rsidRPr="00C10545" w:rsidRDefault="009A356E" w:rsidP="009A356E">
            <w:pPr>
              <w:rPr>
                <w:sz w:val="18"/>
                <w:szCs w:val="18"/>
                <w:lang w:eastAsia="en-AU"/>
              </w:rPr>
            </w:pPr>
            <w:r w:rsidRPr="00C10545">
              <w:rPr>
                <w:sz w:val="18"/>
                <w:szCs w:val="18"/>
                <w:lang w:eastAsia="en-AU"/>
              </w:rPr>
              <w:t xml:space="preserve"> 150.6 </w:t>
            </w:r>
          </w:p>
        </w:tc>
        <w:tc>
          <w:tcPr>
            <w:tcW w:w="632" w:type="pct"/>
            <w:tcBorders>
              <w:top w:val="nil"/>
              <w:left w:val="nil"/>
              <w:bottom w:val="single" w:sz="4" w:space="0" w:color="auto"/>
              <w:right w:val="single" w:sz="4" w:space="0" w:color="auto"/>
            </w:tcBorders>
            <w:shd w:val="clear" w:color="auto" w:fill="auto"/>
            <w:noWrap/>
            <w:vAlign w:val="bottom"/>
            <w:hideMark/>
          </w:tcPr>
          <w:p w14:paraId="1F0B2F23" w14:textId="7AC09A2B" w:rsidR="009A356E" w:rsidRPr="00C10545" w:rsidRDefault="009A356E" w:rsidP="009A356E">
            <w:pPr>
              <w:rPr>
                <w:sz w:val="18"/>
                <w:szCs w:val="18"/>
                <w:lang w:eastAsia="en-AU"/>
              </w:rPr>
            </w:pPr>
            <w:r w:rsidRPr="00C10545">
              <w:rPr>
                <w:sz w:val="18"/>
                <w:szCs w:val="18"/>
                <w:lang w:eastAsia="en-AU"/>
              </w:rPr>
              <w:t xml:space="preserve"> 150.8 </w:t>
            </w:r>
          </w:p>
        </w:tc>
        <w:tc>
          <w:tcPr>
            <w:tcW w:w="629" w:type="pct"/>
            <w:tcBorders>
              <w:top w:val="nil"/>
              <w:left w:val="nil"/>
              <w:bottom w:val="single" w:sz="4" w:space="0" w:color="auto"/>
              <w:right w:val="single" w:sz="4" w:space="0" w:color="auto"/>
            </w:tcBorders>
            <w:shd w:val="clear" w:color="auto" w:fill="auto"/>
            <w:noWrap/>
            <w:vAlign w:val="bottom"/>
            <w:hideMark/>
          </w:tcPr>
          <w:p w14:paraId="0B1C1202" w14:textId="0B104684" w:rsidR="009A356E" w:rsidRPr="00C10545" w:rsidRDefault="009A356E" w:rsidP="009A356E">
            <w:pPr>
              <w:rPr>
                <w:sz w:val="18"/>
                <w:szCs w:val="18"/>
                <w:lang w:eastAsia="en-AU"/>
              </w:rPr>
            </w:pPr>
            <w:r w:rsidRPr="00C10545">
              <w:rPr>
                <w:sz w:val="18"/>
                <w:szCs w:val="18"/>
                <w:lang w:eastAsia="en-AU"/>
              </w:rPr>
              <w:t xml:space="preserve"> 148.9 </w:t>
            </w:r>
          </w:p>
        </w:tc>
      </w:tr>
      <w:tr w:rsidR="009A356E" w:rsidRPr="00F23FF7" w14:paraId="38916AD8" w14:textId="77777777" w:rsidTr="009A356E">
        <w:trPr>
          <w:trHeight w:val="240"/>
        </w:trPr>
        <w:tc>
          <w:tcPr>
            <w:tcW w:w="1211" w:type="pct"/>
            <w:tcBorders>
              <w:top w:val="nil"/>
              <w:left w:val="single" w:sz="4" w:space="0" w:color="auto"/>
              <w:bottom w:val="single" w:sz="4" w:space="0" w:color="auto"/>
              <w:right w:val="single" w:sz="4" w:space="0" w:color="auto"/>
            </w:tcBorders>
            <w:shd w:val="clear" w:color="auto" w:fill="auto"/>
            <w:noWrap/>
            <w:vAlign w:val="bottom"/>
            <w:hideMark/>
          </w:tcPr>
          <w:p w14:paraId="3C4188A7" w14:textId="77777777" w:rsidR="009A356E" w:rsidRPr="00C10545" w:rsidRDefault="009A356E" w:rsidP="009A356E">
            <w:pPr>
              <w:rPr>
                <w:sz w:val="18"/>
                <w:szCs w:val="18"/>
                <w:lang w:eastAsia="en-AU"/>
              </w:rPr>
            </w:pPr>
            <w:r w:rsidRPr="00C10545">
              <w:rPr>
                <w:sz w:val="18"/>
                <w:szCs w:val="18"/>
                <w:lang w:eastAsia="en-AU"/>
              </w:rPr>
              <w:t>Warrnambool</w:t>
            </w:r>
          </w:p>
        </w:tc>
        <w:tc>
          <w:tcPr>
            <w:tcW w:w="632" w:type="pct"/>
            <w:tcBorders>
              <w:top w:val="nil"/>
              <w:left w:val="nil"/>
              <w:bottom w:val="single" w:sz="4" w:space="0" w:color="auto"/>
              <w:right w:val="single" w:sz="4" w:space="0" w:color="auto"/>
            </w:tcBorders>
            <w:shd w:val="clear" w:color="auto" w:fill="auto"/>
            <w:noWrap/>
            <w:vAlign w:val="bottom"/>
            <w:hideMark/>
          </w:tcPr>
          <w:p w14:paraId="3924303B" w14:textId="78663336" w:rsidR="009A356E" w:rsidRPr="00C10545" w:rsidRDefault="009A356E" w:rsidP="009A356E">
            <w:pPr>
              <w:rPr>
                <w:sz w:val="18"/>
                <w:szCs w:val="18"/>
                <w:lang w:eastAsia="en-AU"/>
              </w:rPr>
            </w:pPr>
            <w:r w:rsidRPr="00C10545">
              <w:rPr>
                <w:sz w:val="18"/>
                <w:szCs w:val="18"/>
                <w:lang w:eastAsia="en-AU"/>
              </w:rPr>
              <w:t xml:space="preserve"> 78.3 </w:t>
            </w:r>
          </w:p>
        </w:tc>
        <w:tc>
          <w:tcPr>
            <w:tcW w:w="632" w:type="pct"/>
            <w:tcBorders>
              <w:top w:val="nil"/>
              <w:left w:val="nil"/>
              <w:bottom w:val="single" w:sz="4" w:space="0" w:color="auto"/>
              <w:right w:val="single" w:sz="4" w:space="0" w:color="auto"/>
            </w:tcBorders>
            <w:shd w:val="clear" w:color="auto" w:fill="auto"/>
            <w:noWrap/>
            <w:vAlign w:val="bottom"/>
            <w:hideMark/>
          </w:tcPr>
          <w:p w14:paraId="3C5B1ECD" w14:textId="2B90E982" w:rsidR="009A356E" w:rsidRPr="00C10545" w:rsidRDefault="009A356E" w:rsidP="009A356E">
            <w:pPr>
              <w:rPr>
                <w:sz w:val="18"/>
                <w:szCs w:val="18"/>
                <w:lang w:eastAsia="en-AU"/>
              </w:rPr>
            </w:pPr>
            <w:r w:rsidRPr="00C10545">
              <w:rPr>
                <w:sz w:val="18"/>
                <w:szCs w:val="18"/>
                <w:lang w:eastAsia="en-AU"/>
              </w:rPr>
              <w:t xml:space="preserve"> 77.6 </w:t>
            </w:r>
          </w:p>
        </w:tc>
        <w:tc>
          <w:tcPr>
            <w:tcW w:w="632" w:type="pct"/>
            <w:tcBorders>
              <w:top w:val="nil"/>
              <w:left w:val="nil"/>
              <w:bottom w:val="single" w:sz="4" w:space="0" w:color="auto"/>
              <w:right w:val="single" w:sz="4" w:space="0" w:color="auto"/>
            </w:tcBorders>
            <w:shd w:val="clear" w:color="auto" w:fill="auto"/>
            <w:noWrap/>
            <w:vAlign w:val="bottom"/>
            <w:hideMark/>
          </w:tcPr>
          <w:p w14:paraId="0EB9705F" w14:textId="6AAEEBDD" w:rsidR="009A356E" w:rsidRPr="00C10545" w:rsidRDefault="009A356E" w:rsidP="009A356E">
            <w:pPr>
              <w:rPr>
                <w:sz w:val="18"/>
                <w:szCs w:val="18"/>
                <w:lang w:eastAsia="en-AU"/>
              </w:rPr>
            </w:pPr>
            <w:r w:rsidRPr="00C10545">
              <w:rPr>
                <w:sz w:val="18"/>
                <w:szCs w:val="18"/>
                <w:lang w:eastAsia="en-AU"/>
              </w:rPr>
              <w:t xml:space="preserve"> 74.7 </w:t>
            </w:r>
          </w:p>
        </w:tc>
        <w:tc>
          <w:tcPr>
            <w:tcW w:w="632" w:type="pct"/>
            <w:tcBorders>
              <w:top w:val="nil"/>
              <w:left w:val="nil"/>
              <w:bottom w:val="single" w:sz="4" w:space="0" w:color="auto"/>
              <w:right w:val="single" w:sz="4" w:space="0" w:color="auto"/>
            </w:tcBorders>
            <w:shd w:val="clear" w:color="auto" w:fill="auto"/>
            <w:noWrap/>
            <w:vAlign w:val="bottom"/>
            <w:hideMark/>
          </w:tcPr>
          <w:p w14:paraId="7B18B471" w14:textId="67493028" w:rsidR="009A356E" w:rsidRPr="00C10545" w:rsidRDefault="009A356E" w:rsidP="009A356E">
            <w:pPr>
              <w:rPr>
                <w:sz w:val="18"/>
                <w:szCs w:val="18"/>
                <w:lang w:eastAsia="en-AU"/>
              </w:rPr>
            </w:pPr>
            <w:r w:rsidRPr="00C10545">
              <w:rPr>
                <w:sz w:val="18"/>
                <w:szCs w:val="18"/>
                <w:lang w:eastAsia="en-AU"/>
              </w:rPr>
              <w:t xml:space="preserve"> 71.8 </w:t>
            </w:r>
          </w:p>
        </w:tc>
        <w:tc>
          <w:tcPr>
            <w:tcW w:w="632" w:type="pct"/>
            <w:tcBorders>
              <w:top w:val="nil"/>
              <w:left w:val="nil"/>
              <w:bottom w:val="single" w:sz="4" w:space="0" w:color="auto"/>
              <w:right w:val="single" w:sz="4" w:space="0" w:color="auto"/>
            </w:tcBorders>
            <w:shd w:val="clear" w:color="auto" w:fill="auto"/>
            <w:noWrap/>
            <w:vAlign w:val="bottom"/>
            <w:hideMark/>
          </w:tcPr>
          <w:p w14:paraId="7DCF3B46" w14:textId="10AB9984" w:rsidR="009A356E" w:rsidRPr="00C10545" w:rsidRDefault="009A356E" w:rsidP="009A356E">
            <w:pPr>
              <w:rPr>
                <w:sz w:val="18"/>
                <w:szCs w:val="18"/>
                <w:lang w:eastAsia="en-AU"/>
              </w:rPr>
            </w:pPr>
            <w:r w:rsidRPr="00C10545">
              <w:rPr>
                <w:sz w:val="18"/>
                <w:szCs w:val="18"/>
                <w:lang w:eastAsia="en-AU"/>
              </w:rPr>
              <w:t xml:space="preserve"> 63.9 </w:t>
            </w:r>
          </w:p>
        </w:tc>
        <w:tc>
          <w:tcPr>
            <w:tcW w:w="629" w:type="pct"/>
            <w:tcBorders>
              <w:top w:val="nil"/>
              <w:left w:val="nil"/>
              <w:bottom w:val="single" w:sz="4" w:space="0" w:color="auto"/>
              <w:right w:val="single" w:sz="4" w:space="0" w:color="auto"/>
            </w:tcBorders>
            <w:shd w:val="clear" w:color="auto" w:fill="auto"/>
            <w:noWrap/>
            <w:vAlign w:val="bottom"/>
            <w:hideMark/>
          </w:tcPr>
          <w:p w14:paraId="1221DFBF" w14:textId="231B920C" w:rsidR="009A356E" w:rsidRPr="00C10545" w:rsidRDefault="009A356E" w:rsidP="009A356E">
            <w:pPr>
              <w:rPr>
                <w:sz w:val="18"/>
                <w:szCs w:val="18"/>
                <w:lang w:eastAsia="en-AU"/>
              </w:rPr>
            </w:pPr>
            <w:r w:rsidRPr="00C10545">
              <w:rPr>
                <w:sz w:val="18"/>
                <w:szCs w:val="18"/>
                <w:lang w:eastAsia="en-AU"/>
              </w:rPr>
              <w:t xml:space="preserve"> 61.2 </w:t>
            </w:r>
          </w:p>
        </w:tc>
      </w:tr>
      <w:tr w:rsidR="009A356E" w:rsidRPr="00F23FF7" w14:paraId="645493CD" w14:textId="77777777" w:rsidTr="009A356E">
        <w:trPr>
          <w:trHeight w:val="240"/>
        </w:trPr>
        <w:tc>
          <w:tcPr>
            <w:tcW w:w="1211" w:type="pct"/>
            <w:tcBorders>
              <w:top w:val="nil"/>
              <w:left w:val="single" w:sz="4" w:space="0" w:color="auto"/>
              <w:bottom w:val="single" w:sz="4" w:space="0" w:color="auto"/>
              <w:right w:val="single" w:sz="4" w:space="0" w:color="auto"/>
            </w:tcBorders>
            <w:shd w:val="clear" w:color="000000" w:fill="000000"/>
            <w:noWrap/>
            <w:vAlign w:val="bottom"/>
            <w:hideMark/>
          </w:tcPr>
          <w:p w14:paraId="3DBCACBF" w14:textId="77777777" w:rsidR="009A356E" w:rsidRPr="00C10545" w:rsidRDefault="009A356E" w:rsidP="009A356E">
            <w:pPr>
              <w:rPr>
                <w:sz w:val="18"/>
                <w:szCs w:val="18"/>
                <w:lang w:eastAsia="en-AU"/>
              </w:rPr>
            </w:pPr>
            <w:r w:rsidRPr="00C10545">
              <w:rPr>
                <w:sz w:val="18"/>
                <w:szCs w:val="18"/>
                <w:lang w:eastAsia="en-AU"/>
              </w:rPr>
              <w:t> </w:t>
            </w:r>
          </w:p>
        </w:tc>
        <w:tc>
          <w:tcPr>
            <w:tcW w:w="632" w:type="pct"/>
            <w:tcBorders>
              <w:top w:val="nil"/>
              <w:left w:val="nil"/>
              <w:bottom w:val="single" w:sz="4" w:space="0" w:color="auto"/>
              <w:right w:val="single" w:sz="4" w:space="0" w:color="auto"/>
            </w:tcBorders>
            <w:shd w:val="clear" w:color="000000" w:fill="000000"/>
            <w:noWrap/>
            <w:vAlign w:val="bottom"/>
            <w:hideMark/>
          </w:tcPr>
          <w:p w14:paraId="0A3BF1C8" w14:textId="77777777" w:rsidR="009A356E" w:rsidRPr="00C10545" w:rsidRDefault="009A356E" w:rsidP="009A356E">
            <w:pPr>
              <w:rPr>
                <w:sz w:val="18"/>
                <w:szCs w:val="18"/>
                <w:lang w:eastAsia="en-AU"/>
              </w:rPr>
            </w:pPr>
            <w:r w:rsidRPr="00C10545">
              <w:rPr>
                <w:sz w:val="18"/>
                <w:szCs w:val="18"/>
                <w:lang w:eastAsia="en-AU"/>
              </w:rPr>
              <w:t> </w:t>
            </w:r>
          </w:p>
        </w:tc>
        <w:tc>
          <w:tcPr>
            <w:tcW w:w="632" w:type="pct"/>
            <w:tcBorders>
              <w:top w:val="nil"/>
              <w:left w:val="nil"/>
              <w:bottom w:val="single" w:sz="4" w:space="0" w:color="auto"/>
              <w:right w:val="single" w:sz="4" w:space="0" w:color="auto"/>
            </w:tcBorders>
            <w:shd w:val="clear" w:color="000000" w:fill="000000"/>
            <w:noWrap/>
            <w:vAlign w:val="bottom"/>
            <w:hideMark/>
          </w:tcPr>
          <w:p w14:paraId="38B749B1" w14:textId="77777777" w:rsidR="009A356E" w:rsidRPr="00C10545" w:rsidRDefault="009A356E" w:rsidP="009A356E">
            <w:pPr>
              <w:rPr>
                <w:sz w:val="18"/>
                <w:szCs w:val="18"/>
                <w:lang w:eastAsia="en-AU"/>
              </w:rPr>
            </w:pPr>
            <w:r w:rsidRPr="00C10545">
              <w:rPr>
                <w:sz w:val="18"/>
                <w:szCs w:val="18"/>
                <w:lang w:eastAsia="en-AU"/>
              </w:rPr>
              <w:t> </w:t>
            </w:r>
          </w:p>
        </w:tc>
        <w:tc>
          <w:tcPr>
            <w:tcW w:w="632" w:type="pct"/>
            <w:tcBorders>
              <w:top w:val="nil"/>
              <w:left w:val="nil"/>
              <w:bottom w:val="single" w:sz="4" w:space="0" w:color="auto"/>
              <w:right w:val="single" w:sz="4" w:space="0" w:color="auto"/>
            </w:tcBorders>
            <w:shd w:val="clear" w:color="000000" w:fill="000000"/>
            <w:noWrap/>
            <w:vAlign w:val="bottom"/>
            <w:hideMark/>
          </w:tcPr>
          <w:p w14:paraId="6A92E271" w14:textId="77777777" w:rsidR="009A356E" w:rsidRPr="00C10545" w:rsidRDefault="009A356E" w:rsidP="009A356E">
            <w:pPr>
              <w:rPr>
                <w:sz w:val="18"/>
                <w:szCs w:val="18"/>
                <w:lang w:eastAsia="en-AU"/>
              </w:rPr>
            </w:pPr>
            <w:r w:rsidRPr="00C10545">
              <w:rPr>
                <w:sz w:val="18"/>
                <w:szCs w:val="18"/>
                <w:lang w:eastAsia="en-AU"/>
              </w:rPr>
              <w:t> </w:t>
            </w:r>
          </w:p>
        </w:tc>
        <w:tc>
          <w:tcPr>
            <w:tcW w:w="632" w:type="pct"/>
            <w:tcBorders>
              <w:top w:val="nil"/>
              <w:left w:val="nil"/>
              <w:bottom w:val="single" w:sz="4" w:space="0" w:color="auto"/>
              <w:right w:val="single" w:sz="4" w:space="0" w:color="auto"/>
            </w:tcBorders>
            <w:shd w:val="clear" w:color="000000" w:fill="000000"/>
            <w:noWrap/>
            <w:vAlign w:val="bottom"/>
            <w:hideMark/>
          </w:tcPr>
          <w:p w14:paraId="2005EC68" w14:textId="77777777" w:rsidR="009A356E" w:rsidRPr="00C10545" w:rsidRDefault="009A356E" w:rsidP="009A356E">
            <w:pPr>
              <w:rPr>
                <w:sz w:val="18"/>
                <w:szCs w:val="18"/>
                <w:lang w:eastAsia="en-AU"/>
              </w:rPr>
            </w:pPr>
            <w:r w:rsidRPr="00C10545">
              <w:rPr>
                <w:sz w:val="18"/>
                <w:szCs w:val="18"/>
                <w:lang w:eastAsia="en-AU"/>
              </w:rPr>
              <w:t> </w:t>
            </w:r>
          </w:p>
        </w:tc>
        <w:tc>
          <w:tcPr>
            <w:tcW w:w="632" w:type="pct"/>
            <w:tcBorders>
              <w:top w:val="nil"/>
              <w:left w:val="nil"/>
              <w:bottom w:val="single" w:sz="4" w:space="0" w:color="auto"/>
              <w:right w:val="single" w:sz="4" w:space="0" w:color="auto"/>
            </w:tcBorders>
            <w:shd w:val="clear" w:color="000000" w:fill="000000"/>
            <w:noWrap/>
            <w:vAlign w:val="bottom"/>
            <w:hideMark/>
          </w:tcPr>
          <w:p w14:paraId="1E4B2614" w14:textId="77777777" w:rsidR="009A356E" w:rsidRPr="00C10545" w:rsidRDefault="009A356E" w:rsidP="009A356E">
            <w:pPr>
              <w:rPr>
                <w:sz w:val="18"/>
                <w:szCs w:val="18"/>
                <w:lang w:eastAsia="en-AU"/>
              </w:rPr>
            </w:pPr>
            <w:r w:rsidRPr="00C10545">
              <w:rPr>
                <w:sz w:val="18"/>
                <w:szCs w:val="18"/>
                <w:lang w:eastAsia="en-AU"/>
              </w:rPr>
              <w:t> </w:t>
            </w:r>
          </w:p>
        </w:tc>
        <w:tc>
          <w:tcPr>
            <w:tcW w:w="629" w:type="pct"/>
            <w:tcBorders>
              <w:top w:val="nil"/>
              <w:left w:val="nil"/>
              <w:bottom w:val="single" w:sz="4" w:space="0" w:color="auto"/>
              <w:right w:val="single" w:sz="4" w:space="0" w:color="auto"/>
            </w:tcBorders>
            <w:shd w:val="clear" w:color="000000" w:fill="000000"/>
            <w:noWrap/>
            <w:vAlign w:val="bottom"/>
            <w:hideMark/>
          </w:tcPr>
          <w:p w14:paraId="44008E01" w14:textId="77777777" w:rsidR="009A356E" w:rsidRPr="00C10545" w:rsidRDefault="009A356E" w:rsidP="009A356E">
            <w:pPr>
              <w:rPr>
                <w:sz w:val="18"/>
                <w:szCs w:val="18"/>
                <w:lang w:eastAsia="en-AU"/>
              </w:rPr>
            </w:pPr>
            <w:r w:rsidRPr="00C10545">
              <w:rPr>
                <w:sz w:val="18"/>
                <w:szCs w:val="18"/>
                <w:lang w:eastAsia="en-AU"/>
              </w:rPr>
              <w:t> </w:t>
            </w:r>
          </w:p>
        </w:tc>
      </w:tr>
      <w:tr w:rsidR="009A356E" w:rsidRPr="00F23FF7" w14:paraId="347EC421" w14:textId="77777777" w:rsidTr="009A356E">
        <w:trPr>
          <w:trHeight w:val="240"/>
        </w:trPr>
        <w:tc>
          <w:tcPr>
            <w:tcW w:w="1211" w:type="pct"/>
            <w:tcBorders>
              <w:top w:val="nil"/>
              <w:left w:val="single" w:sz="4" w:space="0" w:color="auto"/>
              <w:bottom w:val="single" w:sz="4" w:space="0" w:color="auto"/>
              <w:right w:val="single" w:sz="4" w:space="0" w:color="auto"/>
            </w:tcBorders>
            <w:shd w:val="clear" w:color="000000" w:fill="000000"/>
            <w:noWrap/>
            <w:vAlign w:val="bottom"/>
            <w:hideMark/>
          </w:tcPr>
          <w:p w14:paraId="1BB71EB4" w14:textId="77777777" w:rsidR="009A356E" w:rsidRPr="00C10545" w:rsidRDefault="009A356E" w:rsidP="009A356E">
            <w:pPr>
              <w:rPr>
                <w:sz w:val="18"/>
                <w:szCs w:val="18"/>
                <w:lang w:eastAsia="en-AU"/>
              </w:rPr>
            </w:pPr>
            <w:r w:rsidRPr="00C10545">
              <w:rPr>
                <w:sz w:val="18"/>
                <w:szCs w:val="18"/>
                <w:lang w:eastAsia="en-AU"/>
              </w:rPr>
              <w:t> </w:t>
            </w:r>
          </w:p>
        </w:tc>
        <w:tc>
          <w:tcPr>
            <w:tcW w:w="3789" w:type="pct"/>
            <w:gridSpan w:val="6"/>
            <w:tcBorders>
              <w:top w:val="single" w:sz="4" w:space="0" w:color="auto"/>
              <w:left w:val="nil"/>
              <w:bottom w:val="single" w:sz="4" w:space="0" w:color="auto"/>
              <w:right w:val="single" w:sz="4" w:space="0" w:color="auto"/>
            </w:tcBorders>
            <w:shd w:val="clear" w:color="auto" w:fill="auto"/>
            <w:noWrap/>
            <w:vAlign w:val="bottom"/>
            <w:hideMark/>
          </w:tcPr>
          <w:p w14:paraId="5B21A333" w14:textId="77777777" w:rsidR="009A356E" w:rsidRPr="00C10545" w:rsidRDefault="009A356E" w:rsidP="009A356E">
            <w:pPr>
              <w:jc w:val="center"/>
              <w:rPr>
                <w:b/>
                <w:bCs/>
                <w:sz w:val="18"/>
                <w:szCs w:val="18"/>
                <w:lang w:eastAsia="en-AU"/>
              </w:rPr>
            </w:pPr>
            <w:r w:rsidRPr="00C10545">
              <w:rPr>
                <w:b/>
                <w:bCs/>
                <w:sz w:val="18"/>
                <w:szCs w:val="18"/>
                <w:lang w:eastAsia="en-AU"/>
              </w:rPr>
              <w:t>Discounted by AWE</w:t>
            </w:r>
          </w:p>
        </w:tc>
      </w:tr>
      <w:tr w:rsidR="009A356E" w:rsidRPr="00F23FF7" w14:paraId="09ECFAB8" w14:textId="77777777" w:rsidTr="009A356E">
        <w:trPr>
          <w:trHeight w:val="240"/>
        </w:trPr>
        <w:tc>
          <w:tcPr>
            <w:tcW w:w="1211" w:type="pct"/>
            <w:tcBorders>
              <w:top w:val="nil"/>
              <w:left w:val="single" w:sz="4" w:space="0" w:color="auto"/>
              <w:bottom w:val="single" w:sz="4" w:space="0" w:color="auto"/>
              <w:right w:val="single" w:sz="4" w:space="0" w:color="auto"/>
            </w:tcBorders>
            <w:shd w:val="clear" w:color="000000" w:fill="FDE9D9"/>
            <w:noWrap/>
            <w:vAlign w:val="bottom"/>
            <w:hideMark/>
          </w:tcPr>
          <w:p w14:paraId="7E36EF57" w14:textId="77777777" w:rsidR="009A356E" w:rsidRPr="00C10545" w:rsidRDefault="009A356E" w:rsidP="009A356E">
            <w:pPr>
              <w:rPr>
                <w:b/>
                <w:bCs/>
                <w:sz w:val="18"/>
                <w:szCs w:val="18"/>
                <w:lang w:eastAsia="en-AU"/>
              </w:rPr>
            </w:pPr>
            <w:r w:rsidRPr="00C10545">
              <w:rPr>
                <w:b/>
                <w:bCs/>
                <w:sz w:val="18"/>
                <w:szCs w:val="18"/>
                <w:lang w:eastAsia="en-AU"/>
              </w:rPr>
              <w:t>Small Shires</w:t>
            </w:r>
          </w:p>
        </w:tc>
        <w:tc>
          <w:tcPr>
            <w:tcW w:w="632" w:type="pct"/>
            <w:tcBorders>
              <w:top w:val="nil"/>
              <w:left w:val="nil"/>
              <w:bottom w:val="single" w:sz="4" w:space="0" w:color="auto"/>
              <w:right w:val="single" w:sz="4" w:space="0" w:color="auto"/>
            </w:tcBorders>
            <w:shd w:val="clear" w:color="000000" w:fill="000000"/>
            <w:noWrap/>
            <w:vAlign w:val="bottom"/>
            <w:hideMark/>
          </w:tcPr>
          <w:p w14:paraId="1C88D624" w14:textId="77777777" w:rsidR="009A356E" w:rsidRPr="00C10545" w:rsidRDefault="009A356E" w:rsidP="009A356E">
            <w:pPr>
              <w:rPr>
                <w:sz w:val="18"/>
                <w:szCs w:val="18"/>
                <w:lang w:eastAsia="en-AU"/>
              </w:rPr>
            </w:pPr>
            <w:r w:rsidRPr="00C10545">
              <w:rPr>
                <w:sz w:val="18"/>
                <w:szCs w:val="18"/>
                <w:lang w:eastAsia="en-AU"/>
              </w:rPr>
              <w:t> </w:t>
            </w:r>
          </w:p>
        </w:tc>
        <w:tc>
          <w:tcPr>
            <w:tcW w:w="632" w:type="pct"/>
            <w:tcBorders>
              <w:top w:val="nil"/>
              <w:left w:val="nil"/>
              <w:bottom w:val="single" w:sz="4" w:space="0" w:color="auto"/>
              <w:right w:val="single" w:sz="4" w:space="0" w:color="auto"/>
            </w:tcBorders>
            <w:shd w:val="clear" w:color="000000" w:fill="000000"/>
            <w:noWrap/>
            <w:vAlign w:val="bottom"/>
            <w:hideMark/>
          </w:tcPr>
          <w:p w14:paraId="488BEE62" w14:textId="77777777" w:rsidR="009A356E" w:rsidRPr="00C10545" w:rsidRDefault="009A356E" w:rsidP="009A356E">
            <w:pPr>
              <w:rPr>
                <w:sz w:val="18"/>
                <w:szCs w:val="18"/>
                <w:lang w:eastAsia="en-AU"/>
              </w:rPr>
            </w:pPr>
            <w:r w:rsidRPr="00C10545">
              <w:rPr>
                <w:sz w:val="18"/>
                <w:szCs w:val="18"/>
                <w:lang w:eastAsia="en-AU"/>
              </w:rPr>
              <w:t> </w:t>
            </w:r>
          </w:p>
        </w:tc>
        <w:tc>
          <w:tcPr>
            <w:tcW w:w="632" w:type="pct"/>
            <w:tcBorders>
              <w:top w:val="nil"/>
              <w:left w:val="nil"/>
              <w:bottom w:val="single" w:sz="4" w:space="0" w:color="auto"/>
              <w:right w:val="single" w:sz="4" w:space="0" w:color="auto"/>
            </w:tcBorders>
            <w:shd w:val="clear" w:color="000000" w:fill="000000"/>
            <w:noWrap/>
            <w:vAlign w:val="bottom"/>
            <w:hideMark/>
          </w:tcPr>
          <w:p w14:paraId="3B44EE22" w14:textId="77777777" w:rsidR="009A356E" w:rsidRPr="00C10545" w:rsidRDefault="009A356E" w:rsidP="009A356E">
            <w:pPr>
              <w:rPr>
                <w:sz w:val="18"/>
                <w:szCs w:val="18"/>
                <w:lang w:eastAsia="en-AU"/>
              </w:rPr>
            </w:pPr>
            <w:r w:rsidRPr="00C10545">
              <w:rPr>
                <w:sz w:val="18"/>
                <w:szCs w:val="18"/>
                <w:lang w:eastAsia="en-AU"/>
              </w:rPr>
              <w:t> </w:t>
            </w:r>
          </w:p>
        </w:tc>
        <w:tc>
          <w:tcPr>
            <w:tcW w:w="632" w:type="pct"/>
            <w:tcBorders>
              <w:top w:val="nil"/>
              <w:left w:val="nil"/>
              <w:bottom w:val="single" w:sz="4" w:space="0" w:color="auto"/>
              <w:right w:val="single" w:sz="4" w:space="0" w:color="auto"/>
            </w:tcBorders>
            <w:shd w:val="clear" w:color="000000" w:fill="000000"/>
            <w:noWrap/>
            <w:vAlign w:val="bottom"/>
            <w:hideMark/>
          </w:tcPr>
          <w:p w14:paraId="5E706198" w14:textId="77777777" w:rsidR="009A356E" w:rsidRPr="00C10545" w:rsidRDefault="009A356E" w:rsidP="009A356E">
            <w:pPr>
              <w:rPr>
                <w:sz w:val="18"/>
                <w:szCs w:val="18"/>
                <w:lang w:eastAsia="en-AU"/>
              </w:rPr>
            </w:pPr>
            <w:r w:rsidRPr="00C10545">
              <w:rPr>
                <w:sz w:val="18"/>
                <w:szCs w:val="18"/>
                <w:lang w:eastAsia="en-AU"/>
              </w:rPr>
              <w:t> </w:t>
            </w:r>
          </w:p>
        </w:tc>
        <w:tc>
          <w:tcPr>
            <w:tcW w:w="632" w:type="pct"/>
            <w:tcBorders>
              <w:top w:val="nil"/>
              <w:left w:val="nil"/>
              <w:bottom w:val="single" w:sz="4" w:space="0" w:color="auto"/>
              <w:right w:val="single" w:sz="4" w:space="0" w:color="auto"/>
            </w:tcBorders>
            <w:shd w:val="clear" w:color="000000" w:fill="000000"/>
            <w:noWrap/>
            <w:vAlign w:val="bottom"/>
            <w:hideMark/>
          </w:tcPr>
          <w:p w14:paraId="185CFCDB" w14:textId="77777777" w:rsidR="009A356E" w:rsidRPr="00C10545" w:rsidRDefault="009A356E" w:rsidP="009A356E">
            <w:pPr>
              <w:rPr>
                <w:sz w:val="18"/>
                <w:szCs w:val="18"/>
                <w:lang w:eastAsia="en-AU"/>
              </w:rPr>
            </w:pPr>
            <w:r w:rsidRPr="00C10545">
              <w:rPr>
                <w:sz w:val="18"/>
                <w:szCs w:val="18"/>
                <w:lang w:eastAsia="en-AU"/>
              </w:rPr>
              <w:t> </w:t>
            </w:r>
          </w:p>
        </w:tc>
        <w:tc>
          <w:tcPr>
            <w:tcW w:w="629" w:type="pct"/>
            <w:tcBorders>
              <w:top w:val="nil"/>
              <w:left w:val="nil"/>
              <w:bottom w:val="single" w:sz="4" w:space="0" w:color="auto"/>
              <w:right w:val="single" w:sz="4" w:space="0" w:color="auto"/>
            </w:tcBorders>
            <w:shd w:val="clear" w:color="000000" w:fill="000000"/>
            <w:noWrap/>
            <w:vAlign w:val="bottom"/>
            <w:hideMark/>
          </w:tcPr>
          <w:p w14:paraId="425D21F8" w14:textId="77777777" w:rsidR="009A356E" w:rsidRPr="00C10545" w:rsidRDefault="009A356E" w:rsidP="009A356E">
            <w:pPr>
              <w:rPr>
                <w:sz w:val="18"/>
                <w:szCs w:val="18"/>
                <w:lang w:eastAsia="en-AU"/>
              </w:rPr>
            </w:pPr>
            <w:r w:rsidRPr="00C10545">
              <w:rPr>
                <w:sz w:val="18"/>
                <w:szCs w:val="18"/>
                <w:lang w:eastAsia="en-AU"/>
              </w:rPr>
              <w:t> </w:t>
            </w:r>
          </w:p>
        </w:tc>
      </w:tr>
      <w:tr w:rsidR="009A356E" w:rsidRPr="00F23FF7" w14:paraId="7123CB46" w14:textId="77777777" w:rsidTr="009A356E">
        <w:trPr>
          <w:trHeight w:val="240"/>
        </w:trPr>
        <w:tc>
          <w:tcPr>
            <w:tcW w:w="1211" w:type="pct"/>
            <w:tcBorders>
              <w:top w:val="nil"/>
              <w:left w:val="single" w:sz="4" w:space="0" w:color="auto"/>
              <w:bottom w:val="single" w:sz="4" w:space="0" w:color="auto"/>
              <w:right w:val="single" w:sz="4" w:space="0" w:color="auto"/>
            </w:tcBorders>
            <w:shd w:val="clear" w:color="auto" w:fill="auto"/>
            <w:noWrap/>
            <w:vAlign w:val="bottom"/>
            <w:hideMark/>
          </w:tcPr>
          <w:p w14:paraId="635B0D3A" w14:textId="77777777" w:rsidR="009A356E" w:rsidRPr="00C10545" w:rsidRDefault="009A356E" w:rsidP="009A356E">
            <w:pPr>
              <w:rPr>
                <w:sz w:val="18"/>
                <w:szCs w:val="18"/>
                <w:lang w:eastAsia="en-AU"/>
              </w:rPr>
            </w:pPr>
            <w:r w:rsidRPr="00C10545">
              <w:rPr>
                <w:sz w:val="18"/>
                <w:szCs w:val="18"/>
                <w:lang w:eastAsia="en-AU"/>
              </w:rPr>
              <w:t>Alpine</w:t>
            </w:r>
          </w:p>
        </w:tc>
        <w:tc>
          <w:tcPr>
            <w:tcW w:w="632" w:type="pct"/>
            <w:tcBorders>
              <w:top w:val="nil"/>
              <w:left w:val="nil"/>
              <w:bottom w:val="single" w:sz="4" w:space="0" w:color="auto"/>
              <w:right w:val="single" w:sz="4" w:space="0" w:color="auto"/>
            </w:tcBorders>
            <w:shd w:val="clear" w:color="auto" w:fill="auto"/>
            <w:noWrap/>
            <w:vAlign w:val="bottom"/>
            <w:hideMark/>
          </w:tcPr>
          <w:p w14:paraId="3717669A" w14:textId="012AB205" w:rsidR="009A356E" w:rsidRPr="00C10545" w:rsidRDefault="009A356E" w:rsidP="009A356E">
            <w:pPr>
              <w:rPr>
                <w:sz w:val="18"/>
                <w:szCs w:val="18"/>
                <w:lang w:eastAsia="en-AU"/>
              </w:rPr>
            </w:pPr>
            <w:r w:rsidRPr="00C10545">
              <w:rPr>
                <w:sz w:val="18"/>
                <w:szCs w:val="18"/>
                <w:lang w:eastAsia="en-AU"/>
              </w:rPr>
              <w:t xml:space="preserve"> 116.9 </w:t>
            </w:r>
          </w:p>
        </w:tc>
        <w:tc>
          <w:tcPr>
            <w:tcW w:w="632" w:type="pct"/>
            <w:tcBorders>
              <w:top w:val="nil"/>
              <w:left w:val="nil"/>
              <w:bottom w:val="single" w:sz="4" w:space="0" w:color="auto"/>
              <w:right w:val="single" w:sz="4" w:space="0" w:color="auto"/>
            </w:tcBorders>
            <w:shd w:val="clear" w:color="auto" w:fill="auto"/>
            <w:noWrap/>
            <w:vAlign w:val="bottom"/>
            <w:hideMark/>
          </w:tcPr>
          <w:p w14:paraId="17C7F771" w14:textId="042ADD40" w:rsidR="009A356E" w:rsidRPr="00C10545" w:rsidRDefault="009A356E" w:rsidP="009A356E">
            <w:pPr>
              <w:rPr>
                <w:sz w:val="18"/>
                <w:szCs w:val="18"/>
                <w:lang w:eastAsia="en-AU"/>
              </w:rPr>
            </w:pPr>
            <w:r w:rsidRPr="00C10545">
              <w:rPr>
                <w:sz w:val="18"/>
                <w:szCs w:val="18"/>
                <w:lang w:eastAsia="en-AU"/>
              </w:rPr>
              <w:t xml:space="preserve"> 128.2 </w:t>
            </w:r>
          </w:p>
        </w:tc>
        <w:tc>
          <w:tcPr>
            <w:tcW w:w="632" w:type="pct"/>
            <w:tcBorders>
              <w:top w:val="nil"/>
              <w:left w:val="nil"/>
              <w:bottom w:val="single" w:sz="4" w:space="0" w:color="auto"/>
              <w:right w:val="single" w:sz="4" w:space="0" w:color="auto"/>
            </w:tcBorders>
            <w:shd w:val="clear" w:color="auto" w:fill="auto"/>
            <w:noWrap/>
            <w:vAlign w:val="bottom"/>
            <w:hideMark/>
          </w:tcPr>
          <w:p w14:paraId="6D6C6731" w14:textId="496B8D04" w:rsidR="009A356E" w:rsidRPr="00C10545" w:rsidRDefault="009A356E" w:rsidP="009A356E">
            <w:pPr>
              <w:rPr>
                <w:sz w:val="18"/>
                <w:szCs w:val="18"/>
                <w:lang w:eastAsia="en-AU"/>
              </w:rPr>
            </w:pPr>
            <w:r w:rsidRPr="00C10545">
              <w:rPr>
                <w:sz w:val="18"/>
                <w:szCs w:val="18"/>
                <w:lang w:eastAsia="en-AU"/>
              </w:rPr>
              <w:t xml:space="preserve"> 142.5 </w:t>
            </w:r>
          </w:p>
        </w:tc>
        <w:tc>
          <w:tcPr>
            <w:tcW w:w="632" w:type="pct"/>
            <w:tcBorders>
              <w:top w:val="nil"/>
              <w:left w:val="nil"/>
              <w:bottom w:val="single" w:sz="4" w:space="0" w:color="auto"/>
              <w:right w:val="single" w:sz="4" w:space="0" w:color="auto"/>
            </w:tcBorders>
            <w:shd w:val="clear" w:color="auto" w:fill="auto"/>
            <w:noWrap/>
            <w:vAlign w:val="bottom"/>
            <w:hideMark/>
          </w:tcPr>
          <w:p w14:paraId="72BFA507" w14:textId="76E2A41F" w:rsidR="009A356E" w:rsidRPr="00C10545" w:rsidRDefault="009A356E" w:rsidP="009A356E">
            <w:pPr>
              <w:rPr>
                <w:sz w:val="18"/>
                <w:szCs w:val="18"/>
                <w:lang w:eastAsia="en-AU"/>
              </w:rPr>
            </w:pPr>
            <w:r w:rsidRPr="00C10545">
              <w:rPr>
                <w:sz w:val="18"/>
                <w:szCs w:val="18"/>
                <w:lang w:eastAsia="en-AU"/>
              </w:rPr>
              <w:t xml:space="preserve"> 168.2 </w:t>
            </w:r>
          </w:p>
        </w:tc>
        <w:tc>
          <w:tcPr>
            <w:tcW w:w="632" w:type="pct"/>
            <w:tcBorders>
              <w:top w:val="nil"/>
              <w:left w:val="nil"/>
              <w:bottom w:val="single" w:sz="4" w:space="0" w:color="auto"/>
              <w:right w:val="single" w:sz="4" w:space="0" w:color="auto"/>
            </w:tcBorders>
            <w:shd w:val="clear" w:color="auto" w:fill="auto"/>
            <w:noWrap/>
            <w:vAlign w:val="bottom"/>
            <w:hideMark/>
          </w:tcPr>
          <w:p w14:paraId="3D2B02D7" w14:textId="4FC53D17" w:rsidR="009A356E" w:rsidRPr="00C10545" w:rsidRDefault="009A356E" w:rsidP="009A356E">
            <w:pPr>
              <w:rPr>
                <w:sz w:val="18"/>
                <w:szCs w:val="18"/>
                <w:lang w:eastAsia="en-AU"/>
              </w:rPr>
            </w:pPr>
            <w:r w:rsidRPr="00C10545">
              <w:rPr>
                <w:sz w:val="18"/>
                <w:szCs w:val="18"/>
                <w:lang w:eastAsia="en-AU"/>
              </w:rPr>
              <w:t xml:space="preserve"> 159.6 </w:t>
            </w:r>
          </w:p>
        </w:tc>
        <w:tc>
          <w:tcPr>
            <w:tcW w:w="629" w:type="pct"/>
            <w:tcBorders>
              <w:top w:val="nil"/>
              <w:left w:val="nil"/>
              <w:bottom w:val="single" w:sz="4" w:space="0" w:color="auto"/>
              <w:right w:val="single" w:sz="4" w:space="0" w:color="auto"/>
            </w:tcBorders>
            <w:shd w:val="clear" w:color="auto" w:fill="auto"/>
            <w:noWrap/>
            <w:vAlign w:val="bottom"/>
            <w:hideMark/>
          </w:tcPr>
          <w:p w14:paraId="3618D157" w14:textId="2B75FA14" w:rsidR="009A356E" w:rsidRPr="00C10545" w:rsidRDefault="009A356E" w:rsidP="009A356E">
            <w:pPr>
              <w:rPr>
                <w:sz w:val="18"/>
                <w:szCs w:val="18"/>
                <w:lang w:eastAsia="en-AU"/>
              </w:rPr>
            </w:pPr>
            <w:r w:rsidRPr="00C10545">
              <w:rPr>
                <w:sz w:val="18"/>
                <w:szCs w:val="18"/>
                <w:lang w:eastAsia="en-AU"/>
              </w:rPr>
              <w:t xml:space="preserve"> 151.8 </w:t>
            </w:r>
          </w:p>
        </w:tc>
      </w:tr>
      <w:tr w:rsidR="009A356E" w:rsidRPr="00F23FF7" w14:paraId="7D1DDC38" w14:textId="77777777" w:rsidTr="009A356E">
        <w:trPr>
          <w:trHeight w:val="240"/>
        </w:trPr>
        <w:tc>
          <w:tcPr>
            <w:tcW w:w="1211" w:type="pct"/>
            <w:tcBorders>
              <w:top w:val="nil"/>
              <w:left w:val="single" w:sz="4" w:space="0" w:color="auto"/>
              <w:bottom w:val="single" w:sz="4" w:space="0" w:color="auto"/>
              <w:right w:val="single" w:sz="4" w:space="0" w:color="auto"/>
            </w:tcBorders>
            <w:shd w:val="clear" w:color="auto" w:fill="auto"/>
            <w:noWrap/>
            <w:vAlign w:val="bottom"/>
            <w:hideMark/>
          </w:tcPr>
          <w:p w14:paraId="053A2003" w14:textId="77777777" w:rsidR="009A356E" w:rsidRPr="00C10545" w:rsidRDefault="009A356E" w:rsidP="009A356E">
            <w:pPr>
              <w:rPr>
                <w:sz w:val="18"/>
                <w:szCs w:val="18"/>
                <w:lang w:eastAsia="en-AU"/>
              </w:rPr>
            </w:pPr>
            <w:r w:rsidRPr="00C10545">
              <w:rPr>
                <w:sz w:val="18"/>
                <w:szCs w:val="18"/>
                <w:lang w:eastAsia="en-AU"/>
              </w:rPr>
              <w:t>Bass Coast</w:t>
            </w:r>
          </w:p>
        </w:tc>
        <w:tc>
          <w:tcPr>
            <w:tcW w:w="632" w:type="pct"/>
            <w:tcBorders>
              <w:top w:val="nil"/>
              <w:left w:val="nil"/>
              <w:bottom w:val="single" w:sz="4" w:space="0" w:color="auto"/>
              <w:right w:val="single" w:sz="4" w:space="0" w:color="auto"/>
            </w:tcBorders>
            <w:shd w:val="clear" w:color="auto" w:fill="auto"/>
            <w:noWrap/>
            <w:vAlign w:val="bottom"/>
            <w:hideMark/>
          </w:tcPr>
          <w:p w14:paraId="21EAD601" w14:textId="4752CEAA" w:rsidR="009A356E" w:rsidRPr="00C10545" w:rsidRDefault="009A356E" w:rsidP="009A356E">
            <w:pPr>
              <w:rPr>
                <w:sz w:val="18"/>
                <w:szCs w:val="18"/>
                <w:lang w:eastAsia="en-AU"/>
              </w:rPr>
            </w:pPr>
            <w:r w:rsidRPr="00C10545">
              <w:rPr>
                <w:sz w:val="18"/>
                <w:szCs w:val="18"/>
                <w:lang w:eastAsia="en-AU"/>
              </w:rPr>
              <w:t xml:space="preserve"> 116.6 </w:t>
            </w:r>
          </w:p>
        </w:tc>
        <w:tc>
          <w:tcPr>
            <w:tcW w:w="632" w:type="pct"/>
            <w:tcBorders>
              <w:top w:val="nil"/>
              <w:left w:val="nil"/>
              <w:bottom w:val="single" w:sz="4" w:space="0" w:color="auto"/>
              <w:right w:val="single" w:sz="4" w:space="0" w:color="auto"/>
            </w:tcBorders>
            <w:shd w:val="clear" w:color="auto" w:fill="auto"/>
            <w:noWrap/>
            <w:vAlign w:val="bottom"/>
            <w:hideMark/>
          </w:tcPr>
          <w:p w14:paraId="49209FB5" w14:textId="6CF286C2" w:rsidR="009A356E" w:rsidRPr="00C10545" w:rsidRDefault="009A356E" w:rsidP="009A356E">
            <w:pPr>
              <w:rPr>
                <w:sz w:val="18"/>
                <w:szCs w:val="18"/>
                <w:lang w:eastAsia="en-AU"/>
              </w:rPr>
            </w:pPr>
            <w:r w:rsidRPr="00C10545">
              <w:rPr>
                <w:sz w:val="18"/>
                <w:szCs w:val="18"/>
                <w:lang w:eastAsia="en-AU"/>
              </w:rPr>
              <w:t xml:space="preserve"> 113.1 </w:t>
            </w:r>
          </w:p>
        </w:tc>
        <w:tc>
          <w:tcPr>
            <w:tcW w:w="632" w:type="pct"/>
            <w:tcBorders>
              <w:top w:val="nil"/>
              <w:left w:val="nil"/>
              <w:bottom w:val="single" w:sz="4" w:space="0" w:color="auto"/>
              <w:right w:val="single" w:sz="4" w:space="0" w:color="auto"/>
            </w:tcBorders>
            <w:shd w:val="clear" w:color="auto" w:fill="auto"/>
            <w:noWrap/>
            <w:vAlign w:val="bottom"/>
            <w:hideMark/>
          </w:tcPr>
          <w:p w14:paraId="039BB734" w14:textId="7653DDF2" w:rsidR="009A356E" w:rsidRPr="00C10545" w:rsidRDefault="009A356E" w:rsidP="009A356E">
            <w:pPr>
              <w:rPr>
                <w:sz w:val="18"/>
                <w:szCs w:val="18"/>
                <w:lang w:eastAsia="en-AU"/>
              </w:rPr>
            </w:pPr>
            <w:r w:rsidRPr="00C10545">
              <w:rPr>
                <w:sz w:val="18"/>
                <w:szCs w:val="18"/>
                <w:lang w:eastAsia="en-AU"/>
              </w:rPr>
              <w:t xml:space="preserve"> 103.4 </w:t>
            </w:r>
          </w:p>
        </w:tc>
        <w:tc>
          <w:tcPr>
            <w:tcW w:w="632" w:type="pct"/>
            <w:tcBorders>
              <w:top w:val="nil"/>
              <w:left w:val="nil"/>
              <w:bottom w:val="single" w:sz="4" w:space="0" w:color="auto"/>
              <w:right w:val="single" w:sz="4" w:space="0" w:color="auto"/>
            </w:tcBorders>
            <w:shd w:val="clear" w:color="auto" w:fill="auto"/>
            <w:noWrap/>
            <w:vAlign w:val="bottom"/>
            <w:hideMark/>
          </w:tcPr>
          <w:p w14:paraId="07CFEE35" w14:textId="35C29337" w:rsidR="009A356E" w:rsidRPr="00C10545" w:rsidRDefault="009A356E" w:rsidP="009A356E">
            <w:pPr>
              <w:rPr>
                <w:sz w:val="18"/>
                <w:szCs w:val="18"/>
                <w:lang w:eastAsia="en-AU"/>
              </w:rPr>
            </w:pPr>
            <w:r w:rsidRPr="00C10545">
              <w:rPr>
                <w:sz w:val="18"/>
                <w:szCs w:val="18"/>
                <w:lang w:eastAsia="en-AU"/>
              </w:rPr>
              <w:t xml:space="preserve"> 104.6 </w:t>
            </w:r>
          </w:p>
        </w:tc>
        <w:tc>
          <w:tcPr>
            <w:tcW w:w="632" w:type="pct"/>
            <w:tcBorders>
              <w:top w:val="nil"/>
              <w:left w:val="nil"/>
              <w:bottom w:val="single" w:sz="4" w:space="0" w:color="auto"/>
              <w:right w:val="single" w:sz="4" w:space="0" w:color="auto"/>
            </w:tcBorders>
            <w:shd w:val="clear" w:color="auto" w:fill="auto"/>
            <w:noWrap/>
            <w:vAlign w:val="bottom"/>
            <w:hideMark/>
          </w:tcPr>
          <w:p w14:paraId="4EF21017" w14:textId="07FB0425" w:rsidR="009A356E" w:rsidRPr="00C10545" w:rsidRDefault="009A356E" w:rsidP="009A356E">
            <w:pPr>
              <w:rPr>
                <w:sz w:val="18"/>
                <w:szCs w:val="18"/>
                <w:lang w:eastAsia="en-AU"/>
              </w:rPr>
            </w:pPr>
            <w:r w:rsidRPr="00C10545">
              <w:rPr>
                <w:sz w:val="18"/>
                <w:szCs w:val="18"/>
                <w:lang w:eastAsia="en-AU"/>
              </w:rPr>
              <w:t xml:space="preserve"> 94.6 </w:t>
            </w:r>
          </w:p>
        </w:tc>
        <w:tc>
          <w:tcPr>
            <w:tcW w:w="629" w:type="pct"/>
            <w:tcBorders>
              <w:top w:val="nil"/>
              <w:left w:val="nil"/>
              <w:bottom w:val="single" w:sz="4" w:space="0" w:color="auto"/>
              <w:right w:val="single" w:sz="4" w:space="0" w:color="auto"/>
            </w:tcBorders>
            <w:shd w:val="clear" w:color="auto" w:fill="auto"/>
            <w:noWrap/>
            <w:vAlign w:val="bottom"/>
            <w:hideMark/>
          </w:tcPr>
          <w:p w14:paraId="37601BF8" w14:textId="67DE9450" w:rsidR="009A356E" w:rsidRPr="00C10545" w:rsidRDefault="009A356E" w:rsidP="009A356E">
            <w:pPr>
              <w:rPr>
                <w:sz w:val="18"/>
                <w:szCs w:val="18"/>
                <w:lang w:eastAsia="en-AU"/>
              </w:rPr>
            </w:pPr>
            <w:r w:rsidRPr="00C10545">
              <w:rPr>
                <w:sz w:val="18"/>
                <w:szCs w:val="18"/>
                <w:lang w:eastAsia="en-AU"/>
              </w:rPr>
              <w:t xml:space="preserve"> 88.8 </w:t>
            </w:r>
          </w:p>
        </w:tc>
      </w:tr>
      <w:tr w:rsidR="009A356E" w:rsidRPr="00F23FF7" w14:paraId="2342A692" w14:textId="77777777" w:rsidTr="009A356E">
        <w:trPr>
          <w:trHeight w:val="240"/>
        </w:trPr>
        <w:tc>
          <w:tcPr>
            <w:tcW w:w="1211" w:type="pct"/>
            <w:tcBorders>
              <w:top w:val="nil"/>
              <w:left w:val="single" w:sz="4" w:space="0" w:color="auto"/>
              <w:bottom w:val="single" w:sz="4" w:space="0" w:color="auto"/>
              <w:right w:val="single" w:sz="4" w:space="0" w:color="auto"/>
            </w:tcBorders>
            <w:shd w:val="clear" w:color="auto" w:fill="auto"/>
            <w:noWrap/>
            <w:vAlign w:val="bottom"/>
            <w:hideMark/>
          </w:tcPr>
          <w:p w14:paraId="7D965C75" w14:textId="77777777" w:rsidR="009A356E" w:rsidRPr="00C10545" w:rsidRDefault="009A356E" w:rsidP="009A356E">
            <w:pPr>
              <w:rPr>
                <w:sz w:val="18"/>
                <w:szCs w:val="18"/>
                <w:lang w:eastAsia="en-AU"/>
              </w:rPr>
            </w:pPr>
            <w:proofErr w:type="spellStart"/>
            <w:r w:rsidRPr="00C10545">
              <w:rPr>
                <w:sz w:val="18"/>
                <w:szCs w:val="18"/>
                <w:lang w:eastAsia="en-AU"/>
              </w:rPr>
              <w:t>Buloke</w:t>
            </w:r>
            <w:proofErr w:type="spellEnd"/>
          </w:p>
        </w:tc>
        <w:tc>
          <w:tcPr>
            <w:tcW w:w="632" w:type="pct"/>
            <w:tcBorders>
              <w:top w:val="nil"/>
              <w:left w:val="nil"/>
              <w:bottom w:val="single" w:sz="4" w:space="0" w:color="auto"/>
              <w:right w:val="single" w:sz="4" w:space="0" w:color="auto"/>
            </w:tcBorders>
            <w:shd w:val="clear" w:color="auto" w:fill="auto"/>
            <w:noWrap/>
            <w:vAlign w:val="bottom"/>
            <w:hideMark/>
          </w:tcPr>
          <w:p w14:paraId="0C65E7F9" w14:textId="18C27A22" w:rsidR="009A356E" w:rsidRPr="00C10545" w:rsidRDefault="009A356E" w:rsidP="009A356E">
            <w:pPr>
              <w:rPr>
                <w:sz w:val="18"/>
                <w:szCs w:val="18"/>
                <w:lang w:eastAsia="en-AU"/>
              </w:rPr>
            </w:pPr>
            <w:r w:rsidRPr="00C10545">
              <w:rPr>
                <w:sz w:val="18"/>
                <w:szCs w:val="18"/>
                <w:lang w:eastAsia="en-AU"/>
              </w:rPr>
              <w:t xml:space="preserve"> 372.1 </w:t>
            </w:r>
          </w:p>
        </w:tc>
        <w:tc>
          <w:tcPr>
            <w:tcW w:w="632" w:type="pct"/>
            <w:tcBorders>
              <w:top w:val="nil"/>
              <w:left w:val="nil"/>
              <w:bottom w:val="single" w:sz="4" w:space="0" w:color="auto"/>
              <w:right w:val="single" w:sz="4" w:space="0" w:color="auto"/>
            </w:tcBorders>
            <w:shd w:val="clear" w:color="auto" w:fill="auto"/>
            <w:noWrap/>
            <w:vAlign w:val="bottom"/>
            <w:hideMark/>
          </w:tcPr>
          <w:p w14:paraId="3C80EB7D" w14:textId="6D7F6826" w:rsidR="009A356E" w:rsidRPr="00C10545" w:rsidRDefault="009A356E" w:rsidP="009A356E">
            <w:pPr>
              <w:rPr>
                <w:sz w:val="18"/>
                <w:szCs w:val="18"/>
                <w:lang w:eastAsia="en-AU"/>
              </w:rPr>
            </w:pPr>
            <w:r w:rsidRPr="00C10545">
              <w:rPr>
                <w:sz w:val="18"/>
                <w:szCs w:val="18"/>
                <w:lang w:eastAsia="en-AU"/>
              </w:rPr>
              <w:t xml:space="preserve"> 371.9 </w:t>
            </w:r>
          </w:p>
        </w:tc>
        <w:tc>
          <w:tcPr>
            <w:tcW w:w="632" w:type="pct"/>
            <w:tcBorders>
              <w:top w:val="nil"/>
              <w:left w:val="nil"/>
              <w:bottom w:val="single" w:sz="4" w:space="0" w:color="auto"/>
              <w:right w:val="single" w:sz="4" w:space="0" w:color="auto"/>
            </w:tcBorders>
            <w:shd w:val="clear" w:color="auto" w:fill="auto"/>
            <w:noWrap/>
            <w:vAlign w:val="bottom"/>
            <w:hideMark/>
          </w:tcPr>
          <w:p w14:paraId="38D6DE72" w14:textId="65287099" w:rsidR="009A356E" w:rsidRPr="00C10545" w:rsidRDefault="009A356E" w:rsidP="009A356E">
            <w:pPr>
              <w:rPr>
                <w:sz w:val="18"/>
                <w:szCs w:val="18"/>
                <w:lang w:eastAsia="en-AU"/>
              </w:rPr>
            </w:pPr>
            <w:r w:rsidRPr="00C10545">
              <w:rPr>
                <w:sz w:val="18"/>
                <w:szCs w:val="18"/>
                <w:lang w:eastAsia="en-AU"/>
              </w:rPr>
              <w:t xml:space="preserve"> 329.1 </w:t>
            </w:r>
          </w:p>
        </w:tc>
        <w:tc>
          <w:tcPr>
            <w:tcW w:w="632" w:type="pct"/>
            <w:tcBorders>
              <w:top w:val="nil"/>
              <w:left w:val="nil"/>
              <w:bottom w:val="single" w:sz="4" w:space="0" w:color="auto"/>
              <w:right w:val="single" w:sz="4" w:space="0" w:color="auto"/>
            </w:tcBorders>
            <w:shd w:val="clear" w:color="auto" w:fill="auto"/>
            <w:noWrap/>
            <w:vAlign w:val="bottom"/>
            <w:hideMark/>
          </w:tcPr>
          <w:p w14:paraId="2620928F" w14:textId="61E72CB1" w:rsidR="009A356E" w:rsidRPr="00C10545" w:rsidRDefault="009A356E" w:rsidP="009A356E">
            <w:pPr>
              <w:rPr>
                <w:sz w:val="18"/>
                <w:szCs w:val="18"/>
                <w:lang w:eastAsia="en-AU"/>
              </w:rPr>
            </w:pPr>
            <w:r w:rsidRPr="00C10545">
              <w:rPr>
                <w:sz w:val="18"/>
                <w:szCs w:val="18"/>
                <w:lang w:eastAsia="en-AU"/>
              </w:rPr>
              <w:t xml:space="preserve"> 448.5 </w:t>
            </w:r>
          </w:p>
        </w:tc>
        <w:tc>
          <w:tcPr>
            <w:tcW w:w="632" w:type="pct"/>
            <w:tcBorders>
              <w:top w:val="nil"/>
              <w:left w:val="nil"/>
              <w:bottom w:val="single" w:sz="4" w:space="0" w:color="auto"/>
              <w:right w:val="single" w:sz="4" w:space="0" w:color="auto"/>
            </w:tcBorders>
            <w:shd w:val="clear" w:color="auto" w:fill="auto"/>
            <w:noWrap/>
            <w:vAlign w:val="bottom"/>
            <w:hideMark/>
          </w:tcPr>
          <w:p w14:paraId="4AA334F1" w14:textId="43CB84A7" w:rsidR="009A356E" w:rsidRPr="00C10545" w:rsidRDefault="009A356E" w:rsidP="009A356E">
            <w:pPr>
              <w:rPr>
                <w:sz w:val="18"/>
                <w:szCs w:val="18"/>
                <w:lang w:eastAsia="en-AU"/>
              </w:rPr>
            </w:pPr>
            <w:r w:rsidRPr="00C10545">
              <w:rPr>
                <w:sz w:val="18"/>
                <w:szCs w:val="18"/>
                <w:lang w:eastAsia="en-AU"/>
              </w:rPr>
              <w:t xml:space="preserve"> 493.2 </w:t>
            </w:r>
          </w:p>
        </w:tc>
        <w:tc>
          <w:tcPr>
            <w:tcW w:w="629" w:type="pct"/>
            <w:tcBorders>
              <w:top w:val="nil"/>
              <w:left w:val="nil"/>
              <w:bottom w:val="single" w:sz="4" w:space="0" w:color="auto"/>
              <w:right w:val="single" w:sz="4" w:space="0" w:color="auto"/>
            </w:tcBorders>
            <w:shd w:val="clear" w:color="auto" w:fill="auto"/>
            <w:noWrap/>
            <w:vAlign w:val="bottom"/>
            <w:hideMark/>
          </w:tcPr>
          <w:p w14:paraId="7232D5D8" w14:textId="353EAFBE" w:rsidR="009A356E" w:rsidRPr="00C10545" w:rsidRDefault="009A356E" w:rsidP="009A356E">
            <w:pPr>
              <w:rPr>
                <w:sz w:val="18"/>
                <w:szCs w:val="18"/>
                <w:lang w:eastAsia="en-AU"/>
              </w:rPr>
            </w:pPr>
            <w:r w:rsidRPr="00C10545">
              <w:rPr>
                <w:sz w:val="18"/>
                <w:szCs w:val="18"/>
                <w:lang w:eastAsia="en-AU"/>
              </w:rPr>
              <w:t xml:space="preserve"> 497.5 </w:t>
            </w:r>
          </w:p>
        </w:tc>
      </w:tr>
      <w:tr w:rsidR="009A356E" w:rsidRPr="00F23FF7" w14:paraId="01F9B967" w14:textId="77777777" w:rsidTr="009A356E">
        <w:trPr>
          <w:trHeight w:val="240"/>
        </w:trPr>
        <w:tc>
          <w:tcPr>
            <w:tcW w:w="1211" w:type="pct"/>
            <w:tcBorders>
              <w:top w:val="nil"/>
              <w:left w:val="single" w:sz="4" w:space="0" w:color="auto"/>
              <w:bottom w:val="single" w:sz="4" w:space="0" w:color="auto"/>
              <w:right w:val="single" w:sz="4" w:space="0" w:color="auto"/>
            </w:tcBorders>
            <w:shd w:val="clear" w:color="auto" w:fill="auto"/>
            <w:noWrap/>
            <w:vAlign w:val="bottom"/>
            <w:hideMark/>
          </w:tcPr>
          <w:p w14:paraId="4EFD067B" w14:textId="77777777" w:rsidR="009A356E" w:rsidRPr="00C10545" w:rsidRDefault="009A356E" w:rsidP="009A356E">
            <w:pPr>
              <w:rPr>
                <w:sz w:val="18"/>
                <w:szCs w:val="18"/>
                <w:lang w:eastAsia="en-AU"/>
              </w:rPr>
            </w:pPr>
            <w:r w:rsidRPr="00C10545">
              <w:rPr>
                <w:sz w:val="18"/>
                <w:szCs w:val="18"/>
                <w:lang w:eastAsia="en-AU"/>
              </w:rPr>
              <w:t>Golden Plains</w:t>
            </w:r>
          </w:p>
        </w:tc>
        <w:tc>
          <w:tcPr>
            <w:tcW w:w="632" w:type="pct"/>
            <w:tcBorders>
              <w:top w:val="nil"/>
              <w:left w:val="nil"/>
              <w:bottom w:val="single" w:sz="4" w:space="0" w:color="auto"/>
              <w:right w:val="single" w:sz="4" w:space="0" w:color="auto"/>
            </w:tcBorders>
            <w:shd w:val="clear" w:color="auto" w:fill="auto"/>
            <w:noWrap/>
            <w:vAlign w:val="bottom"/>
            <w:hideMark/>
          </w:tcPr>
          <w:p w14:paraId="5BEE758C" w14:textId="64A258D7" w:rsidR="009A356E" w:rsidRPr="00C10545" w:rsidRDefault="009A356E" w:rsidP="009A356E">
            <w:pPr>
              <w:rPr>
                <w:sz w:val="18"/>
                <w:szCs w:val="18"/>
                <w:lang w:eastAsia="en-AU"/>
              </w:rPr>
            </w:pPr>
            <w:r w:rsidRPr="00C10545">
              <w:rPr>
                <w:sz w:val="18"/>
                <w:szCs w:val="18"/>
                <w:lang w:eastAsia="en-AU"/>
              </w:rPr>
              <w:t xml:space="preserve"> 156.4 </w:t>
            </w:r>
          </w:p>
        </w:tc>
        <w:tc>
          <w:tcPr>
            <w:tcW w:w="632" w:type="pct"/>
            <w:tcBorders>
              <w:top w:val="nil"/>
              <w:left w:val="nil"/>
              <w:bottom w:val="single" w:sz="4" w:space="0" w:color="auto"/>
              <w:right w:val="single" w:sz="4" w:space="0" w:color="auto"/>
            </w:tcBorders>
            <w:shd w:val="clear" w:color="auto" w:fill="auto"/>
            <w:noWrap/>
            <w:vAlign w:val="bottom"/>
            <w:hideMark/>
          </w:tcPr>
          <w:p w14:paraId="66206608" w14:textId="78B3F075" w:rsidR="009A356E" w:rsidRPr="00C10545" w:rsidRDefault="009A356E" w:rsidP="009A356E">
            <w:pPr>
              <w:rPr>
                <w:sz w:val="18"/>
                <w:szCs w:val="18"/>
                <w:lang w:eastAsia="en-AU"/>
              </w:rPr>
            </w:pPr>
            <w:r w:rsidRPr="00C10545">
              <w:rPr>
                <w:sz w:val="18"/>
                <w:szCs w:val="18"/>
                <w:lang w:eastAsia="en-AU"/>
              </w:rPr>
              <w:t xml:space="preserve"> 162.2 </w:t>
            </w:r>
          </w:p>
        </w:tc>
        <w:tc>
          <w:tcPr>
            <w:tcW w:w="632" w:type="pct"/>
            <w:tcBorders>
              <w:top w:val="nil"/>
              <w:left w:val="nil"/>
              <w:bottom w:val="single" w:sz="4" w:space="0" w:color="auto"/>
              <w:right w:val="single" w:sz="4" w:space="0" w:color="auto"/>
            </w:tcBorders>
            <w:shd w:val="clear" w:color="auto" w:fill="auto"/>
            <w:noWrap/>
            <w:vAlign w:val="bottom"/>
            <w:hideMark/>
          </w:tcPr>
          <w:p w14:paraId="03F72983" w14:textId="33B5E801" w:rsidR="009A356E" w:rsidRPr="00C10545" w:rsidRDefault="009A356E" w:rsidP="009A356E">
            <w:pPr>
              <w:rPr>
                <w:sz w:val="18"/>
                <w:szCs w:val="18"/>
                <w:lang w:eastAsia="en-AU"/>
              </w:rPr>
            </w:pPr>
            <w:r w:rsidRPr="00C10545">
              <w:rPr>
                <w:sz w:val="18"/>
                <w:szCs w:val="18"/>
                <w:lang w:eastAsia="en-AU"/>
              </w:rPr>
              <w:t xml:space="preserve"> 165.3 </w:t>
            </w:r>
          </w:p>
        </w:tc>
        <w:tc>
          <w:tcPr>
            <w:tcW w:w="632" w:type="pct"/>
            <w:tcBorders>
              <w:top w:val="nil"/>
              <w:left w:val="nil"/>
              <w:bottom w:val="single" w:sz="4" w:space="0" w:color="auto"/>
              <w:right w:val="single" w:sz="4" w:space="0" w:color="auto"/>
            </w:tcBorders>
            <w:shd w:val="clear" w:color="auto" w:fill="auto"/>
            <w:noWrap/>
            <w:vAlign w:val="bottom"/>
            <w:hideMark/>
          </w:tcPr>
          <w:p w14:paraId="3C002995" w14:textId="7C12AD09" w:rsidR="009A356E" w:rsidRPr="00C10545" w:rsidRDefault="009A356E" w:rsidP="009A356E">
            <w:pPr>
              <w:rPr>
                <w:sz w:val="18"/>
                <w:szCs w:val="18"/>
                <w:lang w:eastAsia="en-AU"/>
              </w:rPr>
            </w:pPr>
            <w:r w:rsidRPr="00C10545">
              <w:rPr>
                <w:sz w:val="18"/>
                <w:szCs w:val="18"/>
                <w:lang w:eastAsia="en-AU"/>
              </w:rPr>
              <w:t xml:space="preserve"> 152.9 </w:t>
            </w:r>
          </w:p>
        </w:tc>
        <w:tc>
          <w:tcPr>
            <w:tcW w:w="632" w:type="pct"/>
            <w:tcBorders>
              <w:top w:val="nil"/>
              <w:left w:val="nil"/>
              <w:bottom w:val="single" w:sz="4" w:space="0" w:color="auto"/>
              <w:right w:val="single" w:sz="4" w:space="0" w:color="auto"/>
            </w:tcBorders>
            <w:shd w:val="clear" w:color="auto" w:fill="auto"/>
            <w:noWrap/>
            <w:vAlign w:val="bottom"/>
            <w:hideMark/>
          </w:tcPr>
          <w:p w14:paraId="6D480C4C" w14:textId="2B9D93B0" w:rsidR="009A356E" w:rsidRPr="00C10545" w:rsidRDefault="009A356E" w:rsidP="009A356E">
            <w:pPr>
              <w:rPr>
                <w:sz w:val="18"/>
                <w:szCs w:val="18"/>
                <w:lang w:eastAsia="en-AU"/>
              </w:rPr>
            </w:pPr>
            <w:r w:rsidRPr="00C10545">
              <w:rPr>
                <w:sz w:val="18"/>
                <w:szCs w:val="18"/>
                <w:lang w:eastAsia="en-AU"/>
              </w:rPr>
              <w:t xml:space="preserve"> 136.1 </w:t>
            </w:r>
          </w:p>
        </w:tc>
        <w:tc>
          <w:tcPr>
            <w:tcW w:w="629" w:type="pct"/>
            <w:tcBorders>
              <w:top w:val="nil"/>
              <w:left w:val="nil"/>
              <w:bottom w:val="single" w:sz="4" w:space="0" w:color="auto"/>
              <w:right w:val="single" w:sz="4" w:space="0" w:color="auto"/>
            </w:tcBorders>
            <w:shd w:val="clear" w:color="auto" w:fill="auto"/>
            <w:noWrap/>
            <w:vAlign w:val="bottom"/>
            <w:hideMark/>
          </w:tcPr>
          <w:p w14:paraId="000CB148" w14:textId="6680C0C6" w:rsidR="009A356E" w:rsidRPr="00C10545" w:rsidRDefault="009A356E" w:rsidP="009A356E">
            <w:pPr>
              <w:rPr>
                <w:sz w:val="18"/>
                <w:szCs w:val="18"/>
                <w:lang w:eastAsia="en-AU"/>
              </w:rPr>
            </w:pPr>
            <w:r w:rsidRPr="00C10545">
              <w:rPr>
                <w:sz w:val="18"/>
                <w:szCs w:val="18"/>
                <w:lang w:eastAsia="en-AU"/>
              </w:rPr>
              <w:t xml:space="preserve"> 127.8 </w:t>
            </w:r>
          </w:p>
        </w:tc>
      </w:tr>
      <w:tr w:rsidR="009A356E" w:rsidRPr="00F23FF7" w14:paraId="6963AA4D" w14:textId="77777777" w:rsidTr="009A356E">
        <w:trPr>
          <w:trHeight w:val="240"/>
        </w:trPr>
        <w:tc>
          <w:tcPr>
            <w:tcW w:w="1211" w:type="pct"/>
            <w:tcBorders>
              <w:top w:val="nil"/>
              <w:left w:val="single" w:sz="4" w:space="0" w:color="auto"/>
              <w:bottom w:val="single" w:sz="4" w:space="0" w:color="auto"/>
              <w:right w:val="single" w:sz="4" w:space="0" w:color="auto"/>
            </w:tcBorders>
            <w:shd w:val="clear" w:color="auto" w:fill="auto"/>
            <w:noWrap/>
            <w:vAlign w:val="bottom"/>
            <w:hideMark/>
          </w:tcPr>
          <w:p w14:paraId="644A5845" w14:textId="77777777" w:rsidR="009A356E" w:rsidRPr="00C10545" w:rsidRDefault="009A356E" w:rsidP="009A356E">
            <w:pPr>
              <w:rPr>
                <w:sz w:val="18"/>
                <w:szCs w:val="18"/>
                <w:lang w:eastAsia="en-AU"/>
              </w:rPr>
            </w:pPr>
            <w:r w:rsidRPr="00C10545">
              <w:rPr>
                <w:sz w:val="18"/>
                <w:szCs w:val="18"/>
                <w:lang w:eastAsia="en-AU"/>
              </w:rPr>
              <w:t>Indigo</w:t>
            </w:r>
          </w:p>
        </w:tc>
        <w:tc>
          <w:tcPr>
            <w:tcW w:w="632" w:type="pct"/>
            <w:tcBorders>
              <w:top w:val="nil"/>
              <w:left w:val="nil"/>
              <w:bottom w:val="single" w:sz="4" w:space="0" w:color="auto"/>
              <w:right w:val="single" w:sz="4" w:space="0" w:color="auto"/>
            </w:tcBorders>
            <w:shd w:val="clear" w:color="auto" w:fill="auto"/>
            <w:noWrap/>
            <w:vAlign w:val="bottom"/>
            <w:hideMark/>
          </w:tcPr>
          <w:p w14:paraId="13292AE0" w14:textId="17C21F58" w:rsidR="009A356E" w:rsidRPr="00C10545" w:rsidRDefault="009A356E" w:rsidP="009A356E">
            <w:pPr>
              <w:rPr>
                <w:sz w:val="18"/>
                <w:szCs w:val="18"/>
                <w:lang w:eastAsia="en-AU"/>
              </w:rPr>
            </w:pPr>
            <w:r w:rsidRPr="00C10545">
              <w:rPr>
                <w:sz w:val="18"/>
                <w:szCs w:val="18"/>
                <w:lang w:eastAsia="en-AU"/>
              </w:rPr>
              <w:t xml:space="preserve"> 132.9 </w:t>
            </w:r>
          </w:p>
        </w:tc>
        <w:tc>
          <w:tcPr>
            <w:tcW w:w="632" w:type="pct"/>
            <w:tcBorders>
              <w:top w:val="nil"/>
              <w:left w:val="nil"/>
              <w:bottom w:val="single" w:sz="4" w:space="0" w:color="auto"/>
              <w:right w:val="single" w:sz="4" w:space="0" w:color="auto"/>
            </w:tcBorders>
            <w:shd w:val="clear" w:color="auto" w:fill="auto"/>
            <w:noWrap/>
            <w:vAlign w:val="bottom"/>
            <w:hideMark/>
          </w:tcPr>
          <w:p w14:paraId="2D5E928B" w14:textId="34D5D194" w:rsidR="009A356E" w:rsidRPr="00C10545" w:rsidRDefault="009A356E" w:rsidP="009A356E">
            <w:pPr>
              <w:rPr>
                <w:sz w:val="18"/>
                <w:szCs w:val="18"/>
                <w:lang w:eastAsia="en-AU"/>
              </w:rPr>
            </w:pPr>
            <w:r w:rsidRPr="00C10545">
              <w:rPr>
                <w:sz w:val="18"/>
                <w:szCs w:val="18"/>
                <w:lang w:eastAsia="en-AU"/>
              </w:rPr>
              <w:t xml:space="preserve"> 145.5 </w:t>
            </w:r>
          </w:p>
        </w:tc>
        <w:tc>
          <w:tcPr>
            <w:tcW w:w="632" w:type="pct"/>
            <w:tcBorders>
              <w:top w:val="nil"/>
              <w:left w:val="nil"/>
              <w:bottom w:val="single" w:sz="4" w:space="0" w:color="auto"/>
              <w:right w:val="single" w:sz="4" w:space="0" w:color="auto"/>
            </w:tcBorders>
            <w:shd w:val="clear" w:color="auto" w:fill="auto"/>
            <w:noWrap/>
            <w:vAlign w:val="bottom"/>
            <w:hideMark/>
          </w:tcPr>
          <w:p w14:paraId="202896B2" w14:textId="09C65E7D" w:rsidR="009A356E" w:rsidRPr="00C10545" w:rsidRDefault="009A356E" w:rsidP="009A356E">
            <w:pPr>
              <w:rPr>
                <w:sz w:val="18"/>
                <w:szCs w:val="18"/>
                <w:lang w:eastAsia="en-AU"/>
              </w:rPr>
            </w:pPr>
            <w:r w:rsidRPr="00C10545">
              <w:rPr>
                <w:sz w:val="18"/>
                <w:szCs w:val="18"/>
                <w:lang w:eastAsia="en-AU"/>
              </w:rPr>
              <w:t xml:space="preserve"> 141.9 </w:t>
            </w:r>
          </w:p>
        </w:tc>
        <w:tc>
          <w:tcPr>
            <w:tcW w:w="632" w:type="pct"/>
            <w:tcBorders>
              <w:top w:val="nil"/>
              <w:left w:val="nil"/>
              <w:bottom w:val="single" w:sz="4" w:space="0" w:color="auto"/>
              <w:right w:val="single" w:sz="4" w:space="0" w:color="auto"/>
            </w:tcBorders>
            <w:shd w:val="clear" w:color="auto" w:fill="auto"/>
            <w:noWrap/>
            <w:vAlign w:val="bottom"/>
            <w:hideMark/>
          </w:tcPr>
          <w:p w14:paraId="5029E6FB" w14:textId="4ED0C8FE" w:rsidR="009A356E" w:rsidRPr="00C10545" w:rsidRDefault="009A356E" w:rsidP="009A356E">
            <w:pPr>
              <w:rPr>
                <w:sz w:val="18"/>
                <w:szCs w:val="18"/>
                <w:lang w:eastAsia="en-AU"/>
              </w:rPr>
            </w:pPr>
            <w:r w:rsidRPr="00C10545">
              <w:rPr>
                <w:sz w:val="18"/>
                <w:szCs w:val="18"/>
                <w:lang w:eastAsia="en-AU"/>
              </w:rPr>
              <w:t xml:space="preserve"> 161.1 </w:t>
            </w:r>
          </w:p>
        </w:tc>
        <w:tc>
          <w:tcPr>
            <w:tcW w:w="632" w:type="pct"/>
            <w:tcBorders>
              <w:top w:val="nil"/>
              <w:left w:val="nil"/>
              <w:bottom w:val="single" w:sz="4" w:space="0" w:color="auto"/>
              <w:right w:val="single" w:sz="4" w:space="0" w:color="auto"/>
            </w:tcBorders>
            <w:shd w:val="clear" w:color="auto" w:fill="auto"/>
            <w:noWrap/>
            <w:vAlign w:val="bottom"/>
            <w:hideMark/>
          </w:tcPr>
          <w:p w14:paraId="728F0D7D" w14:textId="60624F2E" w:rsidR="009A356E" w:rsidRPr="00C10545" w:rsidRDefault="009A356E" w:rsidP="009A356E">
            <w:pPr>
              <w:rPr>
                <w:sz w:val="18"/>
                <w:szCs w:val="18"/>
                <w:lang w:eastAsia="en-AU"/>
              </w:rPr>
            </w:pPr>
            <w:r w:rsidRPr="00C10545">
              <w:rPr>
                <w:sz w:val="18"/>
                <w:szCs w:val="18"/>
                <w:lang w:eastAsia="en-AU"/>
              </w:rPr>
              <w:t xml:space="preserve"> 155.1 </w:t>
            </w:r>
          </w:p>
        </w:tc>
        <w:tc>
          <w:tcPr>
            <w:tcW w:w="629" w:type="pct"/>
            <w:tcBorders>
              <w:top w:val="nil"/>
              <w:left w:val="nil"/>
              <w:bottom w:val="single" w:sz="4" w:space="0" w:color="auto"/>
              <w:right w:val="single" w:sz="4" w:space="0" w:color="auto"/>
            </w:tcBorders>
            <w:shd w:val="clear" w:color="auto" w:fill="auto"/>
            <w:noWrap/>
            <w:vAlign w:val="bottom"/>
            <w:hideMark/>
          </w:tcPr>
          <w:p w14:paraId="75055A3C" w14:textId="38387D67" w:rsidR="009A356E" w:rsidRPr="00C10545" w:rsidRDefault="009A356E" w:rsidP="009A356E">
            <w:pPr>
              <w:rPr>
                <w:sz w:val="18"/>
                <w:szCs w:val="18"/>
                <w:lang w:eastAsia="en-AU"/>
              </w:rPr>
            </w:pPr>
            <w:r w:rsidRPr="00C10545">
              <w:rPr>
                <w:sz w:val="18"/>
                <w:szCs w:val="18"/>
                <w:lang w:eastAsia="en-AU"/>
              </w:rPr>
              <w:t xml:space="preserve"> 146.1 </w:t>
            </w:r>
          </w:p>
        </w:tc>
      </w:tr>
      <w:tr w:rsidR="009A356E" w:rsidRPr="00F23FF7" w14:paraId="11B7E8B7" w14:textId="77777777" w:rsidTr="009A356E">
        <w:trPr>
          <w:trHeight w:val="240"/>
        </w:trPr>
        <w:tc>
          <w:tcPr>
            <w:tcW w:w="1211" w:type="pct"/>
            <w:tcBorders>
              <w:top w:val="nil"/>
              <w:left w:val="single" w:sz="4" w:space="0" w:color="auto"/>
              <w:bottom w:val="single" w:sz="4" w:space="0" w:color="auto"/>
              <w:right w:val="single" w:sz="4" w:space="0" w:color="auto"/>
            </w:tcBorders>
            <w:shd w:val="clear" w:color="auto" w:fill="auto"/>
            <w:noWrap/>
            <w:vAlign w:val="bottom"/>
            <w:hideMark/>
          </w:tcPr>
          <w:p w14:paraId="2F894B94" w14:textId="77777777" w:rsidR="009A356E" w:rsidRPr="00C10545" w:rsidRDefault="009A356E" w:rsidP="009A356E">
            <w:pPr>
              <w:rPr>
                <w:sz w:val="18"/>
                <w:szCs w:val="18"/>
                <w:lang w:eastAsia="en-AU"/>
              </w:rPr>
            </w:pPr>
            <w:r w:rsidRPr="00C10545">
              <w:rPr>
                <w:sz w:val="18"/>
                <w:szCs w:val="18"/>
                <w:lang w:eastAsia="en-AU"/>
              </w:rPr>
              <w:t>Loddon</w:t>
            </w:r>
          </w:p>
        </w:tc>
        <w:tc>
          <w:tcPr>
            <w:tcW w:w="632" w:type="pct"/>
            <w:tcBorders>
              <w:top w:val="nil"/>
              <w:left w:val="nil"/>
              <w:bottom w:val="single" w:sz="4" w:space="0" w:color="auto"/>
              <w:right w:val="single" w:sz="4" w:space="0" w:color="auto"/>
            </w:tcBorders>
            <w:shd w:val="clear" w:color="auto" w:fill="auto"/>
            <w:noWrap/>
            <w:vAlign w:val="bottom"/>
            <w:hideMark/>
          </w:tcPr>
          <w:p w14:paraId="41252D0E" w14:textId="25CB1F21" w:rsidR="009A356E" w:rsidRPr="00C10545" w:rsidRDefault="009A356E" w:rsidP="009A356E">
            <w:pPr>
              <w:rPr>
                <w:sz w:val="18"/>
                <w:szCs w:val="18"/>
                <w:lang w:eastAsia="en-AU"/>
              </w:rPr>
            </w:pPr>
            <w:r w:rsidRPr="00C10545">
              <w:rPr>
                <w:sz w:val="18"/>
                <w:szCs w:val="18"/>
                <w:lang w:eastAsia="en-AU"/>
              </w:rPr>
              <w:t xml:space="preserve"> 358.9 </w:t>
            </w:r>
          </w:p>
        </w:tc>
        <w:tc>
          <w:tcPr>
            <w:tcW w:w="632" w:type="pct"/>
            <w:tcBorders>
              <w:top w:val="nil"/>
              <w:left w:val="nil"/>
              <w:bottom w:val="single" w:sz="4" w:space="0" w:color="auto"/>
              <w:right w:val="single" w:sz="4" w:space="0" w:color="auto"/>
            </w:tcBorders>
            <w:shd w:val="clear" w:color="auto" w:fill="auto"/>
            <w:noWrap/>
            <w:vAlign w:val="bottom"/>
            <w:hideMark/>
          </w:tcPr>
          <w:p w14:paraId="4A3E4615" w14:textId="590848D6" w:rsidR="009A356E" w:rsidRPr="00C10545" w:rsidRDefault="009A356E" w:rsidP="009A356E">
            <w:pPr>
              <w:rPr>
                <w:sz w:val="18"/>
                <w:szCs w:val="18"/>
                <w:lang w:eastAsia="en-AU"/>
              </w:rPr>
            </w:pPr>
            <w:r w:rsidRPr="00C10545">
              <w:rPr>
                <w:sz w:val="18"/>
                <w:szCs w:val="18"/>
                <w:lang w:eastAsia="en-AU"/>
              </w:rPr>
              <w:t xml:space="preserve"> 358.4 </w:t>
            </w:r>
          </w:p>
        </w:tc>
        <w:tc>
          <w:tcPr>
            <w:tcW w:w="632" w:type="pct"/>
            <w:tcBorders>
              <w:top w:val="nil"/>
              <w:left w:val="nil"/>
              <w:bottom w:val="single" w:sz="4" w:space="0" w:color="auto"/>
              <w:right w:val="single" w:sz="4" w:space="0" w:color="auto"/>
            </w:tcBorders>
            <w:shd w:val="clear" w:color="auto" w:fill="auto"/>
            <w:noWrap/>
            <w:vAlign w:val="bottom"/>
            <w:hideMark/>
          </w:tcPr>
          <w:p w14:paraId="52135EDB" w14:textId="2BBD858D" w:rsidR="009A356E" w:rsidRPr="00C10545" w:rsidRDefault="009A356E" w:rsidP="009A356E">
            <w:pPr>
              <w:rPr>
                <w:sz w:val="18"/>
                <w:szCs w:val="18"/>
                <w:lang w:eastAsia="en-AU"/>
              </w:rPr>
            </w:pPr>
            <w:r w:rsidRPr="00C10545">
              <w:rPr>
                <w:sz w:val="18"/>
                <w:szCs w:val="18"/>
                <w:lang w:eastAsia="en-AU"/>
              </w:rPr>
              <w:t xml:space="preserve"> 403.8 </w:t>
            </w:r>
          </w:p>
        </w:tc>
        <w:tc>
          <w:tcPr>
            <w:tcW w:w="632" w:type="pct"/>
            <w:tcBorders>
              <w:top w:val="nil"/>
              <w:left w:val="nil"/>
              <w:bottom w:val="single" w:sz="4" w:space="0" w:color="auto"/>
              <w:right w:val="single" w:sz="4" w:space="0" w:color="auto"/>
            </w:tcBorders>
            <w:shd w:val="clear" w:color="auto" w:fill="auto"/>
            <w:noWrap/>
            <w:vAlign w:val="bottom"/>
            <w:hideMark/>
          </w:tcPr>
          <w:p w14:paraId="4C2ADF7C" w14:textId="6F747D8D" w:rsidR="009A356E" w:rsidRPr="00C10545" w:rsidRDefault="009A356E" w:rsidP="009A356E">
            <w:pPr>
              <w:rPr>
                <w:sz w:val="18"/>
                <w:szCs w:val="18"/>
                <w:lang w:eastAsia="en-AU"/>
              </w:rPr>
            </w:pPr>
            <w:r w:rsidRPr="00C10545">
              <w:rPr>
                <w:sz w:val="18"/>
                <w:szCs w:val="18"/>
                <w:lang w:eastAsia="en-AU"/>
              </w:rPr>
              <w:t xml:space="preserve"> 533.1 </w:t>
            </w:r>
          </w:p>
        </w:tc>
        <w:tc>
          <w:tcPr>
            <w:tcW w:w="632" w:type="pct"/>
            <w:tcBorders>
              <w:top w:val="nil"/>
              <w:left w:val="nil"/>
              <w:bottom w:val="single" w:sz="4" w:space="0" w:color="auto"/>
              <w:right w:val="single" w:sz="4" w:space="0" w:color="auto"/>
            </w:tcBorders>
            <w:shd w:val="clear" w:color="auto" w:fill="auto"/>
            <w:noWrap/>
            <w:vAlign w:val="bottom"/>
            <w:hideMark/>
          </w:tcPr>
          <w:p w14:paraId="23CC6F6A" w14:textId="10EDEE63" w:rsidR="009A356E" w:rsidRPr="00C10545" w:rsidRDefault="009A356E" w:rsidP="009A356E">
            <w:pPr>
              <w:rPr>
                <w:sz w:val="18"/>
                <w:szCs w:val="18"/>
                <w:lang w:eastAsia="en-AU"/>
              </w:rPr>
            </w:pPr>
            <w:r w:rsidRPr="00C10545">
              <w:rPr>
                <w:sz w:val="18"/>
                <w:szCs w:val="18"/>
                <w:lang w:eastAsia="en-AU"/>
              </w:rPr>
              <w:t xml:space="preserve"> 572.6 </w:t>
            </w:r>
          </w:p>
        </w:tc>
        <w:tc>
          <w:tcPr>
            <w:tcW w:w="629" w:type="pct"/>
            <w:tcBorders>
              <w:top w:val="nil"/>
              <w:left w:val="nil"/>
              <w:bottom w:val="single" w:sz="4" w:space="0" w:color="auto"/>
              <w:right w:val="single" w:sz="4" w:space="0" w:color="auto"/>
            </w:tcBorders>
            <w:shd w:val="clear" w:color="auto" w:fill="auto"/>
            <w:noWrap/>
            <w:vAlign w:val="bottom"/>
            <w:hideMark/>
          </w:tcPr>
          <w:p w14:paraId="74DB0767" w14:textId="77A0BBF5" w:rsidR="009A356E" w:rsidRPr="00C10545" w:rsidRDefault="009A356E" w:rsidP="009A356E">
            <w:pPr>
              <w:rPr>
                <w:sz w:val="18"/>
                <w:szCs w:val="18"/>
                <w:lang w:eastAsia="en-AU"/>
              </w:rPr>
            </w:pPr>
            <w:r w:rsidRPr="00C10545">
              <w:rPr>
                <w:sz w:val="18"/>
                <w:szCs w:val="18"/>
                <w:lang w:eastAsia="en-AU"/>
              </w:rPr>
              <w:t xml:space="preserve"> 569.9 </w:t>
            </w:r>
          </w:p>
        </w:tc>
      </w:tr>
      <w:tr w:rsidR="009A356E" w:rsidRPr="00F23FF7" w14:paraId="60087904" w14:textId="77777777" w:rsidTr="009A356E">
        <w:trPr>
          <w:trHeight w:val="240"/>
        </w:trPr>
        <w:tc>
          <w:tcPr>
            <w:tcW w:w="1211" w:type="pct"/>
            <w:tcBorders>
              <w:top w:val="nil"/>
              <w:left w:val="single" w:sz="4" w:space="0" w:color="auto"/>
              <w:bottom w:val="single" w:sz="4" w:space="0" w:color="auto"/>
              <w:right w:val="single" w:sz="4" w:space="0" w:color="auto"/>
            </w:tcBorders>
            <w:shd w:val="clear" w:color="auto" w:fill="auto"/>
            <w:noWrap/>
            <w:vAlign w:val="bottom"/>
            <w:hideMark/>
          </w:tcPr>
          <w:p w14:paraId="57677657" w14:textId="77777777" w:rsidR="009A356E" w:rsidRPr="00C10545" w:rsidRDefault="009A356E" w:rsidP="009A356E">
            <w:pPr>
              <w:rPr>
                <w:sz w:val="18"/>
                <w:szCs w:val="18"/>
                <w:lang w:eastAsia="en-AU"/>
              </w:rPr>
            </w:pPr>
            <w:r w:rsidRPr="00C10545">
              <w:rPr>
                <w:sz w:val="18"/>
                <w:szCs w:val="18"/>
                <w:lang w:eastAsia="en-AU"/>
              </w:rPr>
              <w:t>Northern Grampians</w:t>
            </w:r>
          </w:p>
        </w:tc>
        <w:tc>
          <w:tcPr>
            <w:tcW w:w="632" w:type="pct"/>
            <w:tcBorders>
              <w:top w:val="nil"/>
              <w:left w:val="nil"/>
              <w:bottom w:val="single" w:sz="4" w:space="0" w:color="auto"/>
              <w:right w:val="single" w:sz="4" w:space="0" w:color="auto"/>
            </w:tcBorders>
            <w:shd w:val="clear" w:color="auto" w:fill="auto"/>
            <w:noWrap/>
            <w:vAlign w:val="bottom"/>
            <w:hideMark/>
          </w:tcPr>
          <w:p w14:paraId="3733DAD9" w14:textId="28F00765" w:rsidR="009A356E" w:rsidRPr="00C10545" w:rsidRDefault="009A356E" w:rsidP="009A356E">
            <w:pPr>
              <w:rPr>
                <w:sz w:val="18"/>
                <w:szCs w:val="18"/>
                <w:lang w:eastAsia="en-AU"/>
              </w:rPr>
            </w:pPr>
            <w:r w:rsidRPr="00C10545">
              <w:rPr>
                <w:sz w:val="18"/>
                <w:szCs w:val="18"/>
                <w:lang w:eastAsia="en-AU"/>
              </w:rPr>
              <w:t xml:space="preserve"> 220.1 </w:t>
            </w:r>
          </w:p>
        </w:tc>
        <w:tc>
          <w:tcPr>
            <w:tcW w:w="632" w:type="pct"/>
            <w:tcBorders>
              <w:top w:val="nil"/>
              <w:left w:val="nil"/>
              <w:bottom w:val="single" w:sz="4" w:space="0" w:color="auto"/>
              <w:right w:val="single" w:sz="4" w:space="0" w:color="auto"/>
            </w:tcBorders>
            <w:shd w:val="clear" w:color="auto" w:fill="auto"/>
            <w:noWrap/>
            <w:vAlign w:val="bottom"/>
            <w:hideMark/>
          </w:tcPr>
          <w:p w14:paraId="5B5F783E" w14:textId="3BE76469" w:rsidR="009A356E" w:rsidRPr="00C10545" w:rsidRDefault="009A356E" w:rsidP="009A356E">
            <w:pPr>
              <w:rPr>
                <w:sz w:val="18"/>
                <w:szCs w:val="18"/>
                <w:lang w:eastAsia="en-AU"/>
              </w:rPr>
            </w:pPr>
            <w:r w:rsidRPr="00C10545">
              <w:rPr>
                <w:sz w:val="18"/>
                <w:szCs w:val="18"/>
                <w:lang w:eastAsia="en-AU"/>
              </w:rPr>
              <w:t xml:space="preserve"> 227.5 </w:t>
            </w:r>
          </w:p>
        </w:tc>
        <w:tc>
          <w:tcPr>
            <w:tcW w:w="632" w:type="pct"/>
            <w:tcBorders>
              <w:top w:val="nil"/>
              <w:left w:val="nil"/>
              <w:bottom w:val="single" w:sz="4" w:space="0" w:color="auto"/>
              <w:right w:val="single" w:sz="4" w:space="0" w:color="auto"/>
            </w:tcBorders>
            <w:shd w:val="clear" w:color="auto" w:fill="auto"/>
            <w:noWrap/>
            <w:vAlign w:val="bottom"/>
            <w:hideMark/>
          </w:tcPr>
          <w:p w14:paraId="7894D250" w14:textId="55D141B4" w:rsidR="009A356E" w:rsidRPr="00C10545" w:rsidRDefault="009A356E" w:rsidP="009A356E">
            <w:pPr>
              <w:rPr>
                <w:sz w:val="18"/>
                <w:szCs w:val="18"/>
                <w:lang w:eastAsia="en-AU"/>
              </w:rPr>
            </w:pPr>
            <w:r w:rsidRPr="00C10545">
              <w:rPr>
                <w:sz w:val="18"/>
                <w:szCs w:val="18"/>
                <w:lang w:eastAsia="en-AU"/>
              </w:rPr>
              <w:t xml:space="preserve"> 228.5 </w:t>
            </w:r>
          </w:p>
        </w:tc>
        <w:tc>
          <w:tcPr>
            <w:tcW w:w="632" w:type="pct"/>
            <w:tcBorders>
              <w:top w:val="nil"/>
              <w:left w:val="nil"/>
              <w:bottom w:val="single" w:sz="4" w:space="0" w:color="auto"/>
              <w:right w:val="single" w:sz="4" w:space="0" w:color="auto"/>
            </w:tcBorders>
            <w:shd w:val="clear" w:color="auto" w:fill="auto"/>
            <w:noWrap/>
            <w:vAlign w:val="bottom"/>
            <w:hideMark/>
          </w:tcPr>
          <w:p w14:paraId="00554792" w14:textId="6D66DEC3" w:rsidR="009A356E" w:rsidRPr="00C10545" w:rsidRDefault="009A356E" w:rsidP="009A356E">
            <w:pPr>
              <w:rPr>
                <w:sz w:val="18"/>
                <w:szCs w:val="18"/>
                <w:lang w:eastAsia="en-AU"/>
              </w:rPr>
            </w:pPr>
            <w:r w:rsidRPr="00C10545">
              <w:rPr>
                <w:sz w:val="18"/>
                <w:szCs w:val="18"/>
                <w:lang w:eastAsia="en-AU"/>
              </w:rPr>
              <w:t xml:space="preserve"> 291.9 </w:t>
            </w:r>
          </w:p>
        </w:tc>
        <w:tc>
          <w:tcPr>
            <w:tcW w:w="632" w:type="pct"/>
            <w:tcBorders>
              <w:top w:val="nil"/>
              <w:left w:val="nil"/>
              <w:bottom w:val="single" w:sz="4" w:space="0" w:color="auto"/>
              <w:right w:val="single" w:sz="4" w:space="0" w:color="auto"/>
            </w:tcBorders>
            <w:shd w:val="clear" w:color="auto" w:fill="auto"/>
            <w:noWrap/>
            <w:vAlign w:val="bottom"/>
            <w:hideMark/>
          </w:tcPr>
          <w:p w14:paraId="62A74CEE" w14:textId="14AF242E" w:rsidR="009A356E" w:rsidRPr="00C10545" w:rsidRDefault="009A356E" w:rsidP="009A356E">
            <w:pPr>
              <w:rPr>
                <w:sz w:val="18"/>
                <w:szCs w:val="18"/>
                <w:lang w:eastAsia="en-AU"/>
              </w:rPr>
            </w:pPr>
            <w:r w:rsidRPr="00C10545">
              <w:rPr>
                <w:sz w:val="18"/>
                <w:szCs w:val="18"/>
                <w:lang w:eastAsia="en-AU"/>
              </w:rPr>
              <w:t xml:space="preserve"> 305.0 </w:t>
            </w:r>
          </w:p>
        </w:tc>
        <w:tc>
          <w:tcPr>
            <w:tcW w:w="629" w:type="pct"/>
            <w:tcBorders>
              <w:top w:val="nil"/>
              <w:left w:val="nil"/>
              <w:bottom w:val="single" w:sz="4" w:space="0" w:color="auto"/>
              <w:right w:val="single" w:sz="4" w:space="0" w:color="auto"/>
            </w:tcBorders>
            <w:shd w:val="clear" w:color="auto" w:fill="auto"/>
            <w:noWrap/>
            <w:vAlign w:val="bottom"/>
            <w:hideMark/>
          </w:tcPr>
          <w:p w14:paraId="473F3CB3" w14:textId="1B23EDAF" w:rsidR="009A356E" w:rsidRPr="00C10545" w:rsidRDefault="009A356E" w:rsidP="009A356E">
            <w:pPr>
              <w:rPr>
                <w:sz w:val="18"/>
                <w:szCs w:val="18"/>
                <w:lang w:eastAsia="en-AU"/>
              </w:rPr>
            </w:pPr>
            <w:r w:rsidRPr="00C10545">
              <w:rPr>
                <w:sz w:val="18"/>
                <w:szCs w:val="18"/>
                <w:lang w:eastAsia="en-AU"/>
              </w:rPr>
              <w:t xml:space="preserve"> 302.9 </w:t>
            </w:r>
          </w:p>
        </w:tc>
      </w:tr>
      <w:tr w:rsidR="009A356E" w:rsidRPr="00F23FF7" w14:paraId="1141E3A4" w14:textId="77777777" w:rsidTr="009A356E">
        <w:trPr>
          <w:trHeight w:val="240"/>
        </w:trPr>
        <w:tc>
          <w:tcPr>
            <w:tcW w:w="1211" w:type="pct"/>
            <w:tcBorders>
              <w:top w:val="nil"/>
              <w:left w:val="single" w:sz="4" w:space="0" w:color="auto"/>
              <w:bottom w:val="single" w:sz="4" w:space="0" w:color="auto"/>
              <w:right w:val="single" w:sz="4" w:space="0" w:color="auto"/>
            </w:tcBorders>
            <w:shd w:val="clear" w:color="auto" w:fill="auto"/>
            <w:noWrap/>
            <w:vAlign w:val="bottom"/>
            <w:hideMark/>
          </w:tcPr>
          <w:p w14:paraId="40176E10" w14:textId="77777777" w:rsidR="009A356E" w:rsidRPr="00C10545" w:rsidRDefault="009A356E" w:rsidP="009A356E">
            <w:pPr>
              <w:rPr>
                <w:sz w:val="18"/>
                <w:szCs w:val="18"/>
                <w:lang w:eastAsia="en-AU"/>
              </w:rPr>
            </w:pPr>
            <w:proofErr w:type="spellStart"/>
            <w:r w:rsidRPr="00C10545">
              <w:rPr>
                <w:sz w:val="18"/>
                <w:szCs w:val="18"/>
                <w:lang w:eastAsia="en-AU"/>
              </w:rPr>
              <w:t>Yarriambiack</w:t>
            </w:r>
            <w:proofErr w:type="spellEnd"/>
          </w:p>
        </w:tc>
        <w:tc>
          <w:tcPr>
            <w:tcW w:w="632" w:type="pct"/>
            <w:tcBorders>
              <w:top w:val="nil"/>
              <w:left w:val="nil"/>
              <w:bottom w:val="single" w:sz="4" w:space="0" w:color="auto"/>
              <w:right w:val="single" w:sz="4" w:space="0" w:color="auto"/>
            </w:tcBorders>
            <w:shd w:val="clear" w:color="auto" w:fill="auto"/>
            <w:noWrap/>
            <w:vAlign w:val="bottom"/>
            <w:hideMark/>
          </w:tcPr>
          <w:p w14:paraId="5DE62CF5" w14:textId="2EE9741F" w:rsidR="009A356E" w:rsidRPr="00C10545" w:rsidRDefault="009A356E" w:rsidP="009A356E">
            <w:pPr>
              <w:rPr>
                <w:sz w:val="18"/>
                <w:szCs w:val="18"/>
                <w:lang w:eastAsia="en-AU"/>
              </w:rPr>
            </w:pPr>
            <w:r w:rsidRPr="00C10545">
              <w:rPr>
                <w:sz w:val="18"/>
                <w:szCs w:val="18"/>
                <w:lang w:eastAsia="en-AU"/>
              </w:rPr>
              <w:t xml:space="preserve"> 276.6 </w:t>
            </w:r>
          </w:p>
        </w:tc>
        <w:tc>
          <w:tcPr>
            <w:tcW w:w="632" w:type="pct"/>
            <w:tcBorders>
              <w:top w:val="nil"/>
              <w:left w:val="nil"/>
              <w:bottom w:val="single" w:sz="4" w:space="0" w:color="auto"/>
              <w:right w:val="single" w:sz="4" w:space="0" w:color="auto"/>
            </w:tcBorders>
            <w:shd w:val="clear" w:color="auto" w:fill="auto"/>
            <w:noWrap/>
            <w:vAlign w:val="bottom"/>
            <w:hideMark/>
          </w:tcPr>
          <w:p w14:paraId="6257A857" w14:textId="06B1D77B" w:rsidR="009A356E" w:rsidRPr="00C10545" w:rsidRDefault="009A356E" w:rsidP="009A356E">
            <w:pPr>
              <w:rPr>
                <w:sz w:val="18"/>
                <w:szCs w:val="18"/>
                <w:lang w:eastAsia="en-AU"/>
              </w:rPr>
            </w:pPr>
            <w:r w:rsidRPr="00C10545">
              <w:rPr>
                <w:sz w:val="18"/>
                <w:szCs w:val="18"/>
                <w:lang w:eastAsia="en-AU"/>
              </w:rPr>
              <w:t xml:space="preserve"> 277.5 </w:t>
            </w:r>
          </w:p>
        </w:tc>
        <w:tc>
          <w:tcPr>
            <w:tcW w:w="632" w:type="pct"/>
            <w:tcBorders>
              <w:top w:val="nil"/>
              <w:left w:val="nil"/>
              <w:bottom w:val="single" w:sz="4" w:space="0" w:color="auto"/>
              <w:right w:val="single" w:sz="4" w:space="0" w:color="auto"/>
            </w:tcBorders>
            <w:shd w:val="clear" w:color="auto" w:fill="auto"/>
            <w:noWrap/>
            <w:vAlign w:val="bottom"/>
            <w:hideMark/>
          </w:tcPr>
          <w:p w14:paraId="57E1FCAD" w14:textId="6109A8B8" w:rsidR="009A356E" w:rsidRPr="00C10545" w:rsidRDefault="009A356E" w:rsidP="009A356E">
            <w:pPr>
              <w:rPr>
                <w:sz w:val="18"/>
                <w:szCs w:val="18"/>
                <w:lang w:eastAsia="en-AU"/>
              </w:rPr>
            </w:pPr>
            <w:r w:rsidRPr="00C10545">
              <w:rPr>
                <w:sz w:val="18"/>
                <w:szCs w:val="18"/>
                <w:lang w:eastAsia="en-AU"/>
              </w:rPr>
              <w:t xml:space="preserve"> 272.7 </w:t>
            </w:r>
          </w:p>
        </w:tc>
        <w:tc>
          <w:tcPr>
            <w:tcW w:w="632" w:type="pct"/>
            <w:tcBorders>
              <w:top w:val="nil"/>
              <w:left w:val="nil"/>
              <w:bottom w:val="single" w:sz="4" w:space="0" w:color="auto"/>
              <w:right w:val="single" w:sz="4" w:space="0" w:color="auto"/>
            </w:tcBorders>
            <w:shd w:val="clear" w:color="auto" w:fill="auto"/>
            <w:noWrap/>
            <w:vAlign w:val="bottom"/>
            <w:hideMark/>
          </w:tcPr>
          <w:p w14:paraId="13A76858" w14:textId="50090260" w:rsidR="009A356E" w:rsidRPr="00C10545" w:rsidRDefault="009A356E" w:rsidP="009A356E">
            <w:pPr>
              <w:rPr>
                <w:sz w:val="18"/>
                <w:szCs w:val="18"/>
                <w:lang w:eastAsia="en-AU"/>
              </w:rPr>
            </w:pPr>
            <w:r w:rsidRPr="00C10545">
              <w:rPr>
                <w:sz w:val="18"/>
                <w:szCs w:val="18"/>
                <w:lang w:eastAsia="en-AU"/>
              </w:rPr>
              <w:t xml:space="preserve"> 358.9 </w:t>
            </w:r>
          </w:p>
        </w:tc>
        <w:tc>
          <w:tcPr>
            <w:tcW w:w="632" w:type="pct"/>
            <w:tcBorders>
              <w:top w:val="nil"/>
              <w:left w:val="nil"/>
              <w:bottom w:val="single" w:sz="4" w:space="0" w:color="auto"/>
              <w:right w:val="single" w:sz="4" w:space="0" w:color="auto"/>
            </w:tcBorders>
            <w:shd w:val="clear" w:color="auto" w:fill="auto"/>
            <w:noWrap/>
            <w:vAlign w:val="bottom"/>
            <w:hideMark/>
          </w:tcPr>
          <w:p w14:paraId="185AB63D" w14:textId="0993B5E1" w:rsidR="009A356E" w:rsidRPr="00C10545" w:rsidRDefault="009A356E" w:rsidP="009A356E">
            <w:pPr>
              <w:rPr>
                <w:sz w:val="18"/>
                <w:szCs w:val="18"/>
                <w:lang w:eastAsia="en-AU"/>
              </w:rPr>
            </w:pPr>
            <w:r w:rsidRPr="00C10545">
              <w:rPr>
                <w:sz w:val="18"/>
                <w:szCs w:val="18"/>
                <w:lang w:eastAsia="en-AU"/>
              </w:rPr>
              <w:t xml:space="preserve"> 380.5 </w:t>
            </w:r>
          </w:p>
        </w:tc>
        <w:tc>
          <w:tcPr>
            <w:tcW w:w="629" w:type="pct"/>
            <w:tcBorders>
              <w:top w:val="nil"/>
              <w:left w:val="nil"/>
              <w:bottom w:val="single" w:sz="4" w:space="0" w:color="auto"/>
              <w:right w:val="single" w:sz="4" w:space="0" w:color="auto"/>
            </w:tcBorders>
            <w:shd w:val="clear" w:color="auto" w:fill="auto"/>
            <w:noWrap/>
            <w:vAlign w:val="bottom"/>
            <w:hideMark/>
          </w:tcPr>
          <w:p w14:paraId="6B0DF376" w14:textId="58693568" w:rsidR="009A356E" w:rsidRPr="00C10545" w:rsidRDefault="009A356E" w:rsidP="009A356E">
            <w:pPr>
              <w:rPr>
                <w:sz w:val="18"/>
                <w:szCs w:val="18"/>
                <w:lang w:eastAsia="en-AU"/>
              </w:rPr>
            </w:pPr>
            <w:r w:rsidRPr="00C10545">
              <w:rPr>
                <w:sz w:val="18"/>
                <w:szCs w:val="18"/>
                <w:lang w:eastAsia="en-AU"/>
              </w:rPr>
              <w:t xml:space="preserve"> 372.0 </w:t>
            </w:r>
          </w:p>
        </w:tc>
      </w:tr>
      <w:tr w:rsidR="009A356E" w:rsidRPr="00F23FF7" w14:paraId="0C329068" w14:textId="77777777" w:rsidTr="009A356E">
        <w:trPr>
          <w:trHeight w:val="240"/>
        </w:trPr>
        <w:tc>
          <w:tcPr>
            <w:tcW w:w="1211" w:type="pct"/>
            <w:tcBorders>
              <w:top w:val="nil"/>
              <w:left w:val="single" w:sz="4" w:space="0" w:color="auto"/>
              <w:bottom w:val="single" w:sz="4" w:space="0" w:color="auto"/>
              <w:right w:val="single" w:sz="4" w:space="0" w:color="auto"/>
            </w:tcBorders>
            <w:shd w:val="clear" w:color="000000" w:fill="DAEEF3"/>
            <w:noWrap/>
            <w:vAlign w:val="bottom"/>
            <w:hideMark/>
          </w:tcPr>
          <w:p w14:paraId="27C6C21A" w14:textId="77777777" w:rsidR="009A356E" w:rsidRPr="00C10545" w:rsidRDefault="009A356E" w:rsidP="009A356E">
            <w:pPr>
              <w:rPr>
                <w:b/>
                <w:bCs/>
                <w:sz w:val="18"/>
                <w:szCs w:val="18"/>
                <w:lang w:eastAsia="en-AU"/>
              </w:rPr>
            </w:pPr>
            <w:r w:rsidRPr="00C10545">
              <w:rPr>
                <w:b/>
                <w:bCs/>
                <w:sz w:val="18"/>
                <w:szCs w:val="18"/>
                <w:lang w:eastAsia="en-AU"/>
              </w:rPr>
              <w:t>Large Shires</w:t>
            </w:r>
          </w:p>
        </w:tc>
        <w:tc>
          <w:tcPr>
            <w:tcW w:w="632" w:type="pct"/>
            <w:tcBorders>
              <w:top w:val="nil"/>
              <w:left w:val="nil"/>
              <w:bottom w:val="single" w:sz="4" w:space="0" w:color="auto"/>
              <w:right w:val="single" w:sz="4" w:space="0" w:color="auto"/>
            </w:tcBorders>
            <w:shd w:val="clear" w:color="000000" w:fill="000000"/>
            <w:noWrap/>
            <w:vAlign w:val="bottom"/>
            <w:hideMark/>
          </w:tcPr>
          <w:p w14:paraId="0F1129C7" w14:textId="77777777" w:rsidR="009A356E" w:rsidRPr="00C10545" w:rsidRDefault="009A356E" w:rsidP="009A356E">
            <w:pPr>
              <w:rPr>
                <w:sz w:val="18"/>
                <w:szCs w:val="18"/>
                <w:lang w:eastAsia="en-AU"/>
              </w:rPr>
            </w:pPr>
            <w:r w:rsidRPr="00C10545">
              <w:rPr>
                <w:sz w:val="18"/>
                <w:szCs w:val="18"/>
                <w:lang w:eastAsia="en-AU"/>
              </w:rPr>
              <w:t> </w:t>
            </w:r>
          </w:p>
        </w:tc>
        <w:tc>
          <w:tcPr>
            <w:tcW w:w="632" w:type="pct"/>
            <w:tcBorders>
              <w:top w:val="nil"/>
              <w:left w:val="nil"/>
              <w:bottom w:val="single" w:sz="4" w:space="0" w:color="auto"/>
              <w:right w:val="single" w:sz="4" w:space="0" w:color="auto"/>
            </w:tcBorders>
            <w:shd w:val="clear" w:color="000000" w:fill="000000"/>
            <w:noWrap/>
            <w:vAlign w:val="bottom"/>
            <w:hideMark/>
          </w:tcPr>
          <w:p w14:paraId="207C71F7" w14:textId="77777777" w:rsidR="009A356E" w:rsidRPr="00C10545" w:rsidRDefault="009A356E" w:rsidP="009A356E">
            <w:pPr>
              <w:rPr>
                <w:sz w:val="18"/>
                <w:szCs w:val="18"/>
                <w:lang w:eastAsia="en-AU"/>
              </w:rPr>
            </w:pPr>
            <w:r w:rsidRPr="00C10545">
              <w:rPr>
                <w:sz w:val="18"/>
                <w:szCs w:val="18"/>
                <w:lang w:eastAsia="en-AU"/>
              </w:rPr>
              <w:t> </w:t>
            </w:r>
          </w:p>
        </w:tc>
        <w:tc>
          <w:tcPr>
            <w:tcW w:w="632" w:type="pct"/>
            <w:tcBorders>
              <w:top w:val="nil"/>
              <w:left w:val="nil"/>
              <w:bottom w:val="single" w:sz="4" w:space="0" w:color="auto"/>
              <w:right w:val="single" w:sz="4" w:space="0" w:color="auto"/>
            </w:tcBorders>
            <w:shd w:val="clear" w:color="000000" w:fill="000000"/>
            <w:noWrap/>
            <w:vAlign w:val="bottom"/>
            <w:hideMark/>
          </w:tcPr>
          <w:p w14:paraId="612CCCD2" w14:textId="77777777" w:rsidR="009A356E" w:rsidRPr="00C10545" w:rsidRDefault="009A356E" w:rsidP="009A356E">
            <w:pPr>
              <w:rPr>
                <w:sz w:val="18"/>
                <w:szCs w:val="18"/>
                <w:lang w:eastAsia="en-AU"/>
              </w:rPr>
            </w:pPr>
            <w:r w:rsidRPr="00C10545">
              <w:rPr>
                <w:sz w:val="18"/>
                <w:szCs w:val="18"/>
                <w:lang w:eastAsia="en-AU"/>
              </w:rPr>
              <w:t> </w:t>
            </w:r>
          </w:p>
        </w:tc>
        <w:tc>
          <w:tcPr>
            <w:tcW w:w="632" w:type="pct"/>
            <w:tcBorders>
              <w:top w:val="nil"/>
              <w:left w:val="nil"/>
              <w:bottom w:val="single" w:sz="4" w:space="0" w:color="auto"/>
              <w:right w:val="single" w:sz="4" w:space="0" w:color="auto"/>
            </w:tcBorders>
            <w:shd w:val="clear" w:color="000000" w:fill="000000"/>
            <w:noWrap/>
            <w:vAlign w:val="bottom"/>
            <w:hideMark/>
          </w:tcPr>
          <w:p w14:paraId="0EBA880E" w14:textId="77777777" w:rsidR="009A356E" w:rsidRPr="00C10545" w:rsidRDefault="009A356E" w:rsidP="009A356E">
            <w:pPr>
              <w:rPr>
                <w:sz w:val="18"/>
                <w:szCs w:val="18"/>
                <w:lang w:eastAsia="en-AU"/>
              </w:rPr>
            </w:pPr>
            <w:r w:rsidRPr="00C10545">
              <w:rPr>
                <w:sz w:val="18"/>
                <w:szCs w:val="18"/>
                <w:lang w:eastAsia="en-AU"/>
              </w:rPr>
              <w:t> </w:t>
            </w:r>
          </w:p>
        </w:tc>
        <w:tc>
          <w:tcPr>
            <w:tcW w:w="632" w:type="pct"/>
            <w:tcBorders>
              <w:top w:val="nil"/>
              <w:left w:val="nil"/>
              <w:bottom w:val="single" w:sz="4" w:space="0" w:color="auto"/>
              <w:right w:val="single" w:sz="4" w:space="0" w:color="auto"/>
            </w:tcBorders>
            <w:shd w:val="clear" w:color="000000" w:fill="000000"/>
            <w:noWrap/>
            <w:vAlign w:val="bottom"/>
            <w:hideMark/>
          </w:tcPr>
          <w:p w14:paraId="25024CEA" w14:textId="77777777" w:rsidR="009A356E" w:rsidRPr="00C10545" w:rsidRDefault="009A356E" w:rsidP="009A356E">
            <w:pPr>
              <w:rPr>
                <w:sz w:val="18"/>
                <w:szCs w:val="18"/>
                <w:lang w:eastAsia="en-AU"/>
              </w:rPr>
            </w:pPr>
            <w:r w:rsidRPr="00C10545">
              <w:rPr>
                <w:sz w:val="18"/>
                <w:szCs w:val="18"/>
                <w:lang w:eastAsia="en-AU"/>
              </w:rPr>
              <w:t> </w:t>
            </w:r>
          </w:p>
        </w:tc>
        <w:tc>
          <w:tcPr>
            <w:tcW w:w="629" w:type="pct"/>
            <w:tcBorders>
              <w:top w:val="nil"/>
              <w:left w:val="nil"/>
              <w:bottom w:val="single" w:sz="4" w:space="0" w:color="auto"/>
              <w:right w:val="single" w:sz="4" w:space="0" w:color="auto"/>
            </w:tcBorders>
            <w:shd w:val="clear" w:color="000000" w:fill="000000"/>
            <w:noWrap/>
            <w:vAlign w:val="bottom"/>
            <w:hideMark/>
          </w:tcPr>
          <w:p w14:paraId="644D7FF4" w14:textId="77777777" w:rsidR="009A356E" w:rsidRPr="00C10545" w:rsidRDefault="009A356E" w:rsidP="009A356E">
            <w:pPr>
              <w:rPr>
                <w:sz w:val="18"/>
                <w:szCs w:val="18"/>
                <w:lang w:eastAsia="en-AU"/>
              </w:rPr>
            </w:pPr>
            <w:r w:rsidRPr="00C10545">
              <w:rPr>
                <w:sz w:val="18"/>
                <w:szCs w:val="18"/>
                <w:lang w:eastAsia="en-AU"/>
              </w:rPr>
              <w:t> </w:t>
            </w:r>
          </w:p>
        </w:tc>
      </w:tr>
      <w:tr w:rsidR="009A356E" w:rsidRPr="00F23FF7" w14:paraId="160CB078" w14:textId="77777777" w:rsidTr="009A356E">
        <w:trPr>
          <w:trHeight w:val="240"/>
        </w:trPr>
        <w:tc>
          <w:tcPr>
            <w:tcW w:w="1211" w:type="pct"/>
            <w:tcBorders>
              <w:top w:val="nil"/>
              <w:left w:val="single" w:sz="4" w:space="0" w:color="auto"/>
              <w:bottom w:val="single" w:sz="4" w:space="0" w:color="auto"/>
              <w:right w:val="single" w:sz="4" w:space="0" w:color="auto"/>
            </w:tcBorders>
            <w:shd w:val="clear" w:color="auto" w:fill="auto"/>
            <w:noWrap/>
            <w:vAlign w:val="bottom"/>
            <w:hideMark/>
          </w:tcPr>
          <w:p w14:paraId="0ADA9451" w14:textId="77777777" w:rsidR="009A356E" w:rsidRPr="00C10545" w:rsidRDefault="009A356E" w:rsidP="009A356E">
            <w:pPr>
              <w:rPr>
                <w:sz w:val="18"/>
                <w:szCs w:val="18"/>
                <w:lang w:eastAsia="en-AU"/>
              </w:rPr>
            </w:pPr>
            <w:r w:rsidRPr="00C10545">
              <w:rPr>
                <w:sz w:val="18"/>
                <w:szCs w:val="18"/>
                <w:lang w:eastAsia="en-AU"/>
              </w:rPr>
              <w:t>Campaspe</w:t>
            </w:r>
          </w:p>
        </w:tc>
        <w:tc>
          <w:tcPr>
            <w:tcW w:w="632" w:type="pct"/>
            <w:tcBorders>
              <w:top w:val="nil"/>
              <w:left w:val="nil"/>
              <w:bottom w:val="single" w:sz="4" w:space="0" w:color="auto"/>
              <w:right w:val="single" w:sz="4" w:space="0" w:color="auto"/>
            </w:tcBorders>
            <w:shd w:val="clear" w:color="auto" w:fill="auto"/>
            <w:noWrap/>
            <w:vAlign w:val="bottom"/>
            <w:hideMark/>
          </w:tcPr>
          <w:p w14:paraId="7E78932E" w14:textId="6C338186" w:rsidR="009A356E" w:rsidRPr="00C10545" w:rsidRDefault="009A356E" w:rsidP="009A356E">
            <w:pPr>
              <w:rPr>
                <w:sz w:val="18"/>
                <w:szCs w:val="18"/>
                <w:lang w:eastAsia="en-AU"/>
              </w:rPr>
            </w:pPr>
            <w:r w:rsidRPr="00C10545">
              <w:rPr>
                <w:sz w:val="18"/>
                <w:szCs w:val="18"/>
                <w:lang w:eastAsia="en-AU"/>
              </w:rPr>
              <w:t xml:space="preserve"> 133.9 </w:t>
            </w:r>
          </w:p>
        </w:tc>
        <w:tc>
          <w:tcPr>
            <w:tcW w:w="632" w:type="pct"/>
            <w:tcBorders>
              <w:top w:val="nil"/>
              <w:left w:val="nil"/>
              <w:bottom w:val="single" w:sz="4" w:space="0" w:color="auto"/>
              <w:right w:val="single" w:sz="4" w:space="0" w:color="auto"/>
            </w:tcBorders>
            <w:shd w:val="clear" w:color="auto" w:fill="auto"/>
            <w:noWrap/>
            <w:vAlign w:val="bottom"/>
            <w:hideMark/>
          </w:tcPr>
          <w:p w14:paraId="72B34EE8" w14:textId="1DB1FC14" w:rsidR="009A356E" w:rsidRPr="00C10545" w:rsidRDefault="009A356E" w:rsidP="009A356E">
            <w:pPr>
              <w:rPr>
                <w:sz w:val="18"/>
                <w:szCs w:val="18"/>
                <w:lang w:eastAsia="en-AU"/>
              </w:rPr>
            </w:pPr>
            <w:r w:rsidRPr="00C10545">
              <w:rPr>
                <w:sz w:val="18"/>
                <w:szCs w:val="18"/>
                <w:lang w:eastAsia="en-AU"/>
              </w:rPr>
              <w:t xml:space="preserve"> 127.4 </w:t>
            </w:r>
          </w:p>
        </w:tc>
        <w:tc>
          <w:tcPr>
            <w:tcW w:w="632" w:type="pct"/>
            <w:tcBorders>
              <w:top w:val="nil"/>
              <w:left w:val="nil"/>
              <w:bottom w:val="single" w:sz="4" w:space="0" w:color="auto"/>
              <w:right w:val="single" w:sz="4" w:space="0" w:color="auto"/>
            </w:tcBorders>
            <w:shd w:val="clear" w:color="auto" w:fill="auto"/>
            <w:noWrap/>
            <w:vAlign w:val="bottom"/>
            <w:hideMark/>
          </w:tcPr>
          <w:p w14:paraId="63E71C94" w14:textId="35CCAD67" w:rsidR="009A356E" w:rsidRPr="00C10545" w:rsidRDefault="009A356E" w:rsidP="009A356E">
            <w:pPr>
              <w:rPr>
                <w:sz w:val="18"/>
                <w:szCs w:val="18"/>
                <w:lang w:eastAsia="en-AU"/>
              </w:rPr>
            </w:pPr>
            <w:r w:rsidRPr="00C10545">
              <w:rPr>
                <w:sz w:val="18"/>
                <w:szCs w:val="18"/>
                <w:lang w:eastAsia="en-AU"/>
              </w:rPr>
              <w:t xml:space="preserve"> 152.0 </w:t>
            </w:r>
          </w:p>
        </w:tc>
        <w:tc>
          <w:tcPr>
            <w:tcW w:w="632" w:type="pct"/>
            <w:tcBorders>
              <w:top w:val="nil"/>
              <w:left w:val="nil"/>
              <w:bottom w:val="single" w:sz="4" w:space="0" w:color="auto"/>
              <w:right w:val="single" w:sz="4" w:space="0" w:color="auto"/>
            </w:tcBorders>
            <w:shd w:val="clear" w:color="auto" w:fill="auto"/>
            <w:noWrap/>
            <w:vAlign w:val="bottom"/>
            <w:hideMark/>
          </w:tcPr>
          <w:p w14:paraId="3440552C" w14:textId="3D8E9CFE" w:rsidR="009A356E" w:rsidRPr="00C10545" w:rsidRDefault="009A356E" w:rsidP="009A356E">
            <w:pPr>
              <w:rPr>
                <w:sz w:val="18"/>
                <w:szCs w:val="18"/>
                <w:lang w:eastAsia="en-AU"/>
              </w:rPr>
            </w:pPr>
            <w:r w:rsidRPr="00C10545">
              <w:rPr>
                <w:sz w:val="18"/>
                <w:szCs w:val="18"/>
                <w:lang w:eastAsia="en-AU"/>
              </w:rPr>
              <w:t xml:space="preserve"> 161.0 </w:t>
            </w:r>
          </w:p>
        </w:tc>
        <w:tc>
          <w:tcPr>
            <w:tcW w:w="632" w:type="pct"/>
            <w:tcBorders>
              <w:top w:val="nil"/>
              <w:left w:val="nil"/>
              <w:bottom w:val="single" w:sz="4" w:space="0" w:color="auto"/>
              <w:right w:val="single" w:sz="4" w:space="0" w:color="auto"/>
            </w:tcBorders>
            <w:shd w:val="clear" w:color="auto" w:fill="auto"/>
            <w:noWrap/>
            <w:vAlign w:val="bottom"/>
            <w:hideMark/>
          </w:tcPr>
          <w:p w14:paraId="2310590B" w14:textId="26874BA5" w:rsidR="009A356E" w:rsidRPr="00C10545" w:rsidRDefault="009A356E" w:rsidP="009A356E">
            <w:pPr>
              <w:rPr>
                <w:sz w:val="18"/>
                <w:szCs w:val="18"/>
                <w:lang w:eastAsia="en-AU"/>
              </w:rPr>
            </w:pPr>
            <w:r w:rsidRPr="00C10545">
              <w:rPr>
                <w:sz w:val="18"/>
                <w:szCs w:val="18"/>
                <w:lang w:eastAsia="en-AU"/>
              </w:rPr>
              <w:t xml:space="preserve"> 166.4 </w:t>
            </w:r>
          </w:p>
        </w:tc>
        <w:tc>
          <w:tcPr>
            <w:tcW w:w="629" w:type="pct"/>
            <w:tcBorders>
              <w:top w:val="nil"/>
              <w:left w:val="nil"/>
              <w:bottom w:val="single" w:sz="4" w:space="0" w:color="auto"/>
              <w:right w:val="single" w:sz="4" w:space="0" w:color="auto"/>
            </w:tcBorders>
            <w:shd w:val="clear" w:color="auto" w:fill="auto"/>
            <w:noWrap/>
            <w:vAlign w:val="bottom"/>
            <w:hideMark/>
          </w:tcPr>
          <w:p w14:paraId="4534CF97" w14:textId="0F8A1966" w:rsidR="009A356E" w:rsidRPr="00C10545" w:rsidRDefault="009A356E" w:rsidP="009A356E">
            <w:pPr>
              <w:rPr>
                <w:sz w:val="18"/>
                <w:szCs w:val="18"/>
                <w:lang w:eastAsia="en-AU"/>
              </w:rPr>
            </w:pPr>
            <w:r w:rsidRPr="00C10545">
              <w:rPr>
                <w:sz w:val="18"/>
                <w:szCs w:val="18"/>
                <w:lang w:eastAsia="en-AU"/>
              </w:rPr>
              <w:t xml:space="preserve"> 159.1 </w:t>
            </w:r>
          </w:p>
        </w:tc>
      </w:tr>
      <w:tr w:rsidR="009A356E" w:rsidRPr="00F23FF7" w14:paraId="6327D1C7" w14:textId="77777777" w:rsidTr="009A356E">
        <w:trPr>
          <w:trHeight w:val="240"/>
        </w:trPr>
        <w:tc>
          <w:tcPr>
            <w:tcW w:w="1211" w:type="pct"/>
            <w:tcBorders>
              <w:top w:val="nil"/>
              <w:left w:val="single" w:sz="4" w:space="0" w:color="auto"/>
              <w:bottom w:val="single" w:sz="4" w:space="0" w:color="auto"/>
              <w:right w:val="single" w:sz="4" w:space="0" w:color="auto"/>
            </w:tcBorders>
            <w:shd w:val="clear" w:color="auto" w:fill="auto"/>
            <w:noWrap/>
            <w:vAlign w:val="bottom"/>
            <w:hideMark/>
          </w:tcPr>
          <w:p w14:paraId="7FDAB28C" w14:textId="77777777" w:rsidR="009A356E" w:rsidRPr="00C10545" w:rsidRDefault="009A356E" w:rsidP="009A356E">
            <w:pPr>
              <w:rPr>
                <w:sz w:val="18"/>
                <w:szCs w:val="18"/>
                <w:lang w:eastAsia="en-AU"/>
              </w:rPr>
            </w:pPr>
            <w:r w:rsidRPr="00C10545">
              <w:rPr>
                <w:sz w:val="18"/>
                <w:szCs w:val="18"/>
                <w:lang w:eastAsia="en-AU"/>
              </w:rPr>
              <w:t>Corangamite</w:t>
            </w:r>
          </w:p>
        </w:tc>
        <w:tc>
          <w:tcPr>
            <w:tcW w:w="632" w:type="pct"/>
            <w:tcBorders>
              <w:top w:val="nil"/>
              <w:left w:val="nil"/>
              <w:bottom w:val="single" w:sz="4" w:space="0" w:color="auto"/>
              <w:right w:val="single" w:sz="4" w:space="0" w:color="auto"/>
            </w:tcBorders>
            <w:shd w:val="clear" w:color="auto" w:fill="auto"/>
            <w:noWrap/>
            <w:vAlign w:val="bottom"/>
            <w:hideMark/>
          </w:tcPr>
          <w:p w14:paraId="0400A597" w14:textId="12F80257" w:rsidR="009A356E" w:rsidRPr="00C10545" w:rsidRDefault="009A356E" w:rsidP="009A356E">
            <w:pPr>
              <w:rPr>
                <w:sz w:val="18"/>
                <w:szCs w:val="18"/>
                <w:lang w:eastAsia="en-AU"/>
              </w:rPr>
            </w:pPr>
            <w:r w:rsidRPr="00C10545">
              <w:rPr>
                <w:sz w:val="18"/>
                <w:szCs w:val="18"/>
                <w:lang w:eastAsia="en-AU"/>
              </w:rPr>
              <w:t xml:space="preserve"> 168.3 </w:t>
            </w:r>
          </w:p>
        </w:tc>
        <w:tc>
          <w:tcPr>
            <w:tcW w:w="632" w:type="pct"/>
            <w:tcBorders>
              <w:top w:val="nil"/>
              <w:left w:val="nil"/>
              <w:bottom w:val="single" w:sz="4" w:space="0" w:color="auto"/>
              <w:right w:val="single" w:sz="4" w:space="0" w:color="auto"/>
            </w:tcBorders>
            <w:shd w:val="clear" w:color="auto" w:fill="auto"/>
            <w:noWrap/>
            <w:vAlign w:val="bottom"/>
            <w:hideMark/>
          </w:tcPr>
          <w:p w14:paraId="27DD4795" w14:textId="7744693D" w:rsidR="009A356E" w:rsidRPr="00C10545" w:rsidRDefault="009A356E" w:rsidP="009A356E">
            <w:pPr>
              <w:rPr>
                <w:sz w:val="18"/>
                <w:szCs w:val="18"/>
                <w:lang w:eastAsia="en-AU"/>
              </w:rPr>
            </w:pPr>
            <w:r w:rsidRPr="00C10545">
              <w:rPr>
                <w:sz w:val="18"/>
                <w:szCs w:val="18"/>
                <w:lang w:eastAsia="en-AU"/>
              </w:rPr>
              <w:t xml:space="preserve"> 161.6 </w:t>
            </w:r>
          </w:p>
        </w:tc>
        <w:tc>
          <w:tcPr>
            <w:tcW w:w="632" w:type="pct"/>
            <w:tcBorders>
              <w:top w:val="nil"/>
              <w:left w:val="nil"/>
              <w:bottom w:val="single" w:sz="4" w:space="0" w:color="auto"/>
              <w:right w:val="single" w:sz="4" w:space="0" w:color="auto"/>
            </w:tcBorders>
            <w:shd w:val="clear" w:color="auto" w:fill="auto"/>
            <w:noWrap/>
            <w:vAlign w:val="bottom"/>
            <w:hideMark/>
          </w:tcPr>
          <w:p w14:paraId="6F0FDBAB" w14:textId="073BDB49" w:rsidR="009A356E" w:rsidRPr="00C10545" w:rsidRDefault="009A356E" w:rsidP="009A356E">
            <w:pPr>
              <w:rPr>
                <w:sz w:val="18"/>
                <w:szCs w:val="18"/>
                <w:lang w:eastAsia="en-AU"/>
              </w:rPr>
            </w:pPr>
            <w:r w:rsidRPr="00C10545">
              <w:rPr>
                <w:sz w:val="18"/>
                <w:szCs w:val="18"/>
                <w:lang w:eastAsia="en-AU"/>
              </w:rPr>
              <w:t xml:space="preserve"> 205.2 </w:t>
            </w:r>
          </w:p>
        </w:tc>
        <w:tc>
          <w:tcPr>
            <w:tcW w:w="632" w:type="pct"/>
            <w:tcBorders>
              <w:top w:val="nil"/>
              <w:left w:val="nil"/>
              <w:bottom w:val="single" w:sz="4" w:space="0" w:color="auto"/>
              <w:right w:val="single" w:sz="4" w:space="0" w:color="auto"/>
            </w:tcBorders>
            <w:shd w:val="clear" w:color="auto" w:fill="auto"/>
            <w:noWrap/>
            <w:vAlign w:val="bottom"/>
            <w:hideMark/>
          </w:tcPr>
          <w:p w14:paraId="4E6B2655" w14:textId="204686E1" w:rsidR="009A356E" w:rsidRPr="00C10545" w:rsidRDefault="009A356E" w:rsidP="009A356E">
            <w:pPr>
              <w:rPr>
                <w:sz w:val="18"/>
                <w:szCs w:val="18"/>
                <w:lang w:eastAsia="en-AU"/>
              </w:rPr>
            </w:pPr>
            <w:r w:rsidRPr="00C10545">
              <w:rPr>
                <w:sz w:val="18"/>
                <w:szCs w:val="18"/>
                <w:lang w:eastAsia="en-AU"/>
              </w:rPr>
              <w:t xml:space="preserve"> 238.0 </w:t>
            </w:r>
          </w:p>
        </w:tc>
        <w:tc>
          <w:tcPr>
            <w:tcW w:w="632" w:type="pct"/>
            <w:tcBorders>
              <w:top w:val="nil"/>
              <w:left w:val="nil"/>
              <w:bottom w:val="single" w:sz="4" w:space="0" w:color="auto"/>
              <w:right w:val="single" w:sz="4" w:space="0" w:color="auto"/>
            </w:tcBorders>
            <w:shd w:val="clear" w:color="auto" w:fill="auto"/>
            <w:noWrap/>
            <w:vAlign w:val="bottom"/>
            <w:hideMark/>
          </w:tcPr>
          <w:p w14:paraId="7FAA646A" w14:textId="615EF68F" w:rsidR="009A356E" w:rsidRPr="00C10545" w:rsidRDefault="009A356E" w:rsidP="009A356E">
            <w:pPr>
              <w:rPr>
                <w:sz w:val="18"/>
                <w:szCs w:val="18"/>
                <w:lang w:eastAsia="en-AU"/>
              </w:rPr>
            </w:pPr>
            <w:r w:rsidRPr="00C10545">
              <w:rPr>
                <w:sz w:val="18"/>
                <w:szCs w:val="18"/>
                <w:lang w:eastAsia="en-AU"/>
              </w:rPr>
              <w:t xml:space="preserve"> 241.2 </w:t>
            </w:r>
          </w:p>
        </w:tc>
        <w:tc>
          <w:tcPr>
            <w:tcW w:w="629" w:type="pct"/>
            <w:tcBorders>
              <w:top w:val="nil"/>
              <w:left w:val="nil"/>
              <w:bottom w:val="single" w:sz="4" w:space="0" w:color="auto"/>
              <w:right w:val="single" w:sz="4" w:space="0" w:color="auto"/>
            </w:tcBorders>
            <w:shd w:val="clear" w:color="auto" w:fill="auto"/>
            <w:noWrap/>
            <w:vAlign w:val="bottom"/>
            <w:hideMark/>
          </w:tcPr>
          <w:p w14:paraId="46DB3908" w14:textId="690DCAFF" w:rsidR="009A356E" w:rsidRPr="00C10545" w:rsidRDefault="009A356E" w:rsidP="009A356E">
            <w:pPr>
              <w:rPr>
                <w:sz w:val="18"/>
                <w:szCs w:val="18"/>
                <w:lang w:eastAsia="en-AU"/>
              </w:rPr>
            </w:pPr>
            <w:r w:rsidRPr="00C10545">
              <w:rPr>
                <w:sz w:val="18"/>
                <w:szCs w:val="18"/>
                <w:lang w:eastAsia="en-AU"/>
              </w:rPr>
              <w:t xml:space="preserve"> 237.3 </w:t>
            </w:r>
          </w:p>
        </w:tc>
      </w:tr>
      <w:tr w:rsidR="009A356E" w:rsidRPr="00F23FF7" w14:paraId="282FCD4E" w14:textId="77777777" w:rsidTr="009A356E">
        <w:trPr>
          <w:trHeight w:val="240"/>
        </w:trPr>
        <w:tc>
          <w:tcPr>
            <w:tcW w:w="1211" w:type="pct"/>
            <w:tcBorders>
              <w:top w:val="nil"/>
              <w:left w:val="single" w:sz="4" w:space="0" w:color="auto"/>
              <w:bottom w:val="single" w:sz="4" w:space="0" w:color="auto"/>
              <w:right w:val="single" w:sz="4" w:space="0" w:color="auto"/>
            </w:tcBorders>
            <w:shd w:val="clear" w:color="auto" w:fill="auto"/>
            <w:noWrap/>
            <w:vAlign w:val="bottom"/>
            <w:hideMark/>
          </w:tcPr>
          <w:p w14:paraId="09A7B263" w14:textId="77777777" w:rsidR="009A356E" w:rsidRPr="00C10545" w:rsidRDefault="009A356E" w:rsidP="009A356E">
            <w:pPr>
              <w:rPr>
                <w:sz w:val="18"/>
                <w:szCs w:val="18"/>
                <w:lang w:eastAsia="en-AU"/>
              </w:rPr>
            </w:pPr>
            <w:r w:rsidRPr="00C10545">
              <w:rPr>
                <w:sz w:val="18"/>
                <w:szCs w:val="18"/>
                <w:lang w:eastAsia="en-AU"/>
              </w:rPr>
              <w:t>Mitchell</w:t>
            </w:r>
          </w:p>
        </w:tc>
        <w:tc>
          <w:tcPr>
            <w:tcW w:w="632" w:type="pct"/>
            <w:tcBorders>
              <w:top w:val="nil"/>
              <w:left w:val="nil"/>
              <w:bottom w:val="single" w:sz="4" w:space="0" w:color="auto"/>
              <w:right w:val="single" w:sz="4" w:space="0" w:color="auto"/>
            </w:tcBorders>
            <w:shd w:val="clear" w:color="auto" w:fill="auto"/>
            <w:noWrap/>
            <w:vAlign w:val="bottom"/>
            <w:hideMark/>
          </w:tcPr>
          <w:p w14:paraId="01733372" w14:textId="5FD7DE53" w:rsidR="009A356E" w:rsidRPr="00C10545" w:rsidRDefault="009A356E" w:rsidP="009A356E">
            <w:pPr>
              <w:rPr>
                <w:sz w:val="18"/>
                <w:szCs w:val="18"/>
                <w:lang w:eastAsia="en-AU"/>
              </w:rPr>
            </w:pPr>
            <w:r w:rsidRPr="00C10545">
              <w:rPr>
                <w:sz w:val="18"/>
                <w:szCs w:val="18"/>
                <w:lang w:eastAsia="en-AU"/>
              </w:rPr>
              <w:t xml:space="preserve"> 119.2 </w:t>
            </w:r>
          </w:p>
        </w:tc>
        <w:tc>
          <w:tcPr>
            <w:tcW w:w="632" w:type="pct"/>
            <w:tcBorders>
              <w:top w:val="nil"/>
              <w:left w:val="nil"/>
              <w:bottom w:val="single" w:sz="4" w:space="0" w:color="auto"/>
              <w:right w:val="single" w:sz="4" w:space="0" w:color="auto"/>
            </w:tcBorders>
            <w:shd w:val="clear" w:color="auto" w:fill="auto"/>
            <w:noWrap/>
            <w:vAlign w:val="bottom"/>
            <w:hideMark/>
          </w:tcPr>
          <w:p w14:paraId="3B8947B9" w14:textId="1367CEB3" w:rsidR="009A356E" w:rsidRPr="00C10545" w:rsidRDefault="009A356E" w:rsidP="009A356E">
            <w:pPr>
              <w:rPr>
                <w:sz w:val="18"/>
                <w:szCs w:val="18"/>
                <w:lang w:eastAsia="en-AU"/>
              </w:rPr>
            </w:pPr>
            <w:r w:rsidRPr="00C10545">
              <w:rPr>
                <w:sz w:val="18"/>
                <w:szCs w:val="18"/>
                <w:lang w:eastAsia="en-AU"/>
              </w:rPr>
              <w:t xml:space="preserve"> 121.2 </w:t>
            </w:r>
          </w:p>
        </w:tc>
        <w:tc>
          <w:tcPr>
            <w:tcW w:w="632" w:type="pct"/>
            <w:tcBorders>
              <w:top w:val="nil"/>
              <w:left w:val="nil"/>
              <w:bottom w:val="single" w:sz="4" w:space="0" w:color="auto"/>
              <w:right w:val="single" w:sz="4" w:space="0" w:color="auto"/>
            </w:tcBorders>
            <w:shd w:val="clear" w:color="auto" w:fill="auto"/>
            <w:noWrap/>
            <w:vAlign w:val="bottom"/>
            <w:hideMark/>
          </w:tcPr>
          <w:p w14:paraId="1C915D9A" w14:textId="3F99E596" w:rsidR="009A356E" w:rsidRPr="00C10545" w:rsidRDefault="009A356E" w:rsidP="009A356E">
            <w:pPr>
              <w:rPr>
                <w:sz w:val="18"/>
                <w:szCs w:val="18"/>
                <w:lang w:eastAsia="en-AU"/>
              </w:rPr>
            </w:pPr>
            <w:r w:rsidRPr="00C10545">
              <w:rPr>
                <w:sz w:val="18"/>
                <w:szCs w:val="18"/>
                <w:lang w:eastAsia="en-AU"/>
              </w:rPr>
              <w:t xml:space="preserve"> 113.0 </w:t>
            </w:r>
          </w:p>
        </w:tc>
        <w:tc>
          <w:tcPr>
            <w:tcW w:w="632" w:type="pct"/>
            <w:tcBorders>
              <w:top w:val="nil"/>
              <w:left w:val="nil"/>
              <w:bottom w:val="single" w:sz="4" w:space="0" w:color="auto"/>
              <w:right w:val="single" w:sz="4" w:space="0" w:color="auto"/>
            </w:tcBorders>
            <w:shd w:val="clear" w:color="auto" w:fill="auto"/>
            <w:noWrap/>
            <w:vAlign w:val="bottom"/>
            <w:hideMark/>
          </w:tcPr>
          <w:p w14:paraId="0FC09046" w14:textId="3E296B9B" w:rsidR="009A356E" w:rsidRPr="00C10545" w:rsidRDefault="009A356E" w:rsidP="009A356E">
            <w:pPr>
              <w:rPr>
                <w:sz w:val="18"/>
                <w:szCs w:val="18"/>
                <w:lang w:eastAsia="en-AU"/>
              </w:rPr>
            </w:pPr>
            <w:r w:rsidRPr="00C10545">
              <w:rPr>
                <w:sz w:val="18"/>
                <w:szCs w:val="18"/>
                <w:lang w:eastAsia="en-AU"/>
              </w:rPr>
              <w:t xml:space="preserve"> 102.1 </w:t>
            </w:r>
          </w:p>
        </w:tc>
        <w:tc>
          <w:tcPr>
            <w:tcW w:w="632" w:type="pct"/>
            <w:tcBorders>
              <w:top w:val="nil"/>
              <w:left w:val="nil"/>
              <w:bottom w:val="single" w:sz="4" w:space="0" w:color="auto"/>
              <w:right w:val="single" w:sz="4" w:space="0" w:color="auto"/>
            </w:tcBorders>
            <w:shd w:val="clear" w:color="auto" w:fill="auto"/>
            <w:noWrap/>
            <w:vAlign w:val="bottom"/>
            <w:hideMark/>
          </w:tcPr>
          <w:p w14:paraId="696B912A" w14:textId="2EB1C17C" w:rsidR="009A356E" w:rsidRPr="00C10545" w:rsidRDefault="009A356E" w:rsidP="009A356E">
            <w:pPr>
              <w:rPr>
                <w:sz w:val="18"/>
                <w:szCs w:val="18"/>
                <w:lang w:eastAsia="en-AU"/>
              </w:rPr>
            </w:pPr>
            <w:r w:rsidRPr="00C10545">
              <w:rPr>
                <w:sz w:val="18"/>
                <w:szCs w:val="18"/>
                <w:lang w:eastAsia="en-AU"/>
              </w:rPr>
              <w:t xml:space="preserve"> 89.4 </w:t>
            </w:r>
          </w:p>
        </w:tc>
        <w:tc>
          <w:tcPr>
            <w:tcW w:w="629" w:type="pct"/>
            <w:tcBorders>
              <w:top w:val="nil"/>
              <w:left w:val="nil"/>
              <w:bottom w:val="single" w:sz="4" w:space="0" w:color="auto"/>
              <w:right w:val="single" w:sz="4" w:space="0" w:color="auto"/>
            </w:tcBorders>
            <w:shd w:val="clear" w:color="auto" w:fill="auto"/>
            <w:noWrap/>
            <w:vAlign w:val="bottom"/>
            <w:hideMark/>
          </w:tcPr>
          <w:p w14:paraId="5EACD9E3" w14:textId="2B03DB03" w:rsidR="009A356E" w:rsidRPr="00C10545" w:rsidRDefault="009A356E" w:rsidP="009A356E">
            <w:pPr>
              <w:rPr>
                <w:sz w:val="18"/>
                <w:szCs w:val="18"/>
                <w:lang w:eastAsia="en-AU"/>
              </w:rPr>
            </w:pPr>
            <w:r w:rsidRPr="00C10545">
              <w:rPr>
                <w:sz w:val="18"/>
                <w:szCs w:val="18"/>
                <w:lang w:eastAsia="en-AU"/>
              </w:rPr>
              <w:t xml:space="preserve"> 86.7 </w:t>
            </w:r>
          </w:p>
        </w:tc>
      </w:tr>
      <w:tr w:rsidR="009A356E" w:rsidRPr="00F23FF7" w14:paraId="2FA43E38" w14:textId="77777777" w:rsidTr="009A356E">
        <w:trPr>
          <w:trHeight w:val="240"/>
        </w:trPr>
        <w:tc>
          <w:tcPr>
            <w:tcW w:w="1211" w:type="pct"/>
            <w:tcBorders>
              <w:top w:val="nil"/>
              <w:left w:val="single" w:sz="4" w:space="0" w:color="auto"/>
              <w:bottom w:val="single" w:sz="4" w:space="0" w:color="auto"/>
              <w:right w:val="single" w:sz="4" w:space="0" w:color="auto"/>
            </w:tcBorders>
            <w:shd w:val="clear" w:color="auto" w:fill="auto"/>
            <w:noWrap/>
            <w:vAlign w:val="bottom"/>
            <w:hideMark/>
          </w:tcPr>
          <w:p w14:paraId="4CE3FC22" w14:textId="77777777" w:rsidR="009A356E" w:rsidRPr="00C10545" w:rsidRDefault="009A356E" w:rsidP="009A356E">
            <w:pPr>
              <w:rPr>
                <w:sz w:val="18"/>
                <w:szCs w:val="18"/>
                <w:lang w:eastAsia="en-AU"/>
              </w:rPr>
            </w:pPr>
            <w:r w:rsidRPr="00C10545">
              <w:rPr>
                <w:sz w:val="18"/>
                <w:szCs w:val="18"/>
                <w:lang w:eastAsia="en-AU"/>
              </w:rPr>
              <w:t>Moira</w:t>
            </w:r>
          </w:p>
        </w:tc>
        <w:tc>
          <w:tcPr>
            <w:tcW w:w="632" w:type="pct"/>
            <w:tcBorders>
              <w:top w:val="nil"/>
              <w:left w:val="nil"/>
              <w:bottom w:val="single" w:sz="4" w:space="0" w:color="auto"/>
              <w:right w:val="single" w:sz="4" w:space="0" w:color="auto"/>
            </w:tcBorders>
            <w:shd w:val="clear" w:color="auto" w:fill="auto"/>
            <w:noWrap/>
            <w:vAlign w:val="bottom"/>
            <w:hideMark/>
          </w:tcPr>
          <w:p w14:paraId="614C732D" w14:textId="7D079AC9" w:rsidR="009A356E" w:rsidRPr="00C10545" w:rsidRDefault="009A356E" w:rsidP="009A356E">
            <w:pPr>
              <w:rPr>
                <w:sz w:val="18"/>
                <w:szCs w:val="18"/>
                <w:lang w:eastAsia="en-AU"/>
              </w:rPr>
            </w:pPr>
            <w:r w:rsidRPr="00C10545">
              <w:rPr>
                <w:sz w:val="18"/>
                <w:szCs w:val="18"/>
                <w:lang w:eastAsia="en-AU"/>
              </w:rPr>
              <w:t xml:space="preserve"> 150.7 </w:t>
            </w:r>
          </w:p>
        </w:tc>
        <w:tc>
          <w:tcPr>
            <w:tcW w:w="632" w:type="pct"/>
            <w:tcBorders>
              <w:top w:val="nil"/>
              <w:left w:val="nil"/>
              <w:bottom w:val="single" w:sz="4" w:space="0" w:color="auto"/>
              <w:right w:val="single" w:sz="4" w:space="0" w:color="auto"/>
            </w:tcBorders>
            <w:shd w:val="clear" w:color="auto" w:fill="auto"/>
            <w:noWrap/>
            <w:vAlign w:val="bottom"/>
            <w:hideMark/>
          </w:tcPr>
          <w:p w14:paraId="4CEB627C" w14:textId="6D540EE2" w:rsidR="009A356E" w:rsidRPr="00C10545" w:rsidRDefault="009A356E" w:rsidP="009A356E">
            <w:pPr>
              <w:rPr>
                <w:sz w:val="18"/>
                <w:szCs w:val="18"/>
                <w:lang w:eastAsia="en-AU"/>
              </w:rPr>
            </w:pPr>
            <w:r w:rsidRPr="00C10545">
              <w:rPr>
                <w:sz w:val="18"/>
                <w:szCs w:val="18"/>
                <w:lang w:eastAsia="en-AU"/>
              </w:rPr>
              <w:t xml:space="preserve"> 150.7 </w:t>
            </w:r>
          </w:p>
        </w:tc>
        <w:tc>
          <w:tcPr>
            <w:tcW w:w="632" w:type="pct"/>
            <w:tcBorders>
              <w:top w:val="nil"/>
              <w:left w:val="nil"/>
              <w:bottom w:val="single" w:sz="4" w:space="0" w:color="auto"/>
              <w:right w:val="single" w:sz="4" w:space="0" w:color="auto"/>
            </w:tcBorders>
            <w:shd w:val="clear" w:color="auto" w:fill="auto"/>
            <w:noWrap/>
            <w:vAlign w:val="bottom"/>
            <w:hideMark/>
          </w:tcPr>
          <w:p w14:paraId="7D2E006A" w14:textId="757D4E3A" w:rsidR="009A356E" w:rsidRPr="00C10545" w:rsidRDefault="009A356E" w:rsidP="009A356E">
            <w:pPr>
              <w:rPr>
                <w:sz w:val="18"/>
                <w:szCs w:val="18"/>
                <w:lang w:eastAsia="en-AU"/>
              </w:rPr>
            </w:pPr>
            <w:r w:rsidRPr="00C10545">
              <w:rPr>
                <w:sz w:val="18"/>
                <w:szCs w:val="18"/>
                <w:lang w:eastAsia="en-AU"/>
              </w:rPr>
              <w:t xml:space="preserve"> 163.7 </w:t>
            </w:r>
          </w:p>
        </w:tc>
        <w:tc>
          <w:tcPr>
            <w:tcW w:w="632" w:type="pct"/>
            <w:tcBorders>
              <w:top w:val="nil"/>
              <w:left w:val="nil"/>
              <w:bottom w:val="single" w:sz="4" w:space="0" w:color="auto"/>
              <w:right w:val="single" w:sz="4" w:space="0" w:color="auto"/>
            </w:tcBorders>
            <w:shd w:val="clear" w:color="auto" w:fill="auto"/>
            <w:noWrap/>
            <w:vAlign w:val="bottom"/>
            <w:hideMark/>
          </w:tcPr>
          <w:p w14:paraId="68D2ECC0" w14:textId="23B0BE1B" w:rsidR="009A356E" w:rsidRPr="00C10545" w:rsidRDefault="009A356E" w:rsidP="009A356E">
            <w:pPr>
              <w:rPr>
                <w:sz w:val="18"/>
                <w:szCs w:val="18"/>
                <w:lang w:eastAsia="en-AU"/>
              </w:rPr>
            </w:pPr>
            <w:r w:rsidRPr="00C10545">
              <w:rPr>
                <w:sz w:val="18"/>
                <w:szCs w:val="18"/>
                <w:lang w:eastAsia="en-AU"/>
              </w:rPr>
              <w:t xml:space="preserve"> 177.7 </w:t>
            </w:r>
          </w:p>
        </w:tc>
        <w:tc>
          <w:tcPr>
            <w:tcW w:w="632" w:type="pct"/>
            <w:tcBorders>
              <w:top w:val="nil"/>
              <w:left w:val="nil"/>
              <w:bottom w:val="single" w:sz="4" w:space="0" w:color="auto"/>
              <w:right w:val="single" w:sz="4" w:space="0" w:color="auto"/>
            </w:tcBorders>
            <w:shd w:val="clear" w:color="auto" w:fill="auto"/>
            <w:noWrap/>
            <w:vAlign w:val="bottom"/>
            <w:hideMark/>
          </w:tcPr>
          <w:p w14:paraId="7ED16088" w14:textId="61D091FD" w:rsidR="009A356E" w:rsidRPr="00C10545" w:rsidRDefault="009A356E" w:rsidP="009A356E">
            <w:pPr>
              <w:rPr>
                <w:sz w:val="18"/>
                <w:szCs w:val="18"/>
                <w:lang w:eastAsia="en-AU"/>
              </w:rPr>
            </w:pPr>
            <w:r w:rsidRPr="00C10545">
              <w:rPr>
                <w:sz w:val="18"/>
                <w:szCs w:val="18"/>
                <w:lang w:eastAsia="en-AU"/>
              </w:rPr>
              <w:t xml:space="preserve"> 182.5 </w:t>
            </w:r>
          </w:p>
        </w:tc>
        <w:tc>
          <w:tcPr>
            <w:tcW w:w="629" w:type="pct"/>
            <w:tcBorders>
              <w:top w:val="nil"/>
              <w:left w:val="nil"/>
              <w:bottom w:val="single" w:sz="4" w:space="0" w:color="auto"/>
              <w:right w:val="single" w:sz="4" w:space="0" w:color="auto"/>
            </w:tcBorders>
            <w:shd w:val="clear" w:color="auto" w:fill="auto"/>
            <w:noWrap/>
            <w:vAlign w:val="bottom"/>
            <w:hideMark/>
          </w:tcPr>
          <w:p w14:paraId="417138FE" w14:textId="407EE67C" w:rsidR="009A356E" w:rsidRPr="00C10545" w:rsidRDefault="009A356E" w:rsidP="009A356E">
            <w:pPr>
              <w:rPr>
                <w:sz w:val="18"/>
                <w:szCs w:val="18"/>
                <w:lang w:eastAsia="en-AU"/>
              </w:rPr>
            </w:pPr>
            <w:r w:rsidRPr="00C10545">
              <w:rPr>
                <w:sz w:val="18"/>
                <w:szCs w:val="18"/>
                <w:lang w:eastAsia="en-AU"/>
              </w:rPr>
              <w:t xml:space="preserve"> 176.8 </w:t>
            </w:r>
          </w:p>
        </w:tc>
      </w:tr>
      <w:tr w:rsidR="009A356E" w:rsidRPr="00F23FF7" w14:paraId="00F31234" w14:textId="77777777" w:rsidTr="009A356E">
        <w:trPr>
          <w:trHeight w:val="240"/>
        </w:trPr>
        <w:tc>
          <w:tcPr>
            <w:tcW w:w="1211" w:type="pct"/>
            <w:tcBorders>
              <w:top w:val="nil"/>
              <w:left w:val="single" w:sz="4" w:space="0" w:color="auto"/>
              <w:bottom w:val="single" w:sz="4" w:space="0" w:color="auto"/>
              <w:right w:val="single" w:sz="4" w:space="0" w:color="auto"/>
            </w:tcBorders>
            <w:shd w:val="clear" w:color="auto" w:fill="auto"/>
            <w:noWrap/>
            <w:vAlign w:val="bottom"/>
            <w:hideMark/>
          </w:tcPr>
          <w:p w14:paraId="4AF3AAEE" w14:textId="77777777" w:rsidR="009A356E" w:rsidRPr="00C10545" w:rsidRDefault="009A356E" w:rsidP="009A356E">
            <w:pPr>
              <w:rPr>
                <w:sz w:val="18"/>
                <w:szCs w:val="18"/>
                <w:lang w:eastAsia="en-AU"/>
              </w:rPr>
            </w:pPr>
            <w:r w:rsidRPr="00C10545">
              <w:rPr>
                <w:sz w:val="18"/>
                <w:szCs w:val="18"/>
                <w:lang w:eastAsia="en-AU"/>
              </w:rPr>
              <w:t>Moorabool</w:t>
            </w:r>
          </w:p>
        </w:tc>
        <w:tc>
          <w:tcPr>
            <w:tcW w:w="632" w:type="pct"/>
            <w:tcBorders>
              <w:top w:val="nil"/>
              <w:left w:val="nil"/>
              <w:bottom w:val="single" w:sz="4" w:space="0" w:color="auto"/>
              <w:right w:val="single" w:sz="4" w:space="0" w:color="auto"/>
            </w:tcBorders>
            <w:shd w:val="clear" w:color="auto" w:fill="auto"/>
            <w:noWrap/>
            <w:vAlign w:val="bottom"/>
            <w:hideMark/>
          </w:tcPr>
          <w:p w14:paraId="00F15C55" w14:textId="61235B84" w:rsidR="009A356E" w:rsidRPr="00C10545" w:rsidRDefault="009A356E" w:rsidP="009A356E">
            <w:pPr>
              <w:rPr>
                <w:sz w:val="18"/>
                <w:szCs w:val="18"/>
                <w:lang w:eastAsia="en-AU"/>
              </w:rPr>
            </w:pPr>
            <w:r w:rsidRPr="00C10545">
              <w:rPr>
                <w:sz w:val="18"/>
                <w:szCs w:val="18"/>
                <w:lang w:eastAsia="en-AU"/>
              </w:rPr>
              <w:t xml:space="preserve"> 114.2 </w:t>
            </w:r>
          </w:p>
        </w:tc>
        <w:tc>
          <w:tcPr>
            <w:tcW w:w="632" w:type="pct"/>
            <w:tcBorders>
              <w:top w:val="nil"/>
              <w:left w:val="nil"/>
              <w:bottom w:val="single" w:sz="4" w:space="0" w:color="auto"/>
              <w:right w:val="single" w:sz="4" w:space="0" w:color="auto"/>
            </w:tcBorders>
            <w:shd w:val="clear" w:color="auto" w:fill="auto"/>
            <w:noWrap/>
            <w:vAlign w:val="bottom"/>
            <w:hideMark/>
          </w:tcPr>
          <w:p w14:paraId="466FE39F" w14:textId="5A889A41" w:rsidR="009A356E" w:rsidRPr="00C10545" w:rsidRDefault="009A356E" w:rsidP="009A356E">
            <w:pPr>
              <w:rPr>
                <w:sz w:val="18"/>
                <w:szCs w:val="18"/>
                <w:lang w:eastAsia="en-AU"/>
              </w:rPr>
            </w:pPr>
            <w:r w:rsidRPr="00C10545">
              <w:rPr>
                <w:sz w:val="18"/>
                <w:szCs w:val="18"/>
                <w:lang w:eastAsia="en-AU"/>
              </w:rPr>
              <w:t xml:space="preserve"> 124.1 </w:t>
            </w:r>
          </w:p>
        </w:tc>
        <w:tc>
          <w:tcPr>
            <w:tcW w:w="632" w:type="pct"/>
            <w:tcBorders>
              <w:top w:val="nil"/>
              <w:left w:val="nil"/>
              <w:bottom w:val="single" w:sz="4" w:space="0" w:color="auto"/>
              <w:right w:val="single" w:sz="4" w:space="0" w:color="auto"/>
            </w:tcBorders>
            <w:shd w:val="clear" w:color="auto" w:fill="auto"/>
            <w:noWrap/>
            <w:vAlign w:val="bottom"/>
            <w:hideMark/>
          </w:tcPr>
          <w:p w14:paraId="4D7C3430" w14:textId="6A5E31D5" w:rsidR="009A356E" w:rsidRPr="00C10545" w:rsidRDefault="009A356E" w:rsidP="009A356E">
            <w:pPr>
              <w:rPr>
                <w:sz w:val="18"/>
                <w:szCs w:val="18"/>
                <w:lang w:eastAsia="en-AU"/>
              </w:rPr>
            </w:pPr>
            <w:r w:rsidRPr="00C10545">
              <w:rPr>
                <w:sz w:val="18"/>
                <w:szCs w:val="18"/>
                <w:lang w:eastAsia="en-AU"/>
              </w:rPr>
              <w:t xml:space="preserve"> 123.7 </w:t>
            </w:r>
          </w:p>
        </w:tc>
        <w:tc>
          <w:tcPr>
            <w:tcW w:w="632" w:type="pct"/>
            <w:tcBorders>
              <w:top w:val="nil"/>
              <w:left w:val="nil"/>
              <w:bottom w:val="single" w:sz="4" w:space="0" w:color="auto"/>
              <w:right w:val="single" w:sz="4" w:space="0" w:color="auto"/>
            </w:tcBorders>
            <w:shd w:val="clear" w:color="auto" w:fill="auto"/>
            <w:noWrap/>
            <w:vAlign w:val="bottom"/>
            <w:hideMark/>
          </w:tcPr>
          <w:p w14:paraId="30EAEA2F" w14:textId="34CEAB02" w:rsidR="009A356E" w:rsidRPr="00C10545" w:rsidRDefault="009A356E" w:rsidP="009A356E">
            <w:pPr>
              <w:rPr>
                <w:sz w:val="18"/>
                <w:szCs w:val="18"/>
                <w:lang w:eastAsia="en-AU"/>
              </w:rPr>
            </w:pPr>
            <w:r w:rsidRPr="00C10545">
              <w:rPr>
                <w:sz w:val="18"/>
                <w:szCs w:val="18"/>
                <w:lang w:eastAsia="en-AU"/>
              </w:rPr>
              <w:t xml:space="preserve"> 113.6 </w:t>
            </w:r>
          </w:p>
        </w:tc>
        <w:tc>
          <w:tcPr>
            <w:tcW w:w="632" w:type="pct"/>
            <w:tcBorders>
              <w:top w:val="nil"/>
              <w:left w:val="nil"/>
              <w:bottom w:val="single" w:sz="4" w:space="0" w:color="auto"/>
              <w:right w:val="single" w:sz="4" w:space="0" w:color="auto"/>
            </w:tcBorders>
            <w:shd w:val="clear" w:color="auto" w:fill="auto"/>
            <w:noWrap/>
            <w:vAlign w:val="bottom"/>
            <w:hideMark/>
          </w:tcPr>
          <w:p w14:paraId="3F26D142" w14:textId="69C7A87C" w:rsidR="009A356E" w:rsidRPr="00C10545" w:rsidRDefault="009A356E" w:rsidP="009A356E">
            <w:pPr>
              <w:rPr>
                <w:sz w:val="18"/>
                <w:szCs w:val="18"/>
                <w:lang w:eastAsia="en-AU"/>
              </w:rPr>
            </w:pPr>
            <w:r w:rsidRPr="00C10545">
              <w:rPr>
                <w:sz w:val="18"/>
                <w:szCs w:val="18"/>
                <w:lang w:eastAsia="en-AU"/>
              </w:rPr>
              <w:t xml:space="preserve"> 99.7 </w:t>
            </w:r>
          </w:p>
        </w:tc>
        <w:tc>
          <w:tcPr>
            <w:tcW w:w="629" w:type="pct"/>
            <w:tcBorders>
              <w:top w:val="nil"/>
              <w:left w:val="nil"/>
              <w:bottom w:val="single" w:sz="4" w:space="0" w:color="auto"/>
              <w:right w:val="single" w:sz="4" w:space="0" w:color="auto"/>
            </w:tcBorders>
            <w:shd w:val="clear" w:color="auto" w:fill="auto"/>
            <w:noWrap/>
            <w:vAlign w:val="bottom"/>
            <w:hideMark/>
          </w:tcPr>
          <w:p w14:paraId="4F36B60E" w14:textId="1BD2BC45" w:rsidR="009A356E" w:rsidRPr="00C10545" w:rsidRDefault="009A356E" w:rsidP="009A356E">
            <w:pPr>
              <w:rPr>
                <w:sz w:val="18"/>
                <w:szCs w:val="18"/>
                <w:lang w:eastAsia="en-AU"/>
              </w:rPr>
            </w:pPr>
            <w:r w:rsidRPr="00C10545">
              <w:rPr>
                <w:sz w:val="18"/>
                <w:szCs w:val="18"/>
                <w:lang w:eastAsia="en-AU"/>
              </w:rPr>
              <w:t xml:space="preserve"> 95.7 </w:t>
            </w:r>
          </w:p>
        </w:tc>
      </w:tr>
      <w:tr w:rsidR="009A356E" w:rsidRPr="00F23FF7" w14:paraId="02EE8D3C" w14:textId="77777777" w:rsidTr="009A356E">
        <w:trPr>
          <w:trHeight w:val="240"/>
        </w:trPr>
        <w:tc>
          <w:tcPr>
            <w:tcW w:w="1211" w:type="pct"/>
            <w:tcBorders>
              <w:top w:val="nil"/>
              <w:left w:val="single" w:sz="4" w:space="0" w:color="auto"/>
              <w:bottom w:val="single" w:sz="4" w:space="0" w:color="auto"/>
              <w:right w:val="single" w:sz="4" w:space="0" w:color="auto"/>
            </w:tcBorders>
            <w:shd w:val="clear" w:color="auto" w:fill="auto"/>
            <w:noWrap/>
            <w:vAlign w:val="bottom"/>
            <w:hideMark/>
          </w:tcPr>
          <w:p w14:paraId="080E0393" w14:textId="77777777" w:rsidR="009A356E" w:rsidRPr="00C10545" w:rsidRDefault="009A356E" w:rsidP="009A356E">
            <w:pPr>
              <w:rPr>
                <w:sz w:val="18"/>
                <w:szCs w:val="18"/>
                <w:lang w:eastAsia="en-AU"/>
              </w:rPr>
            </w:pPr>
            <w:r w:rsidRPr="00C10545">
              <w:rPr>
                <w:sz w:val="18"/>
                <w:szCs w:val="18"/>
                <w:lang w:eastAsia="en-AU"/>
              </w:rPr>
              <w:t>Murrindindi</w:t>
            </w:r>
          </w:p>
        </w:tc>
        <w:tc>
          <w:tcPr>
            <w:tcW w:w="632" w:type="pct"/>
            <w:tcBorders>
              <w:top w:val="nil"/>
              <w:left w:val="nil"/>
              <w:bottom w:val="single" w:sz="4" w:space="0" w:color="auto"/>
              <w:right w:val="single" w:sz="4" w:space="0" w:color="auto"/>
            </w:tcBorders>
            <w:shd w:val="clear" w:color="auto" w:fill="auto"/>
            <w:noWrap/>
            <w:vAlign w:val="bottom"/>
            <w:hideMark/>
          </w:tcPr>
          <w:p w14:paraId="1CABD81A" w14:textId="5D699D25" w:rsidR="009A356E" w:rsidRPr="00C10545" w:rsidRDefault="009A356E" w:rsidP="009A356E">
            <w:pPr>
              <w:rPr>
                <w:sz w:val="18"/>
                <w:szCs w:val="18"/>
                <w:lang w:eastAsia="en-AU"/>
              </w:rPr>
            </w:pPr>
            <w:r w:rsidRPr="00C10545">
              <w:rPr>
                <w:sz w:val="18"/>
                <w:szCs w:val="18"/>
                <w:lang w:eastAsia="en-AU"/>
              </w:rPr>
              <w:t xml:space="preserve"> 132.6 </w:t>
            </w:r>
          </w:p>
        </w:tc>
        <w:tc>
          <w:tcPr>
            <w:tcW w:w="632" w:type="pct"/>
            <w:tcBorders>
              <w:top w:val="nil"/>
              <w:left w:val="nil"/>
              <w:bottom w:val="single" w:sz="4" w:space="0" w:color="auto"/>
              <w:right w:val="single" w:sz="4" w:space="0" w:color="auto"/>
            </w:tcBorders>
            <w:shd w:val="clear" w:color="auto" w:fill="auto"/>
            <w:noWrap/>
            <w:vAlign w:val="bottom"/>
            <w:hideMark/>
          </w:tcPr>
          <w:p w14:paraId="078E172E" w14:textId="6DE07A7D" w:rsidR="009A356E" w:rsidRPr="00C10545" w:rsidRDefault="009A356E" w:rsidP="009A356E">
            <w:pPr>
              <w:rPr>
                <w:sz w:val="18"/>
                <w:szCs w:val="18"/>
                <w:lang w:eastAsia="en-AU"/>
              </w:rPr>
            </w:pPr>
            <w:r w:rsidRPr="00C10545">
              <w:rPr>
                <w:sz w:val="18"/>
                <w:szCs w:val="18"/>
                <w:lang w:eastAsia="en-AU"/>
              </w:rPr>
              <w:t xml:space="preserve"> 127.1 </w:t>
            </w:r>
          </w:p>
        </w:tc>
        <w:tc>
          <w:tcPr>
            <w:tcW w:w="632" w:type="pct"/>
            <w:tcBorders>
              <w:top w:val="nil"/>
              <w:left w:val="nil"/>
              <w:bottom w:val="single" w:sz="4" w:space="0" w:color="auto"/>
              <w:right w:val="single" w:sz="4" w:space="0" w:color="auto"/>
            </w:tcBorders>
            <w:shd w:val="clear" w:color="auto" w:fill="auto"/>
            <w:noWrap/>
            <w:vAlign w:val="bottom"/>
            <w:hideMark/>
          </w:tcPr>
          <w:p w14:paraId="711C049B" w14:textId="7A4B7C6E" w:rsidR="009A356E" w:rsidRPr="00C10545" w:rsidRDefault="009A356E" w:rsidP="009A356E">
            <w:pPr>
              <w:rPr>
                <w:sz w:val="18"/>
                <w:szCs w:val="18"/>
                <w:lang w:eastAsia="en-AU"/>
              </w:rPr>
            </w:pPr>
            <w:r w:rsidRPr="00C10545">
              <w:rPr>
                <w:sz w:val="18"/>
                <w:szCs w:val="18"/>
                <w:lang w:eastAsia="en-AU"/>
              </w:rPr>
              <w:t xml:space="preserve"> 148.8 </w:t>
            </w:r>
          </w:p>
        </w:tc>
        <w:tc>
          <w:tcPr>
            <w:tcW w:w="632" w:type="pct"/>
            <w:tcBorders>
              <w:top w:val="nil"/>
              <w:left w:val="nil"/>
              <w:bottom w:val="single" w:sz="4" w:space="0" w:color="auto"/>
              <w:right w:val="single" w:sz="4" w:space="0" w:color="auto"/>
            </w:tcBorders>
            <w:shd w:val="clear" w:color="auto" w:fill="auto"/>
            <w:noWrap/>
            <w:vAlign w:val="bottom"/>
            <w:hideMark/>
          </w:tcPr>
          <w:p w14:paraId="5AE99C0A" w14:textId="66168496" w:rsidR="009A356E" w:rsidRPr="00C10545" w:rsidRDefault="009A356E" w:rsidP="009A356E">
            <w:pPr>
              <w:rPr>
                <w:sz w:val="18"/>
                <w:szCs w:val="18"/>
                <w:lang w:eastAsia="en-AU"/>
              </w:rPr>
            </w:pPr>
            <w:r w:rsidRPr="00C10545">
              <w:rPr>
                <w:sz w:val="18"/>
                <w:szCs w:val="18"/>
                <w:lang w:eastAsia="en-AU"/>
              </w:rPr>
              <w:t xml:space="preserve"> 190.3 </w:t>
            </w:r>
          </w:p>
        </w:tc>
        <w:tc>
          <w:tcPr>
            <w:tcW w:w="632" w:type="pct"/>
            <w:tcBorders>
              <w:top w:val="nil"/>
              <w:left w:val="nil"/>
              <w:bottom w:val="single" w:sz="4" w:space="0" w:color="auto"/>
              <w:right w:val="single" w:sz="4" w:space="0" w:color="auto"/>
            </w:tcBorders>
            <w:shd w:val="clear" w:color="auto" w:fill="auto"/>
            <w:noWrap/>
            <w:vAlign w:val="bottom"/>
            <w:hideMark/>
          </w:tcPr>
          <w:p w14:paraId="4F14191A" w14:textId="292841ED" w:rsidR="009A356E" w:rsidRPr="00C10545" w:rsidRDefault="009A356E" w:rsidP="009A356E">
            <w:pPr>
              <w:rPr>
                <w:sz w:val="18"/>
                <w:szCs w:val="18"/>
                <w:lang w:eastAsia="en-AU"/>
              </w:rPr>
            </w:pPr>
            <w:r w:rsidRPr="00C10545">
              <w:rPr>
                <w:sz w:val="18"/>
                <w:szCs w:val="18"/>
                <w:lang w:eastAsia="en-AU"/>
              </w:rPr>
              <w:t xml:space="preserve"> 171.6 </w:t>
            </w:r>
          </w:p>
        </w:tc>
        <w:tc>
          <w:tcPr>
            <w:tcW w:w="629" w:type="pct"/>
            <w:tcBorders>
              <w:top w:val="nil"/>
              <w:left w:val="nil"/>
              <w:bottom w:val="single" w:sz="4" w:space="0" w:color="auto"/>
              <w:right w:val="single" w:sz="4" w:space="0" w:color="auto"/>
            </w:tcBorders>
            <w:shd w:val="clear" w:color="auto" w:fill="auto"/>
            <w:noWrap/>
            <w:vAlign w:val="bottom"/>
            <w:hideMark/>
          </w:tcPr>
          <w:p w14:paraId="5113E2BF" w14:textId="184DE09D" w:rsidR="009A356E" w:rsidRPr="00C10545" w:rsidRDefault="009A356E" w:rsidP="009A356E">
            <w:pPr>
              <w:rPr>
                <w:sz w:val="18"/>
                <w:szCs w:val="18"/>
                <w:lang w:eastAsia="en-AU"/>
              </w:rPr>
            </w:pPr>
            <w:r w:rsidRPr="00C10545">
              <w:rPr>
                <w:sz w:val="18"/>
                <w:szCs w:val="18"/>
                <w:lang w:eastAsia="en-AU"/>
              </w:rPr>
              <w:t xml:space="preserve"> 162.4 </w:t>
            </w:r>
          </w:p>
        </w:tc>
      </w:tr>
      <w:tr w:rsidR="009A356E" w:rsidRPr="00F23FF7" w14:paraId="7D12B86C" w14:textId="77777777" w:rsidTr="009A356E">
        <w:trPr>
          <w:trHeight w:val="240"/>
        </w:trPr>
        <w:tc>
          <w:tcPr>
            <w:tcW w:w="1211" w:type="pct"/>
            <w:tcBorders>
              <w:top w:val="nil"/>
              <w:left w:val="single" w:sz="4" w:space="0" w:color="auto"/>
              <w:bottom w:val="single" w:sz="4" w:space="0" w:color="auto"/>
              <w:right w:val="single" w:sz="4" w:space="0" w:color="auto"/>
            </w:tcBorders>
            <w:shd w:val="clear" w:color="auto" w:fill="auto"/>
            <w:noWrap/>
            <w:vAlign w:val="bottom"/>
            <w:hideMark/>
          </w:tcPr>
          <w:p w14:paraId="14ACF417" w14:textId="77777777" w:rsidR="009A356E" w:rsidRPr="00C10545" w:rsidRDefault="009A356E" w:rsidP="009A356E">
            <w:pPr>
              <w:rPr>
                <w:sz w:val="18"/>
                <w:szCs w:val="18"/>
                <w:lang w:eastAsia="en-AU"/>
              </w:rPr>
            </w:pPr>
            <w:r w:rsidRPr="00C10545">
              <w:rPr>
                <w:sz w:val="18"/>
                <w:szCs w:val="18"/>
                <w:lang w:eastAsia="en-AU"/>
              </w:rPr>
              <w:t>South Gippsland</w:t>
            </w:r>
          </w:p>
        </w:tc>
        <w:tc>
          <w:tcPr>
            <w:tcW w:w="632" w:type="pct"/>
            <w:tcBorders>
              <w:top w:val="nil"/>
              <w:left w:val="nil"/>
              <w:bottom w:val="single" w:sz="4" w:space="0" w:color="auto"/>
              <w:right w:val="single" w:sz="4" w:space="0" w:color="auto"/>
            </w:tcBorders>
            <w:shd w:val="clear" w:color="auto" w:fill="auto"/>
            <w:noWrap/>
            <w:vAlign w:val="bottom"/>
            <w:hideMark/>
          </w:tcPr>
          <w:p w14:paraId="4A1CE029" w14:textId="0959A524" w:rsidR="009A356E" w:rsidRPr="00C10545" w:rsidRDefault="009A356E" w:rsidP="009A356E">
            <w:pPr>
              <w:rPr>
                <w:sz w:val="18"/>
                <w:szCs w:val="18"/>
                <w:lang w:eastAsia="en-AU"/>
              </w:rPr>
            </w:pPr>
            <w:r w:rsidRPr="00C10545">
              <w:rPr>
                <w:sz w:val="18"/>
                <w:szCs w:val="18"/>
                <w:lang w:eastAsia="en-AU"/>
              </w:rPr>
              <w:t xml:space="preserve"> 165.8 </w:t>
            </w:r>
          </w:p>
        </w:tc>
        <w:tc>
          <w:tcPr>
            <w:tcW w:w="632" w:type="pct"/>
            <w:tcBorders>
              <w:top w:val="nil"/>
              <w:left w:val="nil"/>
              <w:bottom w:val="single" w:sz="4" w:space="0" w:color="auto"/>
              <w:right w:val="single" w:sz="4" w:space="0" w:color="auto"/>
            </w:tcBorders>
            <w:shd w:val="clear" w:color="auto" w:fill="auto"/>
            <w:noWrap/>
            <w:vAlign w:val="bottom"/>
            <w:hideMark/>
          </w:tcPr>
          <w:p w14:paraId="50D07284" w14:textId="205C823C" w:rsidR="009A356E" w:rsidRPr="00C10545" w:rsidRDefault="009A356E" w:rsidP="009A356E">
            <w:pPr>
              <w:rPr>
                <w:sz w:val="18"/>
                <w:szCs w:val="18"/>
                <w:lang w:eastAsia="en-AU"/>
              </w:rPr>
            </w:pPr>
            <w:r w:rsidRPr="00C10545">
              <w:rPr>
                <w:sz w:val="18"/>
                <w:szCs w:val="18"/>
                <w:lang w:eastAsia="en-AU"/>
              </w:rPr>
              <w:t xml:space="preserve"> 155.2 </w:t>
            </w:r>
          </w:p>
        </w:tc>
        <w:tc>
          <w:tcPr>
            <w:tcW w:w="632" w:type="pct"/>
            <w:tcBorders>
              <w:top w:val="nil"/>
              <w:left w:val="nil"/>
              <w:bottom w:val="single" w:sz="4" w:space="0" w:color="auto"/>
              <w:right w:val="single" w:sz="4" w:space="0" w:color="auto"/>
            </w:tcBorders>
            <w:shd w:val="clear" w:color="auto" w:fill="auto"/>
            <w:noWrap/>
            <w:vAlign w:val="bottom"/>
            <w:hideMark/>
          </w:tcPr>
          <w:p w14:paraId="67C601D3" w14:textId="33010597" w:rsidR="009A356E" w:rsidRPr="00C10545" w:rsidRDefault="009A356E" w:rsidP="009A356E">
            <w:pPr>
              <w:rPr>
                <w:sz w:val="18"/>
                <w:szCs w:val="18"/>
                <w:lang w:eastAsia="en-AU"/>
              </w:rPr>
            </w:pPr>
            <w:r w:rsidRPr="00C10545">
              <w:rPr>
                <w:sz w:val="18"/>
                <w:szCs w:val="18"/>
                <w:lang w:eastAsia="en-AU"/>
              </w:rPr>
              <w:t xml:space="preserve"> 199.5 </w:t>
            </w:r>
          </w:p>
        </w:tc>
        <w:tc>
          <w:tcPr>
            <w:tcW w:w="632" w:type="pct"/>
            <w:tcBorders>
              <w:top w:val="nil"/>
              <w:left w:val="nil"/>
              <w:bottom w:val="single" w:sz="4" w:space="0" w:color="auto"/>
              <w:right w:val="single" w:sz="4" w:space="0" w:color="auto"/>
            </w:tcBorders>
            <w:shd w:val="clear" w:color="auto" w:fill="auto"/>
            <w:noWrap/>
            <w:vAlign w:val="bottom"/>
            <w:hideMark/>
          </w:tcPr>
          <w:p w14:paraId="3240ED9F" w14:textId="0FC77B89" w:rsidR="009A356E" w:rsidRPr="00C10545" w:rsidRDefault="009A356E" w:rsidP="009A356E">
            <w:pPr>
              <w:rPr>
                <w:sz w:val="18"/>
                <w:szCs w:val="18"/>
                <w:lang w:eastAsia="en-AU"/>
              </w:rPr>
            </w:pPr>
            <w:r w:rsidRPr="00C10545">
              <w:rPr>
                <w:sz w:val="18"/>
                <w:szCs w:val="18"/>
                <w:lang w:eastAsia="en-AU"/>
              </w:rPr>
              <w:t xml:space="preserve"> 170.1 </w:t>
            </w:r>
          </w:p>
        </w:tc>
        <w:tc>
          <w:tcPr>
            <w:tcW w:w="632" w:type="pct"/>
            <w:tcBorders>
              <w:top w:val="nil"/>
              <w:left w:val="nil"/>
              <w:bottom w:val="single" w:sz="4" w:space="0" w:color="auto"/>
              <w:right w:val="single" w:sz="4" w:space="0" w:color="auto"/>
            </w:tcBorders>
            <w:shd w:val="clear" w:color="auto" w:fill="auto"/>
            <w:noWrap/>
            <w:vAlign w:val="bottom"/>
            <w:hideMark/>
          </w:tcPr>
          <w:p w14:paraId="7FE8AACC" w14:textId="4F633101" w:rsidR="009A356E" w:rsidRPr="00C10545" w:rsidRDefault="009A356E" w:rsidP="009A356E">
            <w:pPr>
              <w:rPr>
                <w:sz w:val="18"/>
                <w:szCs w:val="18"/>
                <w:lang w:eastAsia="en-AU"/>
              </w:rPr>
            </w:pPr>
            <w:r w:rsidRPr="00C10545">
              <w:rPr>
                <w:sz w:val="18"/>
                <w:szCs w:val="18"/>
                <w:lang w:eastAsia="en-AU"/>
              </w:rPr>
              <w:t xml:space="preserve"> 166.8 </w:t>
            </w:r>
          </w:p>
        </w:tc>
        <w:tc>
          <w:tcPr>
            <w:tcW w:w="629" w:type="pct"/>
            <w:tcBorders>
              <w:top w:val="nil"/>
              <w:left w:val="nil"/>
              <w:bottom w:val="single" w:sz="4" w:space="0" w:color="auto"/>
              <w:right w:val="single" w:sz="4" w:space="0" w:color="auto"/>
            </w:tcBorders>
            <w:shd w:val="clear" w:color="auto" w:fill="auto"/>
            <w:noWrap/>
            <w:vAlign w:val="bottom"/>
            <w:hideMark/>
          </w:tcPr>
          <w:p w14:paraId="1BED6399" w14:textId="076B55A8" w:rsidR="009A356E" w:rsidRPr="00C10545" w:rsidRDefault="009A356E" w:rsidP="009A356E">
            <w:pPr>
              <w:rPr>
                <w:sz w:val="18"/>
                <w:szCs w:val="18"/>
                <w:lang w:eastAsia="en-AU"/>
              </w:rPr>
            </w:pPr>
            <w:r w:rsidRPr="00C10545">
              <w:rPr>
                <w:sz w:val="18"/>
                <w:szCs w:val="18"/>
                <w:lang w:eastAsia="en-AU"/>
              </w:rPr>
              <w:t xml:space="preserve"> 168.0 </w:t>
            </w:r>
          </w:p>
        </w:tc>
      </w:tr>
      <w:tr w:rsidR="009A356E" w:rsidRPr="00F23FF7" w14:paraId="1203D686" w14:textId="77777777" w:rsidTr="009A356E">
        <w:trPr>
          <w:trHeight w:val="240"/>
        </w:trPr>
        <w:tc>
          <w:tcPr>
            <w:tcW w:w="1211" w:type="pct"/>
            <w:tcBorders>
              <w:top w:val="nil"/>
              <w:left w:val="single" w:sz="4" w:space="0" w:color="auto"/>
              <w:bottom w:val="single" w:sz="4" w:space="0" w:color="auto"/>
              <w:right w:val="single" w:sz="4" w:space="0" w:color="auto"/>
            </w:tcBorders>
            <w:shd w:val="clear" w:color="000000" w:fill="E4DFEC"/>
            <w:noWrap/>
            <w:vAlign w:val="bottom"/>
            <w:hideMark/>
          </w:tcPr>
          <w:p w14:paraId="523A1140" w14:textId="77777777" w:rsidR="009A356E" w:rsidRPr="00C10545" w:rsidRDefault="009A356E" w:rsidP="009A356E">
            <w:pPr>
              <w:rPr>
                <w:b/>
                <w:bCs/>
                <w:sz w:val="18"/>
                <w:szCs w:val="18"/>
                <w:lang w:eastAsia="en-AU"/>
              </w:rPr>
            </w:pPr>
            <w:r w:rsidRPr="00C10545">
              <w:rPr>
                <w:b/>
                <w:bCs/>
                <w:sz w:val="18"/>
                <w:szCs w:val="18"/>
                <w:lang w:eastAsia="en-AU"/>
              </w:rPr>
              <w:t>Regional Cities</w:t>
            </w:r>
          </w:p>
        </w:tc>
        <w:tc>
          <w:tcPr>
            <w:tcW w:w="632" w:type="pct"/>
            <w:tcBorders>
              <w:top w:val="nil"/>
              <w:left w:val="nil"/>
              <w:bottom w:val="single" w:sz="4" w:space="0" w:color="auto"/>
              <w:right w:val="single" w:sz="4" w:space="0" w:color="auto"/>
            </w:tcBorders>
            <w:shd w:val="clear" w:color="000000" w:fill="000000"/>
            <w:noWrap/>
            <w:vAlign w:val="bottom"/>
            <w:hideMark/>
          </w:tcPr>
          <w:p w14:paraId="18B4B46C" w14:textId="77777777" w:rsidR="009A356E" w:rsidRPr="00C10545" w:rsidRDefault="009A356E" w:rsidP="009A356E">
            <w:pPr>
              <w:rPr>
                <w:sz w:val="18"/>
                <w:szCs w:val="18"/>
                <w:lang w:eastAsia="en-AU"/>
              </w:rPr>
            </w:pPr>
            <w:r w:rsidRPr="00C10545">
              <w:rPr>
                <w:sz w:val="18"/>
                <w:szCs w:val="18"/>
                <w:lang w:eastAsia="en-AU"/>
              </w:rPr>
              <w:t> </w:t>
            </w:r>
          </w:p>
        </w:tc>
        <w:tc>
          <w:tcPr>
            <w:tcW w:w="632" w:type="pct"/>
            <w:tcBorders>
              <w:top w:val="nil"/>
              <w:left w:val="nil"/>
              <w:bottom w:val="single" w:sz="4" w:space="0" w:color="auto"/>
              <w:right w:val="single" w:sz="4" w:space="0" w:color="auto"/>
            </w:tcBorders>
            <w:shd w:val="clear" w:color="000000" w:fill="000000"/>
            <w:noWrap/>
            <w:vAlign w:val="bottom"/>
            <w:hideMark/>
          </w:tcPr>
          <w:p w14:paraId="677A437C" w14:textId="77777777" w:rsidR="009A356E" w:rsidRPr="00C10545" w:rsidRDefault="009A356E" w:rsidP="009A356E">
            <w:pPr>
              <w:rPr>
                <w:sz w:val="18"/>
                <w:szCs w:val="18"/>
                <w:lang w:eastAsia="en-AU"/>
              </w:rPr>
            </w:pPr>
            <w:r w:rsidRPr="00C10545">
              <w:rPr>
                <w:sz w:val="18"/>
                <w:szCs w:val="18"/>
                <w:lang w:eastAsia="en-AU"/>
              </w:rPr>
              <w:t> </w:t>
            </w:r>
          </w:p>
        </w:tc>
        <w:tc>
          <w:tcPr>
            <w:tcW w:w="632" w:type="pct"/>
            <w:tcBorders>
              <w:top w:val="nil"/>
              <w:left w:val="nil"/>
              <w:bottom w:val="single" w:sz="4" w:space="0" w:color="auto"/>
              <w:right w:val="single" w:sz="4" w:space="0" w:color="auto"/>
            </w:tcBorders>
            <w:shd w:val="clear" w:color="000000" w:fill="000000"/>
            <w:noWrap/>
            <w:vAlign w:val="bottom"/>
            <w:hideMark/>
          </w:tcPr>
          <w:p w14:paraId="587BEB59" w14:textId="77777777" w:rsidR="009A356E" w:rsidRPr="00C10545" w:rsidRDefault="009A356E" w:rsidP="009A356E">
            <w:pPr>
              <w:rPr>
                <w:sz w:val="18"/>
                <w:szCs w:val="18"/>
                <w:lang w:eastAsia="en-AU"/>
              </w:rPr>
            </w:pPr>
            <w:r w:rsidRPr="00C10545">
              <w:rPr>
                <w:sz w:val="18"/>
                <w:szCs w:val="18"/>
                <w:lang w:eastAsia="en-AU"/>
              </w:rPr>
              <w:t> </w:t>
            </w:r>
          </w:p>
        </w:tc>
        <w:tc>
          <w:tcPr>
            <w:tcW w:w="632" w:type="pct"/>
            <w:tcBorders>
              <w:top w:val="nil"/>
              <w:left w:val="nil"/>
              <w:bottom w:val="single" w:sz="4" w:space="0" w:color="auto"/>
              <w:right w:val="single" w:sz="4" w:space="0" w:color="auto"/>
            </w:tcBorders>
            <w:shd w:val="clear" w:color="000000" w:fill="000000"/>
            <w:noWrap/>
            <w:vAlign w:val="bottom"/>
            <w:hideMark/>
          </w:tcPr>
          <w:p w14:paraId="2500A67A" w14:textId="77777777" w:rsidR="009A356E" w:rsidRPr="00C10545" w:rsidRDefault="009A356E" w:rsidP="009A356E">
            <w:pPr>
              <w:rPr>
                <w:sz w:val="18"/>
                <w:szCs w:val="18"/>
                <w:lang w:eastAsia="en-AU"/>
              </w:rPr>
            </w:pPr>
            <w:r w:rsidRPr="00C10545">
              <w:rPr>
                <w:sz w:val="18"/>
                <w:szCs w:val="18"/>
                <w:lang w:eastAsia="en-AU"/>
              </w:rPr>
              <w:t> </w:t>
            </w:r>
          </w:p>
        </w:tc>
        <w:tc>
          <w:tcPr>
            <w:tcW w:w="632" w:type="pct"/>
            <w:tcBorders>
              <w:top w:val="nil"/>
              <w:left w:val="nil"/>
              <w:bottom w:val="single" w:sz="4" w:space="0" w:color="auto"/>
              <w:right w:val="single" w:sz="4" w:space="0" w:color="auto"/>
            </w:tcBorders>
            <w:shd w:val="clear" w:color="000000" w:fill="000000"/>
            <w:noWrap/>
            <w:vAlign w:val="bottom"/>
            <w:hideMark/>
          </w:tcPr>
          <w:p w14:paraId="24FF5470" w14:textId="77777777" w:rsidR="009A356E" w:rsidRPr="00C10545" w:rsidRDefault="009A356E" w:rsidP="009A356E">
            <w:pPr>
              <w:rPr>
                <w:sz w:val="18"/>
                <w:szCs w:val="18"/>
                <w:lang w:eastAsia="en-AU"/>
              </w:rPr>
            </w:pPr>
            <w:r w:rsidRPr="00C10545">
              <w:rPr>
                <w:sz w:val="18"/>
                <w:szCs w:val="18"/>
                <w:lang w:eastAsia="en-AU"/>
              </w:rPr>
              <w:t> </w:t>
            </w:r>
          </w:p>
        </w:tc>
        <w:tc>
          <w:tcPr>
            <w:tcW w:w="629" w:type="pct"/>
            <w:tcBorders>
              <w:top w:val="nil"/>
              <w:left w:val="nil"/>
              <w:bottom w:val="single" w:sz="4" w:space="0" w:color="auto"/>
              <w:right w:val="single" w:sz="4" w:space="0" w:color="auto"/>
            </w:tcBorders>
            <w:shd w:val="clear" w:color="000000" w:fill="000000"/>
            <w:noWrap/>
            <w:vAlign w:val="bottom"/>
            <w:hideMark/>
          </w:tcPr>
          <w:p w14:paraId="7257166A" w14:textId="77777777" w:rsidR="009A356E" w:rsidRPr="00C10545" w:rsidRDefault="009A356E" w:rsidP="009A356E">
            <w:pPr>
              <w:rPr>
                <w:sz w:val="18"/>
                <w:szCs w:val="18"/>
                <w:lang w:eastAsia="en-AU"/>
              </w:rPr>
            </w:pPr>
            <w:r w:rsidRPr="00C10545">
              <w:rPr>
                <w:sz w:val="18"/>
                <w:szCs w:val="18"/>
                <w:lang w:eastAsia="en-AU"/>
              </w:rPr>
              <w:t> </w:t>
            </w:r>
          </w:p>
        </w:tc>
      </w:tr>
      <w:tr w:rsidR="009A356E" w:rsidRPr="00F23FF7" w14:paraId="11B116AD" w14:textId="77777777" w:rsidTr="009A356E">
        <w:trPr>
          <w:trHeight w:val="240"/>
        </w:trPr>
        <w:tc>
          <w:tcPr>
            <w:tcW w:w="1211" w:type="pct"/>
            <w:tcBorders>
              <w:top w:val="nil"/>
              <w:left w:val="single" w:sz="4" w:space="0" w:color="auto"/>
              <w:bottom w:val="single" w:sz="4" w:space="0" w:color="auto"/>
              <w:right w:val="single" w:sz="4" w:space="0" w:color="auto"/>
            </w:tcBorders>
            <w:shd w:val="clear" w:color="auto" w:fill="auto"/>
            <w:noWrap/>
            <w:vAlign w:val="bottom"/>
            <w:hideMark/>
          </w:tcPr>
          <w:p w14:paraId="38498974" w14:textId="77777777" w:rsidR="009A356E" w:rsidRPr="00C10545" w:rsidRDefault="009A356E" w:rsidP="009A356E">
            <w:pPr>
              <w:rPr>
                <w:sz w:val="18"/>
                <w:szCs w:val="18"/>
                <w:lang w:eastAsia="en-AU"/>
              </w:rPr>
            </w:pPr>
            <w:r w:rsidRPr="00C10545">
              <w:rPr>
                <w:sz w:val="18"/>
                <w:szCs w:val="18"/>
                <w:lang w:eastAsia="en-AU"/>
              </w:rPr>
              <w:t>Greater Bendigo</w:t>
            </w:r>
          </w:p>
        </w:tc>
        <w:tc>
          <w:tcPr>
            <w:tcW w:w="632" w:type="pct"/>
            <w:tcBorders>
              <w:top w:val="nil"/>
              <w:left w:val="nil"/>
              <w:bottom w:val="single" w:sz="4" w:space="0" w:color="auto"/>
              <w:right w:val="single" w:sz="4" w:space="0" w:color="auto"/>
            </w:tcBorders>
            <w:shd w:val="clear" w:color="auto" w:fill="auto"/>
            <w:noWrap/>
            <w:vAlign w:val="bottom"/>
            <w:hideMark/>
          </w:tcPr>
          <w:p w14:paraId="782AF882" w14:textId="578CB53C" w:rsidR="009A356E" w:rsidRPr="00C10545" w:rsidRDefault="009A356E" w:rsidP="009A356E">
            <w:pPr>
              <w:rPr>
                <w:sz w:val="18"/>
                <w:szCs w:val="18"/>
                <w:lang w:eastAsia="en-AU"/>
              </w:rPr>
            </w:pPr>
            <w:r w:rsidRPr="00C10545">
              <w:rPr>
                <w:sz w:val="18"/>
                <w:szCs w:val="18"/>
                <w:lang w:eastAsia="en-AU"/>
              </w:rPr>
              <w:t xml:space="preserve"> 98.7 </w:t>
            </w:r>
          </w:p>
        </w:tc>
        <w:tc>
          <w:tcPr>
            <w:tcW w:w="632" w:type="pct"/>
            <w:tcBorders>
              <w:top w:val="nil"/>
              <w:left w:val="nil"/>
              <w:bottom w:val="single" w:sz="4" w:space="0" w:color="auto"/>
              <w:right w:val="single" w:sz="4" w:space="0" w:color="auto"/>
            </w:tcBorders>
            <w:shd w:val="clear" w:color="auto" w:fill="auto"/>
            <w:noWrap/>
            <w:vAlign w:val="bottom"/>
            <w:hideMark/>
          </w:tcPr>
          <w:p w14:paraId="238C9D79" w14:textId="1C0FB1A1" w:rsidR="009A356E" w:rsidRPr="00C10545" w:rsidRDefault="009A356E" w:rsidP="009A356E">
            <w:pPr>
              <w:rPr>
                <w:sz w:val="18"/>
                <w:szCs w:val="18"/>
                <w:lang w:eastAsia="en-AU"/>
              </w:rPr>
            </w:pPr>
            <w:r w:rsidRPr="00C10545">
              <w:rPr>
                <w:sz w:val="18"/>
                <w:szCs w:val="18"/>
                <w:lang w:eastAsia="en-AU"/>
              </w:rPr>
              <w:t xml:space="preserve"> 98.0 </w:t>
            </w:r>
          </w:p>
        </w:tc>
        <w:tc>
          <w:tcPr>
            <w:tcW w:w="632" w:type="pct"/>
            <w:tcBorders>
              <w:top w:val="nil"/>
              <w:left w:val="nil"/>
              <w:bottom w:val="single" w:sz="4" w:space="0" w:color="auto"/>
              <w:right w:val="single" w:sz="4" w:space="0" w:color="auto"/>
            </w:tcBorders>
            <w:shd w:val="clear" w:color="auto" w:fill="auto"/>
            <w:noWrap/>
            <w:vAlign w:val="bottom"/>
            <w:hideMark/>
          </w:tcPr>
          <w:p w14:paraId="6481E360" w14:textId="7632CFBF" w:rsidR="009A356E" w:rsidRPr="00C10545" w:rsidRDefault="009A356E" w:rsidP="009A356E">
            <w:pPr>
              <w:rPr>
                <w:sz w:val="18"/>
                <w:szCs w:val="18"/>
                <w:lang w:eastAsia="en-AU"/>
              </w:rPr>
            </w:pPr>
            <w:r w:rsidRPr="00C10545">
              <w:rPr>
                <w:sz w:val="18"/>
                <w:szCs w:val="18"/>
                <w:lang w:eastAsia="en-AU"/>
              </w:rPr>
              <w:t xml:space="preserve"> 83.7 </w:t>
            </w:r>
          </w:p>
        </w:tc>
        <w:tc>
          <w:tcPr>
            <w:tcW w:w="632" w:type="pct"/>
            <w:tcBorders>
              <w:top w:val="nil"/>
              <w:left w:val="nil"/>
              <w:bottom w:val="single" w:sz="4" w:space="0" w:color="auto"/>
              <w:right w:val="single" w:sz="4" w:space="0" w:color="auto"/>
            </w:tcBorders>
            <w:shd w:val="clear" w:color="auto" w:fill="auto"/>
            <w:noWrap/>
            <w:vAlign w:val="bottom"/>
            <w:hideMark/>
          </w:tcPr>
          <w:p w14:paraId="65FCD175" w14:textId="4E814245" w:rsidR="009A356E" w:rsidRPr="00C10545" w:rsidRDefault="009A356E" w:rsidP="009A356E">
            <w:pPr>
              <w:rPr>
                <w:sz w:val="18"/>
                <w:szCs w:val="18"/>
                <w:lang w:eastAsia="en-AU"/>
              </w:rPr>
            </w:pPr>
            <w:r w:rsidRPr="00C10545">
              <w:rPr>
                <w:sz w:val="18"/>
                <w:szCs w:val="18"/>
                <w:lang w:eastAsia="en-AU"/>
              </w:rPr>
              <w:t xml:space="preserve"> 83.5 </w:t>
            </w:r>
          </w:p>
        </w:tc>
        <w:tc>
          <w:tcPr>
            <w:tcW w:w="632" w:type="pct"/>
            <w:tcBorders>
              <w:top w:val="nil"/>
              <w:left w:val="nil"/>
              <w:bottom w:val="single" w:sz="4" w:space="0" w:color="auto"/>
              <w:right w:val="single" w:sz="4" w:space="0" w:color="auto"/>
            </w:tcBorders>
            <w:shd w:val="clear" w:color="auto" w:fill="auto"/>
            <w:noWrap/>
            <w:vAlign w:val="bottom"/>
            <w:hideMark/>
          </w:tcPr>
          <w:p w14:paraId="2EFC71D0" w14:textId="257CBE8E" w:rsidR="009A356E" w:rsidRPr="00C10545" w:rsidRDefault="009A356E" w:rsidP="009A356E">
            <w:pPr>
              <w:rPr>
                <w:sz w:val="18"/>
                <w:szCs w:val="18"/>
                <w:lang w:eastAsia="en-AU"/>
              </w:rPr>
            </w:pPr>
            <w:r w:rsidRPr="00C10545">
              <w:rPr>
                <w:sz w:val="18"/>
                <w:szCs w:val="18"/>
                <w:lang w:eastAsia="en-AU"/>
              </w:rPr>
              <w:t xml:space="preserve"> 75.3 </w:t>
            </w:r>
          </w:p>
        </w:tc>
        <w:tc>
          <w:tcPr>
            <w:tcW w:w="629" w:type="pct"/>
            <w:tcBorders>
              <w:top w:val="nil"/>
              <w:left w:val="nil"/>
              <w:bottom w:val="single" w:sz="4" w:space="0" w:color="auto"/>
              <w:right w:val="single" w:sz="4" w:space="0" w:color="auto"/>
            </w:tcBorders>
            <w:shd w:val="clear" w:color="auto" w:fill="auto"/>
            <w:noWrap/>
            <w:vAlign w:val="bottom"/>
            <w:hideMark/>
          </w:tcPr>
          <w:p w14:paraId="25A6F927" w14:textId="330AF7BB" w:rsidR="009A356E" w:rsidRPr="00C10545" w:rsidRDefault="009A356E" w:rsidP="009A356E">
            <w:pPr>
              <w:rPr>
                <w:sz w:val="18"/>
                <w:szCs w:val="18"/>
                <w:lang w:eastAsia="en-AU"/>
              </w:rPr>
            </w:pPr>
            <w:r w:rsidRPr="00C10545">
              <w:rPr>
                <w:sz w:val="18"/>
                <w:szCs w:val="18"/>
                <w:lang w:eastAsia="en-AU"/>
              </w:rPr>
              <w:t xml:space="preserve"> 71.7 </w:t>
            </w:r>
          </w:p>
        </w:tc>
      </w:tr>
      <w:tr w:rsidR="009A356E" w:rsidRPr="00F23FF7" w14:paraId="15F44CC2" w14:textId="77777777" w:rsidTr="009A356E">
        <w:trPr>
          <w:trHeight w:val="240"/>
        </w:trPr>
        <w:tc>
          <w:tcPr>
            <w:tcW w:w="1211" w:type="pct"/>
            <w:tcBorders>
              <w:top w:val="nil"/>
              <w:left w:val="single" w:sz="4" w:space="0" w:color="auto"/>
              <w:bottom w:val="single" w:sz="4" w:space="0" w:color="auto"/>
              <w:right w:val="single" w:sz="4" w:space="0" w:color="auto"/>
            </w:tcBorders>
            <w:shd w:val="clear" w:color="auto" w:fill="auto"/>
            <w:noWrap/>
            <w:vAlign w:val="bottom"/>
            <w:hideMark/>
          </w:tcPr>
          <w:p w14:paraId="51BFA597" w14:textId="77777777" w:rsidR="009A356E" w:rsidRPr="00C10545" w:rsidRDefault="009A356E" w:rsidP="009A356E">
            <w:pPr>
              <w:rPr>
                <w:sz w:val="18"/>
                <w:szCs w:val="18"/>
                <w:lang w:eastAsia="en-AU"/>
              </w:rPr>
            </w:pPr>
            <w:r w:rsidRPr="00C10545">
              <w:rPr>
                <w:sz w:val="18"/>
                <w:szCs w:val="18"/>
                <w:lang w:eastAsia="en-AU"/>
              </w:rPr>
              <w:t>Greater Geelong</w:t>
            </w:r>
          </w:p>
        </w:tc>
        <w:tc>
          <w:tcPr>
            <w:tcW w:w="632" w:type="pct"/>
            <w:tcBorders>
              <w:top w:val="nil"/>
              <w:left w:val="nil"/>
              <w:bottom w:val="single" w:sz="4" w:space="0" w:color="auto"/>
              <w:right w:val="single" w:sz="4" w:space="0" w:color="auto"/>
            </w:tcBorders>
            <w:shd w:val="clear" w:color="auto" w:fill="auto"/>
            <w:noWrap/>
            <w:vAlign w:val="bottom"/>
            <w:hideMark/>
          </w:tcPr>
          <w:p w14:paraId="40407B48" w14:textId="04498401" w:rsidR="009A356E" w:rsidRPr="00C10545" w:rsidRDefault="009A356E" w:rsidP="009A356E">
            <w:pPr>
              <w:rPr>
                <w:sz w:val="18"/>
                <w:szCs w:val="18"/>
                <w:lang w:eastAsia="en-AU"/>
              </w:rPr>
            </w:pPr>
            <w:r w:rsidRPr="00C10545">
              <w:rPr>
                <w:sz w:val="18"/>
                <w:szCs w:val="18"/>
                <w:lang w:eastAsia="en-AU"/>
              </w:rPr>
              <w:t xml:space="preserve"> 65.7 </w:t>
            </w:r>
          </w:p>
        </w:tc>
        <w:tc>
          <w:tcPr>
            <w:tcW w:w="632" w:type="pct"/>
            <w:tcBorders>
              <w:top w:val="nil"/>
              <w:left w:val="nil"/>
              <w:bottom w:val="single" w:sz="4" w:space="0" w:color="auto"/>
              <w:right w:val="single" w:sz="4" w:space="0" w:color="auto"/>
            </w:tcBorders>
            <w:shd w:val="clear" w:color="auto" w:fill="auto"/>
            <w:noWrap/>
            <w:vAlign w:val="bottom"/>
            <w:hideMark/>
          </w:tcPr>
          <w:p w14:paraId="04C64271" w14:textId="7EBB92B9" w:rsidR="009A356E" w:rsidRPr="00C10545" w:rsidRDefault="009A356E" w:rsidP="009A356E">
            <w:pPr>
              <w:rPr>
                <w:sz w:val="18"/>
                <w:szCs w:val="18"/>
                <w:lang w:eastAsia="en-AU"/>
              </w:rPr>
            </w:pPr>
            <w:r w:rsidRPr="00C10545">
              <w:rPr>
                <w:sz w:val="18"/>
                <w:szCs w:val="18"/>
                <w:lang w:eastAsia="en-AU"/>
              </w:rPr>
              <w:t xml:space="preserve"> 64.6 </w:t>
            </w:r>
          </w:p>
        </w:tc>
        <w:tc>
          <w:tcPr>
            <w:tcW w:w="632" w:type="pct"/>
            <w:tcBorders>
              <w:top w:val="nil"/>
              <w:left w:val="nil"/>
              <w:bottom w:val="single" w:sz="4" w:space="0" w:color="auto"/>
              <w:right w:val="single" w:sz="4" w:space="0" w:color="auto"/>
            </w:tcBorders>
            <w:shd w:val="clear" w:color="auto" w:fill="auto"/>
            <w:noWrap/>
            <w:vAlign w:val="bottom"/>
            <w:hideMark/>
          </w:tcPr>
          <w:p w14:paraId="44EF8EE4" w14:textId="22ECAF66" w:rsidR="009A356E" w:rsidRPr="00C10545" w:rsidRDefault="009A356E" w:rsidP="009A356E">
            <w:pPr>
              <w:rPr>
                <w:sz w:val="18"/>
                <w:szCs w:val="18"/>
                <w:lang w:eastAsia="en-AU"/>
              </w:rPr>
            </w:pPr>
            <w:r w:rsidRPr="00C10545">
              <w:rPr>
                <w:sz w:val="18"/>
                <w:szCs w:val="18"/>
                <w:lang w:eastAsia="en-AU"/>
              </w:rPr>
              <w:t xml:space="preserve"> 58.5 </w:t>
            </w:r>
          </w:p>
        </w:tc>
        <w:tc>
          <w:tcPr>
            <w:tcW w:w="632" w:type="pct"/>
            <w:tcBorders>
              <w:top w:val="nil"/>
              <w:left w:val="nil"/>
              <w:bottom w:val="single" w:sz="4" w:space="0" w:color="auto"/>
              <w:right w:val="single" w:sz="4" w:space="0" w:color="auto"/>
            </w:tcBorders>
            <w:shd w:val="clear" w:color="auto" w:fill="auto"/>
            <w:noWrap/>
            <w:vAlign w:val="bottom"/>
            <w:hideMark/>
          </w:tcPr>
          <w:p w14:paraId="35499041" w14:textId="4F032204" w:rsidR="009A356E" w:rsidRPr="00C10545" w:rsidRDefault="009A356E" w:rsidP="009A356E">
            <w:pPr>
              <w:rPr>
                <w:sz w:val="18"/>
                <w:szCs w:val="18"/>
                <w:lang w:eastAsia="en-AU"/>
              </w:rPr>
            </w:pPr>
            <w:r w:rsidRPr="00C10545">
              <w:rPr>
                <w:sz w:val="18"/>
                <w:szCs w:val="18"/>
                <w:lang w:eastAsia="en-AU"/>
              </w:rPr>
              <w:t xml:space="preserve"> 52.7 </w:t>
            </w:r>
          </w:p>
        </w:tc>
        <w:tc>
          <w:tcPr>
            <w:tcW w:w="632" w:type="pct"/>
            <w:tcBorders>
              <w:top w:val="nil"/>
              <w:left w:val="nil"/>
              <w:bottom w:val="single" w:sz="4" w:space="0" w:color="auto"/>
              <w:right w:val="single" w:sz="4" w:space="0" w:color="auto"/>
            </w:tcBorders>
            <w:shd w:val="clear" w:color="auto" w:fill="auto"/>
            <w:noWrap/>
            <w:vAlign w:val="bottom"/>
            <w:hideMark/>
          </w:tcPr>
          <w:p w14:paraId="622FD5C4" w14:textId="63C7A513" w:rsidR="009A356E" w:rsidRPr="00C10545" w:rsidRDefault="009A356E" w:rsidP="009A356E">
            <w:pPr>
              <w:rPr>
                <w:sz w:val="18"/>
                <w:szCs w:val="18"/>
                <w:lang w:eastAsia="en-AU"/>
              </w:rPr>
            </w:pPr>
            <w:r w:rsidRPr="00C10545">
              <w:rPr>
                <w:sz w:val="18"/>
                <w:szCs w:val="18"/>
                <w:lang w:eastAsia="en-AU"/>
              </w:rPr>
              <w:t xml:space="preserve"> 46.2 </w:t>
            </w:r>
          </w:p>
        </w:tc>
        <w:tc>
          <w:tcPr>
            <w:tcW w:w="629" w:type="pct"/>
            <w:tcBorders>
              <w:top w:val="nil"/>
              <w:left w:val="nil"/>
              <w:bottom w:val="single" w:sz="4" w:space="0" w:color="auto"/>
              <w:right w:val="single" w:sz="4" w:space="0" w:color="auto"/>
            </w:tcBorders>
            <w:shd w:val="clear" w:color="auto" w:fill="auto"/>
            <w:noWrap/>
            <w:vAlign w:val="bottom"/>
            <w:hideMark/>
          </w:tcPr>
          <w:p w14:paraId="6028BD55" w14:textId="2D291A42" w:rsidR="009A356E" w:rsidRPr="00C10545" w:rsidRDefault="009A356E" w:rsidP="009A356E">
            <w:pPr>
              <w:rPr>
                <w:sz w:val="18"/>
                <w:szCs w:val="18"/>
                <w:lang w:eastAsia="en-AU"/>
              </w:rPr>
            </w:pPr>
            <w:r w:rsidRPr="00C10545">
              <w:rPr>
                <w:sz w:val="18"/>
                <w:szCs w:val="18"/>
                <w:lang w:eastAsia="en-AU"/>
              </w:rPr>
              <w:t xml:space="preserve"> 43.4 </w:t>
            </w:r>
          </w:p>
        </w:tc>
      </w:tr>
      <w:tr w:rsidR="009A356E" w:rsidRPr="00F23FF7" w14:paraId="53D2982B" w14:textId="77777777" w:rsidTr="009A356E">
        <w:trPr>
          <w:trHeight w:val="240"/>
        </w:trPr>
        <w:tc>
          <w:tcPr>
            <w:tcW w:w="1211" w:type="pct"/>
            <w:tcBorders>
              <w:top w:val="nil"/>
              <w:left w:val="single" w:sz="4" w:space="0" w:color="auto"/>
              <w:bottom w:val="single" w:sz="4" w:space="0" w:color="auto"/>
              <w:right w:val="single" w:sz="4" w:space="0" w:color="auto"/>
            </w:tcBorders>
            <w:shd w:val="clear" w:color="auto" w:fill="auto"/>
            <w:noWrap/>
            <w:vAlign w:val="bottom"/>
            <w:hideMark/>
          </w:tcPr>
          <w:p w14:paraId="58317103" w14:textId="77777777" w:rsidR="009A356E" w:rsidRPr="00C10545" w:rsidRDefault="009A356E" w:rsidP="009A356E">
            <w:pPr>
              <w:rPr>
                <w:sz w:val="18"/>
                <w:szCs w:val="18"/>
                <w:lang w:eastAsia="en-AU"/>
              </w:rPr>
            </w:pPr>
            <w:r w:rsidRPr="00C10545">
              <w:rPr>
                <w:sz w:val="18"/>
                <w:szCs w:val="18"/>
                <w:lang w:eastAsia="en-AU"/>
              </w:rPr>
              <w:t>Greater Shepparton</w:t>
            </w:r>
          </w:p>
        </w:tc>
        <w:tc>
          <w:tcPr>
            <w:tcW w:w="632" w:type="pct"/>
            <w:tcBorders>
              <w:top w:val="nil"/>
              <w:left w:val="nil"/>
              <w:bottom w:val="single" w:sz="4" w:space="0" w:color="auto"/>
              <w:right w:val="single" w:sz="4" w:space="0" w:color="auto"/>
            </w:tcBorders>
            <w:shd w:val="clear" w:color="auto" w:fill="auto"/>
            <w:noWrap/>
            <w:vAlign w:val="bottom"/>
            <w:hideMark/>
          </w:tcPr>
          <w:p w14:paraId="7BC96551" w14:textId="7607C95F" w:rsidR="009A356E" w:rsidRPr="00C10545" w:rsidRDefault="009A356E" w:rsidP="009A356E">
            <w:pPr>
              <w:rPr>
                <w:sz w:val="18"/>
                <w:szCs w:val="18"/>
                <w:lang w:eastAsia="en-AU"/>
              </w:rPr>
            </w:pPr>
            <w:r w:rsidRPr="00C10545">
              <w:rPr>
                <w:sz w:val="18"/>
                <w:szCs w:val="18"/>
                <w:lang w:eastAsia="en-AU"/>
              </w:rPr>
              <w:t xml:space="preserve"> 102.9 </w:t>
            </w:r>
          </w:p>
        </w:tc>
        <w:tc>
          <w:tcPr>
            <w:tcW w:w="632" w:type="pct"/>
            <w:tcBorders>
              <w:top w:val="nil"/>
              <w:left w:val="nil"/>
              <w:bottom w:val="single" w:sz="4" w:space="0" w:color="auto"/>
              <w:right w:val="single" w:sz="4" w:space="0" w:color="auto"/>
            </w:tcBorders>
            <w:shd w:val="clear" w:color="auto" w:fill="auto"/>
            <w:noWrap/>
            <w:vAlign w:val="bottom"/>
            <w:hideMark/>
          </w:tcPr>
          <w:p w14:paraId="7840BD79" w14:textId="44AFE303" w:rsidR="009A356E" w:rsidRPr="00C10545" w:rsidRDefault="009A356E" w:rsidP="009A356E">
            <w:pPr>
              <w:rPr>
                <w:sz w:val="18"/>
                <w:szCs w:val="18"/>
                <w:lang w:eastAsia="en-AU"/>
              </w:rPr>
            </w:pPr>
            <w:r w:rsidRPr="00C10545">
              <w:rPr>
                <w:sz w:val="18"/>
                <w:szCs w:val="18"/>
                <w:lang w:eastAsia="en-AU"/>
              </w:rPr>
              <w:t xml:space="preserve"> 105.4 </w:t>
            </w:r>
          </w:p>
        </w:tc>
        <w:tc>
          <w:tcPr>
            <w:tcW w:w="632" w:type="pct"/>
            <w:tcBorders>
              <w:top w:val="nil"/>
              <w:left w:val="nil"/>
              <w:bottom w:val="single" w:sz="4" w:space="0" w:color="auto"/>
              <w:right w:val="single" w:sz="4" w:space="0" w:color="auto"/>
            </w:tcBorders>
            <w:shd w:val="clear" w:color="auto" w:fill="auto"/>
            <w:noWrap/>
            <w:vAlign w:val="bottom"/>
            <w:hideMark/>
          </w:tcPr>
          <w:p w14:paraId="66B1BE1F" w14:textId="0C80478F" w:rsidR="009A356E" w:rsidRPr="00C10545" w:rsidRDefault="009A356E" w:rsidP="009A356E">
            <w:pPr>
              <w:rPr>
                <w:sz w:val="18"/>
                <w:szCs w:val="18"/>
                <w:lang w:eastAsia="en-AU"/>
              </w:rPr>
            </w:pPr>
            <w:r w:rsidRPr="00C10545">
              <w:rPr>
                <w:sz w:val="18"/>
                <w:szCs w:val="18"/>
                <w:lang w:eastAsia="en-AU"/>
              </w:rPr>
              <w:t xml:space="preserve"> 97.4 </w:t>
            </w:r>
          </w:p>
        </w:tc>
        <w:tc>
          <w:tcPr>
            <w:tcW w:w="632" w:type="pct"/>
            <w:tcBorders>
              <w:top w:val="nil"/>
              <w:left w:val="nil"/>
              <w:bottom w:val="single" w:sz="4" w:space="0" w:color="auto"/>
              <w:right w:val="single" w:sz="4" w:space="0" w:color="auto"/>
            </w:tcBorders>
            <w:shd w:val="clear" w:color="auto" w:fill="auto"/>
            <w:noWrap/>
            <w:vAlign w:val="bottom"/>
            <w:hideMark/>
          </w:tcPr>
          <w:p w14:paraId="4BD78C25" w14:textId="6141BD04" w:rsidR="009A356E" w:rsidRPr="00C10545" w:rsidRDefault="009A356E" w:rsidP="009A356E">
            <w:pPr>
              <w:rPr>
                <w:sz w:val="18"/>
                <w:szCs w:val="18"/>
                <w:lang w:eastAsia="en-AU"/>
              </w:rPr>
            </w:pPr>
            <w:r w:rsidRPr="00C10545">
              <w:rPr>
                <w:sz w:val="18"/>
                <w:szCs w:val="18"/>
                <w:lang w:eastAsia="en-AU"/>
              </w:rPr>
              <w:t xml:space="preserve"> 97.3 </w:t>
            </w:r>
          </w:p>
        </w:tc>
        <w:tc>
          <w:tcPr>
            <w:tcW w:w="632" w:type="pct"/>
            <w:tcBorders>
              <w:top w:val="nil"/>
              <w:left w:val="nil"/>
              <w:bottom w:val="single" w:sz="4" w:space="0" w:color="auto"/>
              <w:right w:val="single" w:sz="4" w:space="0" w:color="auto"/>
            </w:tcBorders>
            <w:shd w:val="clear" w:color="auto" w:fill="auto"/>
            <w:noWrap/>
            <w:vAlign w:val="bottom"/>
            <w:hideMark/>
          </w:tcPr>
          <w:p w14:paraId="27283BF6" w14:textId="701CDB35" w:rsidR="009A356E" w:rsidRPr="00C10545" w:rsidRDefault="009A356E" w:rsidP="009A356E">
            <w:pPr>
              <w:rPr>
                <w:sz w:val="18"/>
                <w:szCs w:val="18"/>
                <w:lang w:eastAsia="en-AU"/>
              </w:rPr>
            </w:pPr>
            <w:r w:rsidRPr="00C10545">
              <w:rPr>
                <w:sz w:val="18"/>
                <w:szCs w:val="18"/>
                <w:lang w:eastAsia="en-AU"/>
              </w:rPr>
              <w:t xml:space="preserve"> 98.4 </w:t>
            </w:r>
          </w:p>
        </w:tc>
        <w:tc>
          <w:tcPr>
            <w:tcW w:w="629" w:type="pct"/>
            <w:tcBorders>
              <w:top w:val="nil"/>
              <w:left w:val="nil"/>
              <w:bottom w:val="single" w:sz="4" w:space="0" w:color="auto"/>
              <w:right w:val="single" w:sz="4" w:space="0" w:color="auto"/>
            </w:tcBorders>
            <w:shd w:val="clear" w:color="auto" w:fill="auto"/>
            <w:noWrap/>
            <w:vAlign w:val="bottom"/>
            <w:hideMark/>
          </w:tcPr>
          <w:p w14:paraId="4D912202" w14:textId="05DD3374" w:rsidR="009A356E" w:rsidRPr="00C10545" w:rsidRDefault="009A356E" w:rsidP="009A356E">
            <w:pPr>
              <w:rPr>
                <w:sz w:val="18"/>
                <w:szCs w:val="18"/>
                <w:lang w:eastAsia="en-AU"/>
              </w:rPr>
            </w:pPr>
            <w:r w:rsidRPr="00C10545">
              <w:rPr>
                <w:sz w:val="18"/>
                <w:szCs w:val="18"/>
                <w:lang w:eastAsia="en-AU"/>
              </w:rPr>
              <w:t xml:space="preserve"> 94.3 </w:t>
            </w:r>
          </w:p>
        </w:tc>
      </w:tr>
      <w:tr w:rsidR="009A356E" w:rsidRPr="00F23FF7" w14:paraId="763BA8F4" w14:textId="77777777" w:rsidTr="009A356E">
        <w:trPr>
          <w:trHeight w:val="240"/>
        </w:trPr>
        <w:tc>
          <w:tcPr>
            <w:tcW w:w="1211" w:type="pct"/>
            <w:tcBorders>
              <w:top w:val="nil"/>
              <w:left w:val="single" w:sz="4" w:space="0" w:color="auto"/>
              <w:bottom w:val="single" w:sz="4" w:space="0" w:color="auto"/>
              <w:right w:val="single" w:sz="4" w:space="0" w:color="auto"/>
            </w:tcBorders>
            <w:shd w:val="clear" w:color="auto" w:fill="auto"/>
            <w:noWrap/>
            <w:vAlign w:val="bottom"/>
            <w:hideMark/>
          </w:tcPr>
          <w:p w14:paraId="5124839C" w14:textId="77777777" w:rsidR="009A356E" w:rsidRPr="00C10545" w:rsidRDefault="009A356E" w:rsidP="009A356E">
            <w:pPr>
              <w:rPr>
                <w:sz w:val="18"/>
                <w:szCs w:val="18"/>
                <w:lang w:eastAsia="en-AU"/>
              </w:rPr>
            </w:pPr>
            <w:r w:rsidRPr="00C10545">
              <w:rPr>
                <w:sz w:val="18"/>
                <w:szCs w:val="18"/>
                <w:lang w:eastAsia="en-AU"/>
              </w:rPr>
              <w:t>Mildura</w:t>
            </w:r>
          </w:p>
        </w:tc>
        <w:tc>
          <w:tcPr>
            <w:tcW w:w="632" w:type="pct"/>
            <w:tcBorders>
              <w:top w:val="nil"/>
              <w:left w:val="nil"/>
              <w:bottom w:val="single" w:sz="4" w:space="0" w:color="auto"/>
              <w:right w:val="single" w:sz="4" w:space="0" w:color="auto"/>
            </w:tcBorders>
            <w:shd w:val="clear" w:color="auto" w:fill="auto"/>
            <w:noWrap/>
            <w:vAlign w:val="bottom"/>
            <w:hideMark/>
          </w:tcPr>
          <w:p w14:paraId="00D9D749" w14:textId="33A04136" w:rsidR="009A356E" w:rsidRPr="00C10545" w:rsidRDefault="009A356E" w:rsidP="009A356E">
            <w:pPr>
              <w:rPr>
                <w:sz w:val="18"/>
                <w:szCs w:val="18"/>
                <w:lang w:eastAsia="en-AU"/>
              </w:rPr>
            </w:pPr>
            <w:r w:rsidRPr="00C10545">
              <w:rPr>
                <w:sz w:val="18"/>
                <w:szCs w:val="18"/>
                <w:lang w:eastAsia="en-AU"/>
              </w:rPr>
              <w:t xml:space="preserve"> 121.0 </w:t>
            </w:r>
          </w:p>
        </w:tc>
        <w:tc>
          <w:tcPr>
            <w:tcW w:w="632" w:type="pct"/>
            <w:tcBorders>
              <w:top w:val="nil"/>
              <w:left w:val="nil"/>
              <w:bottom w:val="single" w:sz="4" w:space="0" w:color="auto"/>
              <w:right w:val="single" w:sz="4" w:space="0" w:color="auto"/>
            </w:tcBorders>
            <w:shd w:val="clear" w:color="auto" w:fill="auto"/>
            <w:noWrap/>
            <w:vAlign w:val="bottom"/>
            <w:hideMark/>
          </w:tcPr>
          <w:p w14:paraId="4024B64E" w14:textId="3CDB1FC2" w:rsidR="009A356E" w:rsidRPr="00C10545" w:rsidRDefault="009A356E" w:rsidP="009A356E">
            <w:pPr>
              <w:rPr>
                <w:sz w:val="18"/>
                <w:szCs w:val="18"/>
                <w:lang w:eastAsia="en-AU"/>
              </w:rPr>
            </w:pPr>
            <w:r w:rsidRPr="00C10545">
              <w:rPr>
                <w:sz w:val="18"/>
                <w:szCs w:val="18"/>
                <w:lang w:eastAsia="en-AU"/>
              </w:rPr>
              <w:t xml:space="preserve"> 129.9 </w:t>
            </w:r>
          </w:p>
        </w:tc>
        <w:tc>
          <w:tcPr>
            <w:tcW w:w="632" w:type="pct"/>
            <w:tcBorders>
              <w:top w:val="nil"/>
              <w:left w:val="nil"/>
              <w:bottom w:val="single" w:sz="4" w:space="0" w:color="auto"/>
              <w:right w:val="single" w:sz="4" w:space="0" w:color="auto"/>
            </w:tcBorders>
            <w:shd w:val="clear" w:color="auto" w:fill="auto"/>
            <w:noWrap/>
            <w:vAlign w:val="bottom"/>
            <w:hideMark/>
          </w:tcPr>
          <w:p w14:paraId="5B729D4F" w14:textId="044C2A79" w:rsidR="009A356E" w:rsidRPr="00C10545" w:rsidRDefault="009A356E" w:rsidP="009A356E">
            <w:pPr>
              <w:rPr>
                <w:sz w:val="18"/>
                <w:szCs w:val="18"/>
                <w:lang w:eastAsia="en-AU"/>
              </w:rPr>
            </w:pPr>
            <w:r w:rsidRPr="00C10545">
              <w:rPr>
                <w:sz w:val="18"/>
                <w:szCs w:val="18"/>
                <w:lang w:eastAsia="en-AU"/>
              </w:rPr>
              <w:t xml:space="preserve"> 126.6 </w:t>
            </w:r>
          </w:p>
        </w:tc>
        <w:tc>
          <w:tcPr>
            <w:tcW w:w="632" w:type="pct"/>
            <w:tcBorders>
              <w:top w:val="nil"/>
              <w:left w:val="nil"/>
              <w:bottom w:val="single" w:sz="4" w:space="0" w:color="auto"/>
              <w:right w:val="single" w:sz="4" w:space="0" w:color="auto"/>
            </w:tcBorders>
            <w:shd w:val="clear" w:color="auto" w:fill="auto"/>
            <w:noWrap/>
            <w:vAlign w:val="bottom"/>
            <w:hideMark/>
          </w:tcPr>
          <w:p w14:paraId="5709D63C" w14:textId="0B606A6E" w:rsidR="009A356E" w:rsidRPr="00C10545" w:rsidRDefault="009A356E" w:rsidP="009A356E">
            <w:pPr>
              <w:rPr>
                <w:sz w:val="18"/>
                <w:szCs w:val="18"/>
                <w:lang w:eastAsia="en-AU"/>
              </w:rPr>
            </w:pPr>
            <w:r w:rsidRPr="00C10545">
              <w:rPr>
                <w:sz w:val="18"/>
                <w:szCs w:val="18"/>
                <w:lang w:eastAsia="en-AU"/>
              </w:rPr>
              <w:t xml:space="preserve"> 134.0 </w:t>
            </w:r>
          </w:p>
        </w:tc>
        <w:tc>
          <w:tcPr>
            <w:tcW w:w="632" w:type="pct"/>
            <w:tcBorders>
              <w:top w:val="nil"/>
              <w:left w:val="nil"/>
              <w:bottom w:val="single" w:sz="4" w:space="0" w:color="auto"/>
              <w:right w:val="single" w:sz="4" w:space="0" w:color="auto"/>
            </w:tcBorders>
            <w:shd w:val="clear" w:color="auto" w:fill="auto"/>
            <w:noWrap/>
            <w:vAlign w:val="bottom"/>
            <w:hideMark/>
          </w:tcPr>
          <w:p w14:paraId="2F6CA346" w14:textId="329CDF6B" w:rsidR="009A356E" w:rsidRPr="00C10545" w:rsidRDefault="009A356E" w:rsidP="009A356E">
            <w:pPr>
              <w:rPr>
                <w:sz w:val="18"/>
                <w:szCs w:val="18"/>
                <w:lang w:eastAsia="en-AU"/>
              </w:rPr>
            </w:pPr>
            <w:r w:rsidRPr="00C10545">
              <w:rPr>
                <w:sz w:val="18"/>
                <w:szCs w:val="18"/>
                <w:lang w:eastAsia="en-AU"/>
              </w:rPr>
              <w:t xml:space="preserve"> 135.1 </w:t>
            </w:r>
          </w:p>
        </w:tc>
        <w:tc>
          <w:tcPr>
            <w:tcW w:w="629" w:type="pct"/>
            <w:tcBorders>
              <w:top w:val="nil"/>
              <w:left w:val="nil"/>
              <w:bottom w:val="single" w:sz="4" w:space="0" w:color="auto"/>
              <w:right w:val="single" w:sz="4" w:space="0" w:color="auto"/>
            </w:tcBorders>
            <w:shd w:val="clear" w:color="auto" w:fill="auto"/>
            <w:noWrap/>
            <w:vAlign w:val="bottom"/>
            <w:hideMark/>
          </w:tcPr>
          <w:p w14:paraId="75C08859" w14:textId="2580391D" w:rsidR="009A356E" w:rsidRPr="00C10545" w:rsidRDefault="009A356E" w:rsidP="009A356E">
            <w:pPr>
              <w:rPr>
                <w:sz w:val="18"/>
                <w:szCs w:val="18"/>
                <w:lang w:eastAsia="en-AU"/>
              </w:rPr>
            </w:pPr>
            <w:r w:rsidRPr="00C10545">
              <w:rPr>
                <w:sz w:val="18"/>
                <w:szCs w:val="18"/>
                <w:lang w:eastAsia="en-AU"/>
              </w:rPr>
              <w:t xml:space="preserve"> 132.4 </w:t>
            </w:r>
          </w:p>
        </w:tc>
      </w:tr>
      <w:tr w:rsidR="009A356E" w:rsidRPr="00F23FF7" w14:paraId="03DC9625" w14:textId="77777777" w:rsidTr="009A356E">
        <w:trPr>
          <w:trHeight w:val="240"/>
        </w:trPr>
        <w:tc>
          <w:tcPr>
            <w:tcW w:w="1211" w:type="pct"/>
            <w:tcBorders>
              <w:top w:val="nil"/>
              <w:left w:val="single" w:sz="4" w:space="0" w:color="auto"/>
              <w:bottom w:val="single" w:sz="4" w:space="0" w:color="auto"/>
              <w:right w:val="single" w:sz="4" w:space="0" w:color="auto"/>
            </w:tcBorders>
            <w:shd w:val="clear" w:color="auto" w:fill="auto"/>
            <w:noWrap/>
            <w:vAlign w:val="bottom"/>
            <w:hideMark/>
          </w:tcPr>
          <w:p w14:paraId="69CD84C3" w14:textId="77777777" w:rsidR="009A356E" w:rsidRPr="00C10545" w:rsidRDefault="009A356E" w:rsidP="009A356E">
            <w:pPr>
              <w:rPr>
                <w:sz w:val="18"/>
                <w:szCs w:val="18"/>
                <w:lang w:eastAsia="en-AU"/>
              </w:rPr>
            </w:pPr>
            <w:r w:rsidRPr="00C10545">
              <w:rPr>
                <w:sz w:val="18"/>
                <w:szCs w:val="18"/>
                <w:lang w:eastAsia="en-AU"/>
              </w:rPr>
              <w:t>Warrnambool</w:t>
            </w:r>
          </w:p>
        </w:tc>
        <w:tc>
          <w:tcPr>
            <w:tcW w:w="632" w:type="pct"/>
            <w:tcBorders>
              <w:top w:val="nil"/>
              <w:left w:val="nil"/>
              <w:bottom w:val="single" w:sz="4" w:space="0" w:color="auto"/>
              <w:right w:val="single" w:sz="4" w:space="0" w:color="auto"/>
            </w:tcBorders>
            <w:shd w:val="clear" w:color="auto" w:fill="auto"/>
            <w:noWrap/>
            <w:vAlign w:val="bottom"/>
            <w:hideMark/>
          </w:tcPr>
          <w:p w14:paraId="0C6B0AE1" w14:textId="51958ACA" w:rsidR="009A356E" w:rsidRPr="00C10545" w:rsidRDefault="009A356E" w:rsidP="009A356E">
            <w:pPr>
              <w:rPr>
                <w:sz w:val="18"/>
                <w:szCs w:val="18"/>
                <w:lang w:eastAsia="en-AU"/>
              </w:rPr>
            </w:pPr>
            <w:r w:rsidRPr="00C10545">
              <w:rPr>
                <w:sz w:val="18"/>
                <w:szCs w:val="18"/>
                <w:lang w:eastAsia="en-AU"/>
              </w:rPr>
              <w:t xml:space="preserve"> 78.3 </w:t>
            </w:r>
          </w:p>
        </w:tc>
        <w:tc>
          <w:tcPr>
            <w:tcW w:w="632" w:type="pct"/>
            <w:tcBorders>
              <w:top w:val="nil"/>
              <w:left w:val="nil"/>
              <w:bottom w:val="single" w:sz="4" w:space="0" w:color="auto"/>
              <w:right w:val="single" w:sz="4" w:space="0" w:color="auto"/>
            </w:tcBorders>
            <w:shd w:val="clear" w:color="auto" w:fill="auto"/>
            <w:noWrap/>
            <w:vAlign w:val="bottom"/>
            <w:hideMark/>
          </w:tcPr>
          <w:p w14:paraId="018D0BA5" w14:textId="409CF754" w:rsidR="009A356E" w:rsidRPr="00C10545" w:rsidRDefault="009A356E" w:rsidP="009A356E">
            <w:pPr>
              <w:rPr>
                <w:sz w:val="18"/>
                <w:szCs w:val="18"/>
                <w:lang w:eastAsia="en-AU"/>
              </w:rPr>
            </w:pPr>
            <w:r w:rsidRPr="00C10545">
              <w:rPr>
                <w:sz w:val="18"/>
                <w:szCs w:val="18"/>
                <w:lang w:eastAsia="en-AU"/>
              </w:rPr>
              <w:t xml:space="preserve"> 77.2 </w:t>
            </w:r>
          </w:p>
        </w:tc>
        <w:tc>
          <w:tcPr>
            <w:tcW w:w="632" w:type="pct"/>
            <w:tcBorders>
              <w:top w:val="nil"/>
              <w:left w:val="nil"/>
              <w:bottom w:val="single" w:sz="4" w:space="0" w:color="auto"/>
              <w:right w:val="single" w:sz="4" w:space="0" w:color="auto"/>
            </w:tcBorders>
            <w:shd w:val="clear" w:color="auto" w:fill="auto"/>
            <w:noWrap/>
            <w:vAlign w:val="bottom"/>
            <w:hideMark/>
          </w:tcPr>
          <w:p w14:paraId="1B046B5F" w14:textId="51235040" w:rsidR="009A356E" w:rsidRPr="00C10545" w:rsidRDefault="009A356E" w:rsidP="009A356E">
            <w:pPr>
              <w:rPr>
                <w:sz w:val="18"/>
                <w:szCs w:val="18"/>
                <w:lang w:eastAsia="en-AU"/>
              </w:rPr>
            </w:pPr>
            <w:r w:rsidRPr="00C10545">
              <w:rPr>
                <w:sz w:val="18"/>
                <w:szCs w:val="18"/>
                <w:lang w:eastAsia="en-AU"/>
              </w:rPr>
              <w:t xml:space="preserve"> 69.2 </w:t>
            </w:r>
          </w:p>
        </w:tc>
        <w:tc>
          <w:tcPr>
            <w:tcW w:w="632" w:type="pct"/>
            <w:tcBorders>
              <w:top w:val="nil"/>
              <w:left w:val="nil"/>
              <w:bottom w:val="single" w:sz="4" w:space="0" w:color="auto"/>
              <w:right w:val="single" w:sz="4" w:space="0" w:color="auto"/>
            </w:tcBorders>
            <w:shd w:val="clear" w:color="auto" w:fill="auto"/>
            <w:noWrap/>
            <w:vAlign w:val="bottom"/>
            <w:hideMark/>
          </w:tcPr>
          <w:p w14:paraId="1397D85C" w14:textId="0CF99243" w:rsidR="009A356E" w:rsidRPr="00C10545" w:rsidRDefault="009A356E" w:rsidP="009A356E">
            <w:pPr>
              <w:rPr>
                <w:sz w:val="18"/>
                <w:szCs w:val="18"/>
                <w:lang w:eastAsia="en-AU"/>
              </w:rPr>
            </w:pPr>
            <w:r w:rsidRPr="00C10545">
              <w:rPr>
                <w:sz w:val="18"/>
                <w:szCs w:val="18"/>
                <w:lang w:eastAsia="en-AU"/>
              </w:rPr>
              <w:t xml:space="preserve"> 63.9 </w:t>
            </w:r>
          </w:p>
        </w:tc>
        <w:tc>
          <w:tcPr>
            <w:tcW w:w="632" w:type="pct"/>
            <w:tcBorders>
              <w:top w:val="nil"/>
              <w:left w:val="nil"/>
              <w:bottom w:val="single" w:sz="4" w:space="0" w:color="auto"/>
              <w:right w:val="single" w:sz="4" w:space="0" w:color="auto"/>
            </w:tcBorders>
            <w:shd w:val="clear" w:color="auto" w:fill="auto"/>
            <w:noWrap/>
            <w:vAlign w:val="bottom"/>
            <w:hideMark/>
          </w:tcPr>
          <w:p w14:paraId="4353ECEB" w14:textId="40DA51FD" w:rsidR="009A356E" w:rsidRPr="00C10545" w:rsidRDefault="009A356E" w:rsidP="009A356E">
            <w:pPr>
              <w:rPr>
                <w:sz w:val="18"/>
                <w:szCs w:val="18"/>
                <w:lang w:eastAsia="en-AU"/>
              </w:rPr>
            </w:pPr>
            <w:r w:rsidRPr="00C10545">
              <w:rPr>
                <w:sz w:val="18"/>
                <w:szCs w:val="18"/>
                <w:lang w:eastAsia="en-AU"/>
              </w:rPr>
              <w:t xml:space="preserve"> 57.3 </w:t>
            </w:r>
          </w:p>
        </w:tc>
        <w:tc>
          <w:tcPr>
            <w:tcW w:w="629" w:type="pct"/>
            <w:tcBorders>
              <w:top w:val="nil"/>
              <w:left w:val="nil"/>
              <w:bottom w:val="single" w:sz="4" w:space="0" w:color="auto"/>
              <w:right w:val="single" w:sz="4" w:space="0" w:color="auto"/>
            </w:tcBorders>
            <w:shd w:val="clear" w:color="auto" w:fill="auto"/>
            <w:noWrap/>
            <w:vAlign w:val="bottom"/>
            <w:hideMark/>
          </w:tcPr>
          <w:p w14:paraId="05B4CB01" w14:textId="05215B74" w:rsidR="009A356E" w:rsidRPr="00C10545" w:rsidRDefault="009A356E" w:rsidP="009A356E">
            <w:pPr>
              <w:rPr>
                <w:sz w:val="18"/>
                <w:szCs w:val="18"/>
                <w:lang w:eastAsia="en-AU"/>
              </w:rPr>
            </w:pPr>
            <w:r w:rsidRPr="00C10545">
              <w:rPr>
                <w:sz w:val="18"/>
                <w:szCs w:val="18"/>
                <w:lang w:eastAsia="en-AU"/>
              </w:rPr>
              <w:t xml:space="preserve"> 54.4 </w:t>
            </w:r>
          </w:p>
        </w:tc>
      </w:tr>
    </w:tbl>
    <w:p w14:paraId="4078C66F" w14:textId="77777777" w:rsidR="009A356E" w:rsidRDefault="009A356E" w:rsidP="009A356E"/>
    <w:p w14:paraId="7461649E" w14:textId="77777777" w:rsidR="009A356E" w:rsidRDefault="009A356E" w:rsidP="009A356E">
      <w:r>
        <w:t>The VGC methodology results in significant year-on-year variations as illustrated in Table 6. Real declines and year on year fluctuations in FAGs are more problematic given the imposition of rate-capping and an inability to offset losses in FAGs by increasing rates.</w:t>
      </w:r>
    </w:p>
    <w:p w14:paraId="575DE880" w14:textId="77777777" w:rsidR="009A356E" w:rsidRDefault="009A356E" w:rsidP="009A356E"/>
    <w:p w14:paraId="48AD4DF1" w14:textId="77777777" w:rsidR="009A356E" w:rsidRPr="00536F48" w:rsidRDefault="009A356E" w:rsidP="009A356E">
      <w:pPr>
        <w:rPr>
          <w:b/>
          <w:sz w:val="20"/>
        </w:rPr>
      </w:pPr>
      <w:r w:rsidRPr="00536F48">
        <w:rPr>
          <w:b/>
          <w:sz w:val="20"/>
        </w:rPr>
        <w:t>Table 6: Change in Real FAGs per Head on Previous Year – Selected Years and Councils</w:t>
      </w:r>
    </w:p>
    <w:tbl>
      <w:tblPr>
        <w:tblW w:w="5000" w:type="pct"/>
        <w:tblLook w:val="04A0" w:firstRow="1" w:lastRow="0" w:firstColumn="1" w:lastColumn="0" w:noHBand="0" w:noVBand="1"/>
      </w:tblPr>
      <w:tblGrid>
        <w:gridCol w:w="2067"/>
        <w:gridCol w:w="1112"/>
        <w:gridCol w:w="1112"/>
        <w:gridCol w:w="1112"/>
        <w:gridCol w:w="1042"/>
        <w:gridCol w:w="1042"/>
        <w:gridCol w:w="1042"/>
      </w:tblGrid>
      <w:tr w:rsidR="009A356E" w:rsidRPr="00C65C2B" w14:paraId="0A7EBED0" w14:textId="77777777" w:rsidTr="009A356E">
        <w:trPr>
          <w:trHeight w:val="240"/>
          <w:tblHeader/>
        </w:trPr>
        <w:tc>
          <w:tcPr>
            <w:tcW w:w="1211" w:type="pct"/>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3B93EF6B" w14:textId="77777777" w:rsidR="009A356E" w:rsidRPr="00C10545" w:rsidRDefault="009A356E" w:rsidP="009A356E">
            <w:pPr>
              <w:rPr>
                <w:sz w:val="18"/>
                <w:szCs w:val="18"/>
                <w:lang w:eastAsia="en-AU"/>
              </w:rPr>
            </w:pPr>
            <w:r w:rsidRPr="00C10545">
              <w:rPr>
                <w:sz w:val="18"/>
                <w:szCs w:val="18"/>
                <w:lang w:eastAsia="en-AU"/>
              </w:rPr>
              <w:t> </w:t>
            </w:r>
          </w:p>
        </w:tc>
        <w:tc>
          <w:tcPr>
            <w:tcW w:w="3789" w:type="pct"/>
            <w:gridSpan w:val="6"/>
            <w:tcBorders>
              <w:top w:val="single" w:sz="4" w:space="0" w:color="auto"/>
              <w:left w:val="nil"/>
              <w:bottom w:val="single" w:sz="4" w:space="0" w:color="auto"/>
              <w:right w:val="single" w:sz="4" w:space="0" w:color="auto"/>
            </w:tcBorders>
            <w:shd w:val="clear" w:color="auto" w:fill="auto"/>
            <w:noWrap/>
            <w:vAlign w:val="bottom"/>
            <w:hideMark/>
          </w:tcPr>
          <w:p w14:paraId="35549FAF" w14:textId="77777777" w:rsidR="009A356E" w:rsidRPr="00C10545" w:rsidRDefault="009A356E" w:rsidP="009A356E">
            <w:pPr>
              <w:jc w:val="center"/>
              <w:rPr>
                <w:b/>
                <w:bCs/>
                <w:sz w:val="18"/>
                <w:szCs w:val="18"/>
                <w:lang w:eastAsia="en-AU"/>
              </w:rPr>
            </w:pPr>
            <w:r w:rsidRPr="00C10545">
              <w:rPr>
                <w:b/>
                <w:bCs/>
                <w:sz w:val="18"/>
                <w:szCs w:val="18"/>
                <w:lang w:eastAsia="en-AU"/>
              </w:rPr>
              <w:t xml:space="preserve">FAGs per Head </w:t>
            </w:r>
            <w:r>
              <w:rPr>
                <w:b/>
                <w:bCs/>
                <w:sz w:val="18"/>
                <w:szCs w:val="18"/>
                <w:lang w:eastAsia="en-AU"/>
              </w:rPr>
              <w:t>–</w:t>
            </w:r>
            <w:r w:rsidRPr="00C10545">
              <w:rPr>
                <w:b/>
                <w:bCs/>
                <w:sz w:val="18"/>
                <w:szCs w:val="18"/>
                <w:lang w:eastAsia="en-AU"/>
              </w:rPr>
              <w:t xml:space="preserve"> Real Change on Previous Year</w:t>
            </w:r>
          </w:p>
        </w:tc>
      </w:tr>
      <w:tr w:rsidR="009A356E" w:rsidRPr="00C65C2B" w14:paraId="73444AC5" w14:textId="77777777" w:rsidTr="009A356E">
        <w:trPr>
          <w:trHeight w:val="240"/>
          <w:tblHeader/>
        </w:trPr>
        <w:tc>
          <w:tcPr>
            <w:tcW w:w="1211" w:type="pct"/>
            <w:tcBorders>
              <w:top w:val="nil"/>
              <w:left w:val="single" w:sz="4" w:space="0" w:color="auto"/>
              <w:bottom w:val="single" w:sz="4" w:space="0" w:color="auto"/>
              <w:right w:val="single" w:sz="4" w:space="0" w:color="auto"/>
            </w:tcBorders>
            <w:shd w:val="clear" w:color="000000" w:fill="000000"/>
            <w:noWrap/>
            <w:vAlign w:val="bottom"/>
            <w:hideMark/>
          </w:tcPr>
          <w:p w14:paraId="3B6AFAEB" w14:textId="77777777" w:rsidR="009A356E" w:rsidRPr="00C10545" w:rsidRDefault="009A356E" w:rsidP="009A356E">
            <w:pPr>
              <w:rPr>
                <w:sz w:val="18"/>
                <w:szCs w:val="18"/>
                <w:lang w:eastAsia="en-AU"/>
              </w:rPr>
            </w:pPr>
            <w:r w:rsidRPr="00C10545">
              <w:rPr>
                <w:sz w:val="18"/>
                <w:szCs w:val="18"/>
                <w:lang w:eastAsia="en-AU"/>
              </w:rPr>
              <w:t> </w:t>
            </w:r>
          </w:p>
        </w:tc>
        <w:tc>
          <w:tcPr>
            <w:tcW w:w="652" w:type="pct"/>
            <w:tcBorders>
              <w:top w:val="nil"/>
              <w:left w:val="nil"/>
              <w:bottom w:val="single" w:sz="4" w:space="0" w:color="auto"/>
              <w:right w:val="single" w:sz="4" w:space="0" w:color="auto"/>
            </w:tcBorders>
            <w:shd w:val="clear" w:color="auto" w:fill="auto"/>
            <w:noWrap/>
            <w:vAlign w:val="center"/>
            <w:hideMark/>
          </w:tcPr>
          <w:p w14:paraId="1228DC8B" w14:textId="77777777" w:rsidR="009A356E" w:rsidRPr="00C10545" w:rsidRDefault="009A356E" w:rsidP="009A356E">
            <w:pPr>
              <w:jc w:val="center"/>
              <w:rPr>
                <w:b/>
                <w:sz w:val="18"/>
                <w:szCs w:val="18"/>
                <w:lang w:eastAsia="en-AU"/>
              </w:rPr>
            </w:pPr>
            <w:r w:rsidRPr="00C10545">
              <w:rPr>
                <w:b/>
                <w:sz w:val="18"/>
                <w:szCs w:val="18"/>
                <w:lang w:eastAsia="en-AU"/>
              </w:rPr>
              <w:t>2000</w:t>
            </w:r>
          </w:p>
        </w:tc>
        <w:tc>
          <w:tcPr>
            <w:tcW w:w="652" w:type="pct"/>
            <w:tcBorders>
              <w:top w:val="nil"/>
              <w:left w:val="nil"/>
              <w:bottom w:val="single" w:sz="4" w:space="0" w:color="auto"/>
              <w:right w:val="single" w:sz="4" w:space="0" w:color="auto"/>
            </w:tcBorders>
            <w:shd w:val="clear" w:color="auto" w:fill="auto"/>
            <w:noWrap/>
            <w:vAlign w:val="center"/>
            <w:hideMark/>
          </w:tcPr>
          <w:p w14:paraId="44A18BCD" w14:textId="77777777" w:rsidR="009A356E" w:rsidRPr="00C10545" w:rsidRDefault="009A356E" w:rsidP="009A356E">
            <w:pPr>
              <w:jc w:val="center"/>
              <w:rPr>
                <w:b/>
                <w:sz w:val="18"/>
                <w:szCs w:val="18"/>
                <w:lang w:eastAsia="en-AU"/>
              </w:rPr>
            </w:pPr>
            <w:r w:rsidRPr="00C10545">
              <w:rPr>
                <w:b/>
                <w:sz w:val="18"/>
                <w:szCs w:val="18"/>
                <w:lang w:eastAsia="en-AU"/>
              </w:rPr>
              <w:t>2001</w:t>
            </w:r>
          </w:p>
        </w:tc>
        <w:tc>
          <w:tcPr>
            <w:tcW w:w="652" w:type="pct"/>
            <w:tcBorders>
              <w:top w:val="nil"/>
              <w:left w:val="nil"/>
              <w:bottom w:val="single" w:sz="4" w:space="0" w:color="auto"/>
              <w:right w:val="single" w:sz="4" w:space="0" w:color="auto"/>
            </w:tcBorders>
            <w:shd w:val="clear" w:color="auto" w:fill="auto"/>
            <w:noWrap/>
            <w:vAlign w:val="center"/>
            <w:hideMark/>
          </w:tcPr>
          <w:p w14:paraId="047D0002" w14:textId="77777777" w:rsidR="009A356E" w:rsidRPr="00C10545" w:rsidRDefault="009A356E" w:rsidP="009A356E">
            <w:pPr>
              <w:jc w:val="center"/>
              <w:rPr>
                <w:b/>
                <w:sz w:val="18"/>
                <w:szCs w:val="18"/>
                <w:lang w:eastAsia="en-AU"/>
              </w:rPr>
            </w:pPr>
            <w:r w:rsidRPr="00C10545">
              <w:rPr>
                <w:b/>
                <w:sz w:val="18"/>
                <w:szCs w:val="18"/>
                <w:lang w:eastAsia="en-AU"/>
              </w:rPr>
              <w:t>2003</w:t>
            </w:r>
          </w:p>
        </w:tc>
        <w:tc>
          <w:tcPr>
            <w:tcW w:w="611" w:type="pct"/>
            <w:tcBorders>
              <w:top w:val="nil"/>
              <w:left w:val="nil"/>
              <w:bottom w:val="single" w:sz="4" w:space="0" w:color="auto"/>
              <w:right w:val="single" w:sz="4" w:space="0" w:color="auto"/>
            </w:tcBorders>
            <w:shd w:val="clear" w:color="auto" w:fill="auto"/>
            <w:noWrap/>
            <w:vAlign w:val="center"/>
            <w:hideMark/>
          </w:tcPr>
          <w:p w14:paraId="4A75F99C" w14:textId="77777777" w:rsidR="009A356E" w:rsidRPr="00C10545" w:rsidRDefault="009A356E" w:rsidP="009A356E">
            <w:pPr>
              <w:jc w:val="center"/>
              <w:rPr>
                <w:b/>
                <w:sz w:val="18"/>
                <w:szCs w:val="18"/>
                <w:lang w:eastAsia="en-AU"/>
              </w:rPr>
            </w:pPr>
            <w:r w:rsidRPr="00C10545">
              <w:rPr>
                <w:b/>
                <w:sz w:val="18"/>
                <w:szCs w:val="18"/>
                <w:lang w:eastAsia="en-AU"/>
              </w:rPr>
              <w:t>2011</w:t>
            </w:r>
          </w:p>
        </w:tc>
        <w:tc>
          <w:tcPr>
            <w:tcW w:w="611" w:type="pct"/>
            <w:tcBorders>
              <w:top w:val="nil"/>
              <w:left w:val="nil"/>
              <w:bottom w:val="single" w:sz="4" w:space="0" w:color="auto"/>
              <w:right w:val="single" w:sz="4" w:space="0" w:color="auto"/>
            </w:tcBorders>
            <w:shd w:val="clear" w:color="auto" w:fill="auto"/>
            <w:noWrap/>
            <w:vAlign w:val="center"/>
            <w:hideMark/>
          </w:tcPr>
          <w:p w14:paraId="2AF5A7F2" w14:textId="77777777" w:rsidR="009A356E" w:rsidRPr="00C10545" w:rsidRDefault="009A356E" w:rsidP="009A356E">
            <w:pPr>
              <w:jc w:val="center"/>
              <w:rPr>
                <w:b/>
                <w:sz w:val="18"/>
                <w:szCs w:val="18"/>
                <w:lang w:eastAsia="en-AU"/>
              </w:rPr>
            </w:pPr>
            <w:r w:rsidRPr="00C10545">
              <w:rPr>
                <w:b/>
                <w:sz w:val="18"/>
                <w:szCs w:val="18"/>
                <w:lang w:eastAsia="en-AU"/>
              </w:rPr>
              <w:t>2015</w:t>
            </w:r>
          </w:p>
        </w:tc>
        <w:tc>
          <w:tcPr>
            <w:tcW w:w="611" w:type="pct"/>
            <w:tcBorders>
              <w:top w:val="nil"/>
              <w:left w:val="nil"/>
              <w:bottom w:val="single" w:sz="4" w:space="0" w:color="auto"/>
              <w:right w:val="single" w:sz="4" w:space="0" w:color="auto"/>
            </w:tcBorders>
            <w:shd w:val="clear" w:color="auto" w:fill="auto"/>
            <w:noWrap/>
            <w:vAlign w:val="center"/>
            <w:hideMark/>
          </w:tcPr>
          <w:p w14:paraId="2D38B353" w14:textId="77777777" w:rsidR="009A356E" w:rsidRPr="00C10545" w:rsidRDefault="009A356E" w:rsidP="009A356E">
            <w:pPr>
              <w:jc w:val="center"/>
              <w:rPr>
                <w:b/>
                <w:sz w:val="18"/>
                <w:szCs w:val="18"/>
                <w:lang w:eastAsia="en-AU"/>
              </w:rPr>
            </w:pPr>
            <w:r w:rsidRPr="00C10545">
              <w:rPr>
                <w:b/>
                <w:sz w:val="18"/>
                <w:szCs w:val="18"/>
                <w:lang w:eastAsia="en-AU"/>
              </w:rPr>
              <w:t>2016</w:t>
            </w:r>
          </w:p>
        </w:tc>
      </w:tr>
      <w:tr w:rsidR="009A356E" w:rsidRPr="00C65C2B" w14:paraId="0D681F9B" w14:textId="77777777" w:rsidTr="009A356E">
        <w:trPr>
          <w:trHeight w:val="240"/>
        </w:trPr>
        <w:tc>
          <w:tcPr>
            <w:tcW w:w="1211" w:type="pct"/>
            <w:tcBorders>
              <w:top w:val="nil"/>
              <w:left w:val="single" w:sz="4" w:space="0" w:color="auto"/>
              <w:bottom w:val="single" w:sz="4" w:space="0" w:color="auto"/>
              <w:right w:val="single" w:sz="4" w:space="0" w:color="auto"/>
            </w:tcBorders>
            <w:shd w:val="clear" w:color="000000" w:fill="000000"/>
            <w:noWrap/>
            <w:vAlign w:val="bottom"/>
            <w:hideMark/>
          </w:tcPr>
          <w:p w14:paraId="1DF55CAF" w14:textId="77777777" w:rsidR="009A356E" w:rsidRPr="00C10545" w:rsidRDefault="009A356E" w:rsidP="009A356E">
            <w:pPr>
              <w:rPr>
                <w:sz w:val="18"/>
                <w:szCs w:val="18"/>
                <w:lang w:eastAsia="en-AU"/>
              </w:rPr>
            </w:pPr>
            <w:r w:rsidRPr="00C10545">
              <w:rPr>
                <w:sz w:val="18"/>
                <w:szCs w:val="18"/>
                <w:lang w:eastAsia="en-AU"/>
              </w:rPr>
              <w:t> </w:t>
            </w:r>
          </w:p>
        </w:tc>
        <w:tc>
          <w:tcPr>
            <w:tcW w:w="3789" w:type="pct"/>
            <w:gridSpan w:val="6"/>
            <w:tcBorders>
              <w:top w:val="single" w:sz="4" w:space="0" w:color="auto"/>
              <w:left w:val="nil"/>
              <w:bottom w:val="single" w:sz="4" w:space="0" w:color="auto"/>
              <w:right w:val="single" w:sz="4" w:space="0" w:color="auto"/>
            </w:tcBorders>
            <w:shd w:val="clear" w:color="auto" w:fill="auto"/>
            <w:noWrap/>
            <w:vAlign w:val="bottom"/>
            <w:hideMark/>
          </w:tcPr>
          <w:p w14:paraId="68F15574" w14:textId="77777777" w:rsidR="009A356E" w:rsidRPr="00C10545" w:rsidRDefault="009A356E" w:rsidP="009A356E">
            <w:pPr>
              <w:jc w:val="center"/>
              <w:rPr>
                <w:b/>
                <w:bCs/>
                <w:sz w:val="18"/>
                <w:szCs w:val="18"/>
                <w:lang w:eastAsia="en-AU"/>
              </w:rPr>
            </w:pPr>
            <w:r w:rsidRPr="00C10545">
              <w:rPr>
                <w:b/>
                <w:bCs/>
                <w:sz w:val="18"/>
                <w:szCs w:val="18"/>
                <w:lang w:eastAsia="en-AU"/>
              </w:rPr>
              <w:t>Discounted by CPI</w:t>
            </w:r>
          </w:p>
        </w:tc>
      </w:tr>
      <w:tr w:rsidR="009A356E" w:rsidRPr="00C65C2B" w14:paraId="0561A981" w14:textId="77777777" w:rsidTr="009A356E">
        <w:trPr>
          <w:trHeight w:val="240"/>
        </w:trPr>
        <w:tc>
          <w:tcPr>
            <w:tcW w:w="1211" w:type="pct"/>
            <w:tcBorders>
              <w:top w:val="nil"/>
              <w:left w:val="single" w:sz="4" w:space="0" w:color="auto"/>
              <w:bottom w:val="single" w:sz="4" w:space="0" w:color="auto"/>
              <w:right w:val="single" w:sz="4" w:space="0" w:color="auto"/>
            </w:tcBorders>
            <w:shd w:val="clear" w:color="000000" w:fill="FDE9D9"/>
            <w:noWrap/>
            <w:vAlign w:val="bottom"/>
            <w:hideMark/>
          </w:tcPr>
          <w:p w14:paraId="6E913654" w14:textId="77777777" w:rsidR="009A356E" w:rsidRPr="00C10545" w:rsidRDefault="009A356E" w:rsidP="009A356E">
            <w:pPr>
              <w:rPr>
                <w:b/>
                <w:bCs/>
                <w:sz w:val="18"/>
                <w:szCs w:val="18"/>
                <w:lang w:eastAsia="en-AU"/>
              </w:rPr>
            </w:pPr>
            <w:r w:rsidRPr="00C10545">
              <w:rPr>
                <w:b/>
                <w:bCs/>
                <w:sz w:val="18"/>
                <w:szCs w:val="18"/>
                <w:lang w:eastAsia="en-AU"/>
              </w:rPr>
              <w:t>Small Shires</w:t>
            </w:r>
          </w:p>
        </w:tc>
        <w:tc>
          <w:tcPr>
            <w:tcW w:w="652" w:type="pct"/>
            <w:tcBorders>
              <w:top w:val="nil"/>
              <w:left w:val="nil"/>
              <w:bottom w:val="single" w:sz="4" w:space="0" w:color="auto"/>
              <w:right w:val="single" w:sz="4" w:space="0" w:color="auto"/>
            </w:tcBorders>
            <w:shd w:val="clear" w:color="000000" w:fill="000000"/>
            <w:noWrap/>
            <w:vAlign w:val="bottom"/>
            <w:hideMark/>
          </w:tcPr>
          <w:p w14:paraId="53DE171F" w14:textId="77777777" w:rsidR="009A356E" w:rsidRPr="00C10545" w:rsidRDefault="009A356E" w:rsidP="009A356E">
            <w:pPr>
              <w:rPr>
                <w:sz w:val="18"/>
                <w:szCs w:val="18"/>
                <w:lang w:eastAsia="en-AU"/>
              </w:rPr>
            </w:pPr>
            <w:r w:rsidRPr="00C10545">
              <w:rPr>
                <w:sz w:val="18"/>
                <w:szCs w:val="18"/>
                <w:lang w:eastAsia="en-AU"/>
              </w:rPr>
              <w:t> </w:t>
            </w:r>
          </w:p>
        </w:tc>
        <w:tc>
          <w:tcPr>
            <w:tcW w:w="652" w:type="pct"/>
            <w:tcBorders>
              <w:top w:val="nil"/>
              <w:left w:val="nil"/>
              <w:bottom w:val="single" w:sz="4" w:space="0" w:color="auto"/>
              <w:right w:val="single" w:sz="4" w:space="0" w:color="auto"/>
            </w:tcBorders>
            <w:shd w:val="clear" w:color="000000" w:fill="000000"/>
            <w:noWrap/>
            <w:vAlign w:val="bottom"/>
            <w:hideMark/>
          </w:tcPr>
          <w:p w14:paraId="0A29DB9A" w14:textId="77777777" w:rsidR="009A356E" w:rsidRPr="00C10545" w:rsidRDefault="009A356E" w:rsidP="009A356E">
            <w:pPr>
              <w:rPr>
                <w:sz w:val="18"/>
                <w:szCs w:val="18"/>
                <w:lang w:eastAsia="en-AU"/>
              </w:rPr>
            </w:pPr>
            <w:r w:rsidRPr="00C10545">
              <w:rPr>
                <w:sz w:val="18"/>
                <w:szCs w:val="18"/>
                <w:lang w:eastAsia="en-AU"/>
              </w:rPr>
              <w:t> </w:t>
            </w:r>
          </w:p>
        </w:tc>
        <w:tc>
          <w:tcPr>
            <w:tcW w:w="652" w:type="pct"/>
            <w:tcBorders>
              <w:top w:val="nil"/>
              <w:left w:val="nil"/>
              <w:bottom w:val="single" w:sz="4" w:space="0" w:color="auto"/>
              <w:right w:val="single" w:sz="4" w:space="0" w:color="auto"/>
            </w:tcBorders>
            <w:shd w:val="clear" w:color="000000" w:fill="000000"/>
            <w:noWrap/>
            <w:vAlign w:val="bottom"/>
            <w:hideMark/>
          </w:tcPr>
          <w:p w14:paraId="02DA6689" w14:textId="77777777" w:rsidR="009A356E" w:rsidRPr="00C10545" w:rsidRDefault="009A356E" w:rsidP="009A356E">
            <w:pPr>
              <w:rPr>
                <w:sz w:val="18"/>
                <w:szCs w:val="18"/>
                <w:lang w:eastAsia="en-AU"/>
              </w:rPr>
            </w:pPr>
            <w:r w:rsidRPr="00C10545">
              <w:rPr>
                <w:sz w:val="18"/>
                <w:szCs w:val="18"/>
                <w:lang w:eastAsia="en-AU"/>
              </w:rPr>
              <w:t> </w:t>
            </w:r>
          </w:p>
        </w:tc>
        <w:tc>
          <w:tcPr>
            <w:tcW w:w="611" w:type="pct"/>
            <w:tcBorders>
              <w:top w:val="nil"/>
              <w:left w:val="nil"/>
              <w:bottom w:val="single" w:sz="4" w:space="0" w:color="auto"/>
              <w:right w:val="single" w:sz="4" w:space="0" w:color="auto"/>
            </w:tcBorders>
            <w:shd w:val="clear" w:color="000000" w:fill="000000"/>
            <w:noWrap/>
            <w:vAlign w:val="bottom"/>
            <w:hideMark/>
          </w:tcPr>
          <w:p w14:paraId="0F9C431B" w14:textId="77777777" w:rsidR="009A356E" w:rsidRPr="00C10545" w:rsidRDefault="009A356E" w:rsidP="009A356E">
            <w:pPr>
              <w:rPr>
                <w:sz w:val="18"/>
                <w:szCs w:val="18"/>
                <w:lang w:eastAsia="en-AU"/>
              </w:rPr>
            </w:pPr>
            <w:r w:rsidRPr="00C10545">
              <w:rPr>
                <w:sz w:val="18"/>
                <w:szCs w:val="18"/>
                <w:lang w:eastAsia="en-AU"/>
              </w:rPr>
              <w:t> </w:t>
            </w:r>
          </w:p>
        </w:tc>
        <w:tc>
          <w:tcPr>
            <w:tcW w:w="611" w:type="pct"/>
            <w:tcBorders>
              <w:top w:val="nil"/>
              <w:left w:val="nil"/>
              <w:bottom w:val="single" w:sz="4" w:space="0" w:color="auto"/>
              <w:right w:val="single" w:sz="4" w:space="0" w:color="auto"/>
            </w:tcBorders>
            <w:shd w:val="clear" w:color="000000" w:fill="000000"/>
            <w:noWrap/>
            <w:vAlign w:val="bottom"/>
            <w:hideMark/>
          </w:tcPr>
          <w:p w14:paraId="78C7122A" w14:textId="77777777" w:rsidR="009A356E" w:rsidRPr="00C10545" w:rsidRDefault="009A356E" w:rsidP="009A356E">
            <w:pPr>
              <w:rPr>
                <w:sz w:val="18"/>
                <w:szCs w:val="18"/>
                <w:lang w:eastAsia="en-AU"/>
              </w:rPr>
            </w:pPr>
            <w:r w:rsidRPr="00C10545">
              <w:rPr>
                <w:sz w:val="18"/>
                <w:szCs w:val="18"/>
                <w:lang w:eastAsia="en-AU"/>
              </w:rPr>
              <w:t> </w:t>
            </w:r>
          </w:p>
        </w:tc>
        <w:tc>
          <w:tcPr>
            <w:tcW w:w="611" w:type="pct"/>
            <w:tcBorders>
              <w:top w:val="nil"/>
              <w:left w:val="nil"/>
              <w:bottom w:val="single" w:sz="4" w:space="0" w:color="auto"/>
              <w:right w:val="single" w:sz="4" w:space="0" w:color="auto"/>
            </w:tcBorders>
            <w:shd w:val="clear" w:color="000000" w:fill="000000"/>
            <w:noWrap/>
            <w:vAlign w:val="bottom"/>
            <w:hideMark/>
          </w:tcPr>
          <w:p w14:paraId="0810BE50" w14:textId="77777777" w:rsidR="009A356E" w:rsidRPr="00C10545" w:rsidRDefault="009A356E" w:rsidP="009A356E">
            <w:pPr>
              <w:rPr>
                <w:sz w:val="18"/>
                <w:szCs w:val="18"/>
                <w:lang w:eastAsia="en-AU"/>
              </w:rPr>
            </w:pPr>
            <w:r w:rsidRPr="00C10545">
              <w:rPr>
                <w:sz w:val="18"/>
                <w:szCs w:val="18"/>
                <w:lang w:eastAsia="en-AU"/>
              </w:rPr>
              <w:t> </w:t>
            </w:r>
          </w:p>
        </w:tc>
      </w:tr>
      <w:tr w:rsidR="009A356E" w:rsidRPr="00C65C2B" w14:paraId="62A52C0E" w14:textId="77777777" w:rsidTr="009A356E">
        <w:trPr>
          <w:trHeight w:val="240"/>
        </w:trPr>
        <w:tc>
          <w:tcPr>
            <w:tcW w:w="1211" w:type="pct"/>
            <w:tcBorders>
              <w:top w:val="nil"/>
              <w:left w:val="single" w:sz="4" w:space="0" w:color="auto"/>
              <w:bottom w:val="single" w:sz="4" w:space="0" w:color="auto"/>
              <w:right w:val="single" w:sz="4" w:space="0" w:color="auto"/>
            </w:tcBorders>
            <w:shd w:val="clear" w:color="auto" w:fill="auto"/>
            <w:noWrap/>
            <w:vAlign w:val="bottom"/>
            <w:hideMark/>
          </w:tcPr>
          <w:p w14:paraId="0EB07450" w14:textId="77777777" w:rsidR="009A356E" w:rsidRPr="00C10545" w:rsidRDefault="009A356E" w:rsidP="009A356E">
            <w:pPr>
              <w:rPr>
                <w:sz w:val="18"/>
                <w:szCs w:val="18"/>
                <w:lang w:eastAsia="en-AU"/>
              </w:rPr>
            </w:pPr>
            <w:r w:rsidRPr="00C10545">
              <w:rPr>
                <w:sz w:val="18"/>
                <w:szCs w:val="18"/>
                <w:lang w:eastAsia="en-AU"/>
              </w:rPr>
              <w:t>Alpine</w:t>
            </w:r>
          </w:p>
        </w:tc>
        <w:tc>
          <w:tcPr>
            <w:tcW w:w="652" w:type="pct"/>
            <w:tcBorders>
              <w:top w:val="nil"/>
              <w:left w:val="nil"/>
              <w:bottom w:val="single" w:sz="4" w:space="0" w:color="auto"/>
              <w:right w:val="single" w:sz="4" w:space="0" w:color="auto"/>
            </w:tcBorders>
            <w:shd w:val="clear" w:color="auto" w:fill="auto"/>
            <w:noWrap/>
            <w:vAlign w:val="bottom"/>
            <w:hideMark/>
          </w:tcPr>
          <w:p w14:paraId="226AC841" w14:textId="77777777" w:rsidR="009A356E" w:rsidRPr="00C10545" w:rsidRDefault="009A356E" w:rsidP="009A356E">
            <w:pPr>
              <w:jc w:val="right"/>
              <w:rPr>
                <w:sz w:val="18"/>
                <w:szCs w:val="18"/>
                <w:lang w:eastAsia="en-AU"/>
              </w:rPr>
            </w:pPr>
            <w:r w:rsidRPr="00C10545">
              <w:rPr>
                <w:sz w:val="18"/>
                <w:szCs w:val="18"/>
                <w:lang w:eastAsia="en-AU"/>
              </w:rPr>
              <w:t>-3.5%</w:t>
            </w:r>
          </w:p>
        </w:tc>
        <w:tc>
          <w:tcPr>
            <w:tcW w:w="652" w:type="pct"/>
            <w:tcBorders>
              <w:top w:val="nil"/>
              <w:left w:val="nil"/>
              <w:bottom w:val="single" w:sz="4" w:space="0" w:color="auto"/>
              <w:right w:val="single" w:sz="4" w:space="0" w:color="auto"/>
            </w:tcBorders>
            <w:shd w:val="clear" w:color="auto" w:fill="auto"/>
            <w:noWrap/>
            <w:vAlign w:val="bottom"/>
            <w:hideMark/>
          </w:tcPr>
          <w:p w14:paraId="75911903" w14:textId="77777777" w:rsidR="009A356E" w:rsidRPr="00C10545" w:rsidRDefault="009A356E" w:rsidP="009A356E">
            <w:pPr>
              <w:jc w:val="right"/>
              <w:rPr>
                <w:sz w:val="18"/>
                <w:szCs w:val="18"/>
                <w:lang w:eastAsia="en-AU"/>
              </w:rPr>
            </w:pPr>
            <w:r w:rsidRPr="00C10545">
              <w:rPr>
                <w:sz w:val="18"/>
                <w:szCs w:val="18"/>
                <w:lang w:eastAsia="en-AU"/>
              </w:rPr>
              <w:t>9.8%</w:t>
            </w:r>
          </w:p>
        </w:tc>
        <w:tc>
          <w:tcPr>
            <w:tcW w:w="652" w:type="pct"/>
            <w:tcBorders>
              <w:top w:val="nil"/>
              <w:left w:val="nil"/>
              <w:bottom w:val="single" w:sz="4" w:space="0" w:color="auto"/>
              <w:right w:val="single" w:sz="4" w:space="0" w:color="auto"/>
            </w:tcBorders>
            <w:shd w:val="clear" w:color="auto" w:fill="auto"/>
            <w:noWrap/>
            <w:vAlign w:val="bottom"/>
            <w:hideMark/>
          </w:tcPr>
          <w:p w14:paraId="5A797928" w14:textId="77777777" w:rsidR="009A356E" w:rsidRPr="00C10545" w:rsidRDefault="009A356E" w:rsidP="009A356E">
            <w:pPr>
              <w:jc w:val="right"/>
              <w:rPr>
                <w:sz w:val="18"/>
                <w:szCs w:val="18"/>
                <w:lang w:eastAsia="en-AU"/>
              </w:rPr>
            </w:pPr>
            <w:r w:rsidRPr="00C10545">
              <w:rPr>
                <w:sz w:val="18"/>
                <w:szCs w:val="18"/>
                <w:lang w:eastAsia="en-AU"/>
              </w:rPr>
              <w:t>19.2%</w:t>
            </w:r>
          </w:p>
        </w:tc>
        <w:tc>
          <w:tcPr>
            <w:tcW w:w="611" w:type="pct"/>
            <w:tcBorders>
              <w:top w:val="nil"/>
              <w:left w:val="nil"/>
              <w:bottom w:val="single" w:sz="4" w:space="0" w:color="auto"/>
              <w:right w:val="single" w:sz="4" w:space="0" w:color="auto"/>
            </w:tcBorders>
            <w:shd w:val="clear" w:color="auto" w:fill="auto"/>
            <w:noWrap/>
            <w:vAlign w:val="bottom"/>
            <w:hideMark/>
          </w:tcPr>
          <w:p w14:paraId="0129D11F" w14:textId="77777777" w:rsidR="009A356E" w:rsidRPr="00C10545" w:rsidRDefault="009A356E" w:rsidP="009A356E">
            <w:pPr>
              <w:jc w:val="right"/>
              <w:rPr>
                <w:sz w:val="18"/>
                <w:szCs w:val="18"/>
                <w:lang w:eastAsia="en-AU"/>
              </w:rPr>
            </w:pPr>
            <w:r w:rsidRPr="00C10545">
              <w:rPr>
                <w:sz w:val="18"/>
                <w:szCs w:val="18"/>
                <w:lang w:eastAsia="en-AU"/>
              </w:rPr>
              <w:t>3.5%</w:t>
            </w:r>
          </w:p>
        </w:tc>
        <w:tc>
          <w:tcPr>
            <w:tcW w:w="611" w:type="pct"/>
            <w:tcBorders>
              <w:top w:val="nil"/>
              <w:left w:val="nil"/>
              <w:bottom w:val="single" w:sz="4" w:space="0" w:color="auto"/>
              <w:right w:val="single" w:sz="4" w:space="0" w:color="auto"/>
            </w:tcBorders>
            <w:shd w:val="clear" w:color="auto" w:fill="auto"/>
            <w:noWrap/>
            <w:vAlign w:val="bottom"/>
            <w:hideMark/>
          </w:tcPr>
          <w:p w14:paraId="3C4840B8" w14:textId="77777777" w:rsidR="009A356E" w:rsidRPr="00C10545" w:rsidRDefault="009A356E" w:rsidP="009A356E">
            <w:pPr>
              <w:jc w:val="right"/>
              <w:rPr>
                <w:sz w:val="18"/>
                <w:szCs w:val="18"/>
                <w:lang w:eastAsia="en-AU"/>
              </w:rPr>
            </w:pPr>
            <w:r w:rsidRPr="00C10545">
              <w:rPr>
                <w:sz w:val="18"/>
                <w:szCs w:val="18"/>
                <w:lang w:eastAsia="en-AU"/>
              </w:rPr>
              <w:t>-0.6%</w:t>
            </w:r>
          </w:p>
        </w:tc>
        <w:tc>
          <w:tcPr>
            <w:tcW w:w="611" w:type="pct"/>
            <w:tcBorders>
              <w:top w:val="nil"/>
              <w:left w:val="nil"/>
              <w:bottom w:val="single" w:sz="4" w:space="0" w:color="auto"/>
              <w:right w:val="single" w:sz="4" w:space="0" w:color="auto"/>
            </w:tcBorders>
            <w:shd w:val="clear" w:color="auto" w:fill="auto"/>
            <w:noWrap/>
            <w:vAlign w:val="bottom"/>
            <w:hideMark/>
          </w:tcPr>
          <w:p w14:paraId="3AE79E00" w14:textId="77777777" w:rsidR="009A356E" w:rsidRPr="00C10545" w:rsidRDefault="009A356E" w:rsidP="009A356E">
            <w:pPr>
              <w:jc w:val="right"/>
              <w:rPr>
                <w:sz w:val="18"/>
                <w:szCs w:val="18"/>
                <w:lang w:eastAsia="en-AU"/>
              </w:rPr>
            </w:pPr>
            <w:r w:rsidRPr="00C10545">
              <w:rPr>
                <w:sz w:val="18"/>
                <w:szCs w:val="18"/>
                <w:lang w:eastAsia="en-AU"/>
              </w:rPr>
              <w:t>-3.4%</w:t>
            </w:r>
          </w:p>
        </w:tc>
      </w:tr>
      <w:tr w:rsidR="009A356E" w:rsidRPr="00C65C2B" w14:paraId="492D9AEB" w14:textId="77777777" w:rsidTr="009A356E">
        <w:trPr>
          <w:trHeight w:val="240"/>
        </w:trPr>
        <w:tc>
          <w:tcPr>
            <w:tcW w:w="1211" w:type="pct"/>
            <w:tcBorders>
              <w:top w:val="nil"/>
              <w:left w:val="single" w:sz="4" w:space="0" w:color="auto"/>
              <w:bottom w:val="single" w:sz="4" w:space="0" w:color="auto"/>
              <w:right w:val="single" w:sz="4" w:space="0" w:color="auto"/>
            </w:tcBorders>
            <w:shd w:val="clear" w:color="auto" w:fill="auto"/>
            <w:noWrap/>
            <w:vAlign w:val="bottom"/>
            <w:hideMark/>
          </w:tcPr>
          <w:p w14:paraId="75980EEB" w14:textId="77777777" w:rsidR="009A356E" w:rsidRPr="00C10545" w:rsidRDefault="009A356E" w:rsidP="009A356E">
            <w:pPr>
              <w:rPr>
                <w:sz w:val="18"/>
                <w:szCs w:val="18"/>
                <w:lang w:eastAsia="en-AU"/>
              </w:rPr>
            </w:pPr>
            <w:r w:rsidRPr="00C10545">
              <w:rPr>
                <w:sz w:val="18"/>
                <w:szCs w:val="18"/>
                <w:lang w:eastAsia="en-AU"/>
              </w:rPr>
              <w:t>Bass Coast</w:t>
            </w:r>
          </w:p>
        </w:tc>
        <w:tc>
          <w:tcPr>
            <w:tcW w:w="652" w:type="pct"/>
            <w:tcBorders>
              <w:top w:val="nil"/>
              <w:left w:val="nil"/>
              <w:bottom w:val="single" w:sz="4" w:space="0" w:color="auto"/>
              <w:right w:val="single" w:sz="4" w:space="0" w:color="auto"/>
            </w:tcBorders>
            <w:shd w:val="clear" w:color="auto" w:fill="auto"/>
            <w:noWrap/>
            <w:vAlign w:val="bottom"/>
            <w:hideMark/>
          </w:tcPr>
          <w:p w14:paraId="6581348C" w14:textId="77777777" w:rsidR="009A356E" w:rsidRPr="00C10545" w:rsidRDefault="009A356E" w:rsidP="009A356E">
            <w:pPr>
              <w:jc w:val="right"/>
              <w:rPr>
                <w:sz w:val="18"/>
                <w:szCs w:val="18"/>
                <w:lang w:eastAsia="en-AU"/>
              </w:rPr>
            </w:pPr>
            <w:r w:rsidRPr="00C10545">
              <w:rPr>
                <w:sz w:val="18"/>
                <w:szCs w:val="18"/>
                <w:lang w:eastAsia="en-AU"/>
              </w:rPr>
              <w:t>2.2%</w:t>
            </w:r>
          </w:p>
        </w:tc>
        <w:tc>
          <w:tcPr>
            <w:tcW w:w="652" w:type="pct"/>
            <w:tcBorders>
              <w:top w:val="nil"/>
              <w:left w:val="nil"/>
              <w:bottom w:val="single" w:sz="4" w:space="0" w:color="auto"/>
              <w:right w:val="single" w:sz="4" w:space="0" w:color="auto"/>
            </w:tcBorders>
            <w:shd w:val="clear" w:color="auto" w:fill="auto"/>
            <w:noWrap/>
            <w:vAlign w:val="bottom"/>
            <w:hideMark/>
          </w:tcPr>
          <w:p w14:paraId="28C9BD58" w14:textId="77777777" w:rsidR="009A356E" w:rsidRPr="00C10545" w:rsidRDefault="009A356E" w:rsidP="009A356E">
            <w:pPr>
              <w:jc w:val="right"/>
              <w:rPr>
                <w:sz w:val="18"/>
                <w:szCs w:val="18"/>
                <w:lang w:eastAsia="en-AU"/>
              </w:rPr>
            </w:pPr>
            <w:r w:rsidRPr="00C10545">
              <w:rPr>
                <w:sz w:val="18"/>
                <w:szCs w:val="18"/>
                <w:lang w:eastAsia="en-AU"/>
              </w:rPr>
              <w:t>-3.0%</w:t>
            </w:r>
          </w:p>
        </w:tc>
        <w:tc>
          <w:tcPr>
            <w:tcW w:w="652" w:type="pct"/>
            <w:tcBorders>
              <w:top w:val="nil"/>
              <w:left w:val="nil"/>
              <w:bottom w:val="single" w:sz="4" w:space="0" w:color="auto"/>
              <w:right w:val="single" w:sz="4" w:space="0" w:color="auto"/>
            </w:tcBorders>
            <w:shd w:val="clear" w:color="auto" w:fill="auto"/>
            <w:noWrap/>
            <w:vAlign w:val="bottom"/>
            <w:hideMark/>
          </w:tcPr>
          <w:p w14:paraId="5E71B4AE" w14:textId="77777777" w:rsidR="009A356E" w:rsidRPr="00C10545" w:rsidRDefault="009A356E" w:rsidP="009A356E">
            <w:pPr>
              <w:jc w:val="right"/>
              <w:rPr>
                <w:sz w:val="18"/>
                <w:szCs w:val="18"/>
                <w:lang w:eastAsia="en-AU"/>
              </w:rPr>
            </w:pPr>
            <w:r w:rsidRPr="00C10545">
              <w:rPr>
                <w:sz w:val="18"/>
                <w:szCs w:val="18"/>
                <w:lang w:eastAsia="en-AU"/>
              </w:rPr>
              <w:t>0.2%</w:t>
            </w:r>
          </w:p>
        </w:tc>
        <w:tc>
          <w:tcPr>
            <w:tcW w:w="611" w:type="pct"/>
            <w:tcBorders>
              <w:top w:val="nil"/>
              <w:left w:val="nil"/>
              <w:bottom w:val="single" w:sz="4" w:space="0" w:color="auto"/>
              <w:right w:val="single" w:sz="4" w:space="0" w:color="auto"/>
            </w:tcBorders>
            <w:shd w:val="clear" w:color="auto" w:fill="auto"/>
            <w:noWrap/>
            <w:vAlign w:val="bottom"/>
            <w:hideMark/>
          </w:tcPr>
          <w:p w14:paraId="4B2D5DA3" w14:textId="77777777" w:rsidR="009A356E" w:rsidRPr="00C10545" w:rsidRDefault="009A356E" w:rsidP="009A356E">
            <w:pPr>
              <w:jc w:val="right"/>
              <w:rPr>
                <w:sz w:val="18"/>
                <w:szCs w:val="18"/>
                <w:lang w:eastAsia="en-AU"/>
              </w:rPr>
            </w:pPr>
            <w:r w:rsidRPr="00C10545">
              <w:rPr>
                <w:sz w:val="18"/>
                <w:szCs w:val="18"/>
                <w:lang w:eastAsia="en-AU"/>
              </w:rPr>
              <w:t>6.3%</w:t>
            </w:r>
          </w:p>
        </w:tc>
        <w:tc>
          <w:tcPr>
            <w:tcW w:w="611" w:type="pct"/>
            <w:tcBorders>
              <w:top w:val="nil"/>
              <w:left w:val="nil"/>
              <w:bottom w:val="single" w:sz="4" w:space="0" w:color="auto"/>
              <w:right w:val="single" w:sz="4" w:space="0" w:color="auto"/>
            </w:tcBorders>
            <w:shd w:val="clear" w:color="auto" w:fill="auto"/>
            <w:noWrap/>
            <w:vAlign w:val="bottom"/>
            <w:hideMark/>
          </w:tcPr>
          <w:p w14:paraId="266E1BAB" w14:textId="77777777" w:rsidR="009A356E" w:rsidRPr="00C10545" w:rsidRDefault="009A356E" w:rsidP="009A356E">
            <w:pPr>
              <w:jc w:val="right"/>
              <w:rPr>
                <w:sz w:val="18"/>
                <w:szCs w:val="18"/>
                <w:lang w:eastAsia="en-AU"/>
              </w:rPr>
            </w:pPr>
            <w:r w:rsidRPr="00C10545">
              <w:rPr>
                <w:sz w:val="18"/>
                <w:szCs w:val="18"/>
                <w:lang w:eastAsia="en-AU"/>
              </w:rPr>
              <w:t>-2.5%</w:t>
            </w:r>
          </w:p>
        </w:tc>
        <w:tc>
          <w:tcPr>
            <w:tcW w:w="611" w:type="pct"/>
            <w:tcBorders>
              <w:top w:val="nil"/>
              <w:left w:val="nil"/>
              <w:bottom w:val="single" w:sz="4" w:space="0" w:color="auto"/>
              <w:right w:val="single" w:sz="4" w:space="0" w:color="auto"/>
            </w:tcBorders>
            <w:shd w:val="clear" w:color="auto" w:fill="auto"/>
            <w:noWrap/>
            <w:vAlign w:val="bottom"/>
            <w:hideMark/>
          </w:tcPr>
          <w:p w14:paraId="692846B6" w14:textId="77777777" w:rsidR="009A356E" w:rsidRPr="00C10545" w:rsidRDefault="009A356E" w:rsidP="009A356E">
            <w:pPr>
              <w:jc w:val="right"/>
              <w:rPr>
                <w:sz w:val="18"/>
                <w:szCs w:val="18"/>
                <w:lang w:eastAsia="en-AU"/>
              </w:rPr>
            </w:pPr>
            <w:r w:rsidRPr="00C10545">
              <w:rPr>
                <w:sz w:val="18"/>
                <w:szCs w:val="18"/>
                <w:lang w:eastAsia="en-AU"/>
              </w:rPr>
              <w:t>-4.6%</w:t>
            </w:r>
          </w:p>
        </w:tc>
      </w:tr>
      <w:tr w:rsidR="009A356E" w:rsidRPr="00C65C2B" w14:paraId="5F6C0E9B" w14:textId="77777777" w:rsidTr="009A356E">
        <w:trPr>
          <w:trHeight w:val="240"/>
        </w:trPr>
        <w:tc>
          <w:tcPr>
            <w:tcW w:w="1211" w:type="pct"/>
            <w:tcBorders>
              <w:top w:val="nil"/>
              <w:left w:val="single" w:sz="4" w:space="0" w:color="auto"/>
              <w:bottom w:val="single" w:sz="4" w:space="0" w:color="auto"/>
              <w:right w:val="single" w:sz="4" w:space="0" w:color="auto"/>
            </w:tcBorders>
            <w:shd w:val="clear" w:color="auto" w:fill="auto"/>
            <w:noWrap/>
            <w:vAlign w:val="bottom"/>
            <w:hideMark/>
          </w:tcPr>
          <w:p w14:paraId="759D0B4D" w14:textId="77777777" w:rsidR="009A356E" w:rsidRPr="00C10545" w:rsidRDefault="009A356E" w:rsidP="009A356E">
            <w:pPr>
              <w:rPr>
                <w:sz w:val="18"/>
                <w:szCs w:val="18"/>
                <w:lang w:eastAsia="en-AU"/>
              </w:rPr>
            </w:pPr>
            <w:proofErr w:type="spellStart"/>
            <w:r w:rsidRPr="00C10545">
              <w:rPr>
                <w:sz w:val="18"/>
                <w:szCs w:val="18"/>
                <w:lang w:eastAsia="en-AU"/>
              </w:rPr>
              <w:t>Buloke</w:t>
            </w:r>
            <w:proofErr w:type="spellEnd"/>
          </w:p>
        </w:tc>
        <w:tc>
          <w:tcPr>
            <w:tcW w:w="652" w:type="pct"/>
            <w:tcBorders>
              <w:top w:val="nil"/>
              <w:left w:val="nil"/>
              <w:bottom w:val="single" w:sz="4" w:space="0" w:color="auto"/>
              <w:right w:val="single" w:sz="4" w:space="0" w:color="auto"/>
            </w:tcBorders>
            <w:shd w:val="clear" w:color="auto" w:fill="auto"/>
            <w:noWrap/>
            <w:vAlign w:val="bottom"/>
            <w:hideMark/>
          </w:tcPr>
          <w:p w14:paraId="24C77253" w14:textId="77777777" w:rsidR="009A356E" w:rsidRPr="00C10545" w:rsidRDefault="009A356E" w:rsidP="009A356E">
            <w:pPr>
              <w:jc w:val="right"/>
              <w:rPr>
                <w:sz w:val="18"/>
                <w:szCs w:val="18"/>
                <w:lang w:eastAsia="en-AU"/>
              </w:rPr>
            </w:pPr>
            <w:r w:rsidRPr="00C10545">
              <w:rPr>
                <w:sz w:val="18"/>
                <w:szCs w:val="18"/>
                <w:lang w:eastAsia="en-AU"/>
              </w:rPr>
              <w:t>2.4%</w:t>
            </w:r>
          </w:p>
        </w:tc>
        <w:tc>
          <w:tcPr>
            <w:tcW w:w="652" w:type="pct"/>
            <w:tcBorders>
              <w:top w:val="nil"/>
              <w:left w:val="nil"/>
              <w:bottom w:val="single" w:sz="4" w:space="0" w:color="auto"/>
              <w:right w:val="single" w:sz="4" w:space="0" w:color="auto"/>
            </w:tcBorders>
            <w:shd w:val="clear" w:color="auto" w:fill="auto"/>
            <w:noWrap/>
            <w:vAlign w:val="bottom"/>
            <w:hideMark/>
          </w:tcPr>
          <w:p w14:paraId="12799C78" w14:textId="77777777" w:rsidR="009A356E" w:rsidRPr="00C10545" w:rsidRDefault="009A356E" w:rsidP="009A356E">
            <w:pPr>
              <w:jc w:val="right"/>
              <w:rPr>
                <w:sz w:val="18"/>
                <w:szCs w:val="18"/>
                <w:lang w:eastAsia="en-AU"/>
              </w:rPr>
            </w:pPr>
            <w:r w:rsidRPr="00C10545">
              <w:rPr>
                <w:sz w:val="18"/>
                <w:szCs w:val="18"/>
                <w:lang w:eastAsia="en-AU"/>
              </w:rPr>
              <w:t>0.0%</w:t>
            </w:r>
          </w:p>
        </w:tc>
        <w:tc>
          <w:tcPr>
            <w:tcW w:w="652" w:type="pct"/>
            <w:tcBorders>
              <w:top w:val="nil"/>
              <w:left w:val="nil"/>
              <w:bottom w:val="single" w:sz="4" w:space="0" w:color="auto"/>
              <w:right w:val="single" w:sz="4" w:space="0" w:color="auto"/>
            </w:tcBorders>
            <w:shd w:val="clear" w:color="auto" w:fill="auto"/>
            <w:noWrap/>
            <w:vAlign w:val="bottom"/>
            <w:hideMark/>
          </w:tcPr>
          <w:p w14:paraId="5E74518D" w14:textId="77777777" w:rsidR="009A356E" w:rsidRPr="00C10545" w:rsidRDefault="009A356E" w:rsidP="009A356E">
            <w:pPr>
              <w:jc w:val="right"/>
              <w:rPr>
                <w:sz w:val="18"/>
                <w:szCs w:val="18"/>
                <w:lang w:eastAsia="en-AU"/>
              </w:rPr>
            </w:pPr>
            <w:r w:rsidRPr="00C10545">
              <w:rPr>
                <w:sz w:val="18"/>
                <w:szCs w:val="18"/>
                <w:lang w:eastAsia="en-AU"/>
              </w:rPr>
              <w:t>-4.1%</w:t>
            </w:r>
          </w:p>
        </w:tc>
        <w:tc>
          <w:tcPr>
            <w:tcW w:w="611" w:type="pct"/>
            <w:tcBorders>
              <w:top w:val="nil"/>
              <w:left w:val="nil"/>
              <w:bottom w:val="single" w:sz="4" w:space="0" w:color="auto"/>
              <w:right w:val="single" w:sz="4" w:space="0" w:color="auto"/>
            </w:tcBorders>
            <w:shd w:val="clear" w:color="auto" w:fill="auto"/>
            <w:noWrap/>
            <w:vAlign w:val="bottom"/>
            <w:hideMark/>
          </w:tcPr>
          <w:p w14:paraId="2F6983A3" w14:textId="77777777" w:rsidR="009A356E" w:rsidRPr="00C10545" w:rsidRDefault="009A356E" w:rsidP="009A356E">
            <w:pPr>
              <w:jc w:val="right"/>
              <w:rPr>
                <w:sz w:val="18"/>
                <w:szCs w:val="18"/>
                <w:lang w:eastAsia="en-AU"/>
              </w:rPr>
            </w:pPr>
            <w:r w:rsidRPr="00C10545">
              <w:rPr>
                <w:sz w:val="18"/>
                <w:szCs w:val="18"/>
                <w:lang w:eastAsia="en-AU"/>
              </w:rPr>
              <w:t>8.7%</w:t>
            </w:r>
          </w:p>
        </w:tc>
        <w:tc>
          <w:tcPr>
            <w:tcW w:w="611" w:type="pct"/>
            <w:tcBorders>
              <w:top w:val="nil"/>
              <w:left w:val="nil"/>
              <w:bottom w:val="single" w:sz="4" w:space="0" w:color="auto"/>
              <w:right w:val="single" w:sz="4" w:space="0" w:color="auto"/>
            </w:tcBorders>
            <w:shd w:val="clear" w:color="auto" w:fill="auto"/>
            <w:noWrap/>
            <w:vAlign w:val="bottom"/>
            <w:hideMark/>
          </w:tcPr>
          <w:p w14:paraId="7DEBCFE4" w14:textId="77777777" w:rsidR="009A356E" w:rsidRPr="00C10545" w:rsidRDefault="009A356E" w:rsidP="009A356E">
            <w:pPr>
              <w:jc w:val="right"/>
              <w:rPr>
                <w:sz w:val="18"/>
                <w:szCs w:val="18"/>
                <w:lang w:eastAsia="en-AU"/>
              </w:rPr>
            </w:pPr>
            <w:r w:rsidRPr="00C10545">
              <w:rPr>
                <w:sz w:val="18"/>
                <w:szCs w:val="18"/>
                <w:lang w:eastAsia="en-AU"/>
              </w:rPr>
              <w:t>4.3%</w:t>
            </w:r>
          </w:p>
        </w:tc>
        <w:tc>
          <w:tcPr>
            <w:tcW w:w="611" w:type="pct"/>
            <w:tcBorders>
              <w:top w:val="nil"/>
              <w:left w:val="nil"/>
              <w:bottom w:val="single" w:sz="4" w:space="0" w:color="auto"/>
              <w:right w:val="single" w:sz="4" w:space="0" w:color="auto"/>
            </w:tcBorders>
            <w:shd w:val="clear" w:color="auto" w:fill="auto"/>
            <w:noWrap/>
            <w:vAlign w:val="bottom"/>
            <w:hideMark/>
          </w:tcPr>
          <w:p w14:paraId="5A934933" w14:textId="77777777" w:rsidR="009A356E" w:rsidRPr="00C10545" w:rsidRDefault="009A356E" w:rsidP="009A356E">
            <w:pPr>
              <w:jc w:val="right"/>
              <w:rPr>
                <w:sz w:val="18"/>
                <w:szCs w:val="18"/>
                <w:lang w:eastAsia="en-AU"/>
              </w:rPr>
            </w:pPr>
            <w:r w:rsidRPr="00C10545">
              <w:rPr>
                <w:sz w:val="18"/>
                <w:szCs w:val="18"/>
                <w:lang w:eastAsia="en-AU"/>
              </w:rPr>
              <w:t>2.4%</w:t>
            </w:r>
          </w:p>
        </w:tc>
      </w:tr>
      <w:tr w:rsidR="009A356E" w:rsidRPr="00C65C2B" w14:paraId="67ECD837" w14:textId="77777777" w:rsidTr="009A356E">
        <w:trPr>
          <w:trHeight w:val="240"/>
        </w:trPr>
        <w:tc>
          <w:tcPr>
            <w:tcW w:w="1211" w:type="pct"/>
            <w:tcBorders>
              <w:top w:val="nil"/>
              <w:left w:val="single" w:sz="4" w:space="0" w:color="auto"/>
              <w:bottom w:val="single" w:sz="4" w:space="0" w:color="auto"/>
              <w:right w:val="single" w:sz="4" w:space="0" w:color="auto"/>
            </w:tcBorders>
            <w:shd w:val="clear" w:color="auto" w:fill="auto"/>
            <w:noWrap/>
            <w:vAlign w:val="bottom"/>
            <w:hideMark/>
          </w:tcPr>
          <w:p w14:paraId="4F792B6C" w14:textId="77777777" w:rsidR="009A356E" w:rsidRPr="00C10545" w:rsidRDefault="009A356E" w:rsidP="009A356E">
            <w:pPr>
              <w:rPr>
                <w:sz w:val="18"/>
                <w:szCs w:val="18"/>
                <w:lang w:eastAsia="en-AU"/>
              </w:rPr>
            </w:pPr>
            <w:r w:rsidRPr="00C10545">
              <w:rPr>
                <w:sz w:val="18"/>
                <w:szCs w:val="18"/>
                <w:lang w:eastAsia="en-AU"/>
              </w:rPr>
              <w:t>Golden Plains</w:t>
            </w:r>
          </w:p>
        </w:tc>
        <w:tc>
          <w:tcPr>
            <w:tcW w:w="652" w:type="pct"/>
            <w:tcBorders>
              <w:top w:val="nil"/>
              <w:left w:val="nil"/>
              <w:bottom w:val="single" w:sz="4" w:space="0" w:color="auto"/>
              <w:right w:val="single" w:sz="4" w:space="0" w:color="auto"/>
            </w:tcBorders>
            <w:shd w:val="clear" w:color="auto" w:fill="auto"/>
            <w:noWrap/>
            <w:vAlign w:val="bottom"/>
            <w:hideMark/>
          </w:tcPr>
          <w:p w14:paraId="7683A346" w14:textId="77777777" w:rsidR="009A356E" w:rsidRPr="00C10545" w:rsidRDefault="009A356E" w:rsidP="009A356E">
            <w:pPr>
              <w:jc w:val="right"/>
              <w:rPr>
                <w:sz w:val="18"/>
                <w:szCs w:val="18"/>
                <w:lang w:eastAsia="en-AU"/>
              </w:rPr>
            </w:pPr>
            <w:r w:rsidRPr="00C10545">
              <w:rPr>
                <w:sz w:val="18"/>
                <w:szCs w:val="18"/>
                <w:lang w:eastAsia="en-AU"/>
              </w:rPr>
              <w:t>-4.3%</w:t>
            </w:r>
          </w:p>
        </w:tc>
        <w:tc>
          <w:tcPr>
            <w:tcW w:w="652" w:type="pct"/>
            <w:tcBorders>
              <w:top w:val="nil"/>
              <w:left w:val="nil"/>
              <w:bottom w:val="single" w:sz="4" w:space="0" w:color="auto"/>
              <w:right w:val="single" w:sz="4" w:space="0" w:color="auto"/>
            </w:tcBorders>
            <w:shd w:val="clear" w:color="auto" w:fill="auto"/>
            <w:noWrap/>
            <w:vAlign w:val="bottom"/>
            <w:hideMark/>
          </w:tcPr>
          <w:p w14:paraId="331BBADA" w14:textId="77777777" w:rsidR="009A356E" w:rsidRPr="00C10545" w:rsidRDefault="009A356E" w:rsidP="009A356E">
            <w:pPr>
              <w:jc w:val="right"/>
              <w:rPr>
                <w:sz w:val="18"/>
                <w:szCs w:val="18"/>
                <w:lang w:eastAsia="en-AU"/>
              </w:rPr>
            </w:pPr>
            <w:r w:rsidRPr="00C10545">
              <w:rPr>
                <w:sz w:val="18"/>
                <w:szCs w:val="18"/>
                <w:lang w:eastAsia="en-AU"/>
              </w:rPr>
              <w:t>3.7%</w:t>
            </w:r>
          </w:p>
        </w:tc>
        <w:tc>
          <w:tcPr>
            <w:tcW w:w="652" w:type="pct"/>
            <w:tcBorders>
              <w:top w:val="nil"/>
              <w:left w:val="nil"/>
              <w:bottom w:val="single" w:sz="4" w:space="0" w:color="auto"/>
              <w:right w:val="single" w:sz="4" w:space="0" w:color="auto"/>
            </w:tcBorders>
            <w:shd w:val="clear" w:color="auto" w:fill="auto"/>
            <w:noWrap/>
            <w:vAlign w:val="bottom"/>
            <w:hideMark/>
          </w:tcPr>
          <w:p w14:paraId="49DC11CA" w14:textId="77777777" w:rsidR="009A356E" w:rsidRPr="00C10545" w:rsidRDefault="009A356E" w:rsidP="009A356E">
            <w:pPr>
              <w:jc w:val="right"/>
              <w:rPr>
                <w:sz w:val="18"/>
                <w:szCs w:val="18"/>
                <w:lang w:eastAsia="en-AU"/>
              </w:rPr>
            </w:pPr>
            <w:r w:rsidRPr="00C10545">
              <w:rPr>
                <w:sz w:val="18"/>
                <w:szCs w:val="18"/>
                <w:lang w:eastAsia="en-AU"/>
              </w:rPr>
              <w:t>5.5%</w:t>
            </w:r>
          </w:p>
        </w:tc>
        <w:tc>
          <w:tcPr>
            <w:tcW w:w="611" w:type="pct"/>
            <w:tcBorders>
              <w:top w:val="nil"/>
              <w:left w:val="nil"/>
              <w:bottom w:val="single" w:sz="4" w:space="0" w:color="auto"/>
              <w:right w:val="single" w:sz="4" w:space="0" w:color="auto"/>
            </w:tcBorders>
            <w:shd w:val="clear" w:color="auto" w:fill="auto"/>
            <w:noWrap/>
            <w:vAlign w:val="bottom"/>
            <w:hideMark/>
          </w:tcPr>
          <w:p w14:paraId="1AA34EFF" w14:textId="77777777" w:rsidR="009A356E" w:rsidRPr="00C10545" w:rsidRDefault="009A356E" w:rsidP="009A356E">
            <w:pPr>
              <w:jc w:val="right"/>
              <w:rPr>
                <w:sz w:val="18"/>
                <w:szCs w:val="18"/>
                <w:lang w:eastAsia="en-AU"/>
              </w:rPr>
            </w:pPr>
            <w:r w:rsidRPr="00C10545">
              <w:rPr>
                <w:sz w:val="18"/>
                <w:szCs w:val="18"/>
                <w:lang w:eastAsia="en-AU"/>
              </w:rPr>
              <w:t>2.6%</w:t>
            </w:r>
          </w:p>
        </w:tc>
        <w:tc>
          <w:tcPr>
            <w:tcW w:w="611" w:type="pct"/>
            <w:tcBorders>
              <w:top w:val="nil"/>
              <w:left w:val="nil"/>
              <w:bottom w:val="single" w:sz="4" w:space="0" w:color="auto"/>
              <w:right w:val="single" w:sz="4" w:space="0" w:color="auto"/>
            </w:tcBorders>
            <w:shd w:val="clear" w:color="auto" w:fill="auto"/>
            <w:noWrap/>
            <w:vAlign w:val="bottom"/>
            <w:hideMark/>
          </w:tcPr>
          <w:p w14:paraId="061A5399" w14:textId="77777777" w:rsidR="009A356E" w:rsidRPr="00C10545" w:rsidRDefault="009A356E" w:rsidP="009A356E">
            <w:pPr>
              <w:jc w:val="right"/>
              <w:rPr>
                <w:sz w:val="18"/>
                <w:szCs w:val="18"/>
                <w:lang w:eastAsia="en-AU"/>
              </w:rPr>
            </w:pPr>
            <w:r w:rsidRPr="00C10545">
              <w:rPr>
                <w:sz w:val="18"/>
                <w:szCs w:val="18"/>
                <w:lang w:eastAsia="en-AU"/>
              </w:rPr>
              <w:t>-1.6%</w:t>
            </w:r>
          </w:p>
        </w:tc>
        <w:tc>
          <w:tcPr>
            <w:tcW w:w="611" w:type="pct"/>
            <w:tcBorders>
              <w:top w:val="nil"/>
              <w:left w:val="nil"/>
              <w:bottom w:val="single" w:sz="4" w:space="0" w:color="auto"/>
              <w:right w:val="single" w:sz="4" w:space="0" w:color="auto"/>
            </w:tcBorders>
            <w:shd w:val="clear" w:color="auto" w:fill="auto"/>
            <w:noWrap/>
            <w:vAlign w:val="bottom"/>
            <w:hideMark/>
          </w:tcPr>
          <w:p w14:paraId="3B05C895" w14:textId="77777777" w:rsidR="009A356E" w:rsidRPr="00C10545" w:rsidRDefault="009A356E" w:rsidP="009A356E">
            <w:pPr>
              <w:jc w:val="right"/>
              <w:rPr>
                <w:sz w:val="18"/>
                <w:szCs w:val="18"/>
                <w:lang w:eastAsia="en-AU"/>
              </w:rPr>
            </w:pPr>
            <w:r w:rsidRPr="00C10545">
              <w:rPr>
                <w:sz w:val="18"/>
                <w:szCs w:val="18"/>
                <w:lang w:eastAsia="en-AU"/>
              </w:rPr>
              <w:t>-4.7%</w:t>
            </w:r>
          </w:p>
        </w:tc>
      </w:tr>
      <w:tr w:rsidR="009A356E" w:rsidRPr="00C65C2B" w14:paraId="64A18353" w14:textId="77777777" w:rsidTr="009A356E">
        <w:trPr>
          <w:trHeight w:val="240"/>
        </w:trPr>
        <w:tc>
          <w:tcPr>
            <w:tcW w:w="1211" w:type="pct"/>
            <w:tcBorders>
              <w:top w:val="nil"/>
              <w:left w:val="single" w:sz="4" w:space="0" w:color="auto"/>
              <w:bottom w:val="single" w:sz="4" w:space="0" w:color="auto"/>
              <w:right w:val="single" w:sz="4" w:space="0" w:color="auto"/>
            </w:tcBorders>
            <w:shd w:val="clear" w:color="auto" w:fill="auto"/>
            <w:noWrap/>
            <w:vAlign w:val="bottom"/>
            <w:hideMark/>
          </w:tcPr>
          <w:p w14:paraId="042F98E4" w14:textId="77777777" w:rsidR="009A356E" w:rsidRPr="00C10545" w:rsidRDefault="009A356E" w:rsidP="009A356E">
            <w:pPr>
              <w:rPr>
                <w:sz w:val="18"/>
                <w:szCs w:val="18"/>
                <w:lang w:eastAsia="en-AU"/>
              </w:rPr>
            </w:pPr>
            <w:r w:rsidRPr="00C10545">
              <w:rPr>
                <w:sz w:val="18"/>
                <w:szCs w:val="18"/>
                <w:lang w:eastAsia="en-AU"/>
              </w:rPr>
              <w:t>Indigo</w:t>
            </w:r>
          </w:p>
        </w:tc>
        <w:tc>
          <w:tcPr>
            <w:tcW w:w="652" w:type="pct"/>
            <w:tcBorders>
              <w:top w:val="nil"/>
              <w:left w:val="nil"/>
              <w:bottom w:val="single" w:sz="4" w:space="0" w:color="auto"/>
              <w:right w:val="single" w:sz="4" w:space="0" w:color="auto"/>
            </w:tcBorders>
            <w:shd w:val="clear" w:color="auto" w:fill="auto"/>
            <w:noWrap/>
            <w:vAlign w:val="bottom"/>
            <w:hideMark/>
          </w:tcPr>
          <w:p w14:paraId="31090D50" w14:textId="77777777" w:rsidR="009A356E" w:rsidRPr="00C10545" w:rsidRDefault="009A356E" w:rsidP="009A356E">
            <w:pPr>
              <w:jc w:val="right"/>
              <w:rPr>
                <w:sz w:val="18"/>
                <w:szCs w:val="18"/>
                <w:lang w:eastAsia="en-AU"/>
              </w:rPr>
            </w:pPr>
            <w:r w:rsidRPr="00C10545">
              <w:rPr>
                <w:sz w:val="18"/>
                <w:szCs w:val="18"/>
                <w:lang w:eastAsia="en-AU"/>
              </w:rPr>
              <w:t>-1.6%</w:t>
            </w:r>
          </w:p>
        </w:tc>
        <w:tc>
          <w:tcPr>
            <w:tcW w:w="652" w:type="pct"/>
            <w:tcBorders>
              <w:top w:val="nil"/>
              <w:left w:val="nil"/>
              <w:bottom w:val="single" w:sz="4" w:space="0" w:color="auto"/>
              <w:right w:val="single" w:sz="4" w:space="0" w:color="auto"/>
            </w:tcBorders>
            <w:shd w:val="clear" w:color="auto" w:fill="auto"/>
            <w:noWrap/>
            <w:vAlign w:val="bottom"/>
            <w:hideMark/>
          </w:tcPr>
          <w:p w14:paraId="43508F87" w14:textId="77777777" w:rsidR="009A356E" w:rsidRPr="00C10545" w:rsidRDefault="009A356E" w:rsidP="009A356E">
            <w:pPr>
              <w:jc w:val="right"/>
              <w:rPr>
                <w:sz w:val="18"/>
                <w:szCs w:val="18"/>
                <w:lang w:eastAsia="en-AU"/>
              </w:rPr>
            </w:pPr>
            <w:r w:rsidRPr="00C10545">
              <w:rPr>
                <w:sz w:val="18"/>
                <w:szCs w:val="18"/>
                <w:lang w:eastAsia="en-AU"/>
              </w:rPr>
              <w:t>9.5%</w:t>
            </w:r>
          </w:p>
        </w:tc>
        <w:tc>
          <w:tcPr>
            <w:tcW w:w="652" w:type="pct"/>
            <w:tcBorders>
              <w:top w:val="nil"/>
              <w:left w:val="nil"/>
              <w:bottom w:val="single" w:sz="4" w:space="0" w:color="auto"/>
              <w:right w:val="single" w:sz="4" w:space="0" w:color="auto"/>
            </w:tcBorders>
            <w:shd w:val="clear" w:color="auto" w:fill="auto"/>
            <w:noWrap/>
            <w:vAlign w:val="bottom"/>
            <w:hideMark/>
          </w:tcPr>
          <w:p w14:paraId="049F033E" w14:textId="77777777" w:rsidR="009A356E" w:rsidRPr="00C10545" w:rsidRDefault="009A356E" w:rsidP="009A356E">
            <w:pPr>
              <w:jc w:val="right"/>
              <w:rPr>
                <w:sz w:val="18"/>
                <w:szCs w:val="18"/>
                <w:lang w:eastAsia="en-AU"/>
              </w:rPr>
            </w:pPr>
            <w:r w:rsidRPr="00C10545">
              <w:rPr>
                <w:sz w:val="18"/>
                <w:szCs w:val="18"/>
                <w:lang w:eastAsia="en-AU"/>
              </w:rPr>
              <w:t>5.7%</w:t>
            </w:r>
          </w:p>
        </w:tc>
        <w:tc>
          <w:tcPr>
            <w:tcW w:w="611" w:type="pct"/>
            <w:tcBorders>
              <w:top w:val="nil"/>
              <w:left w:val="nil"/>
              <w:bottom w:val="single" w:sz="4" w:space="0" w:color="auto"/>
              <w:right w:val="single" w:sz="4" w:space="0" w:color="auto"/>
            </w:tcBorders>
            <w:shd w:val="clear" w:color="auto" w:fill="auto"/>
            <w:noWrap/>
            <w:vAlign w:val="bottom"/>
            <w:hideMark/>
          </w:tcPr>
          <w:p w14:paraId="634C02CA" w14:textId="77777777" w:rsidR="009A356E" w:rsidRPr="00C10545" w:rsidRDefault="009A356E" w:rsidP="009A356E">
            <w:pPr>
              <w:jc w:val="right"/>
              <w:rPr>
                <w:sz w:val="18"/>
                <w:szCs w:val="18"/>
                <w:lang w:eastAsia="en-AU"/>
              </w:rPr>
            </w:pPr>
            <w:r w:rsidRPr="00C10545">
              <w:rPr>
                <w:sz w:val="18"/>
                <w:szCs w:val="18"/>
                <w:lang w:eastAsia="en-AU"/>
              </w:rPr>
              <w:t>4.4%</w:t>
            </w:r>
          </w:p>
        </w:tc>
        <w:tc>
          <w:tcPr>
            <w:tcW w:w="611" w:type="pct"/>
            <w:tcBorders>
              <w:top w:val="nil"/>
              <w:left w:val="nil"/>
              <w:bottom w:val="single" w:sz="4" w:space="0" w:color="auto"/>
              <w:right w:val="single" w:sz="4" w:space="0" w:color="auto"/>
            </w:tcBorders>
            <w:shd w:val="clear" w:color="auto" w:fill="auto"/>
            <w:noWrap/>
            <w:vAlign w:val="bottom"/>
            <w:hideMark/>
          </w:tcPr>
          <w:p w14:paraId="7613F218" w14:textId="77777777" w:rsidR="009A356E" w:rsidRPr="00C10545" w:rsidRDefault="009A356E" w:rsidP="009A356E">
            <w:pPr>
              <w:jc w:val="right"/>
              <w:rPr>
                <w:sz w:val="18"/>
                <w:szCs w:val="18"/>
                <w:lang w:eastAsia="en-AU"/>
              </w:rPr>
            </w:pPr>
            <w:r w:rsidRPr="00C10545">
              <w:rPr>
                <w:sz w:val="18"/>
                <w:szCs w:val="18"/>
                <w:lang w:eastAsia="en-AU"/>
              </w:rPr>
              <w:t>-1.2%</w:t>
            </w:r>
          </w:p>
        </w:tc>
        <w:tc>
          <w:tcPr>
            <w:tcW w:w="611" w:type="pct"/>
            <w:tcBorders>
              <w:top w:val="nil"/>
              <w:left w:val="nil"/>
              <w:bottom w:val="single" w:sz="4" w:space="0" w:color="auto"/>
              <w:right w:val="single" w:sz="4" w:space="0" w:color="auto"/>
            </w:tcBorders>
            <w:shd w:val="clear" w:color="auto" w:fill="auto"/>
            <w:noWrap/>
            <w:vAlign w:val="bottom"/>
            <w:hideMark/>
          </w:tcPr>
          <w:p w14:paraId="763B8671" w14:textId="77777777" w:rsidR="009A356E" w:rsidRPr="00C10545" w:rsidRDefault="009A356E" w:rsidP="009A356E">
            <w:pPr>
              <w:jc w:val="right"/>
              <w:rPr>
                <w:sz w:val="18"/>
                <w:szCs w:val="18"/>
                <w:lang w:eastAsia="en-AU"/>
              </w:rPr>
            </w:pPr>
            <w:r w:rsidRPr="00C10545">
              <w:rPr>
                <w:sz w:val="18"/>
                <w:szCs w:val="18"/>
                <w:lang w:eastAsia="en-AU"/>
              </w:rPr>
              <w:t>-4.4%</w:t>
            </w:r>
          </w:p>
        </w:tc>
      </w:tr>
      <w:tr w:rsidR="009A356E" w:rsidRPr="00C65C2B" w14:paraId="7C77992D" w14:textId="77777777" w:rsidTr="009A356E">
        <w:trPr>
          <w:trHeight w:val="240"/>
        </w:trPr>
        <w:tc>
          <w:tcPr>
            <w:tcW w:w="1211" w:type="pct"/>
            <w:tcBorders>
              <w:top w:val="nil"/>
              <w:left w:val="single" w:sz="4" w:space="0" w:color="auto"/>
              <w:bottom w:val="single" w:sz="4" w:space="0" w:color="auto"/>
              <w:right w:val="single" w:sz="4" w:space="0" w:color="auto"/>
            </w:tcBorders>
            <w:shd w:val="clear" w:color="auto" w:fill="auto"/>
            <w:noWrap/>
            <w:vAlign w:val="bottom"/>
            <w:hideMark/>
          </w:tcPr>
          <w:p w14:paraId="2338051C" w14:textId="77777777" w:rsidR="009A356E" w:rsidRPr="00C10545" w:rsidRDefault="009A356E" w:rsidP="009A356E">
            <w:pPr>
              <w:rPr>
                <w:sz w:val="18"/>
                <w:szCs w:val="18"/>
                <w:lang w:eastAsia="en-AU"/>
              </w:rPr>
            </w:pPr>
            <w:r w:rsidRPr="00C10545">
              <w:rPr>
                <w:sz w:val="18"/>
                <w:szCs w:val="18"/>
                <w:lang w:eastAsia="en-AU"/>
              </w:rPr>
              <w:t>Loddon</w:t>
            </w:r>
          </w:p>
        </w:tc>
        <w:tc>
          <w:tcPr>
            <w:tcW w:w="652" w:type="pct"/>
            <w:tcBorders>
              <w:top w:val="nil"/>
              <w:left w:val="nil"/>
              <w:bottom w:val="single" w:sz="4" w:space="0" w:color="auto"/>
              <w:right w:val="single" w:sz="4" w:space="0" w:color="auto"/>
            </w:tcBorders>
            <w:shd w:val="clear" w:color="auto" w:fill="auto"/>
            <w:noWrap/>
            <w:vAlign w:val="bottom"/>
            <w:hideMark/>
          </w:tcPr>
          <w:p w14:paraId="3728C39C" w14:textId="77777777" w:rsidR="009A356E" w:rsidRPr="00C10545" w:rsidRDefault="009A356E" w:rsidP="009A356E">
            <w:pPr>
              <w:jc w:val="right"/>
              <w:rPr>
                <w:sz w:val="18"/>
                <w:szCs w:val="18"/>
                <w:lang w:eastAsia="en-AU"/>
              </w:rPr>
            </w:pPr>
            <w:r w:rsidRPr="00C10545">
              <w:rPr>
                <w:sz w:val="18"/>
                <w:szCs w:val="18"/>
                <w:lang w:eastAsia="en-AU"/>
              </w:rPr>
              <w:t>0.7%</w:t>
            </w:r>
          </w:p>
        </w:tc>
        <w:tc>
          <w:tcPr>
            <w:tcW w:w="652" w:type="pct"/>
            <w:tcBorders>
              <w:top w:val="nil"/>
              <w:left w:val="nil"/>
              <w:bottom w:val="single" w:sz="4" w:space="0" w:color="auto"/>
              <w:right w:val="single" w:sz="4" w:space="0" w:color="auto"/>
            </w:tcBorders>
            <w:shd w:val="clear" w:color="auto" w:fill="auto"/>
            <w:noWrap/>
            <w:vAlign w:val="bottom"/>
            <w:hideMark/>
          </w:tcPr>
          <w:p w14:paraId="31E5199B" w14:textId="77777777" w:rsidR="009A356E" w:rsidRPr="00C10545" w:rsidRDefault="009A356E" w:rsidP="009A356E">
            <w:pPr>
              <w:jc w:val="right"/>
              <w:rPr>
                <w:sz w:val="18"/>
                <w:szCs w:val="18"/>
                <w:lang w:eastAsia="en-AU"/>
              </w:rPr>
            </w:pPr>
            <w:r w:rsidRPr="00C10545">
              <w:rPr>
                <w:sz w:val="18"/>
                <w:szCs w:val="18"/>
                <w:lang w:eastAsia="en-AU"/>
              </w:rPr>
              <w:t>-0.1%</w:t>
            </w:r>
          </w:p>
        </w:tc>
        <w:tc>
          <w:tcPr>
            <w:tcW w:w="652" w:type="pct"/>
            <w:tcBorders>
              <w:top w:val="nil"/>
              <w:left w:val="nil"/>
              <w:bottom w:val="single" w:sz="4" w:space="0" w:color="auto"/>
              <w:right w:val="single" w:sz="4" w:space="0" w:color="auto"/>
            </w:tcBorders>
            <w:shd w:val="clear" w:color="auto" w:fill="auto"/>
            <w:noWrap/>
            <w:vAlign w:val="bottom"/>
            <w:hideMark/>
          </w:tcPr>
          <w:p w14:paraId="3D14124C" w14:textId="77777777" w:rsidR="009A356E" w:rsidRPr="00C10545" w:rsidRDefault="009A356E" w:rsidP="009A356E">
            <w:pPr>
              <w:jc w:val="right"/>
              <w:rPr>
                <w:sz w:val="18"/>
                <w:szCs w:val="18"/>
                <w:lang w:eastAsia="en-AU"/>
              </w:rPr>
            </w:pPr>
            <w:r w:rsidRPr="00C10545">
              <w:rPr>
                <w:sz w:val="18"/>
                <w:szCs w:val="18"/>
                <w:lang w:eastAsia="en-AU"/>
              </w:rPr>
              <w:t>17.0%</w:t>
            </w:r>
          </w:p>
        </w:tc>
        <w:tc>
          <w:tcPr>
            <w:tcW w:w="611" w:type="pct"/>
            <w:tcBorders>
              <w:top w:val="nil"/>
              <w:left w:val="nil"/>
              <w:bottom w:val="single" w:sz="4" w:space="0" w:color="auto"/>
              <w:right w:val="single" w:sz="4" w:space="0" w:color="auto"/>
            </w:tcBorders>
            <w:shd w:val="clear" w:color="auto" w:fill="auto"/>
            <w:noWrap/>
            <w:vAlign w:val="bottom"/>
            <w:hideMark/>
          </w:tcPr>
          <w:p w14:paraId="460EAFEC" w14:textId="77777777" w:rsidR="009A356E" w:rsidRPr="00C10545" w:rsidRDefault="009A356E" w:rsidP="009A356E">
            <w:pPr>
              <w:jc w:val="right"/>
              <w:rPr>
                <w:sz w:val="18"/>
                <w:szCs w:val="18"/>
                <w:lang w:eastAsia="en-AU"/>
              </w:rPr>
            </w:pPr>
            <w:r w:rsidRPr="00C10545">
              <w:rPr>
                <w:sz w:val="18"/>
                <w:szCs w:val="18"/>
                <w:lang w:eastAsia="en-AU"/>
              </w:rPr>
              <w:t>7.0%</w:t>
            </w:r>
          </w:p>
        </w:tc>
        <w:tc>
          <w:tcPr>
            <w:tcW w:w="611" w:type="pct"/>
            <w:tcBorders>
              <w:top w:val="nil"/>
              <w:left w:val="nil"/>
              <w:bottom w:val="single" w:sz="4" w:space="0" w:color="auto"/>
              <w:right w:val="single" w:sz="4" w:space="0" w:color="auto"/>
            </w:tcBorders>
            <w:shd w:val="clear" w:color="auto" w:fill="auto"/>
            <w:noWrap/>
            <w:vAlign w:val="bottom"/>
            <w:hideMark/>
          </w:tcPr>
          <w:p w14:paraId="3C7FC10F" w14:textId="77777777" w:rsidR="009A356E" w:rsidRPr="00C10545" w:rsidRDefault="009A356E" w:rsidP="009A356E">
            <w:pPr>
              <w:jc w:val="right"/>
              <w:rPr>
                <w:sz w:val="18"/>
                <w:szCs w:val="18"/>
                <w:lang w:eastAsia="en-AU"/>
              </w:rPr>
            </w:pPr>
            <w:r w:rsidRPr="00C10545">
              <w:rPr>
                <w:sz w:val="18"/>
                <w:szCs w:val="18"/>
                <w:lang w:eastAsia="en-AU"/>
              </w:rPr>
              <w:t>2.5%</w:t>
            </w:r>
          </w:p>
        </w:tc>
        <w:tc>
          <w:tcPr>
            <w:tcW w:w="611" w:type="pct"/>
            <w:tcBorders>
              <w:top w:val="nil"/>
              <w:left w:val="nil"/>
              <w:bottom w:val="single" w:sz="4" w:space="0" w:color="auto"/>
              <w:right w:val="single" w:sz="4" w:space="0" w:color="auto"/>
            </w:tcBorders>
            <w:shd w:val="clear" w:color="auto" w:fill="auto"/>
            <w:noWrap/>
            <w:vAlign w:val="bottom"/>
            <w:hideMark/>
          </w:tcPr>
          <w:p w14:paraId="0C1E2B81" w14:textId="77777777" w:rsidR="009A356E" w:rsidRPr="00C10545" w:rsidRDefault="009A356E" w:rsidP="009A356E">
            <w:pPr>
              <w:jc w:val="right"/>
              <w:rPr>
                <w:sz w:val="18"/>
                <w:szCs w:val="18"/>
                <w:lang w:eastAsia="en-AU"/>
              </w:rPr>
            </w:pPr>
            <w:r w:rsidRPr="00C10545">
              <w:rPr>
                <w:sz w:val="18"/>
                <w:szCs w:val="18"/>
                <w:lang w:eastAsia="en-AU"/>
              </w:rPr>
              <w:t>1.1%</w:t>
            </w:r>
          </w:p>
        </w:tc>
      </w:tr>
      <w:tr w:rsidR="009A356E" w:rsidRPr="00C65C2B" w14:paraId="5F3A8281" w14:textId="77777777" w:rsidTr="009A356E">
        <w:trPr>
          <w:trHeight w:val="240"/>
        </w:trPr>
        <w:tc>
          <w:tcPr>
            <w:tcW w:w="1211" w:type="pct"/>
            <w:tcBorders>
              <w:top w:val="nil"/>
              <w:left w:val="single" w:sz="4" w:space="0" w:color="auto"/>
              <w:bottom w:val="single" w:sz="4" w:space="0" w:color="auto"/>
              <w:right w:val="single" w:sz="4" w:space="0" w:color="auto"/>
            </w:tcBorders>
            <w:shd w:val="clear" w:color="auto" w:fill="auto"/>
            <w:noWrap/>
            <w:vAlign w:val="bottom"/>
            <w:hideMark/>
          </w:tcPr>
          <w:p w14:paraId="133C3EB9" w14:textId="77777777" w:rsidR="009A356E" w:rsidRPr="00C10545" w:rsidRDefault="009A356E" w:rsidP="009A356E">
            <w:pPr>
              <w:rPr>
                <w:sz w:val="18"/>
                <w:szCs w:val="18"/>
                <w:lang w:eastAsia="en-AU"/>
              </w:rPr>
            </w:pPr>
            <w:r w:rsidRPr="00C10545">
              <w:rPr>
                <w:sz w:val="18"/>
                <w:szCs w:val="18"/>
                <w:lang w:eastAsia="en-AU"/>
              </w:rPr>
              <w:t>Northern Grampians</w:t>
            </w:r>
          </w:p>
        </w:tc>
        <w:tc>
          <w:tcPr>
            <w:tcW w:w="652" w:type="pct"/>
            <w:tcBorders>
              <w:top w:val="nil"/>
              <w:left w:val="nil"/>
              <w:bottom w:val="single" w:sz="4" w:space="0" w:color="auto"/>
              <w:right w:val="single" w:sz="4" w:space="0" w:color="auto"/>
            </w:tcBorders>
            <w:shd w:val="clear" w:color="auto" w:fill="auto"/>
            <w:noWrap/>
            <w:vAlign w:val="bottom"/>
            <w:hideMark/>
          </w:tcPr>
          <w:p w14:paraId="093EFDED" w14:textId="77777777" w:rsidR="009A356E" w:rsidRPr="00C10545" w:rsidRDefault="009A356E" w:rsidP="009A356E">
            <w:pPr>
              <w:jc w:val="right"/>
              <w:rPr>
                <w:sz w:val="18"/>
                <w:szCs w:val="18"/>
                <w:lang w:eastAsia="en-AU"/>
              </w:rPr>
            </w:pPr>
            <w:r w:rsidRPr="00C10545">
              <w:rPr>
                <w:sz w:val="18"/>
                <w:szCs w:val="18"/>
                <w:lang w:eastAsia="en-AU"/>
              </w:rPr>
              <w:t>-3.0%</w:t>
            </w:r>
          </w:p>
        </w:tc>
        <w:tc>
          <w:tcPr>
            <w:tcW w:w="652" w:type="pct"/>
            <w:tcBorders>
              <w:top w:val="nil"/>
              <w:left w:val="nil"/>
              <w:bottom w:val="single" w:sz="4" w:space="0" w:color="auto"/>
              <w:right w:val="single" w:sz="4" w:space="0" w:color="auto"/>
            </w:tcBorders>
            <w:shd w:val="clear" w:color="auto" w:fill="auto"/>
            <w:noWrap/>
            <w:vAlign w:val="bottom"/>
            <w:hideMark/>
          </w:tcPr>
          <w:p w14:paraId="50A021D9" w14:textId="77777777" w:rsidR="009A356E" w:rsidRPr="00C10545" w:rsidRDefault="009A356E" w:rsidP="009A356E">
            <w:pPr>
              <w:jc w:val="right"/>
              <w:rPr>
                <w:sz w:val="18"/>
                <w:szCs w:val="18"/>
                <w:lang w:eastAsia="en-AU"/>
              </w:rPr>
            </w:pPr>
            <w:r w:rsidRPr="00C10545">
              <w:rPr>
                <w:sz w:val="18"/>
                <w:szCs w:val="18"/>
                <w:lang w:eastAsia="en-AU"/>
              </w:rPr>
              <w:t>3.4%</w:t>
            </w:r>
          </w:p>
        </w:tc>
        <w:tc>
          <w:tcPr>
            <w:tcW w:w="652" w:type="pct"/>
            <w:tcBorders>
              <w:top w:val="nil"/>
              <w:left w:val="nil"/>
              <w:bottom w:val="single" w:sz="4" w:space="0" w:color="auto"/>
              <w:right w:val="single" w:sz="4" w:space="0" w:color="auto"/>
            </w:tcBorders>
            <w:shd w:val="clear" w:color="auto" w:fill="auto"/>
            <w:noWrap/>
            <w:vAlign w:val="bottom"/>
            <w:hideMark/>
          </w:tcPr>
          <w:p w14:paraId="2A3F56E1" w14:textId="77777777" w:rsidR="009A356E" w:rsidRPr="00C10545" w:rsidRDefault="009A356E" w:rsidP="009A356E">
            <w:pPr>
              <w:jc w:val="right"/>
              <w:rPr>
                <w:sz w:val="18"/>
                <w:szCs w:val="18"/>
                <w:lang w:eastAsia="en-AU"/>
              </w:rPr>
            </w:pPr>
            <w:r w:rsidRPr="00C10545">
              <w:rPr>
                <w:sz w:val="18"/>
                <w:szCs w:val="18"/>
                <w:lang w:eastAsia="en-AU"/>
              </w:rPr>
              <w:t>7.6%</w:t>
            </w:r>
          </w:p>
        </w:tc>
        <w:tc>
          <w:tcPr>
            <w:tcW w:w="611" w:type="pct"/>
            <w:tcBorders>
              <w:top w:val="nil"/>
              <w:left w:val="nil"/>
              <w:bottom w:val="single" w:sz="4" w:space="0" w:color="auto"/>
              <w:right w:val="single" w:sz="4" w:space="0" w:color="auto"/>
            </w:tcBorders>
            <w:shd w:val="clear" w:color="auto" w:fill="auto"/>
            <w:noWrap/>
            <w:vAlign w:val="bottom"/>
            <w:hideMark/>
          </w:tcPr>
          <w:p w14:paraId="5AF4AF6F" w14:textId="77777777" w:rsidR="009A356E" w:rsidRPr="00C10545" w:rsidRDefault="009A356E" w:rsidP="009A356E">
            <w:pPr>
              <w:jc w:val="right"/>
              <w:rPr>
                <w:sz w:val="18"/>
                <w:szCs w:val="18"/>
                <w:lang w:eastAsia="en-AU"/>
              </w:rPr>
            </w:pPr>
            <w:r w:rsidRPr="00C10545">
              <w:rPr>
                <w:sz w:val="18"/>
                <w:szCs w:val="18"/>
                <w:lang w:eastAsia="en-AU"/>
              </w:rPr>
              <w:t>6.3%</w:t>
            </w:r>
          </w:p>
        </w:tc>
        <w:tc>
          <w:tcPr>
            <w:tcW w:w="611" w:type="pct"/>
            <w:tcBorders>
              <w:top w:val="nil"/>
              <w:left w:val="nil"/>
              <w:bottom w:val="single" w:sz="4" w:space="0" w:color="auto"/>
              <w:right w:val="single" w:sz="4" w:space="0" w:color="auto"/>
            </w:tcBorders>
            <w:shd w:val="clear" w:color="auto" w:fill="auto"/>
            <w:noWrap/>
            <w:vAlign w:val="bottom"/>
            <w:hideMark/>
          </w:tcPr>
          <w:p w14:paraId="77FB09EA" w14:textId="77777777" w:rsidR="009A356E" w:rsidRPr="00C10545" w:rsidRDefault="009A356E" w:rsidP="009A356E">
            <w:pPr>
              <w:jc w:val="right"/>
              <w:rPr>
                <w:sz w:val="18"/>
                <w:szCs w:val="18"/>
                <w:lang w:eastAsia="en-AU"/>
              </w:rPr>
            </w:pPr>
            <w:r w:rsidRPr="00C10545">
              <w:rPr>
                <w:sz w:val="18"/>
                <w:szCs w:val="18"/>
                <w:lang w:eastAsia="en-AU"/>
              </w:rPr>
              <w:t>2.7%</w:t>
            </w:r>
          </w:p>
        </w:tc>
        <w:tc>
          <w:tcPr>
            <w:tcW w:w="611" w:type="pct"/>
            <w:tcBorders>
              <w:top w:val="nil"/>
              <w:left w:val="nil"/>
              <w:bottom w:val="single" w:sz="4" w:space="0" w:color="auto"/>
              <w:right w:val="single" w:sz="4" w:space="0" w:color="auto"/>
            </w:tcBorders>
            <w:shd w:val="clear" w:color="auto" w:fill="auto"/>
            <w:noWrap/>
            <w:vAlign w:val="bottom"/>
            <w:hideMark/>
          </w:tcPr>
          <w:p w14:paraId="74B858FB" w14:textId="77777777" w:rsidR="009A356E" w:rsidRPr="00C10545" w:rsidRDefault="009A356E" w:rsidP="009A356E">
            <w:pPr>
              <w:jc w:val="right"/>
              <w:rPr>
                <w:sz w:val="18"/>
                <w:szCs w:val="18"/>
                <w:lang w:eastAsia="en-AU"/>
              </w:rPr>
            </w:pPr>
            <w:r w:rsidRPr="00C10545">
              <w:rPr>
                <w:sz w:val="18"/>
                <w:szCs w:val="18"/>
                <w:lang w:eastAsia="en-AU"/>
              </w:rPr>
              <w:t>0.8%</w:t>
            </w:r>
          </w:p>
        </w:tc>
      </w:tr>
      <w:tr w:rsidR="009A356E" w:rsidRPr="00C65C2B" w14:paraId="7BF6B78E" w14:textId="77777777" w:rsidTr="009A356E">
        <w:trPr>
          <w:trHeight w:val="240"/>
        </w:trPr>
        <w:tc>
          <w:tcPr>
            <w:tcW w:w="1211" w:type="pct"/>
            <w:tcBorders>
              <w:top w:val="nil"/>
              <w:left w:val="single" w:sz="4" w:space="0" w:color="auto"/>
              <w:bottom w:val="single" w:sz="4" w:space="0" w:color="auto"/>
              <w:right w:val="single" w:sz="4" w:space="0" w:color="auto"/>
            </w:tcBorders>
            <w:shd w:val="clear" w:color="auto" w:fill="auto"/>
            <w:noWrap/>
            <w:vAlign w:val="bottom"/>
            <w:hideMark/>
          </w:tcPr>
          <w:p w14:paraId="62AD694D" w14:textId="77777777" w:rsidR="009A356E" w:rsidRPr="00C10545" w:rsidRDefault="009A356E" w:rsidP="009A356E">
            <w:pPr>
              <w:rPr>
                <w:sz w:val="18"/>
                <w:szCs w:val="18"/>
                <w:lang w:eastAsia="en-AU"/>
              </w:rPr>
            </w:pPr>
            <w:proofErr w:type="spellStart"/>
            <w:r w:rsidRPr="00C10545">
              <w:rPr>
                <w:sz w:val="18"/>
                <w:szCs w:val="18"/>
                <w:lang w:eastAsia="en-AU"/>
              </w:rPr>
              <w:t>Yarriambiack</w:t>
            </w:r>
            <w:proofErr w:type="spellEnd"/>
          </w:p>
        </w:tc>
        <w:tc>
          <w:tcPr>
            <w:tcW w:w="652" w:type="pct"/>
            <w:tcBorders>
              <w:top w:val="nil"/>
              <w:left w:val="nil"/>
              <w:bottom w:val="single" w:sz="4" w:space="0" w:color="auto"/>
              <w:right w:val="single" w:sz="4" w:space="0" w:color="auto"/>
            </w:tcBorders>
            <w:shd w:val="clear" w:color="auto" w:fill="auto"/>
            <w:noWrap/>
            <w:vAlign w:val="bottom"/>
            <w:hideMark/>
          </w:tcPr>
          <w:p w14:paraId="31AD9207" w14:textId="77777777" w:rsidR="009A356E" w:rsidRPr="00C10545" w:rsidRDefault="009A356E" w:rsidP="009A356E">
            <w:pPr>
              <w:jc w:val="right"/>
              <w:rPr>
                <w:sz w:val="18"/>
                <w:szCs w:val="18"/>
                <w:lang w:eastAsia="en-AU"/>
              </w:rPr>
            </w:pPr>
            <w:r w:rsidRPr="00C10545">
              <w:rPr>
                <w:sz w:val="18"/>
                <w:szCs w:val="18"/>
                <w:lang w:eastAsia="en-AU"/>
              </w:rPr>
              <w:t>3.3%</w:t>
            </w:r>
          </w:p>
        </w:tc>
        <w:tc>
          <w:tcPr>
            <w:tcW w:w="652" w:type="pct"/>
            <w:tcBorders>
              <w:top w:val="nil"/>
              <w:left w:val="nil"/>
              <w:bottom w:val="single" w:sz="4" w:space="0" w:color="auto"/>
              <w:right w:val="single" w:sz="4" w:space="0" w:color="auto"/>
            </w:tcBorders>
            <w:shd w:val="clear" w:color="auto" w:fill="auto"/>
            <w:noWrap/>
            <w:vAlign w:val="bottom"/>
            <w:hideMark/>
          </w:tcPr>
          <w:p w14:paraId="6AC7F553" w14:textId="77777777" w:rsidR="009A356E" w:rsidRPr="00C10545" w:rsidRDefault="009A356E" w:rsidP="009A356E">
            <w:pPr>
              <w:jc w:val="right"/>
              <w:rPr>
                <w:sz w:val="18"/>
                <w:szCs w:val="18"/>
                <w:lang w:eastAsia="en-AU"/>
              </w:rPr>
            </w:pPr>
            <w:r w:rsidRPr="00C10545">
              <w:rPr>
                <w:sz w:val="18"/>
                <w:szCs w:val="18"/>
                <w:lang w:eastAsia="en-AU"/>
              </w:rPr>
              <w:t>0.4%</w:t>
            </w:r>
          </w:p>
        </w:tc>
        <w:tc>
          <w:tcPr>
            <w:tcW w:w="652" w:type="pct"/>
            <w:tcBorders>
              <w:top w:val="nil"/>
              <w:left w:val="nil"/>
              <w:bottom w:val="single" w:sz="4" w:space="0" w:color="auto"/>
              <w:right w:val="single" w:sz="4" w:space="0" w:color="auto"/>
            </w:tcBorders>
            <w:shd w:val="clear" w:color="auto" w:fill="auto"/>
            <w:noWrap/>
            <w:vAlign w:val="bottom"/>
            <w:hideMark/>
          </w:tcPr>
          <w:p w14:paraId="141B68BE" w14:textId="77777777" w:rsidR="009A356E" w:rsidRPr="00C10545" w:rsidRDefault="009A356E" w:rsidP="009A356E">
            <w:pPr>
              <w:jc w:val="right"/>
              <w:rPr>
                <w:sz w:val="18"/>
                <w:szCs w:val="18"/>
                <w:lang w:eastAsia="en-AU"/>
              </w:rPr>
            </w:pPr>
            <w:r w:rsidRPr="00C10545">
              <w:rPr>
                <w:sz w:val="18"/>
                <w:szCs w:val="18"/>
                <w:lang w:eastAsia="en-AU"/>
              </w:rPr>
              <w:t>2.4%</w:t>
            </w:r>
          </w:p>
        </w:tc>
        <w:tc>
          <w:tcPr>
            <w:tcW w:w="611" w:type="pct"/>
            <w:tcBorders>
              <w:top w:val="nil"/>
              <w:left w:val="nil"/>
              <w:bottom w:val="single" w:sz="4" w:space="0" w:color="auto"/>
              <w:right w:val="single" w:sz="4" w:space="0" w:color="auto"/>
            </w:tcBorders>
            <w:shd w:val="clear" w:color="auto" w:fill="auto"/>
            <w:noWrap/>
            <w:vAlign w:val="bottom"/>
            <w:hideMark/>
          </w:tcPr>
          <w:p w14:paraId="7A8DF09A" w14:textId="77777777" w:rsidR="009A356E" w:rsidRPr="00C10545" w:rsidRDefault="009A356E" w:rsidP="009A356E">
            <w:pPr>
              <w:jc w:val="right"/>
              <w:rPr>
                <w:sz w:val="18"/>
                <w:szCs w:val="18"/>
                <w:lang w:eastAsia="en-AU"/>
              </w:rPr>
            </w:pPr>
            <w:r w:rsidRPr="00C10545">
              <w:rPr>
                <w:sz w:val="18"/>
                <w:szCs w:val="18"/>
                <w:lang w:eastAsia="en-AU"/>
              </w:rPr>
              <w:t>6.6%</w:t>
            </w:r>
          </w:p>
        </w:tc>
        <w:tc>
          <w:tcPr>
            <w:tcW w:w="611" w:type="pct"/>
            <w:tcBorders>
              <w:top w:val="nil"/>
              <w:left w:val="nil"/>
              <w:bottom w:val="single" w:sz="4" w:space="0" w:color="auto"/>
              <w:right w:val="single" w:sz="4" w:space="0" w:color="auto"/>
            </w:tcBorders>
            <w:shd w:val="clear" w:color="auto" w:fill="auto"/>
            <w:noWrap/>
            <w:vAlign w:val="bottom"/>
            <w:hideMark/>
          </w:tcPr>
          <w:p w14:paraId="32542AE6" w14:textId="77777777" w:rsidR="009A356E" w:rsidRPr="00C10545" w:rsidRDefault="009A356E" w:rsidP="009A356E">
            <w:pPr>
              <w:jc w:val="right"/>
              <w:rPr>
                <w:sz w:val="18"/>
                <w:szCs w:val="18"/>
                <w:lang w:eastAsia="en-AU"/>
              </w:rPr>
            </w:pPr>
            <w:r w:rsidRPr="00C10545">
              <w:rPr>
                <w:sz w:val="18"/>
                <w:szCs w:val="18"/>
                <w:lang w:eastAsia="en-AU"/>
              </w:rPr>
              <w:t>2.4%</w:t>
            </w:r>
          </w:p>
        </w:tc>
        <w:tc>
          <w:tcPr>
            <w:tcW w:w="611" w:type="pct"/>
            <w:tcBorders>
              <w:top w:val="nil"/>
              <w:left w:val="nil"/>
              <w:bottom w:val="single" w:sz="4" w:space="0" w:color="auto"/>
              <w:right w:val="single" w:sz="4" w:space="0" w:color="auto"/>
            </w:tcBorders>
            <w:shd w:val="clear" w:color="auto" w:fill="auto"/>
            <w:noWrap/>
            <w:vAlign w:val="bottom"/>
            <w:hideMark/>
          </w:tcPr>
          <w:p w14:paraId="61FE830F" w14:textId="77777777" w:rsidR="009A356E" w:rsidRPr="00C10545" w:rsidRDefault="009A356E" w:rsidP="009A356E">
            <w:pPr>
              <w:jc w:val="right"/>
              <w:rPr>
                <w:sz w:val="18"/>
                <w:szCs w:val="18"/>
                <w:lang w:eastAsia="en-AU"/>
              </w:rPr>
            </w:pPr>
            <w:r w:rsidRPr="00C10545">
              <w:rPr>
                <w:sz w:val="18"/>
                <w:szCs w:val="18"/>
                <w:lang w:eastAsia="en-AU"/>
              </w:rPr>
              <w:t>-0.7%</w:t>
            </w:r>
          </w:p>
        </w:tc>
      </w:tr>
      <w:tr w:rsidR="009A356E" w:rsidRPr="00C65C2B" w14:paraId="1E29D3A9" w14:textId="77777777" w:rsidTr="009A356E">
        <w:trPr>
          <w:trHeight w:val="240"/>
        </w:trPr>
        <w:tc>
          <w:tcPr>
            <w:tcW w:w="1211" w:type="pct"/>
            <w:tcBorders>
              <w:top w:val="nil"/>
              <w:left w:val="single" w:sz="4" w:space="0" w:color="auto"/>
              <w:bottom w:val="single" w:sz="4" w:space="0" w:color="auto"/>
              <w:right w:val="single" w:sz="4" w:space="0" w:color="auto"/>
            </w:tcBorders>
            <w:shd w:val="clear" w:color="000000" w:fill="DAEEF3"/>
            <w:noWrap/>
            <w:vAlign w:val="bottom"/>
            <w:hideMark/>
          </w:tcPr>
          <w:p w14:paraId="42ECAC03" w14:textId="77777777" w:rsidR="009A356E" w:rsidRPr="00C10545" w:rsidRDefault="009A356E" w:rsidP="009A356E">
            <w:pPr>
              <w:rPr>
                <w:b/>
                <w:bCs/>
                <w:sz w:val="18"/>
                <w:szCs w:val="18"/>
                <w:lang w:eastAsia="en-AU"/>
              </w:rPr>
            </w:pPr>
            <w:r w:rsidRPr="00C10545">
              <w:rPr>
                <w:b/>
                <w:bCs/>
                <w:sz w:val="18"/>
                <w:szCs w:val="18"/>
                <w:lang w:eastAsia="en-AU"/>
              </w:rPr>
              <w:t>Large Shires</w:t>
            </w:r>
          </w:p>
        </w:tc>
        <w:tc>
          <w:tcPr>
            <w:tcW w:w="652" w:type="pct"/>
            <w:tcBorders>
              <w:top w:val="nil"/>
              <w:left w:val="nil"/>
              <w:bottom w:val="single" w:sz="4" w:space="0" w:color="auto"/>
              <w:right w:val="single" w:sz="4" w:space="0" w:color="auto"/>
            </w:tcBorders>
            <w:shd w:val="clear" w:color="000000" w:fill="000000"/>
            <w:noWrap/>
            <w:vAlign w:val="bottom"/>
            <w:hideMark/>
          </w:tcPr>
          <w:p w14:paraId="0C8FB873" w14:textId="77777777" w:rsidR="009A356E" w:rsidRPr="00C10545" w:rsidRDefault="009A356E" w:rsidP="009A356E">
            <w:pPr>
              <w:rPr>
                <w:sz w:val="18"/>
                <w:szCs w:val="18"/>
                <w:lang w:eastAsia="en-AU"/>
              </w:rPr>
            </w:pPr>
            <w:r w:rsidRPr="00C10545">
              <w:rPr>
                <w:sz w:val="18"/>
                <w:szCs w:val="18"/>
                <w:lang w:eastAsia="en-AU"/>
              </w:rPr>
              <w:t> </w:t>
            </w:r>
          </w:p>
        </w:tc>
        <w:tc>
          <w:tcPr>
            <w:tcW w:w="652" w:type="pct"/>
            <w:tcBorders>
              <w:top w:val="nil"/>
              <w:left w:val="nil"/>
              <w:bottom w:val="single" w:sz="4" w:space="0" w:color="auto"/>
              <w:right w:val="single" w:sz="4" w:space="0" w:color="auto"/>
            </w:tcBorders>
            <w:shd w:val="clear" w:color="000000" w:fill="000000"/>
            <w:noWrap/>
            <w:vAlign w:val="bottom"/>
            <w:hideMark/>
          </w:tcPr>
          <w:p w14:paraId="00A3C097" w14:textId="77777777" w:rsidR="009A356E" w:rsidRPr="00C10545" w:rsidRDefault="009A356E" w:rsidP="009A356E">
            <w:pPr>
              <w:rPr>
                <w:sz w:val="18"/>
                <w:szCs w:val="18"/>
                <w:lang w:eastAsia="en-AU"/>
              </w:rPr>
            </w:pPr>
            <w:r w:rsidRPr="00C10545">
              <w:rPr>
                <w:sz w:val="18"/>
                <w:szCs w:val="18"/>
                <w:lang w:eastAsia="en-AU"/>
              </w:rPr>
              <w:t> </w:t>
            </w:r>
          </w:p>
        </w:tc>
        <w:tc>
          <w:tcPr>
            <w:tcW w:w="652" w:type="pct"/>
            <w:tcBorders>
              <w:top w:val="nil"/>
              <w:left w:val="nil"/>
              <w:bottom w:val="single" w:sz="4" w:space="0" w:color="auto"/>
              <w:right w:val="single" w:sz="4" w:space="0" w:color="auto"/>
            </w:tcBorders>
            <w:shd w:val="clear" w:color="000000" w:fill="000000"/>
            <w:noWrap/>
            <w:vAlign w:val="bottom"/>
            <w:hideMark/>
          </w:tcPr>
          <w:p w14:paraId="252005CC" w14:textId="77777777" w:rsidR="009A356E" w:rsidRPr="00C10545" w:rsidRDefault="009A356E" w:rsidP="009A356E">
            <w:pPr>
              <w:rPr>
                <w:sz w:val="18"/>
                <w:szCs w:val="18"/>
                <w:lang w:eastAsia="en-AU"/>
              </w:rPr>
            </w:pPr>
            <w:r w:rsidRPr="00C10545">
              <w:rPr>
                <w:sz w:val="18"/>
                <w:szCs w:val="18"/>
                <w:lang w:eastAsia="en-AU"/>
              </w:rPr>
              <w:t> </w:t>
            </w:r>
          </w:p>
        </w:tc>
        <w:tc>
          <w:tcPr>
            <w:tcW w:w="611" w:type="pct"/>
            <w:tcBorders>
              <w:top w:val="nil"/>
              <w:left w:val="nil"/>
              <w:bottom w:val="single" w:sz="4" w:space="0" w:color="auto"/>
              <w:right w:val="single" w:sz="4" w:space="0" w:color="auto"/>
            </w:tcBorders>
            <w:shd w:val="clear" w:color="000000" w:fill="000000"/>
            <w:noWrap/>
            <w:vAlign w:val="bottom"/>
            <w:hideMark/>
          </w:tcPr>
          <w:p w14:paraId="588B2BA4" w14:textId="77777777" w:rsidR="009A356E" w:rsidRPr="00C10545" w:rsidRDefault="009A356E" w:rsidP="009A356E">
            <w:pPr>
              <w:rPr>
                <w:sz w:val="18"/>
                <w:szCs w:val="18"/>
                <w:lang w:eastAsia="en-AU"/>
              </w:rPr>
            </w:pPr>
            <w:r w:rsidRPr="00C10545">
              <w:rPr>
                <w:sz w:val="18"/>
                <w:szCs w:val="18"/>
                <w:lang w:eastAsia="en-AU"/>
              </w:rPr>
              <w:t> </w:t>
            </w:r>
          </w:p>
        </w:tc>
        <w:tc>
          <w:tcPr>
            <w:tcW w:w="611" w:type="pct"/>
            <w:tcBorders>
              <w:top w:val="nil"/>
              <w:left w:val="nil"/>
              <w:bottom w:val="single" w:sz="4" w:space="0" w:color="auto"/>
              <w:right w:val="single" w:sz="4" w:space="0" w:color="auto"/>
            </w:tcBorders>
            <w:shd w:val="clear" w:color="000000" w:fill="000000"/>
            <w:noWrap/>
            <w:vAlign w:val="bottom"/>
            <w:hideMark/>
          </w:tcPr>
          <w:p w14:paraId="6E161153" w14:textId="77777777" w:rsidR="009A356E" w:rsidRPr="00C10545" w:rsidRDefault="009A356E" w:rsidP="009A356E">
            <w:pPr>
              <w:rPr>
                <w:sz w:val="18"/>
                <w:szCs w:val="18"/>
                <w:lang w:eastAsia="en-AU"/>
              </w:rPr>
            </w:pPr>
            <w:r w:rsidRPr="00C10545">
              <w:rPr>
                <w:sz w:val="18"/>
                <w:szCs w:val="18"/>
                <w:lang w:eastAsia="en-AU"/>
              </w:rPr>
              <w:t> </w:t>
            </w:r>
          </w:p>
        </w:tc>
        <w:tc>
          <w:tcPr>
            <w:tcW w:w="611" w:type="pct"/>
            <w:tcBorders>
              <w:top w:val="nil"/>
              <w:left w:val="nil"/>
              <w:bottom w:val="single" w:sz="4" w:space="0" w:color="auto"/>
              <w:right w:val="single" w:sz="4" w:space="0" w:color="auto"/>
            </w:tcBorders>
            <w:shd w:val="clear" w:color="000000" w:fill="000000"/>
            <w:noWrap/>
            <w:vAlign w:val="bottom"/>
            <w:hideMark/>
          </w:tcPr>
          <w:p w14:paraId="5FA37E1C" w14:textId="77777777" w:rsidR="009A356E" w:rsidRPr="00C10545" w:rsidRDefault="009A356E" w:rsidP="009A356E">
            <w:pPr>
              <w:rPr>
                <w:sz w:val="18"/>
                <w:szCs w:val="18"/>
                <w:lang w:eastAsia="en-AU"/>
              </w:rPr>
            </w:pPr>
            <w:r w:rsidRPr="00C10545">
              <w:rPr>
                <w:sz w:val="18"/>
                <w:szCs w:val="18"/>
                <w:lang w:eastAsia="en-AU"/>
              </w:rPr>
              <w:t> </w:t>
            </w:r>
          </w:p>
        </w:tc>
      </w:tr>
      <w:tr w:rsidR="009A356E" w:rsidRPr="00C65C2B" w14:paraId="27911FDD" w14:textId="77777777" w:rsidTr="009A356E">
        <w:trPr>
          <w:trHeight w:val="240"/>
        </w:trPr>
        <w:tc>
          <w:tcPr>
            <w:tcW w:w="1211" w:type="pct"/>
            <w:tcBorders>
              <w:top w:val="nil"/>
              <w:left w:val="single" w:sz="4" w:space="0" w:color="auto"/>
              <w:bottom w:val="single" w:sz="4" w:space="0" w:color="auto"/>
              <w:right w:val="single" w:sz="4" w:space="0" w:color="auto"/>
            </w:tcBorders>
            <w:shd w:val="clear" w:color="auto" w:fill="auto"/>
            <w:noWrap/>
            <w:vAlign w:val="bottom"/>
            <w:hideMark/>
          </w:tcPr>
          <w:p w14:paraId="45A9CBEB" w14:textId="77777777" w:rsidR="009A356E" w:rsidRPr="00C10545" w:rsidRDefault="009A356E" w:rsidP="009A356E">
            <w:pPr>
              <w:rPr>
                <w:sz w:val="18"/>
                <w:szCs w:val="18"/>
                <w:lang w:eastAsia="en-AU"/>
              </w:rPr>
            </w:pPr>
            <w:r w:rsidRPr="00C10545">
              <w:rPr>
                <w:sz w:val="18"/>
                <w:szCs w:val="18"/>
                <w:lang w:eastAsia="en-AU"/>
              </w:rPr>
              <w:t>Campaspe</w:t>
            </w:r>
          </w:p>
        </w:tc>
        <w:tc>
          <w:tcPr>
            <w:tcW w:w="652" w:type="pct"/>
            <w:tcBorders>
              <w:top w:val="nil"/>
              <w:left w:val="nil"/>
              <w:bottom w:val="single" w:sz="4" w:space="0" w:color="auto"/>
              <w:right w:val="single" w:sz="4" w:space="0" w:color="auto"/>
            </w:tcBorders>
            <w:shd w:val="clear" w:color="auto" w:fill="auto"/>
            <w:noWrap/>
            <w:vAlign w:val="bottom"/>
            <w:hideMark/>
          </w:tcPr>
          <w:p w14:paraId="1E00C1D4" w14:textId="77777777" w:rsidR="009A356E" w:rsidRPr="00C10545" w:rsidRDefault="009A356E" w:rsidP="009A356E">
            <w:pPr>
              <w:jc w:val="right"/>
              <w:rPr>
                <w:sz w:val="18"/>
                <w:szCs w:val="18"/>
                <w:lang w:eastAsia="en-AU"/>
              </w:rPr>
            </w:pPr>
            <w:r w:rsidRPr="00C10545">
              <w:rPr>
                <w:sz w:val="18"/>
                <w:szCs w:val="18"/>
                <w:lang w:eastAsia="en-AU"/>
              </w:rPr>
              <w:t>-3.4%</w:t>
            </w:r>
          </w:p>
        </w:tc>
        <w:tc>
          <w:tcPr>
            <w:tcW w:w="652" w:type="pct"/>
            <w:tcBorders>
              <w:top w:val="nil"/>
              <w:left w:val="nil"/>
              <w:bottom w:val="single" w:sz="4" w:space="0" w:color="auto"/>
              <w:right w:val="single" w:sz="4" w:space="0" w:color="auto"/>
            </w:tcBorders>
            <w:shd w:val="clear" w:color="auto" w:fill="auto"/>
            <w:noWrap/>
            <w:vAlign w:val="bottom"/>
            <w:hideMark/>
          </w:tcPr>
          <w:p w14:paraId="1E18921F" w14:textId="77777777" w:rsidR="009A356E" w:rsidRPr="00C10545" w:rsidRDefault="009A356E" w:rsidP="009A356E">
            <w:pPr>
              <w:jc w:val="right"/>
              <w:rPr>
                <w:sz w:val="18"/>
                <w:szCs w:val="18"/>
                <w:lang w:eastAsia="en-AU"/>
              </w:rPr>
            </w:pPr>
            <w:r w:rsidRPr="00C10545">
              <w:rPr>
                <w:sz w:val="18"/>
                <w:szCs w:val="18"/>
                <w:lang w:eastAsia="en-AU"/>
              </w:rPr>
              <w:t>-4.9%</w:t>
            </w:r>
          </w:p>
        </w:tc>
        <w:tc>
          <w:tcPr>
            <w:tcW w:w="652" w:type="pct"/>
            <w:tcBorders>
              <w:top w:val="nil"/>
              <w:left w:val="nil"/>
              <w:bottom w:val="single" w:sz="4" w:space="0" w:color="auto"/>
              <w:right w:val="single" w:sz="4" w:space="0" w:color="auto"/>
            </w:tcBorders>
            <w:shd w:val="clear" w:color="auto" w:fill="auto"/>
            <w:noWrap/>
            <w:vAlign w:val="bottom"/>
            <w:hideMark/>
          </w:tcPr>
          <w:p w14:paraId="2FAA7A44" w14:textId="77777777" w:rsidR="009A356E" w:rsidRPr="00C10545" w:rsidRDefault="009A356E" w:rsidP="009A356E">
            <w:pPr>
              <w:jc w:val="right"/>
              <w:rPr>
                <w:sz w:val="18"/>
                <w:szCs w:val="18"/>
                <w:lang w:eastAsia="en-AU"/>
              </w:rPr>
            </w:pPr>
            <w:r w:rsidRPr="00C10545">
              <w:rPr>
                <w:sz w:val="18"/>
                <w:szCs w:val="18"/>
                <w:lang w:eastAsia="en-AU"/>
              </w:rPr>
              <w:t>15.4%</w:t>
            </w:r>
          </w:p>
        </w:tc>
        <w:tc>
          <w:tcPr>
            <w:tcW w:w="611" w:type="pct"/>
            <w:tcBorders>
              <w:top w:val="nil"/>
              <w:left w:val="nil"/>
              <w:bottom w:val="single" w:sz="4" w:space="0" w:color="auto"/>
              <w:right w:val="single" w:sz="4" w:space="0" w:color="auto"/>
            </w:tcBorders>
            <w:shd w:val="clear" w:color="auto" w:fill="auto"/>
            <w:noWrap/>
            <w:vAlign w:val="bottom"/>
            <w:hideMark/>
          </w:tcPr>
          <w:p w14:paraId="3A2155B9" w14:textId="77777777" w:rsidR="009A356E" w:rsidRPr="00C10545" w:rsidRDefault="009A356E" w:rsidP="009A356E">
            <w:pPr>
              <w:jc w:val="right"/>
              <w:rPr>
                <w:sz w:val="18"/>
                <w:szCs w:val="18"/>
                <w:lang w:eastAsia="en-AU"/>
              </w:rPr>
            </w:pPr>
            <w:r w:rsidRPr="00C10545">
              <w:rPr>
                <w:sz w:val="18"/>
                <w:szCs w:val="18"/>
                <w:lang w:eastAsia="en-AU"/>
              </w:rPr>
              <w:t>4.5%</w:t>
            </w:r>
          </w:p>
        </w:tc>
        <w:tc>
          <w:tcPr>
            <w:tcW w:w="611" w:type="pct"/>
            <w:tcBorders>
              <w:top w:val="nil"/>
              <w:left w:val="nil"/>
              <w:bottom w:val="single" w:sz="4" w:space="0" w:color="auto"/>
              <w:right w:val="single" w:sz="4" w:space="0" w:color="auto"/>
            </w:tcBorders>
            <w:shd w:val="clear" w:color="auto" w:fill="auto"/>
            <w:noWrap/>
            <w:vAlign w:val="bottom"/>
            <w:hideMark/>
          </w:tcPr>
          <w:p w14:paraId="2BE27DF0" w14:textId="77777777" w:rsidR="009A356E" w:rsidRPr="00C10545" w:rsidRDefault="009A356E" w:rsidP="009A356E">
            <w:pPr>
              <w:jc w:val="right"/>
              <w:rPr>
                <w:sz w:val="18"/>
                <w:szCs w:val="18"/>
                <w:lang w:eastAsia="en-AU"/>
              </w:rPr>
            </w:pPr>
            <w:r w:rsidRPr="00C10545">
              <w:rPr>
                <w:sz w:val="18"/>
                <w:szCs w:val="18"/>
                <w:lang w:eastAsia="en-AU"/>
              </w:rPr>
              <w:t>-0.7%</w:t>
            </w:r>
          </w:p>
        </w:tc>
        <w:tc>
          <w:tcPr>
            <w:tcW w:w="611" w:type="pct"/>
            <w:tcBorders>
              <w:top w:val="nil"/>
              <w:left w:val="nil"/>
              <w:bottom w:val="single" w:sz="4" w:space="0" w:color="auto"/>
              <w:right w:val="single" w:sz="4" w:space="0" w:color="auto"/>
            </w:tcBorders>
            <w:shd w:val="clear" w:color="auto" w:fill="auto"/>
            <w:noWrap/>
            <w:vAlign w:val="bottom"/>
            <w:hideMark/>
          </w:tcPr>
          <w:p w14:paraId="2B0630F6" w14:textId="77777777" w:rsidR="009A356E" w:rsidRPr="00C10545" w:rsidRDefault="009A356E" w:rsidP="009A356E">
            <w:pPr>
              <w:jc w:val="right"/>
              <w:rPr>
                <w:sz w:val="18"/>
                <w:szCs w:val="18"/>
                <w:lang w:eastAsia="en-AU"/>
              </w:rPr>
            </w:pPr>
            <w:r w:rsidRPr="00C10545">
              <w:rPr>
                <w:sz w:val="18"/>
                <w:szCs w:val="18"/>
                <w:lang w:eastAsia="en-AU"/>
              </w:rPr>
              <w:t>-2.9%</w:t>
            </w:r>
          </w:p>
        </w:tc>
      </w:tr>
      <w:tr w:rsidR="009A356E" w:rsidRPr="00C65C2B" w14:paraId="02490C85" w14:textId="77777777" w:rsidTr="009A356E">
        <w:trPr>
          <w:trHeight w:val="240"/>
        </w:trPr>
        <w:tc>
          <w:tcPr>
            <w:tcW w:w="1211" w:type="pct"/>
            <w:tcBorders>
              <w:top w:val="nil"/>
              <w:left w:val="single" w:sz="4" w:space="0" w:color="auto"/>
              <w:bottom w:val="single" w:sz="4" w:space="0" w:color="auto"/>
              <w:right w:val="single" w:sz="4" w:space="0" w:color="auto"/>
            </w:tcBorders>
            <w:shd w:val="clear" w:color="auto" w:fill="auto"/>
            <w:noWrap/>
            <w:vAlign w:val="bottom"/>
            <w:hideMark/>
          </w:tcPr>
          <w:p w14:paraId="05803A9B" w14:textId="77777777" w:rsidR="009A356E" w:rsidRPr="00C10545" w:rsidRDefault="009A356E" w:rsidP="009A356E">
            <w:pPr>
              <w:rPr>
                <w:sz w:val="18"/>
                <w:szCs w:val="18"/>
                <w:lang w:eastAsia="en-AU"/>
              </w:rPr>
            </w:pPr>
            <w:r w:rsidRPr="00C10545">
              <w:rPr>
                <w:sz w:val="18"/>
                <w:szCs w:val="18"/>
                <w:lang w:eastAsia="en-AU"/>
              </w:rPr>
              <w:lastRenderedPageBreak/>
              <w:t>Corangamite</w:t>
            </w:r>
          </w:p>
        </w:tc>
        <w:tc>
          <w:tcPr>
            <w:tcW w:w="652" w:type="pct"/>
            <w:tcBorders>
              <w:top w:val="nil"/>
              <w:left w:val="nil"/>
              <w:bottom w:val="single" w:sz="4" w:space="0" w:color="auto"/>
              <w:right w:val="single" w:sz="4" w:space="0" w:color="auto"/>
            </w:tcBorders>
            <w:shd w:val="clear" w:color="auto" w:fill="auto"/>
            <w:noWrap/>
            <w:vAlign w:val="bottom"/>
            <w:hideMark/>
          </w:tcPr>
          <w:p w14:paraId="2354ED34" w14:textId="77777777" w:rsidR="009A356E" w:rsidRPr="00C10545" w:rsidRDefault="009A356E" w:rsidP="009A356E">
            <w:pPr>
              <w:jc w:val="right"/>
              <w:rPr>
                <w:sz w:val="18"/>
                <w:szCs w:val="18"/>
                <w:lang w:eastAsia="en-AU"/>
              </w:rPr>
            </w:pPr>
            <w:r w:rsidRPr="00C10545">
              <w:rPr>
                <w:sz w:val="18"/>
                <w:szCs w:val="18"/>
                <w:lang w:eastAsia="en-AU"/>
              </w:rPr>
              <w:t>-3.2%</w:t>
            </w:r>
          </w:p>
        </w:tc>
        <w:tc>
          <w:tcPr>
            <w:tcW w:w="652" w:type="pct"/>
            <w:tcBorders>
              <w:top w:val="nil"/>
              <w:left w:val="nil"/>
              <w:bottom w:val="single" w:sz="4" w:space="0" w:color="auto"/>
              <w:right w:val="single" w:sz="4" w:space="0" w:color="auto"/>
            </w:tcBorders>
            <w:shd w:val="clear" w:color="auto" w:fill="auto"/>
            <w:noWrap/>
            <w:vAlign w:val="bottom"/>
            <w:hideMark/>
          </w:tcPr>
          <w:p w14:paraId="0C1CB3C5" w14:textId="77777777" w:rsidR="009A356E" w:rsidRPr="00C10545" w:rsidRDefault="009A356E" w:rsidP="009A356E">
            <w:pPr>
              <w:jc w:val="right"/>
              <w:rPr>
                <w:sz w:val="18"/>
                <w:szCs w:val="18"/>
                <w:lang w:eastAsia="en-AU"/>
              </w:rPr>
            </w:pPr>
            <w:r w:rsidRPr="00C10545">
              <w:rPr>
                <w:sz w:val="18"/>
                <w:szCs w:val="18"/>
                <w:lang w:eastAsia="en-AU"/>
              </w:rPr>
              <w:t>-3.9%</w:t>
            </w:r>
          </w:p>
        </w:tc>
        <w:tc>
          <w:tcPr>
            <w:tcW w:w="652" w:type="pct"/>
            <w:tcBorders>
              <w:top w:val="nil"/>
              <w:left w:val="nil"/>
              <w:bottom w:val="single" w:sz="4" w:space="0" w:color="auto"/>
              <w:right w:val="single" w:sz="4" w:space="0" w:color="auto"/>
            </w:tcBorders>
            <w:shd w:val="clear" w:color="auto" w:fill="auto"/>
            <w:noWrap/>
            <w:vAlign w:val="bottom"/>
            <w:hideMark/>
          </w:tcPr>
          <w:p w14:paraId="442931CE" w14:textId="77777777" w:rsidR="009A356E" w:rsidRPr="00C10545" w:rsidRDefault="009A356E" w:rsidP="009A356E">
            <w:pPr>
              <w:jc w:val="right"/>
              <w:rPr>
                <w:sz w:val="18"/>
                <w:szCs w:val="18"/>
                <w:lang w:eastAsia="en-AU"/>
              </w:rPr>
            </w:pPr>
            <w:r w:rsidRPr="00C10545">
              <w:rPr>
                <w:sz w:val="18"/>
                <w:szCs w:val="18"/>
                <w:lang w:eastAsia="en-AU"/>
              </w:rPr>
              <w:t>19.0%</w:t>
            </w:r>
          </w:p>
        </w:tc>
        <w:tc>
          <w:tcPr>
            <w:tcW w:w="611" w:type="pct"/>
            <w:tcBorders>
              <w:top w:val="nil"/>
              <w:left w:val="nil"/>
              <w:bottom w:val="single" w:sz="4" w:space="0" w:color="auto"/>
              <w:right w:val="single" w:sz="4" w:space="0" w:color="auto"/>
            </w:tcBorders>
            <w:shd w:val="clear" w:color="auto" w:fill="auto"/>
            <w:noWrap/>
            <w:vAlign w:val="bottom"/>
            <w:hideMark/>
          </w:tcPr>
          <w:p w14:paraId="7B68903D" w14:textId="77777777" w:rsidR="009A356E" w:rsidRPr="00C10545" w:rsidRDefault="009A356E" w:rsidP="009A356E">
            <w:pPr>
              <w:jc w:val="right"/>
              <w:rPr>
                <w:sz w:val="18"/>
                <w:szCs w:val="18"/>
                <w:lang w:eastAsia="en-AU"/>
              </w:rPr>
            </w:pPr>
            <w:r w:rsidRPr="00C10545">
              <w:rPr>
                <w:sz w:val="18"/>
                <w:szCs w:val="18"/>
                <w:lang w:eastAsia="en-AU"/>
              </w:rPr>
              <w:t>7.7%</w:t>
            </w:r>
          </w:p>
        </w:tc>
        <w:tc>
          <w:tcPr>
            <w:tcW w:w="611" w:type="pct"/>
            <w:tcBorders>
              <w:top w:val="nil"/>
              <w:left w:val="nil"/>
              <w:bottom w:val="single" w:sz="4" w:space="0" w:color="auto"/>
              <w:right w:val="single" w:sz="4" w:space="0" w:color="auto"/>
            </w:tcBorders>
            <w:shd w:val="clear" w:color="auto" w:fill="auto"/>
            <w:noWrap/>
            <w:vAlign w:val="bottom"/>
            <w:hideMark/>
          </w:tcPr>
          <w:p w14:paraId="75725D48" w14:textId="77777777" w:rsidR="009A356E" w:rsidRPr="00C10545" w:rsidRDefault="009A356E" w:rsidP="009A356E">
            <w:pPr>
              <w:jc w:val="right"/>
              <w:rPr>
                <w:sz w:val="18"/>
                <w:szCs w:val="18"/>
                <w:lang w:eastAsia="en-AU"/>
              </w:rPr>
            </w:pPr>
            <w:r w:rsidRPr="00C10545">
              <w:rPr>
                <w:sz w:val="18"/>
                <w:szCs w:val="18"/>
                <w:lang w:eastAsia="en-AU"/>
              </w:rPr>
              <w:t>2.9%</w:t>
            </w:r>
          </w:p>
        </w:tc>
        <w:tc>
          <w:tcPr>
            <w:tcW w:w="611" w:type="pct"/>
            <w:tcBorders>
              <w:top w:val="nil"/>
              <w:left w:val="nil"/>
              <w:bottom w:val="single" w:sz="4" w:space="0" w:color="auto"/>
              <w:right w:val="single" w:sz="4" w:space="0" w:color="auto"/>
            </w:tcBorders>
            <w:shd w:val="clear" w:color="auto" w:fill="auto"/>
            <w:noWrap/>
            <w:vAlign w:val="bottom"/>
            <w:hideMark/>
          </w:tcPr>
          <w:p w14:paraId="3F718D5D" w14:textId="77777777" w:rsidR="009A356E" w:rsidRPr="00C10545" w:rsidRDefault="009A356E" w:rsidP="009A356E">
            <w:pPr>
              <w:jc w:val="right"/>
              <w:rPr>
                <w:sz w:val="18"/>
                <w:szCs w:val="18"/>
                <w:lang w:eastAsia="en-AU"/>
              </w:rPr>
            </w:pPr>
            <w:r w:rsidRPr="00C10545">
              <w:rPr>
                <w:sz w:val="18"/>
                <w:szCs w:val="18"/>
                <w:lang w:eastAsia="en-AU"/>
              </w:rPr>
              <w:t>-0.1%</w:t>
            </w:r>
          </w:p>
        </w:tc>
      </w:tr>
      <w:tr w:rsidR="009A356E" w:rsidRPr="00C65C2B" w14:paraId="2AF5FC03" w14:textId="77777777" w:rsidTr="009A356E">
        <w:trPr>
          <w:trHeight w:val="240"/>
        </w:trPr>
        <w:tc>
          <w:tcPr>
            <w:tcW w:w="1211" w:type="pct"/>
            <w:tcBorders>
              <w:top w:val="nil"/>
              <w:left w:val="single" w:sz="4" w:space="0" w:color="auto"/>
              <w:bottom w:val="single" w:sz="4" w:space="0" w:color="auto"/>
              <w:right w:val="single" w:sz="4" w:space="0" w:color="auto"/>
            </w:tcBorders>
            <w:shd w:val="clear" w:color="auto" w:fill="auto"/>
            <w:noWrap/>
            <w:vAlign w:val="bottom"/>
            <w:hideMark/>
          </w:tcPr>
          <w:p w14:paraId="4771F4BA" w14:textId="77777777" w:rsidR="009A356E" w:rsidRPr="00C10545" w:rsidRDefault="009A356E" w:rsidP="009A356E">
            <w:pPr>
              <w:rPr>
                <w:sz w:val="18"/>
                <w:szCs w:val="18"/>
                <w:lang w:eastAsia="en-AU"/>
              </w:rPr>
            </w:pPr>
            <w:r w:rsidRPr="00C10545">
              <w:rPr>
                <w:sz w:val="18"/>
                <w:szCs w:val="18"/>
                <w:lang w:eastAsia="en-AU"/>
              </w:rPr>
              <w:t>Mitchell</w:t>
            </w:r>
          </w:p>
        </w:tc>
        <w:tc>
          <w:tcPr>
            <w:tcW w:w="652" w:type="pct"/>
            <w:tcBorders>
              <w:top w:val="nil"/>
              <w:left w:val="nil"/>
              <w:bottom w:val="single" w:sz="4" w:space="0" w:color="auto"/>
              <w:right w:val="single" w:sz="4" w:space="0" w:color="auto"/>
            </w:tcBorders>
            <w:shd w:val="clear" w:color="auto" w:fill="auto"/>
            <w:noWrap/>
            <w:vAlign w:val="bottom"/>
            <w:hideMark/>
          </w:tcPr>
          <w:p w14:paraId="79C65611" w14:textId="77777777" w:rsidR="009A356E" w:rsidRPr="00C10545" w:rsidRDefault="009A356E" w:rsidP="009A356E">
            <w:pPr>
              <w:jc w:val="right"/>
              <w:rPr>
                <w:sz w:val="18"/>
                <w:szCs w:val="18"/>
                <w:lang w:eastAsia="en-AU"/>
              </w:rPr>
            </w:pPr>
            <w:r w:rsidRPr="00C10545">
              <w:rPr>
                <w:sz w:val="18"/>
                <w:szCs w:val="18"/>
                <w:lang w:eastAsia="en-AU"/>
              </w:rPr>
              <w:t>-4.2%</w:t>
            </w:r>
          </w:p>
        </w:tc>
        <w:tc>
          <w:tcPr>
            <w:tcW w:w="652" w:type="pct"/>
            <w:tcBorders>
              <w:top w:val="nil"/>
              <w:left w:val="nil"/>
              <w:bottom w:val="single" w:sz="4" w:space="0" w:color="auto"/>
              <w:right w:val="single" w:sz="4" w:space="0" w:color="auto"/>
            </w:tcBorders>
            <w:shd w:val="clear" w:color="auto" w:fill="auto"/>
            <w:noWrap/>
            <w:vAlign w:val="bottom"/>
            <w:hideMark/>
          </w:tcPr>
          <w:p w14:paraId="48E0BA7E" w14:textId="77777777" w:rsidR="009A356E" w:rsidRPr="00C10545" w:rsidRDefault="009A356E" w:rsidP="009A356E">
            <w:pPr>
              <w:jc w:val="right"/>
              <w:rPr>
                <w:sz w:val="18"/>
                <w:szCs w:val="18"/>
                <w:lang w:eastAsia="en-AU"/>
              </w:rPr>
            </w:pPr>
            <w:r w:rsidRPr="00C10545">
              <w:rPr>
                <w:sz w:val="18"/>
                <w:szCs w:val="18"/>
                <w:lang w:eastAsia="en-AU"/>
              </w:rPr>
              <w:t>1.7%</w:t>
            </w:r>
          </w:p>
        </w:tc>
        <w:tc>
          <w:tcPr>
            <w:tcW w:w="652" w:type="pct"/>
            <w:tcBorders>
              <w:top w:val="nil"/>
              <w:left w:val="nil"/>
              <w:bottom w:val="single" w:sz="4" w:space="0" w:color="auto"/>
              <w:right w:val="single" w:sz="4" w:space="0" w:color="auto"/>
            </w:tcBorders>
            <w:shd w:val="clear" w:color="auto" w:fill="auto"/>
            <w:noWrap/>
            <w:vAlign w:val="bottom"/>
            <w:hideMark/>
          </w:tcPr>
          <w:p w14:paraId="705F5866" w14:textId="77777777" w:rsidR="009A356E" w:rsidRPr="00C10545" w:rsidRDefault="009A356E" w:rsidP="009A356E">
            <w:pPr>
              <w:jc w:val="right"/>
              <w:rPr>
                <w:sz w:val="18"/>
                <w:szCs w:val="18"/>
                <w:lang w:eastAsia="en-AU"/>
              </w:rPr>
            </w:pPr>
            <w:r w:rsidRPr="00C10545">
              <w:rPr>
                <w:sz w:val="18"/>
                <w:szCs w:val="18"/>
                <w:lang w:eastAsia="en-AU"/>
              </w:rPr>
              <w:t>1.3%</w:t>
            </w:r>
          </w:p>
        </w:tc>
        <w:tc>
          <w:tcPr>
            <w:tcW w:w="611" w:type="pct"/>
            <w:tcBorders>
              <w:top w:val="nil"/>
              <w:left w:val="nil"/>
              <w:bottom w:val="single" w:sz="4" w:space="0" w:color="auto"/>
              <w:right w:val="single" w:sz="4" w:space="0" w:color="auto"/>
            </w:tcBorders>
            <w:shd w:val="clear" w:color="auto" w:fill="auto"/>
            <w:noWrap/>
            <w:vAlign w:val="bottom"/>
            <w:hideMark/>
          </w:tcPr>
          <w:p w14:paraId="14CF3F16" w14:textId="77777777" w:rsidR="009A356E" w:rsidRPr="00C10545" w:rsidRDefault="009A356E" w:rsidP="009A356E">
            <w:pPr>
              <w:jc w:val="right"/>
              <w:rPr>
                <w:sz w:val="18"/>
                <w:szCs w:val="18"/>
                <w:lang w:eastAsia="en-AU"/>
              </w:rPr>
            </w:pPr>
            <w:r w:rsidRPr="00C10545">
              <w:rPr>
                <w:sz w:val="18"/>
                <w:szCs w:val="18"/>
                <w:lang w:eastAsia="en-AU"/>
              </w:rPr>
              <w:t>0.0%</w:t>
            </w:r>
          </w:p>
        </w:tc>
        <w:tc>
          <w:tcPr>
            <w:tcW w:w="611" w:type="pct"/>
            <w:tcBorders>
              <w:top w:val="nil"/>
              <w:left w:val="nil"/>
              <w:bottom w:val="single" w:sz="4" w:space="0" w:color="auto"/>
              <w:right w:val="single" w:sz="4" w:space="0" w:color="auto"/>
            </w:tcBorders>
            <w:shd w:val="clear" w:color="auto" w:fill="auto"/>
            <w:noWrap/>
            <w:vAlign w:val="bottom"/>
            <w:hideMark/>
          </w:tcPr>
          <w:p w14:paraId="6DB3F665" w14:textId="77777777" w:rsidR="009A356E" w:rsidRPr="00C10545" w:rsidRDefault="009A356E" w:rsidP="009A356E">
            <w:pPr>
              <w:jc w:val="right"/>
              <w:rPr>
                <w:sz w:val="18"/>
                <w:szCs w:val="18"/>
                <w:lang w:eastAsia="en-AU"/>
              </w:rPr>
            </w:pPr>
            <w:r w:rsidRPr="00C10545">
              <w:rPr>
                <w:sz w:val="18"/>
                <w:szCs w:val="18"/>
                <w:lang w:eastAsia="en-AU"/>
              </w:rPr>
              <w:t>-1.5%</w:t>
            </w:r>
          </w:p>
        </w:tc>
        <w:tc>
          <w:tcPr>
            <w:tcW w:w="611" w:type="pct"/>
            <w:tcBorders>
              <w:top w:val="nil"/>
              <w:left w:val="nil"/>
              <w:bottom w:val="single" w:sz="4" w:space="0" w:color="auto"/>
              <w:right w:val="single" w:sz="4" w:space="0" w:color="auto"/>
            </w:tcBorders>
            <w:shd w:val="clear" w:color="auto" w:fill="auto"/>
            <w:noWrap/>
            <w:vAlign w:val="bottom"/>
            <w:hideMark/>
          </w:tcPr>
          <w:p w14:paraId="2C0084DE" w14:textId="77777777" w:rsidR="009A356E" w:rsidRPr="00C10545" w:rsidRDefault="009A356E" w:rsidP="009A356E">
            <w:pPr>
              <w:jc w:val="right"/>
              <w:rPr>
                <w:sz w:val="18"/>
                <w:szCs w:val="18"/>
                <w:lang w:eastAsia="en-AU"/>
              </w:rPr>
            </w:pPr>
            <w:r w:rsidRPr="00C10545">
              <w:rPr>
                <w:sz w:val="18"/>
                <w:szCs w:val="18"/>
                <w:lang w:eastAsia="en-AU"/>
              </w:rPr>
              <w:t>-1.6%</w:t>
            </w:r>
          </w:p>
        </w:tc>
      </w:tr>
      <w:tr w:rsidR="009A356E" w:rsidRPr="00C65C2B" w14:paraId="15FD91B1" w14:textId="77777777" w:rsidTr="009A356E">
        <w:trPr>
          <w:trHeight w:val="240"/>
        </w:trPr>
        <w:tc>
          <w:tcPr>
            <w:tcW w:w="1211" w:type="pct"/>
            <w:tcBorders>
              <w:top w:val="nil"/>
              <w:left w:val="single" w:sz="4" w:space="0" w:color="auto"/>
              <w:bottom w:val="single" w:sz="4" w:space="0" w:color="auto"/>
              <w:right w:val="single" w:sz="4" w:space="0" w:color="auto"/>
            </w:tcBorders>
            <w:shd w:val="clear" w:color="auto" w:fill="auto"/>
            <w:noWrap/>
            <w:vAlign w:val="bottom"/>
            <w:hideMark/>
          </w:tcPr>
          <w:p w14:paraId="39D1BDE1" w14:textId="77777777" w:rsidR="009A356E" w:rsidRPr="00C10545" w:rsidRDefault="009A356E" w:rsidP="009A356E">
            <w:pPr>
              <w:rPr>
                <w:sz w:val="18"/>
                <w:szCs w:val="18"/>
                <w:lang w:eastAsia="en-AU"/>
              </w:rPr>
            </w:pPr>
            <w:r w:rsidRPr="00C10545">
              <w:rPr>
                <w:sz w:val="18"/>
                <w:szCs w:val="18"/>
                <w:lang w:eastAsia="en-AU"/>
              </w:rPr>
              <w:t>Moira</w:t>
            </w:r>
          </w:p>
        </w:tc>
        <w:tc>
          <w:tcPr>
            <w:tcW w:w="652" w:type="pct"/>
            <w:tcBorders>
              <w:top w:val="nil"/>
              <w:left w:val="nil"/>
              <w:bottom w:val="single" w:sz="4" w:space="0" w:color="auto"/>
              <w:right w:val="single" w:sz="4" w:space="0" w:color="auto"/>
            </w:tcBorders>
            <w:shd w:val="clear" w:color="auto" w:fill="auto"/>
            <w:noWrap/>
            <w:vAlign w:val="bottom"/>
            <w:hideMark/>
          </w:tcPr>
          <w:p w14:paraId="3E6E42D2" w14:textId="77777777" w:rsidR="009A356E" w:rsidRPr="00C10545" w:rsidRDefault="009A356E" w:rsidP="009A356E">
            <w:pPr>
              <w:jc w:val="right"/>
              <w:rPr>
                <w:sz w:val="18"/>
                <w:szCs w:val="18"/>
                <w:lang w:eastAsia="en-AU"/>
              </w:rPr>
            </w:pPr>
            <w:r w:rsidRPr="00C10545">
              <w:rPr>
                <w:sz w:val="18"/>
                <w:szCs w:val="18"/>
                <w:lang w:eastAsia="en-AU"/>
              </w:rPr>
              <w:t>-5.0%</w:t>
            </w:r>
          </w:p>
        </w:tc>
        <w:tc>
          <w:tcPr>
            <w:tcW w:w="652" w:type="pct"/>
            <w:tcBorders>
              <w:top w:val="nil"/>
              <w:left w:val="nil"/>
              <w:bottom w:val="single" w:sz="4" w:space="0" w:color="auto"/>
              <w:right w:val="single" w:sz="4" w:space="0" w:color="auto"/>
            </w:tcBorders>
            <w:shd w:val="clear" w:color="auto" w:fill="auto"/>
            <w:noWrap/>
            <w:vAlign w:val="bottom"/>
            <w:hideMark/>
          </w:tcPr>
          <w:p w14:paraId="27064337" w14:textId="77777777" w:rsidR="009A356E" w:rsidRPr="00C10545" w:rsidRDefault="009A356E" w:rsidP="009A356E">
            <w:pPr>
              <w:jc w:val="right"/>
              <w:rPr>
                <w:sz w:val="18"/>
                <w:szCs w:val="18"/>
                <w:lang w:eastAsia="en-AU"/>
              </w:rPr>
            </w:pPr>
            <w:r w:rsidRPr="00C10545">
              <w:rPr>
                <w:sz w:val="18"/>
                <w:szCs w:val="18"/>
                <w:lang w:eastAsia="en-AU"/>
              </w:rPr>
              <w:t>0.1%</w:t>
            </w:r>
          </w:p>
        </w:tc>
        <w:tc>
          <w:tcPr>
            <w:tcW w:w="652" w:type="pct"/>
            <w:tcBorders>
              <w:top w:val="nil"/>
              <w:left w:val="nil"/>
              <w:bottom w:val="single" w:sz="4" w:space="0" w:color="auto"/>
              <w:right w:val="single" w:sz="4" w:space="0" w:color="auto"/>
            </w:tcBorders>
            <w:shd w:val="clear" w:color="auto" w:fill="auto"/>
            <w:noWrap/>
            <w:vAlign w:val="bottom"/>
            <w:hideMark/>
          </w:tcPr>
          <w:p w14:paraId="364D4F0D" w14:textId="77777777" w:rsidR="009A356E" w:rsidRPr="00C10545" w:rsidRDefault="009A356E" w:rsidP="009A356E">
            <w:pPr>
              <w:jc w:val="right"/>
              <w:rPr>
                <w:sz w:val="18"/>
                <w:szCs w:val="18"/>
                <w:lang w:eastAsia="en-AU"/>
              </w:rPr>
            </w:pPr>
            <w:r w:rsidRPr="00C10545">
              <w:rPr>
                <w:sz w:val="18"/>
                <w:szCs w:val="18"/>
                <w:lang w:eastAsia="en-AU"/>
              </w:rPr>
              <w:t>2.3%</w:t>
            </w:r>
          </w:p>
        </w:tc>
        <w:tc>
          <w:tcPr>
            <w:tcW w:w="611" w:type="pct"/>
            <w:tcBorders>
              <w:top w:val="nil"/>
              <w:left w:val="nil"/>
              <w:bottom w:val="single" w:sz="4" w:space="0" w:color="auto"/>
              <w:right w:val="single" w:sz="4" w:space="0" w:color="auto"/>
            </w:tcBorders>
            <w:shd w:val="clear" w:color="auto" w:fill="auto"/>
            <w:noWrap/>
            <w:vAlign w:val="bottom"/>
            <w:hideMark/>
          </w:tcPr>
          <w:p w14:paraId="4EDE76CB" w14:textId="77777777" w:rsidR="009A356E" w:rsidRPr="00C10545" w:rsidRDefault="009A356E" w:rsidP="009A356E">
            <w:pPr>
              <w:jc w:val="right"/>
              <w:rPr>
                <w:sz w:val="18"/>
                <w:szCs w:val="18"/>
                <w:lang w:eastAsia="en-AU"/>
              </w:rPr>
            </w:pPr>
            <w:r w:rsidRPr="00C10545">
              <w:rPr>
                <w:sz w:val="18"/>
                <w:szCs w:val="18"/>
                <w:lang w:eastAsia="en-AU"/>
              </w:rPr>
              <w:t>6.1%</w:t>
            </w:r>
          </w:p>
        </w:tc>
        <w:tc>
          <w:tcPr>
            <w:tcW w:w="611" w:type="pct"/>
            <w:tcBorders>
              <w:top w:val="nil"/>
              <w:left w:val="nil"/>
              <w:bottom w:val="single" w:sz="4" w:space="0" w:color="auto"/>
              <w:right w:val="single" w:sz="4" w:space="0" w:color="auto"/>
            </w:tcBorders>
            <w:shd w:val="clear" w:color="auto" w:fill="auto"/>
            <w:noWrap/>
            <w:vAlign w:val="bottom"/>
            <w:hideMark/>
          </w:tcPr>
          <w:p w14:paraId="4780381E" w14:textId="77777777" w:rsidR="009A356E" w:rsidRPr="00C10545" w:rsidRDefault="009A356E" w:rsidP="009A356E">
            <w:pPr>
              <w:jc w:val="right"/>
              <w:rPr>
                <w:sz w:val="18"/>
                <w:szCs w:val="18"/>
                <w:lang w:eastAsia="en-AU"/>
              </w:rPr>
            </w:pPr>
            <w:r w:rsidRPr="00C10545">
              <w:rPr>
                <w:sz w:val="18"/>
                <w:szCs w:val="18"/>
                <w:lang w:eastAsia="en-AU"/>
              </w:rPr>
              <w:t>0.9%</w:t>
            </w:r>
          </w:p>
        </w:tc>
        <w:tc>
          <w:tcPr>
            <w:tcW w:w="611" w:type="pct"/>
            <w:tcBorders>
              <w:top w:val="nil"/>
              <w:left w:val="nil"/>
              <w:bottom w:val="single" w:sz="4" w:space="0" w:color="auto"/>
              <w:right w:val="single" w:sz="4" w:space="0" w:color="auto"/>
            </w:tcBorders>
            <w:shd w:val="clear" w:color="auto" w:fill="auto"/>
            <w:noWrap/>
            <w:vAlign w:val="bottom"/>
            <w:hideMark/>
          </w:tcPr>
          <w:p w14:paraId="1CF59FBB" w14:textId="77777777" w:rsidR="009A356E" w:rsidRPr="00C10545" w:rsidRDefault="009A356E" w:rsidP="009A356E">
            <w:pPr>
              <w:jc w:val="right"/>
              <w:rPr>
                <w:sz w:val="18"/>
                <w:szCs w:val="18"/>
                <w:lang w:eastAsia="en-AU"/>
              </w:rPr>
            </w:pPr>
            <w:r w:rsidRPr="00C10545">
              <w:rPr>
                <w:sz w:val="18"/>
                <w:szCs w:val="18"/>
                <w:lang w:eastAsia="en-AU"/>
              </w:rPr>
              <w:t>-1.6%</w:t>
            </w:r>
          </w:p>
        </w:tc>
      </w:tr>
      <w:tr w:rsidR="009A356E" w:rsidRPr="00C65C2B" w14:paraId="254AD93F" w14:textId="77777777" w:rsidTr="009A356E">
        <w:trPr>
          <w:trHeight w:val="240"/>
        </w:trPr>
        <w:tc>
          <w:tcPr>
            <w:tcW w:w="1211" w:type="pct"/>
            <w:tcBorders>
              <w:top w:val="nil"/>
              <w:left w:val="single" w:sz="4" w:space="0" w:color="auto"/>
              <w:bottom w:val="single" w:sz="4" w:space="0" w:color="auto"/>
              <w:right w:val="single" w:sz="4" w:space="0" w:color="auto"/>
            </w:tcBorders>
            <w:shd w:val="clear" w:color="auto" w:fill="auto"/>
            <w:noWrap/>
            <w:vAlign w:val="bottom"/>
            <w:hideMark/>
          </w:tcPr>
          <w:p w14:paraId="3BCAF517" w14:textId="77777777" w:rsidR="009A356E" w:rsidRPr="00C10545" w:rsidRDefault="009A356E" w:rsidP="009A356E">
            <w:pPr>
              <w:rPr>
                <w:sz w:val="18"/>
                <w:szCs w:val="18"/>
                <w:lang w:eastAsia="en-AU"/>
              </w:rPr>
            </w:pPr>
            <w:r w:rsidRPr="00C10545">
              <w:rPr>
                <w:sz w:val="18"/>
                <w:szCs w:val="18"/>
                <w:lang w:eastAsia="en-AU"/>
              </w:rPr>
              <w:t>Moorabool</w:t>
            </w:r>
          </w:p>
        </w:tc>
        <w:tc>
          <w:tcPr>
            <w:tcW w:w="652" w:type="pct"/>
            <w:tcBorders>
              <w:top w:val="nil"/>
              <w:left w:val="nil"/>
              <w:bottom w:val="single" w:sz="4" w:space="0" w:color="auto"/>
              <w:right w:val="single" w:sz="4" w:space="0" w:color="auto"/>
            </w:tcBorders>
            <w:shd w:val="clear" w:color="auto" w:fill="auto"/>
            <w:noWrap/>
            <w:vAlign w:val="bottom"/>
            <w:hideMark/>
          </w:tcPr>
          <w:p w14:paraId="74293943" w14:textId="77777777" w:rsidR="009A356E" w:rsidRPr="00C10545" w:rsidRDefault="009A356E" w:rsidP="009A356E">
            <w:pPr>
              <w:jc w:val="right"/>
              <w:rPr>
                <w:sz w:val="18"/>
                <w:szCs w:val="18"/>
                <w:lang w:eastAsia="en-AU"/>
              </w:rPr>
            </w:pPr>
            <w:r w:rsidRPr="00C10545">
              <w:rPr>
                <w:sz w:val="18"/>
                <w:szCs w:val="18"/>
                <w:lang w:eastAsia="en-AU"/>
              </w:rPr>
              <w:t>-6.8%</w:t>
            </w:r>
          </w:p>
        </w:tc>
        <w:tc>
          <w:tcPr>
            <w:tcW w:w="652" w:type="pct"/>
            <w:tcBorders>
              <w:top w:val="nil"/>
              <w:left w:val="nil"/>
              <w:bottom w:val="single" w:sz="4" w:space="0" w:color="auto"/>
              <w:right w:val="single" w:sz="4" w:space="0" w:color="auto"/>
            </w:tcBorders>
            <w:shd w:val="clear" w:color="auto" w:fill="auto"/>
            <w:noWrap/>
            <w:vAlign w:val="bottom"/>
            <w:hideMark/>
          </w:tcPr>
          <w:p w14:paraId="6C86AB3C" w14:textId="77777777" w:rsidR="009A356E" w:rsidRPr="00C10545" w:rsidRDefault="009A356E" w:rsidP="009A356E">
            <w:pPr>
              <w:jc w:val="right"/>
              <w:rPr>
                <w:sz w:val="18"/>
                <w:szCs w:val="18"/>
                <w:lang w:eastAsia="en-AU"/>
              </w:rPr>
            </w:pPr>
            <w:r w:rsidRPr="00C10545">
              <w:rPr>
                <w:sz w:val="18"/>
                <w:szCs w:val="18"/>
                <w:lang w:eastAsia="en-AU"/>
              </w:rPr>
              <w:t>8.7%</w:t>
            </w:r>
          </w:p>
        </w:tc>
        <w:tc>
          <w:tcPr>
            <w:tcW w:w="652" w:type="pct"/>
            <w:tcBorders>
              <w:top w:val="nil"/>
              <w:left w:val="nil"/>
              <w:bottom w:val="single" w:sz="4" w:space="0" w:color="auto"/>
              <w:right w:val="single" w:sz="4" w:space="0" w:color="auto"/>
            </w:tcBorders>
            <w:shd w:val="clear" w:color="auto" w:fill="auto"/>
            <w:noWrap/>
            <w:vAlign w:val="bottom"/>
            <w:hideMark/>
          </w:tcPr>
          <w:p w14:paraId="05640C38" w14:textId="77777777" w:rsidR="009A356E" w:rsidRPr="00C10545" w:rsidRDefault="009A356E" w:rsidP="009A356E">
            <w:pPr>
              <w:jc w:val="right"/>
              <w:rPr>
                <w:sz w:val="18"/>
                <w:szCs w:val="18"/>
                <w:lang w:eastAsia="en-AU"/>
              </w:rPr>
            </w:pPr>
            <w:r w:rsidRPr="00C10545">
              <w:rPr>
                <w:sz w:val="18"/>
                <w:szCs w:val="18"/>
                <w:lang w:eastAsia="en-AU"/>
              </w:rPr>
              <w:t>1.5%</w:t>
            </w:r>
          </w:p>
        </w:tc>
        <w:tc>
          <w:tcPr>
            <w:tcW w:w="611" w:type="pct"/>
            <w:tcBorders>
              <w:top w:val="nil"/>
              <w:left w:val="nil"/>
              <w:bottom w:val="single" w:sz="4" w:space="0" w:color="auto"/>
              <w:right w:val="single" w:sz="4" w:space="0" w:color="auto"/>
            </w:tcBorders>
            <w:shd w:val="clear" w:color="auto" w:fill="auto"/>
            <w:noWrap/>
            <w:vAlign w:val="bottom"/>
            <w:hideMark/>
          </w:tcPr>
          <w:p w14:paraId="6A3577B7" w14:textId="77777777" w:rsidR="009A356E" w:rsidRPr="00C10545" w:rsidRDefault="009A356E" w:rsidP="009A356E">
            <w:pPr>
              <w:jc w:val="right"/>
              <w:rPr>
                <w:sz w:val="18"/>
                <w:szCs w:val="18"/>
                <w:lang w:eastAsia="en-AU"/>
              </w:rPr>
            </w:pPr>
            <w:r w:rsidRPr="00C10545">
              <w:rPr>
                <w:sz w:val="18"/>
                <w:szCs w:val="18"/>
                <w:lang w:eastAsia="en-AU"/>
              </w:rPr>
              <w:t>3.0%</w:t>
            </w:r>
          </w:p>
        </w:tc>
        <w:tc>
          <w:tcPr>
            <w:tcW w:w="611" w:type="pct"/>
            <w:tcBorders>
              <w:top w:val="nil"/>
              <w:left w:val="nil"/>
              <w:bottom w:val="single" w:sz="4" w:space="0" w:color="auto"/>
              <w:right w:val="single" w:sz="4" w:space="0" w:color="auto"/>
            </w:tcBorders>
            <w:shd w:val="clear" w:color="auto" w:fill="auto"/>
            <w:noWrap/>
            <w:vAlign w:val="bottom"/>
            <w:hideMark/>
          </w:tcPr>
          <w:p w14:paraId="203E8A3D" w14:textId="77777777" w:rsidR="009A356E" w:rsidRPr="00C10545" w:rsidRDefault="009A356E" w:rsidP="009A356E">
            <w:pPr>
              <w:jc w:val="right"/>
              <w:rPr>
                <w:sz w:val="18"/>
                <w:szCs w:val="18"/>
                <w:lang w:eastAsia="en-AU"/>
              </w:rPr>
            </w:pPr>
            <w:r w:rsidRPr="00C10545">
              <w:rPr>
                <w:sz w:val="18"/>
                <w:szCs w:val="18"/>
                <w:lang w:eastAsia="en-AU"/>
              </w:rPr>
              <w:t>-1.8%</w:t>
            </w:r>
          </w:p>
        </w:tc>
        <w:tc>
          <w:tcPr>
            <w:tcW w:w="611" w:type="pct"/>
            <w:tcBorders>
              <w:top w:val="nil"/>
              <w:left w:val="nil"/>
              <w:bottom w:val="single" w:sz="4" w:space="0" w:color="auto"/>
              <w:right w:val="single" w:sz="4" w:space="0" w:color="auto"/>
            </w:tcBorders>
            <w:shd w:val="clear" w:color="auto" w:fill="auto"/>
            <w:noWrap/>
            <w:vAlign w:val="bottom"/>
            <w:hideMark/>
          </w:tcPr>
          <w:p w14:paraId="1A4A0913" w14:textId="77777777" w:rsidR="009A356E" w:rsidRPr="00C10545" w:rsidRDefault="009A356E" w:rsidP="009A356E">
            <w:pPr>
              <w:jc w:val="right"/>
              <w:rPr>
                <w:sz w:val="18"/>
                <w:szCs w:val="18"/>
                <w:lang w:eastAsia="en-AU"/>
              </w:rPr>
            </w:pPr>
            <w:r w:rsidRPr="00C10545">
              <w:rPr>
                <w:sz w:val="18"/>
                <w:szCs w:val="18"/>
                <w:lang w:eastAsia="en-AU"/>
              </w:rPr>
              <w:t>-2.5%</w:t>
            </w:r>
          </w:p>
        </w:tc>
      </w:tr>
      <w:tr w:rsidR="009A356E" w:rsidRPr="00C65C2B" w14:paraId="0A958B34" w14:textId="77777777" w:rsidTr="009A356E">
        <w:trPr>
          <w:trHeight w:val="240"/>
        </w:trPr>
        <w:tc>
          <w:tcPr>
            <w:tcW w:w="1211" w:type="pct"/>
            <w:tcBorders>
              <w:top w:val="nil"/>
              <w:left w:val="single" w:sz="4" w:space="0" w:color="auto"/>
              <w:bottom w:val="single" w:sz="4" w:space="0" w:color="auto"/>
              <w:right w:val="single" w:sz="4" w:space="0" w:color="auto"/>
            </w:tcBorders>
            <w:shd w:val="clear" w:color="auto" w:fill="auto"/>
            <w:noWrap/>
            <w:vAlign w:val="bottom"/>
            <w:hideMark/>
          </w:tcPr>
          <w:p w14:paraId="437D1A55" w14:textId="77777777" w:rsidR="009A356E" w:rsidRPr="00C10545" w:rsidRDefault="009A356E" w:rsidP="009A356E">
            <w:pPr>
              <w:rPr>
                <w:sz w:val="18"/>
                <w:szCs w:val="18"/>
                <w:lang w:eastAsia="en-AU"/>
              </w:rPr>
            </w:pPr>
            <w:r w:rsidRPr="00C10545">
              <w:rPr>
                <w:sz w:val="18"/>
                <w:szCs w:val="18"/>
                <w:lang w:eastAsia="en-AU"/>
              </w:rPr>
              <w:t>Murrindindi</w:t>
            </w:r>
          </w:p>
        </w:tc>
        <w:tc>
          <w:tcPr>
            <w:tcW w:w="652" w:type="pct"/>
            <w:tcBorders>
              <w:top w:val="nil"/>
              <w:left w:val="nil"/>
              <w:bottom w:val="single" w:sz="4" w:space="0" w:color="auto"/>
              <w:right w:val="single" w:sz="4" w:space="0" w:color="auto"/>
            </w:tcBorders>
            <w:shd w:val="clear" w:color="auto" w:fill="auto"/>
            <w:noWrap/>
            <w:vAlign w:val="bottom"/>
            <w:hideMark/>
          </w:tcPr>
          <w:p w14:paraId="3167FD8E" w14:textId="77777777" w:rsidR="009A356E" w:rsidRPr="00C10545" w:rsidRDefault="009A356E" w:rsidP="009A356E">
            <w:pPr>
              <w:jc w:val="right"/>
              <w:rPr>
                <w:sz w:val="18"/>
                <w:szCs w:val="18"/>
                <w:lang w:eastAsia="en-AU"/>
              </w:rPr>
            </w:pPr>
            <w:r w:rsidRPr="00C10545">
              <w:rPr>
                <w:sz w:val="18"/>
                <w:szCs w:val="18"/>
                <w:lang w:eastAsia="en-AU"/>
              </w:rPr>
              <w:t>-3.4%</w:t>
            </w:r>
          </w:p>
        </w:tc>
        <w:tc>
          <w:tcPr>
            <w:tcW w:w="652" w:type="pct"/>
            <w:tcBorders>
              <w:top w:val="nil"/>
              <w:left w:val="nil"/>
              <w:bottom w:val="single" w:sz="4" w:space="0" w:color="auto"/>
              <w:right w:val="single" w:sz="4" w:space="0" w:color="auto"/>
            </w:tcBorders>
            <w:shd w:val="clear" w:color="auto" w:fill="auto"/>
            <w:noWrap/>
            <w:vAlign w:val="bottom"/>
            <w:hideMark/>
          </w:tcPr>
          <w:p w14:paraId="7D76FFC8" w14:textId="77777777" w:rsidR="009A356E" w:rsidRPr="00C10545" w:rsidRDefault="009A356E" w:rsidP="009A356E">
            <w:pPr>
              <w:jc w:val="right"/>
              <w:rPr>
                <w:sz w:val="18"/>
                <w:szCs w:val="18"/>
                <w:lang w:eastAsia="en-AU"/>
              </w:rPr>
            </w:pPr>
            <w:r w:rsidRPr="00C10545">
              <w:rPr>
                <w:sz w:val="18"/>
                <w:szCs w:val="18"/>
                <w:lang w:eastAsia="en-AU"/>
              </w:rPr>
              <w:t>-4.1%</w:t>
            </w:r>
          </w:p>
        </w:tc>
        <w:tc>
          <w:tcPr>
            <w:tcW w:w="652" w:type="pct"/>
            <w:tcBorders>
              <w:top w:val="nil"/>
              <w:left w:val="nil"/>
              <w:bottom w:val="single" w:sz="4" w:space="0" w:color="auto"/>
              <w:right w:val="single" w:sz="4" w:space="0" w:color="auto"/>
            </w:tcBorders>
            <w:shd w:val="clear" w:color="auto" w:fill="auto"/>
            <w:noWrap/>
            <w:vAlign w:val="bottom"/>
            <w:hideMark/>
          </w:tcPr>
          <w:p w14:paraId="593F9BA2" w14:textId="77777777" w:rsidR="009A356E" w:rsidRPr="00C10545" w:rsidRDefault="009A356E" w:rsidP="009A356E">
            <w:pPr>
              <w:jc w:val="right"/>
              <w:rPr>
                <w:sz w:val="18"/>
                <w:szCs w:val="18"/>
                <w:lang w:eastAsia="en-AU"/>
              </w:rPr>
            </w:pPr>
            <w:r w:rsidRPr="00C10545">
              <w:rPr>
                <w:sz w:val="18"/>
                <w:szCs w:val="18"/>
                <w:lang w:eastAsia="en-AU"/>
              </w:rPr>
              <w:t>20.1%</w:t>
            </w:r>
          </w:p>
        </w:tc>
        <w:tc>
          <w:tcPr>
            <w:tcW w:w="611" w:type="pct"/>
            <w:tcBorders>
              <w:top w:val="nil"/>
              <w:left w:val="nil"/>
              <w:bottom w:val="single" w:sz="4" w:space="0" w:color="auto"/>
              <w:right w:val="single" w:sz="4" w:space="0" w:color="auto"/>
            </w:tcBorders>
            <w:shd w:val="clear" w:color="auto" w:fill="auto"/>
            <w:noWrap/>
            <w:vAlign w:val="bottom"/>
            <w:hideMark/>
          </w:tcPr>
          <w:p w14:paraId="784278FB" w14:textId="77777777" w:rsidR="009A356E" w:rsidRPr="00C10545" w:rsidRDefault="009A356E" w:rsidP="009A356E">
            <w:pPr>
              <w:jc w:val="right"/>
              <w:rPr>
                <w:sz w:val="18"/>
                <w:szCs w:val="18"/>
                <w:lang w:eastAsia="en-AU"/>
              </w:rPr>
            </w:pPr>
            <w:r w:rsidRPr="00C10545">
              <w:rPr>
                <w:sz w:val="18"/>
                <w:szCs w:val="18"/>
                <w:lang w:eastAsia="en-AU"/>
              </w:rPr>
              <w:t>5.8%</w:t>
            </w:r>
          </w:p>
        </w:tc>
        <w:tc>
          <w:tcPr>
            <w:tcW w:w="611" w:type="pct"/>
            <w:tcBorders>
              <w:top w:val="nil"/>
              <w:left w:val="nil"/>
              <w:bottom w:val="single" w:sz="4" w:space="0" w:color="auto"/>
              <w:right w:val="single" w:sz="4" w:space="0" w:color="auto"/>
            </w:tcBorders>
            <w:shd w:val="clear" w:color="auto" w:fill="auto"/>
            <w:noWrap/>
            <w:vAlign w:val="bottom"/>
            <w:hideMark/>
          </w:tcPr>
          <w:p w14:paraId="29281AF0" w14:textId="77777777" w:rsidR="009A356E" w:rsidRPr="00C10545" w:rsidRDefault="009A356E" w:rsidP="009A356E">
            <w:pPr>
              <w:jc w:val="right"/>
              <w:rPr>
                <w:sz w:val="18"/>
                <w:szCs w:val="18"/>
                <w:lang w:eastAsia="en-AU"/>
              </w:rPr>
            </w:pPr>
            <w:r w:rsidRPr="00C10545">
              <w:rPr>
                <w:sz w:val="18"/>
                <w:szCs w:val="18"/>
                <w:lang w:eastAsia="en-AU"/>
              </w:rPr>
              <w:t>-2.6%</w:t>
            </w:r>
          </w:p>
        </w:tc>
        <w:tc>
          <w:tcPr>
            <w:tcW w:w="611" w:type="pct"/>
            <w:tcBorders>
              <w:top w:val="nil"/>
              <w:left w:val="nil"/>
              <w:bottom w:val="single" w:sz="4" w:space="0" w:color="auto"/>
              <w:right w:val="single" w:sz="4" w:space="0" w:color="auto"/>
            </w:tcBorders>
            <w:shd w:val="clear" w:color="auto" w:fill="auto"/>
            <w:noWrap/>
            <w:vAlign w:val="bottom"/>
            <w:hideMark/>
          </w:tcPr>
          <w:p w14:paraId="029E364B" w14:textId="77777777" w:rsidR="009A356E" w:rsidRPr="00C10545" w:rsidRDefault="009A356E" w:rsidP="009A356E">
            <w:pPr>
              <w:jc w:val="right"/>
              <w:rPr>
                <w:sz w:val="18"/>
                <w:szCs w:val="18"/>
                <w:lang w:eastAsia="en-AU"/>
              </w:rPr>
            </w:pPr>
            <w:r w:rsidRPr="00C10545">
              <w:rPr>
                <w:sz w:val="18"/>
                <w:szCs w:val="18"/>
                <w:lang w:eastAsia="en-AU"/>
              </w:rPr>
              <w:t>-3.9%</w:t>
            </w:r>
          </w:p>
        </w:tc>
      </w:tr>
      <w:tr w:rsidR="009A356E" w:rsidRPr="00C65C2B" w14:paraId="37EBE39D" w14:textId="77777777" w:rsidTr="009A356E">
        <w:trPr>
          <w:trHeight w:val="240"/>
        </w:trPr>
        <w:tc>
          <w:tcPr>
            <w:tcW w:w="1211" w:type="pct"/>
            <w:tcBorders>
              <w:top w:val="nil"/>
              <w:left w:val="single" w:sz="4" w:space="0" w:color="auto"/>
              <w:bottom w:val="single" w:sz="4" w:space="0" w:color="auto"/>
              <w:right w:val="single" w:sz="4" w:space="0" w:color="auto"/>
            </w:tcBorders>
            <w:shd w:val="clear" w:color="auto" w:fill="auto"/>
            <w:noWrap/>
            <w:vAlign w:val="bottom"/>
            <w:hideMark/>
          </w:tcPr>
          <w:p w14:paraId="260A06F6" w14:textId="77777777" w:rsidR="009A356E" w:rsidRPr="00C10545" w:rsidRDefault="009A356E" w:rsidP="009A356E">
            <w:pPr>
              <w:rPr>
                <w:sz w:val="18"/>
                <w:szCs w:val="18"/>
                <w:lang w:eastAsia="en-AU"/>
              </w:rPr>
            </w:pPr>
            <w:r w:rsidRPr="00C10545">
              <w:rPr>
                <w:sz w:val="18"/>
                <w:szCs w:val="18"/>
                <w:lang w:eastAsia="en-AU"/>
              </w:rPr>
              <w:t>South Gippsland</w:t>
            </w:r>
          </w:p>
        </w:tc>
        <w:tc>
          <w:tcPr>
            <w:tcW w:w="652" w:type="pct"/>
            <w:tcBorders>
              <w:top w:val="nil"/>
              <w:left w:val="nil"/>
              <w:bottom w:val="single" w:sz="4" w:space="0" w:color="auto"/>
              <w:right w:val="single" w:sz="4" w:space="0" w:color="auto"/>
            </w:tcBorders>
            <w:shd w:val="clear" w:color="auto" w:fill="auto"/>
            <w:noWrap/>
            <w:vAlign w:val="bottom"/>
            <w:hideMark/>
          </w:tcPr>
          <w:p w14:paraId="69B9D742" w14:textId="77777777" w:rsidR="009A356E" w:rsidRPr="00C10545" w:rsidRDefault="009A356E" w:rsidP="009A356E">
            <w:pPr>
              <w:jc w:val="right"/>
              <w:rPr>
                <w:sz w:val="18"/>
                <w:szCs w:val="18"/>
                <w:lang w:eastAsia="en-AU"/>
              </w:rPr>
            </w:pPr>
            <w:r w:rsidRPr="00C10545">
              <w:rPr>
                <w:sz w:val="18"/>
                <w:szCs w:val="18"/>
                <w:lang w:eastAsia="en-AU"/>
              </w:rPr>
              <w:t>11.3%</w:t>
            </w:r>
          </w:p>
        </w:tc>
        <w:tc>
          <w:tcPr>
            <w:tcW w:w="652" w:type="pct"/>
            <w:tcBorders>
              <w:top w:val="nil"/>
              <w:left w:val="nil"/>
              <w:bottom w:val="single" w:sz="4" w:space="0" w:color="auto"/>
              <w:right w:val="single" w:sz="4" w:space="0" w:color="auto"/>
            </w:tcBorders>
            <w:shd w:val="clear" w:color="auto" w:fill="auto"/>
            <w:noWrap/>
            <w:vAlign w:val="bottom"/>
            <w:hideMark/>
          </w:tcPr>
          <w:p w14:paraId="1983F002" w14:textId="77777777" w:rsidR="009A356E" w:rsidRPr="00C10545" w:rsidRDefault="009A356E" w:rsidP="009A356E">
            <w:pPr>
              <w:jc w:val="right"/>
              <w:rPr>
                <w:sz w:val="18"/>
                <w:szCs w:val="18"/>
                <w:lang w:eastAsia="en-AU"/>
              </w:rPr>
            </w:pPr>
            <w:r w:rsidRPr="00C10545">
              <w:rPr>
                <w:sz w:val="18"/>
                <w:szCs w:val="18"/>
                <w:lang w:eastAsia="en-AU"/>
              </w:rPr>
              <w:t>-6.3%</w:t>
            </w:r>
          </w:p>
        </w:tc>
        <w:tc>
          <w:tcPr>
            <w:tcW w:w="652" w:type="pct"/>
            <w:tcBorders>
              <w:top w:val="nil"/>
              <w:left w:val="nil"/>
              <w:bottom w:val="single" w:sz="4" w:space="0" w:color="auto"/>
              <w:right w:val="single" w:sz="4" w:space="0" w:color="auto"/>
            </w:tcBorders>
            <w:shd w:val="clear" w:color="auto" w:fill="auto"/>
            <w:noWrap/>
            <w:vAlign w:val="bottom"/>
            <w:hideMark/>
          </w:tcPr>
          <w:p w14:paraId="759B439B" w14:textId="77777777" w:rsidR="009A356E" w:rsidRPr="00C10545" w:rsidRDefault="009A356E" w:rsidP="009A356E">
            <w:pPr>
              <w:jc w:val="right"/>
              <w:rPr>
                <w:sz w:val="18"/>
                <w:szCs w:val="18"/>
                <w:lang w:eastAsia="en-AU"/>
              </w:rPr>
            </w:pPr>
            <w:r w:rsidRPr="00C10545">
              <w:rPr>
                <w:sz w:val="18"/>
                <w:szCs w:val="18"/>
                <w:lang w:eastAsia="en-AU"/>
              </w:rPr>
              <w:t>20.2%</w:t>
            </w:r>
          </w:p>
        </w:tc>
        <w:tc>
          <w:tcPr>
            <w:tcW w:w="611" w:type="pct"/>
            <w:tcBorders>
              <w:top w:val="nil"/>
              <w:left w:val="nil"/>
              <w:bottom w:val="single" w:sz="4" w:space="0" w:color="auto"/>
              <w:right w:val="single" w:sz="4" w:space="0" w:color="auto"/>
            </w:tcBorders>
            <w:shd w:val="clear" w:color="auto" w:fill="auto"/>
            <w:noWrap/>
            <w:vAlign w:val="bottom"/>
            <w:hideMark/>
          </w:tcPr>
          <w:p w14:paraId="607D8B11" w14:textId="77777777" w:rsidR="009A356E" w:rsidRPr="00C10545" w:rsidRDefault="009A356E" w:rsidP="009A356E">
            <w:pPr>
              <w:jc w:val="right"/>
              <w:rPr>
                <w:sz w:val="18"/>
                <w:szCs w:val="18"/>
                <w:lang w:eastAsia="en-AU"/>
              </w:rPr>
            </w:pPr>
            <w:r w:rsidRPr="00C10545">
              <w:rPr>
                <w:sz w:val="18"/>
                <w:szCs w:val="18"/>
                <w:lang w:eastAsia="en-AU"/>
              </w:rPr>
              <w:t>5.7%</w:t>
            </w:r>
          </w:p>
        </w:tc>
        <w:tc>
          <w:tcPr>
            <w:tcW w:w="611" w:type="pct"/>
            <w:tcBorders>
              <w:top w:val="nil"/>
              <w:left w:val="nil"/>
              <w:bottom w:val="single" w:sz="4" w:space="0" w:color="auto"/>
              <w:right w:val="single" w:sz="4" w:space="0" w:color="auto"/>
            </w:tcBorders>
            <w:shd w:val="clear" w:color="auto" w:fill="auto"/>
            <w:noWrap/>
            <w:vAlign w:val="bottom"/>
            <w:hideMark/>
          </w:tcPr>
          <w:p w14:paraId="4B4CEB75" w14:textId="77777777" w:rsidR="009A356E" w:rsidRPr="00C10545" w:rsidRDefault="009A356E" w:rsidP="009A356E">
            <w:pPr>
              <w:jc w:val="right"/>
              <w:rPr>
                <w:sz w:val="18"/>
                <w:szCs w:val="18"/>
                <w:lang w:eastAsia="en-AU"/>
              </w:rPr>
            </w:pPr>
            <w:r w:rsidRPr="00C10545">
              <w:rPr>
                <w:sz w:val="18"/>
                <w:szCs w:val="18"/>
                <w:lang w:eastAsia="en-AU"/>
              </w:rPr>
              <w:t>1.7%</w:t>
            </w:r>
          </w:p>
        </w:tc>
        <w:tc>
          <w:tcPr>
            <w:tcW w:w="611" w:type="pct"/>
            <w:tcBorders>
              <w:top w:val="nil"/>
              <w:left w:val="nil"/>
              <w:bottom w:val="single" w:sz="4" w:space="0" w:color="auto"/>
              <w:right w:val="single" w:sz="4" w:space="0" w:color="auto"/>
            </w:tcBorders>
            <w:shd w:val="clear" w:color="auto" w:fill="auto"/>
            <w:noWrap/>
            <w:vAlign w:val="bottom"/>
            <w:hideMark/>
          </w:tcPr>
          <w:p w14:paraId="60F1D100" w14:textId="77777777" w:rsidR="009A356E" w:rsidRPr="00C10545" w:rsidRDefault="009A356E" w:rsidP="009A356E">
            <w:pPr>
              <w:jc w:val="right"/>
              <w:rPr>
                <w:sz w:val="18"/>
                <w:szCs w:val="18"/>
                <w:lang w:eastAsia="en-AU"/>
              </w:rPr>
            </w:pPr>
            <w:r w:rsidRPr="00C10545">
              <w:rPr>
                <w:sz w:val="18"/>
                <w:szCs w:val="18"/>
                <w:lang w:eastAsia="en-AU"/>
              </w:rPr>
              <w:t>2.2%</w:t>
            </w:r>
          </w:p>
        </w:tc>
      </w:tr>
      <w:tr w:rsidR="009A356E" w:rsidRPr="00C65C2B" w14:paraId="06962EFE" w14:textId="77777777" w:rsidTr="009A356E">
        <w:trPr>
          <w:trHeight w:val="240"/>
        </w:trPr>
        <w:tc>
          <w:tcPr>
            <w:tcW w:w="1211" w:type="pct"/>
            <w:tcBorders>
              <w:top w:val="nil"/>
              <w:left w:val="single" w:sz="4" w:space="0" w:color="auto"/>
              <w:bottom w:val="single" w:sz="4" w:space="0" w:color="auto"/>
              <w:right w:val="single" w:sz="4" w:space="0" w:color="auto"/>
            </w:tcBorders>
            <w:shd w:val="clear" w:color="000000" w:fill="E4DFEC"/>
            <w:noWrap/>
            <w:vAlign w:val="bottom"/>
            <w:hideMark/>
          </w:tcPr>
          <w:p w14:paraId="6F87C61D" w14:textId="77777777" w:rsidR="009A356E" w:rsidRPr="00C10545" w:rsidRDefault="009A356E" w:rsidP="009A356E">
            <w:pPr>
              <w:rPr>
                <w:b/>
                <w:bCs/>
                <w:sz w:val="18"/>
                <w:szCs w:val="18"/>
                <w:lang w:eastAsia="en-AU"/>
              </w:rPr>
            </w:pPr>
            <w:r w:rsidRPr="00C10545">
              <w:rPr>
                <w:b/>
                <w:bCs/>
                <w:sz w:val="18"/>
                <w:szCs w:val="18"/>
                <w:lang w:eastAsia="en-AU"/>
              </w:rPr>
              <w:t>Regional Cities</w:t>
            </w:r>
          </w:p>
        </w:tc>
        <w:tc>
          <w:tcPr>
            <w:tcW w:w="652" w:type="pct"/>
            <w:tcBorders>
              <w:top w:val="nil"/>
              <w:left w:val="nil"/>
              <w:bottom w:val="single" w:sz="4" w:space="0" w:color="auto"/>
              <w:right w:val="single" w:sz="4" w:space="0" w:color="auto"/>
            </w:tcBorders>
            <w:shd w:val="clear" w:color="000000" w:fill="000000"/>
            <w:noWrap/>
            <w:vAlign w:val="bottom"/>
            <w:hideMark/>
          </w:tcPr>
          <w:p w14:paraId="46C83CB2" w14:textId="77777777" w:rsidR="009A356E" w:rsidRPr="00C10545" w:rsidRDefault="009A356E" w:rsidP="009A356E">
            <w:pPr>
              <w:rPr>
                <w:sz w:val="18"/>
                <w:szCs w:val="18"/>
                <w:lang w:eastAsia="en-AU"/>
              </w:rPr>
            </w:pPr>
            <w:r w:rsidRPr="00C10545">
              <w:rPr>
                <w:sz w:val="18"/>
                <w:szCs w:val="18"/>
                <w:lang w:eastAsia="en-AU"/>
              </w:rPr>
              <w:t> </w:t>
            </w:r>
          </w:p>
        </w:tc>
        <w:tc>
          <w:tcPr>
            <w:tcW w:w="652" w:type="pct"/>
            <w:tcBorders>
              <w:top w:val="nil"/>
              <w:left w:val="nil"/>
              <w:bottom w:val="single" w:sz="4" w:space="0" w:color="auto"/>
              <w:right w:val="single" w:sz="4" w:space="0" w:color="auto"/>
            </w:tcBorders>
            <w:shd w:val="clear" w:color="000000" w:fill="000000"/>
            <w:noWrap/>
            <w:vAlign w:val="bottom"/>
            <w:hideMark/>
          </w:tcPr>
          <w:p w14:paraId="0ACD63BD" w14:textId="77777777" w:rsidR="009A356E" w:rsidRPr="00C10545" w:rsidRDefault="009A356E" w:rsidP="009A356E">
            <w:pPr>
              <w:rPr>
                <w:sz w:val="18"/>
                <w:szCs w:val="18"/>
                <w:lang w:eastAsia="en-AU"/>
              </w:rPr>
            </w:pPr>
            <w:r w:rsidRPr="00C10545">
              <w:rPr>
                <w:sz w:val="18"/>
                <w:szCs w:val="18"/>
                <w:lang w:eastAsia="en-AU"/>
              </w:rPr>
              <w:t> </w:t>
            </w:r>
          </w:p>
        </w:tc>
        <w:tc>
          <w:tcPr>
            <w:tcW w:w="652" w:type="pct"/>
            <w:tcBorders>
              <w:top w:val="nil"/>
              <w:left w:val="nil"/>
              <w:bottom w:val="single" w:sz="4" w:space="0" w:color="auto"/>
              <w:right w:val="single" w:sz="4" w:space="0" w:color="auto"/>
            </w:tcBorders>
            <w:shd w:val="clear" w:color="000000" w:fill="000000"/>
            <w:noWrap/>
            <w:vAlign w:val="bottom"/>
            <w:hideMark/>
          </w:tcPr>
          <w:p w14:paraId="047812CB" w14:textId="77777777" w:rsidR="009A356E" w:rsidRPr="00C10545" w:rsidRDefault="009A356E" w:rsidP="009A356E">
            <w:pPr>
              <w:rPr>
                <w:sz w:val="18"/>
                <w:szCs w:val="18"/>
                <w:lang w:eastAsia="en-AU"/>
              </w:rPr>
            </w:pPr>
            <w:r w:rsidRPr="00C10545">
              <w:rPr>
                <w:sz w:val="18"/>
                <w:szCs w:val="18"/>
                <w:lang w:eastAsia="en-AU"/>
              </w:rPr>
              <w:t> </w:t>
            </w:r>
          </w:p>
        </w:tc>
        <w:tc>
          <w:tcPr>
            <w:tcW w:w="611" w:type="pct"/>
            <w:tcBorders>
              <w:top w:val="nil"/>
              <w:left w:val="nil"/>
              <w:bottom w:val="single" w:sz="4" w:space="0" w:color="auto"/>
              <w:right w:val="single" w:sz="4" w:space="0" w:color="auto"/>
            </w:tcBorders>
            <w:shd w:val="clear" w:color="000000" w:fill="000000"/>
            <w:noWrap/>
            <w:vAlign w:val="bottom"/>
            <w:hideMark/>
          </w:tcPr>
          <w:p w14:paraId="0D75B404" w14:textId="77777777" w:rsidR="009A356E" w:rsidRPr="00C10545" w:rsidRDefault="009A356E" w:rsidP="009A356E">
            <w:pPr>
              <w:rPr>
                <w:sz w:val="18"/>
                <w:szCs w:val="18"/>
                <w:lang w:eastAsia="en-AU"/>
              </w:rPr>
            </w:pPr>
            <w:r w:rsidRPr="00C10545">
              <w:rPr>
                <w:sz w:val="18"/>
                <w:szCs w:val="18"/>
                <w:lang w:eastAsia="en-AU"/>
              </w:rPr>
              <w:t> </w:t>
            </w:r>
          </w:p>
        </w:tc>
        <w:tc>
          <w:tcPr>
            <w:tcW w:w="611" w:type="pct"/>
            <w:tcBorders>
              <w:top w:val="nil"/>
              <w:left w:val="nil"/>
              <w:bottom w:val="single" w:sz="4" w:space="0" w:color="auto"/>
              <w:right w:val="single" w:sz="4" w:space="0" w:color="auto"/>
            </w:tcBorders>
            <w:shd w:val="clear" w:color="000000" w:fill="000000"/>
            <w:noWrap/>
            <w:vAlign w:val="bottom"/>
            <w:hideMark/>
          </w:tcPr>
          <w:p w14:paraId="7787AEC1" w14:textId="77777777" w:rsidR="009A356E" w:rsidRPr="00C10545" w:rsidRDefault="009A356E" w:rsidP="009A356E">
            <w:pPr>
              <w:rPr>
                <w:sz w:val="18"/>
                <w:szCs w:val="18"/>
                <w:lang w:eastAsia="en-AU"/>
              </w:rPr>
            </w:pPr>
            <w:r w:rsidRPr="00C10545">
              <w:rPr>
                <w:sz w:val="18"/>
                <w:szCs w:val="18"/>
                <w:lang w:eastAsia="en-AU"/>
              </w:rPr>
              <w:t> </w:t>
            </w:r>
          </w:p>
        </w:tc>
        <w:tc>
          <w:tcPr>
            <w:tcW w:w="611" w:type="pct"/>
            <w:tcBorders>
              <w:top w:val="nil"/>
              <w:left w:val="nil"/>
              <w:bottom w:val="single" w:sz="4" w:space="0" w:color="auto"/>
              <w:right w:val="single" w:sz="4" w:space="0" w:color="auto"/>
            </w:tcBorders>
            <w:shd w:val="clear" w:color="000000" w:fill="000000"/>
            <w:noWrap/>
            <w:vAlign w:val="bottom"/>
            <w:hideMark/>
          </w:tcPr>
          <w:p w14:paraId="2B480FE3" w14:textId="77777777" w:rsidR="009A356E" w:rsidRPr="00C10545" w:rsidRDefault="009A356E" w:rsidP="009A356E">
            <w:pPr>
              <w:rPr>
                <w:sz w:val="18"/>
                <w:szCs w:val="18"/>
                <w:lang w:eastAsia="en-AU"/>
              </w:rPr>
            </w:pPr>
            <w:r w:rsidRPr="00C10545">
              <w:rPr>
                <w:sz w:val="18"/>
                <w:szCs w:val="18"/>
                <w:lang w:eastAsia="en-AU"/>
              </w:rPr>
              <w:t> </w:t>
            </w:r>
          </w:p>
        </w:tc>
      </w:tr>
      <w:tr w:rsidR="009A356E" w:rsidRPr="00C65C2B" w14:paraId="07189714" w14:textId="77777777" w:rsidTr="009A356E">
        <w:trPr>
          <w:trHeight w:val="240"/>
        </w:trPr>
        <w:tc>
          <w:tcPr>
            <w:tcW w:w="1211" w:type="pct"/>
            <w:tcBorders>
              <w:top w:val="nil"/>
              <w:left w:val="single" w:sz="4" w:space="0" w:color="auto"/>
              <w:bottom w:val="single" w:sz="4" w:space="0" w:color="auto"/>
              <w:right w:val="single" w:sz="4" w:space="0" w:color="auto"/>
            </w:tcBorders>
            <w:shd w:val="clear" w:color="auto" w:fill="auto"/>
            <w:noWrap/>
            <w:vAlign w:val="bottom"/>
            <w:hideMark/>
          </w:tcPr>
          <w:p w14:paraId="4A956A3D" w14:textId="77777777" w:rsidR="009A356E" w:rsidRPr="00C10545" w:rsidRDefault="009A356E" w:rsidP="009A356E">
            <w:pPr>
              <w:rPr>
                <w:sz w:val="18"/>
                <w:szCs w:val="18"/>
                <w:lang w:eastAsia="en-AU"/>
              </w:rPr>
            </w:pPr>
            <w:r w:rsidRPr="00C10545">
              <w:rPr>
                <w:sz w:val="18"/>
                <w:szCs w:val="18"/>
                <w:lang w:eastAsia="en-AU"/>
              </w:rPr>
              <w:t>Greater Bendigo</w:t>
            </w:r>
          </w:p>
        </w:tc>
        <w:tc>
          <w:tcPr>
            <w:tcW w:w="652" w:type="pct"/>
            <w:tcBorders>
              <w:top w:val="nil"/>
              <w:left w:val="nil"/>
              <w:bottom w:val="single" w:sz="4" w:space="0" w:color="auto"/>
              <w:right w:val="single" w:sz="4" w:space="0" w:color="auto"/>
            </w:tcBorders>
            <w:shd w:val="clear" w:color="auto" w:fill="auto"/>
            <w:noWrap/>
            <w:vAlign w:val="bottom"/>
            <w:hideMark/>
          </w:tcPr>
          <w:p w14:paraId="61198731" w14:textId="77777777" w:rsidR="009A356E" w:rsidRPr="00C10545" w:rsidRDefault="009A356E" w:rsidP="009A356E">
            <w:pPr>
              <w:jc w:val="right"/>
              <w:rPr>
                <w:sz w:val="18"/>
                <w:szCs w:val="18"/>
                <w:lang w:eastAsia="en-AU"/>
              </w:rPr>
            </w:pPr>
            <w:r w:rsidRPr="00C10545">
              <w:rPr>
                <w:sz w:val="18"/>
                <w:szCs w:val="18"/>
                <w:lang w:eastAsia="en-AU"/>
              </w:rPr>
              <w:t>-6.3%</w:t>
            </w:r>
          </w:p>
        </w:tc>
        <w:tc>
          <w:tcPr>
            <w:tcW w:w="652" w:type="pct"/>
            <w:tcBorders>
              <w:top w:val="nil"/>
              <w:left w:val="nil"/>
              <w:bottom w:val="single" w:sz="4" w:space="0" w:color="auto"/>
              <w:right w:val="single" w:sz="4" w:space="0" w:color="auto"/>
            </w:tcBorders>
            <w:shd w:val="clear" w:color="auto" w:fill="auto"/>
            <w:noWrap/>
            <w:vAlign w:val="bottom"/>
            <w:hideMark/>
          </w:tcPr>
          <w:p w14:paraId="2B644542" w14:textId="77777777" w:rsidR="009A356E" w:rsidRPr="00C10545" w:rsidRDefault="009A356E" w:rsidP="009A356E">
            <w:pPr>
              <w:jc w:val="right"/>
              <w:rPr>
                <w:sz w:val="18"/>
                <w:szCs w:val="18"/>
                <w:lang w:eastAsia="en-AU"/>
              </w:rPr>
            </w:pPr>
            <w:r w:rsidRPr="00C10545">
              <w:rPr>
                <w:sz w:val="18"/>
                <w:szCs w:val="18"/>
                <w:lang w:eastAsia="en-AU"/>
              </w:rPr>
              <w:t>-0.6%</w:t>
            </w:r>
          </w:p>
        </w:tc>
        <w:tc>
          <w:tcPr>
            <w:tcW w:w="652" w:type="pct"/>
            <w:tcBorders>
              <w:top w:val="nil"/>
              <w:left w:val="nil"/>
              <w:bottom w:val="single" w:sz="4" w:space="0" w:color="auto"/>
              <w:right w:val="single" w:sz="4" w:space="0" w:color="auto"/>
            </w:tcBorders>
            <w:shd w:val="clear" w:color="auto" w:fill="auto"/>
            <w:noWrap/>
            <w:vAlign w:val="bottom"/>
            <w:hideMark/>
          </w:tcPr>
          <w:p w14:paraId="40C1C261" w14:textId="77777777" w:rsidR="009A356E" w:rsidRPr="00C10545" w:rsidRDefault="009A356E" w:rsidP="009A356E">
            <w:pPr>
              <w:jc w:val="right"/>
              <w:rPr>
                <w:sz w:val="18"/>
                <w:szCs w:val="18"/>
                <w:lang w:eastAsia="en-AU"/>
              </w:rPr>
            </w:pPr>
            <w:r w:rsidRPr="00C10545">
              <w:rPr>
                <w:sz w:val="18"/>
                <w:szCs w:val="18"/>
                <w:lang w:eastAsia="en-AU"/>
              </w:rPr>
              <w:t>-2.5%</w:t>
            </w:r>
          </w:p>
        </w:tc>
        <w:tc>
          <w:tcPr>
            <w:tcW w:w="611" w:type="pct"/>
            <w:tcBorders>
              <w:top w:val="nil"/>
              <w:left w:val="nil"/>
              <w:bottom w:val="single" w:sz="4" w:space="0" w:color="auto"/>
              <w:right w:val="single" w:sz="4" w:space="0" w:color="auto"/>
            </w:tcBorders>
            <w:shd w:val="clear" w:color="auto" w:fill="auto"/>
            <w:noWrap/>
            <w:vAlign w:val="bottom"/>
            <w:hideMark/>
          </w:tcPr>
          <w:p w14:paraId="644ACF10" w14:textId="77777777" w:rsidR="009A356E" w:rsidRPr="00C10545" w:rsidRDefault="009A356E" w:rsidP="009A356E">
            <w:pPr>
              <w:jc w:val="right"/>
              <w:rPr>
                <w:sz w:val="18"/>
                <w:szCs w:val="18"/>
                <w:lang w:eastAsia="en-AU"/>
              </w:rPr>
            </w:pPr>
            <w:r w:rsidRPr="00C10545">
              <w:rPr>
                <w:sz w:val="18"/>
                <w:szCs w:val="18"/>
                <w:lang w:eastAsia="en-AU"/>
              </w:rPr>
              <w:t>2.6%</w:t>
            </w:r>
          </w:p>
        </w:tc>
        <w:tc>
          <w:tcPr>
            <w:tcW w:w="611" w:type="pct"/>
            <w:tcBorders>
              <w:top w:val="nil"/>
              <w:left w:val="nil"/>
              <w:bottom w:val="single" w:sz="4" w:space="0" w:color="auto"/>
              <w:right w:val="single" w:sz="4" w:space="0" w:color="auto"/>
            </w:tcBorders>
            <w:shd w:val="clear" w:color="auto" w:fill="auto"/>
            <w:noWrap/>
            <w:vAlign w:val="bottom"/>
            <w:hideMark/>
          </w:tcPr>
          <w:p w14:paraId="24F69220" w14:textId="77777777" w:rsidR="009A356E" w:rsidRPr="00C10545" w:rsidRDefault="009A356E" w:rsidP="009A356E">
            <w:pPr>
              <w:jc w:val="right"/>
              <w:rPr>
                <w:sz w:val="18"/>
                <w:szCs w:val="18"/>
                <w:lang w:eastAsia="en-AU"/>
              </w:rPr>
            </w:pPr>
            <w:r w:rsidRPr="00C10545">
              <w:rPr>
                <w:sz w:val="18"/>
                <w:szCs w:val="18"/>
                <w:lang w:eastAsia="en-AU"/>
              </w:rPr>
              <w:t>-1.8%</w:t>
            </w:r>
          </w:p>
        </w:tc>
        <w:tc>
          <w:tcPr>
            <w:tcW w:w="611" w:type="pct"/>
            <w:tcBorders>
              <w:top w:val="nil"/>
              <w:left w:val="nil"/>
              <w:bottom w:val="single" w:sz="4" w:space="0" w:color="auto"/>
              <w:right w:val="single" w:sz="4" w:space="0" w:color="auto"/>
            </w:tcBorders>
            <w:shd w:val="clear" w:color="auto" w:fill="auto"/>
            <w:noWrap/>
            <w:vAlign w:val="bottom"/>
            <w:hideMark/>
          </w:tcPr>
          <w:p w14:paraId="22508C06" w14:textId="77777777" w:rsidR="009A356E" w:rsidRPr="00C10545" w:rsidRDefault="009A356E" w:rsidP="009A356E">
            <w:pPr>
              <w:jc w:val="right"/>
              <w:rPr>
                <w:sz w:val="18"/>
                <w:szCs w:val="18"/>
                <w:lang w:eastAsia="en-AU"/>
              </w:rPr>
            </w:pPr>
            <w:r w:rsidRPr="00C10545">
              <w:rPr>
                <w:sz w:val="18"/>
                <w:szCs w:val="18"/>
                <w:lang w:eastAsia="en-AU"/>
              </w:rPr>
              <w:t>-3.4%</w:t>
            </w:r>
          </w:p>
        </w:tc>
      </w:tr>
      <w:tr w:rsidR="009A356E" w:rsidRPr="00C65C2B" w14:paraId="38F2DCEA" w14:textId="77777777" w:rsidTr="009A356E">
        <w:trPr>
          <w:trHeight w:val="240"/>
        </w:trPr>
        <w:tc>
          <w:tcPr>
            <w:tcW w:w="1211" w:type="pct"/>
            <w:tcBorders>
              <w:top w:val="nil"/>
              <w:left w:val="single" w:sz="4" w:space="0" w:color="auto"/>
              <w:bottom w:val="single" w:sz="4" w:space="0" w:color="auto"/>
              <w:right w:val="single" w:sz="4" w:space="0" w:color="auto"/>
            </w:tcBorders>
            <w:shd w:val="clear" w:color="auto" w:fill="auto"/>
            <w:noWrap/>
            <w:vAlign w:val="bottom"/>
            <w:hideMark/>
          </w:tcPr>
          <w:p w14:paraId="55688606" w14:textId="77777777" w:rsidR="009A356E" w:rsidRPr="00C10545" w:rsidRDefault="009A356E" w:rsidP="009A356E">
            <w:pPr>
              <w:rPr>
                <w:sz w:val="18"/>
                <w:szCs w:val="18"/>
                <w:lang w:eastAsia="en-AU"/>
              </w:rPr>
            </w:pPr>
            <w:r w:rsidRPr="00C10545">
              <w:rPr>
                <w:sz w:val="18"/>
                <w:szCs w:val="18"/>
                <w:lang w:eastAsia="en-AU"/>
              </w:rPr>
              <w:t>Greater Geelong</w:t>
            </w:r>
          </w:p>
        </w:tc>
        <w:tc>
          <w:tcPr>
            <w:tcW w:w="652" w:type="pct"/>
            <w:tcBorders>
              <w:top w:val="nil"/>
              <w:left w:val="nil"/>
              <w:bottom w:val="single" w:sz="4" w:space="0" w:color="auto"/>
              <w:right w:val="single" w:sz="4" w:space="0" w:color="auto"/>
            </w:tcBorders>
            <w:shd w:val="clear" w:color="auto" w:fill="auto"/>
            <w:noWrap/>
            <w:vAlign w:val="bottom"/>
            <w:hideMark/>
          </w:tcPr>
          <w:p w14:paraId="25EA7105" w14:textId="77777777" w:rsidR="009A356E" w:rsidRPr="00C10545" w:rsidRDefault="009A356E" w:rsidP="009A356E">
            <w:pPr>
              <w:jc w:val="right"/>
              <w:rPr>
                <w:sz w:val="18"/>
                <w:szCs w:val="18"/>
                <w:lang w:eastAsia="en-AU"/>
              </w:rPr>
            </w:pPr>
            <w:r w:rsidRPr="00C10545">
              <w:rPr>
                <w:sz w:val="18"/>
                <w:szCs w:val="18"/>
                <w:lang w:eastAsia="en-AU"/>
              </w:rPr>
              <w:t>-7.6%</w:t>
            </w:r>
          </w:p>
        </w:tc>
        <w:tc>
          <w:tcPr>
            <w:tcW w:w="652" w:type="pct"/>
            <w:tcBorders>
              <w:top w:val="nil"/>
              <w:left w:val="nil"/>
              <w:bottom w:val="single" w:sz="4" w:space="0" w:color="auto"/>
              <w:right w:val="single" w:sz="4" w:space="0" w:color="auto"/>
            </w:tcBorders>
            <w:shd w:val="clear" w:color="auto" w:fill="auto"/>
            <w:noWrap/>
            <w:vAlign w:val="bottom"/>
            <w:hideMark/>
          </w:tcPr>
          <w:p w14:paraId="2DFE8251" w14:textId="77777777" w:rsidR="009A356E" w:rsidRPr="00C10545" w:rsidRDefault="009A356E" w:rsidP="009A356E">
            <w:pPr>
              <w:jc w:val="right"/>
              <w:rPr>
                <w:sz w:val="18"/>
                <w:szCs w:val="18"/>
                <w:lang w:eastAsia="en-AU"/>
              </w:rPr>
            </w:pPr>
            <w:r w:rsidRPr="00C10545">
              <w:rPr>
                <w:sz w:val="18"/>
                <w:szCs w:val="18"/>
                <w:lang w:eastAsia="en-AU"/>
              </w:rPr>
              <w:t>-1.7%</w:t>
            </w:r>
          </w:p>
        </w:tc>
        <w:tc>
          <w:tcPr>
            <w:tcW w:w="652" w:type="pct"/>
            <w:tcBorders>
              <w:top w:val="nil"/>
              <w:left w:val="nil"/>
              <w:bottom w:val="single" w:sz="4" w:space="0" w:color="auto"/>
              <w:right w:val="single" w:sz="4" w:space="0" w:color="auto"/>
            </w:tcBorders>
            <w:shd w:val="clear" w:color="auto" w:fill="auto"/>
            <w:noWrap/>
            <w:vAlign w:val="bottom"/>
            <w:hideMark/>
          </w:tcPr>
          <w:p w14:paraId="17DA2B6E" w14:textId="77777777" w:rsidR="009A356E" w:rsidRPr="00C10545" w:rsidRDefault="009A356E" w:rsidP="009A356E">
            <w:pPr>
              <w:jc w:val="right"/>
              <w:rPr>
                <w:sz w:val="18"/>
                <w:szCs w:val="18"/>
                <w:lang w:eastAsia="en-AU"/>
              </w:rPr>
            </w:pPr>
            <w:r w:rsidRPr="00C10545">
              <w:rPr>
                <w:sz w:val="18"/>
                <w:szCs w:val="18"/>
                <w:lang w:eastAsia="en-AU"/>
              </w:rPr>
              <w:t>-1.4%</w:t>
            </w:r>
          </w:p>
        </w:tc>
        <w:tc>
          <w:tcPr>
            <w:tcW w:w="611" w:type="pct"/>
            <w:tcBorders>
              <w:top w:val="nil"/>
              <w:left w:val="nil"/>
              <w:bottom w:val="single" w:sz="4" w:space="0" w:color="auto"/>
              <w:right w:val="single" w:sz="4" w:space="0" w:color="auto"/>
            </w:tcBorders>
            <w:shd w:val="clear" w:color="auto" w:fill="auto"/>
            <w:noWrap/>
            <w:vAlign w:val="bottom"/>
            <w:hideMark/>
          </w:tcPr>
          <w:p w14:paraId="27C0D1CF" w14:textId="77777777" w:rsidR="009A356E" w:rsidRPr="00C10545" w:rsidRDefault="009A356E" w:rsidP="009A356E">
            <w:pPr>
              <w:jc w:val="right"/>
              <w:rPr>
                <w:sz w:val="18"/>
                <w:szCs w:val="18"/>
                <w:lang w:eastAsia="en-AU"/>
              </w:rPr>
            </w:pPr>
            <w:r w:rsidRPr="00C10545">
              <w:rPr>
                <w:sz w:val="18"/>
                <w:szCs w:val="18"/>
                <w:lang w:eastAsia="en-AU"/>
              </w:rPr>
              <w:t>0.1%</w:t>
            </w:r>
          </w:p>
        </w:tc>
        <w:tc>
          <w:tcPr>
            <w:tcW w:w="611" w:type="pct"/>
            <w:tcBorders>
              <w:top w:val="nil"/>
              <w:left w:val="nil"/>
              <w:bottom w:val="single" w:sz="4" w:space="0" w:color="auto"/>
              <w:right w:val="single" w:sz="4" w:space="0" w:color="auto"/>
            </w:tcBorders>
            <w:shd w:val="clear" w:color="auto" w:fill="auto"/>
            <w:noWrap/>
            <w:vAlign w:val="bottom"/>
            <w:hideMark/>
          </w:tcPr>
          <w:p w14:paraId="2B3DCA8B" w14:textId="77777777" w:rsidR="009A356E" w:rsidRPr="00C10545" w:rsidRDefault="009A356E" w:rsidP="009A356E">
            <w:pPr>
              <w:jc w:val="right"/>
              <w:rPr>
                <w:sz w:val="18"/>
                <w:szCs w:val="18"/>
                <w:lang w:eastAsia="en-AU"/>
              </w:rPr>
            </w:pPr>
            <w:r w:rsidRPr="00C10545">
              <w:rPr>
                <w:sz w:val="18"/>
                <w:szCs w:val="18"/>
                <w:lang w:eastAsia="en-AU"/>
              </w:rPr>
              <w:t>-2.0%</w:t>
            </w:r>
          </w:p>
        </w:tc>
        <w:tc>
          <w:tcPr>
            <w:tcW w:w="611" w:type="pct"/>
            <w:tcBorders>
              <w:top w:val="nil"/>
              <w:left w:val="nil"/>
              <w:bottom w:val="single" w:sz="4" w:space="0" w:color="auto"/>
              <w:right w:val="single" w:sz="4" w:space="0" w:color="auto"/>
            </w:tcBorders>
            <w:shd w:val="clear" w:color="auto" w:fill="auto"/>
            <w:noWrap/>
            <w:vAlign w:val="bottom"/>
            <w:hideMark/>
          </w:tcPr>
          <w:p w14:paraId="7C8FEFE3" w14:textId="77777777" w:rsidR="009A356E" w:rsidRPr="00C10545" w:rsidRDefault="009A356E" w:rsidP="009A356E">
            <w:pPr>
              <w:jc w:val="right"/>
              <w:rPr>
                <w:sz w:val="18"/>
                <w:szCs w:val="18"/>
                <w:lang w:eastAsia="en-AU"/>
              </w:rPr>
            </w:pPr>
            <w:r w:rsidRPr="00C10545">
              <w:rPr>
                <w:sz w:val="18"/>
                <w:szCs w:val="18"/>
                <w:lang w:eastAsia="en-AU"/>
              </w:rPr>
              <w:t>-4.6%</w:t>
            </w:r>
          </w:p>
        </w:tc>
      </w:tr>
      <w:tr w:rsidR="009A356E" w:rsidRPr="00C65C2B" w14:paraId="36EC9BA1" w14:textId="77777777" w:rsidTr="009A356E">
        <w:trPr>
          <w:trHeight w:val="240"/>
        </w:trPr>
        <w:tc>
          <w:tcPr>
            <w:tcW w:w="1211" w:type="pct"/>
            <w:tcBorders>
              <w:top w:val="nil"/>
              <w:left w:val="single" w:sz="4" w:space="0" w:color="auto"/>
              <w:bottom w:val="single" w:sz="4" w:space="0" w:color="auto"/>
              <w:right w:val="single" w:sz="4" w:space="0" w:color="auto"/>
            </w:tcBorders>
            <w:shd w:val="clear" w:color="auto" w:fill="auto"/>
            <w:noWrap/>
            <w:vAlign w:val="bottom"/>
            <w:hideMark/>
          </w:tcPr>
          <w:p w14:paraId="5811C3D0" w14:textId="77777777" w:rsidR="009A356E" w:rsidRPr="00C10545" w:rsidRDefault="009A356E" w:rsidP="009A356E">
            <w:pPr>
              <w:rPr>
                <w:sz w:val="18"/>
                <w:szCs w:val="18"/>
                <w:lang w:eastAsia="en-AU"/>
              </w:rPr>
            </w:pPr>
            <w:r w:rsidRPr="00C10545">
              <w:rPr>
                <w:sz w:val="18"/>
                <w:szCs w:val="18"/>
                <w:lang w:eastAsia="en-AU"/>
              </w:rPr>
              <w:t>Greater Shepparton</w:t>
            </w:r>
          </w:p>
        </w:tc>
        <w:tc>
          <w:tcPr>
            <w:tcW w:w="652" w:type="pct"/>
            <w:tcBorders>
              <w:top w:val="nil"/>
              <w:left w:val="nil"/>
              <w:bottom w:val="single" w:sz="4" w:space="0" w:color="auto"/>
              <w:right w:val="single" w:sz="4" w:space="0" w:color="auto"/>
            </w:tcBorders>
            <w:shd w:val="clear" w:color="auto" w:fill="auto"/>
            <w:noWrap/>
            <w:vAlign w:val="bottom"/>
            <w:hideMark/>
          </w:tcPr>
          <w:p w14:paraId="3C91F55A" w14:textId="77777777" w:rsidR="009A356E" w:rsidRPr="00C10545" w:rsidRDefault="009A356E" w:rsidP="009A356E">
            <w:pPr>
              <w:jc w:val="right"/>
              <w:rPr>
                <w:sz w:val="18"/>
                <w:szCs w:val="18"/>
                <w:lang w:eastAsia="en-AU"/>
              </w:rPr>
            </w:pPr>
            <w:r w:rsidRPr="00C10545">
              <w:rPr>
                <w:sz w:val="18"/>
                <w:szCs w:val="18"/>
                <w:lang w:eastAsia="en-AU"/>
              </w:rPr>
              <w:t>-7.3%</w:t>
            </w:r>
          </w:p>
        </w:tc>
        <w:tc>
          <w:tcPr>
            <w:tcW w:w="652" w:type="pct"/>
            <w:tcBorders>
              <w:top w:val="nil"/>
              <w:left w:val="nil"/>
              <w:bottom w:val="single" w:sz="4" w:space="0" w:color="auto"/>
              <w:right w:val="single" w:sz="4" w:space="0" w:color="auto"/>
            </w:tcBorders>
            <w:shd w:val="clear" w:color="auto" w:fill="auto"/>
            <w:noWrap/>
            <w:vAlign w:val="bottom"/>
            <w:hideMark/>
          </w:tcPr>
          <w:p w14:paraId="467E6206" w14:textId="77777777" w:rsidR="009A356E" w:rsidRPr="00C10545" w:rsidRDefault="009A356E" w:rsidP="009A356E">
            <w:pPr>
              <w:jc w:val="right"/>
              <w:rPr>
                <w:sz w:val="18"/>
                <w:szCs w:val="18"/>
                <w:lang w:eastAsia="en-AU"/>
              </w:rPr>
            </w:pPr>
            <w:r w:rsidRPr="00C10545">
              <w:rPr>
                <w:sz w:val="18"/>
                <w:szCs w:val="18"/>
                <w:lang w:eastAsia="en-AU"/>
              </w:rPr>
              <w:t>2.4%</w:t>
            </w:r>
          </w:p>
        </w:tc>
        <w:tc>
          <w:tcPr>
            <w:tcW w:w="652" w:type="pct"/>
            <w:tcBorders>
              <w:top w:val="nil"/>
              <w:left w:val="nil"/>
              <w:bottom w:val="single" w:sz="4" w:space="0" w:color="auto"/>
              <w:right w:val="single" w:sz="4" w:space="0" w:color="auto"/>
            </w:tcBorders>
            <w:shd w:val="clear" w:color="auto" w:fill="auto"/>
            <w:noWrap/>
            <w:vAlign w:val="bottom"/>
            <w:hideMark/>
          </w:tcPr>
          <w:p w14:paraId="79836255" w14:textId="77777777" w:rsidR="009A356E" w:rsidRPr="00C10545" w:rsidRDefault="009A356E" w:rsidP="009A356E">
            <w:pPr>
              <w:jc w:val="right"/>
              <w:rPr>
                <w:sz w:val="18"/>
                <w:szCs w:val="18"/>
                <w:lang w:eastAsia="en-AU"/>
              </w:rPr>
            </w:pPr>
            <w:r w:rsidRPr="00C10545">
              <w:rPr>
                <w:sz w:val="18"/>
                <w:szCs w:val="18"/>
                <w:lang w:eastAsia="en-AU"/>
              </w:rPr>
              <w:t>0.0%</w:t>
            </w:r>
          </w:p>
        </w:tc>
        <w:tc>
          <w:tcPr>
            <w:tcW w:w="611" w:type="pct"/>
            <w:tcBorders>
              <w:top w:val="nil"/>
              <w:left w:val="nil"/>
              <w:bottom w:val="single" w:sz="4" w:space="0" w:color="auto"/>
              <w:right w:val="single" w:sz="4" w:space="0" w:color="auto"/>
            </w:tcBorders>
            <w:shd w:val="clear" w:color="auto" w:fill="auto"/>
            <w:noWrap/>
            <w:vAlign w:val="bottom"/>
            <w:hideMark/>
          </w:tcPr>
          <w:p w14:paraId="40605522" w14:textId="77777777" w:rsidR="009A356E" w:rsidRPr="00C10545" w:rsidRDefault="009A356E" w:rsidP="009A356E">
            <w:pPr>
              <w:jc w:val="right"/>
              <w:rPr>
                <w:sz w:val="18"/>
                <w:szCs w:val="18"/>
                <w:lang w:eastAsia="en-AU"/>
              </w:rPr>
            </w:pPr>
            <w:r w:rsidRPr="00C10545">
              <w:rPr>
                <w:sz w:val="18"/>
                <w:szCs w:val="18"/>
                <w:lang w:eastAsia="en-AU"/>
              </w:rPr>
              <w:t>4.9%</w:t>
            </w:r>
          </w:p>
        </w:tc>
        <w:tc>
          <w:tcPr>
            <w:tcW w:w="611" w:type="pct"/>
            <w:tcBorders>
              <w:top w:val="nil"/>
              <w:left w:val="nil"/>
              <w:bottom w:val="single" w:sz="4" w:space="0" w:color="auto"/>
              <w:right w:val="single" w:sz="4" w:space="0" w:color="auto"/>
            </w:tcBorders>
            <w:shd w:val="clear" w:color="auto" w:fill="auto"/>
            <w:noWrap/>
            <w:vAlign w:val="bottom"/>
            <w:hideMark/>
          </w:tcPr>
          <w:p w14:paraId="4AAED5BD" w14:textId="77777777" w:rsidR="009A356E" w:rsidRPr="00C10545" w:rsidRDefault="009A356E" w:rsidP="009A356E">
            <w:pPr>
              <w:jc w:val="right"/>
              <w:rPr>
                <w:sz w:val="18"/>
                <w:szCs w:val="18"/>
                <w:lang w:eastAsia="en-AU"/>
              </w:rPr>
            </w:pPr>
            <w:r w:rsidRPr="00C10545">
              <w:rPr>
                <w:sz w:val="18"/>
                <w:szCs w:val="18"/>
                <w:lang w:eastAsia="en-AU"/>
              </w:rPr>
              <w:t>1.0%</w:t>
            </w:r>
          </w:p>
        </w:tc>
        <w:tc>
          <w:tcPr>
            <w:tcW w:w="611" w:type="pct"/>
            <w:tcBorders>
              <w:top w:val="nil"/>
              <w:left w:val="nil"/>
              <w:bottom w:val="single" w:sz="4" w:space="0" w:color="auto"/>
              <w:right w:val="single" w:sz="4" w:space="0" w:color="auto"/>
            </w:tcBorders>
            <w:shd w:val="clear" w:color="auto" w:fill="auto"/>
            <w:noWrap/>
            <w:vAlign w:val="bottom"/>
            <w:hideMark/>
          </w:tcPr>
          <w:p w14:paraId="304A8C14" w14:textId="77777777" w:rsidR="009A356E" w:rsidRPr="00C10545" w:rsidRDefault="009A356E" w:rsidP="009A356E">
            <w:pPr>
              <w:jc w:val="right"/>
              <w:rPr>
                <w:sz w:val="18"/>
                <w:szCs w:val="18"/>
                <w:lang w:eastAsia="en-AU"/>
              </w:rPr>
            </w:pPr>
            <w:r w:rsidRPr="00C10545">
              <w:rPr>
                <w:sz w:val="18"/>
                <w:szCs w:val="18"/>
                <w:lang w:eastAsia="en-AU"/>
              </w:rPr>
              <w:t>-2.7%</w:t>
            </w:r>
          </w:p>
        </w:tc>
      </w:tr>
      <w:tr w:rsidR="009A356E" w:rsidRPr="00C65C2B" w14:paraId="15058F6C" w14:textId="77777777" w:rsidTr="009A356E">
        <w:trPr>
          <w:trHeight w:val="240"/>
        </w:trPr>
        <w:tc>
          <w:tcPr>
            <w:tcW w:w="1211" w:type="pct"/>
            <w:tcBorders>
              <w:top w:val="nil"/>
              <w:left w:val="single" w:sz="4" w:space="0" w:color="auto"/>
              <w:bottom w:val="single" w:sz="4" w:space="0" w:color="auto"/>
              <w:right w:val="single" w:sz="4" w:space="0" w:color="auto"/>
            </w:tcBorders>
            <w:shd w:val="clear" w:color="auto" w:fill="auto"/>
            <w:noWrap/>
            <w:vAlign w:val="bottom"/>
            <w:hideMark/>
          </w:tcPr>
          <w:p w14:paraId="2E1B4A74" w14:textId="77777777" w:rsidR="009A356E" w:rsidRPr="00C10545" w:rsidRDefault="009A356E" w:rsidP="009A356E">
            <w:pPr>
              <w:rPr>
                <w:sz w:val="18"/>
                <w:szCs w:val="18"/>
                <w:lang w:eastAsia="en-AU"/>
              </w:rPr>
            </w:pPr>
            <w:r w:rsidRPr="00C10545">
              <w:rPr>
                <w:sz w:val="18"/>
                <w:szCs w:val="18"/>
                <w:lang w:eastAsia="en-AU"/>
              </w:rPr>
              <w:t>Mildura</w:t>
            </w:r>
          </w:p>
        </w:tc>
        <w:tc>
          <w:tcPr>
            <w:tcW w:w="652" w:type="pct"/>
            <w:tcBorders>
              <w:top w:val="nil"/>
              <w:left w:val="nil"/>
              <w:bottom w:val="single" w:sz="4" w:space="0" w:color="auto"/>
              <w:right w:val="single" w:sz="4" w:space="0" w:color="auto"/>
            </w:tcBorders>
            <w:shd w:val="clear" w:color="auto" w:fill="auto"/>
            <w:noWrap/>
            <w:vAlign w:val="bottom"/>
            <w:hideMark/>
          </w:tcPr>
          <w:p w14:paraId="68040B3F" w14:textId="77777777" w:rsidR="009A356E" w:rsidRPr="00C10545" w:rsidRDefault="009A356E" w:rsidP="009A356E">
            <w:pPr>
              <w:jc w:val="right"/>
              <w:rPr>
                <w:sz w:val="18"/>
                <w:szCs w:val="18"/>
                <w:lang w:eastAsia="en-AU"/>
              </w:rPr>
            </w:pPr>
            <w:r w:rsidRPr="00C10545">
              <w:rPr>
                <w:sz w:val="18"/>
                <w:szCs w:val="18"/>
                <w:lang w:eastAsia="en-AU"/>
              </w:rPr>
              <w:t>-1.7%</w:t>
            </w:r>
          </w:p>
        </w:tc>
        <w:tc>
          <w:tcPr>
            <w:tcW w:w="652" w:type="pct"/>
            <w:tcBorders>
              <w:top w:val="nil"/>
              <w:left w:val="nil"/>
              <w:bottom w:val="single" w:sz="4" w:space="0" w:color="auto"/>
              <w:right w:val="single" w:sz="4" w:space="0" w:color="auto"/>
            </w:tcBorders>
            <w:shd w:val="clear" w:color="auto" w:fill="auto"/>
            <w:noWrap/>
            <w:vAlign w:val="bottom"/>
            <w:hideMark/>
          </w:tcPr>
          <w:p w14:paraId="7E30582F" w14:textId="77777777" w:rsidR="009A356E" w:rsidRPr="00C10545" w:rsidRDefault="009A356E" w:rsidP="009A356E">
            <w:pPr>
              <w:jc w:val="right"/>
              <w:rPr>
                <w:sz w:val="18"/>
                <w:szCs w:val="18"/>
                <w:lang w:eastAsia="en-AU"/>
              </w:rPr>
            </w:pPr>
            <w:r w:rsidRPr="00C10545">
              <w:rPr>
                <w:sz w:val="18"/>
                <w:szCs w:val="18"/>
                <w:lang w:eastAsia="en-AU"/>
              </w:rPr>
              <w:t>7.4%</w:t>
            </w:r>
          </w:p>
        </w:tc>
        <w:tc>
          <w:tcPr>
            <w:tcW w:w="652" w:type="pct"/>
            <w:tcBorders>
              <w:top w:val="nil"/>
              <w:left w:val="nil"/>
              <w:bottom w:val="single" w:sz="4" w:space="0" w:color="auto"/>
              <w:right w:val="single" w:sz="4" w:space="0" w:color="auto"/>
            </w:tcBorders>
            <w:shd w:val="clear" w:color="auto" w:fill="auto"/>
            <w:noWrap/>
            <w:vAlign w:val="bottom"/>
            <w:hideMark/>
          </w:tcPr>
          <w:p w14:paraId="1FB3FD49" w14:textId="77777777" w:rsidR="009A356E" w:rsidRPr="00C10545" w:rsidRDefault="009A356E" w:rsidP="009A356E">
            <w:pPr>
              <w:jc w:val="right"/>
              <w:rPr>
                <w:sz w:val="18"/>
                <w:szCs w:val="18"/>
                <w:lang w:eastAsia="en-AU"/>
              </w:rPr>
            </w:pPr>
            <w:r w:rsidRPr="00C10545">
              <w:rPr>
                <w:sz w:val="18"/>
                <w:szCs w:val="18"/>
                <w:lang w:eastAsia="en-AU"/>
              </w:rPr>
              <w:t>3.9%</w:t>
            </w:r>
          </w:p>
        </w:tc>
        <w:tc>
          <w:tcPr>
            <w:tcW w:w="611" w:type="pct"/>
            <w:tcBorders>
              <w:top w:val="nil"/>
              <w:left w:val="nil"/>
              <w:bottom w:val="single" w:sz="4" w:space="0" w:color="auto"/>
              <w:right w:val="single" w:sz="4" w:space="0" w:color="auto"/>
            </w:tcBorders>
            <w:shd w:val="clear" w:color="auto" w:fill="auto"/>
            <w:noWrap/>
            <w:vAlign w:val="bottom"/>
            <w:hideMark/>
          </w:tcPr>
          <w:p w14:paraId="570896E2" w14:textId="77777777" w:rsidR="009A356E" w:rsidRPr="00C10545" w:rsidRDefault="009A356E" w:rsidP="009A356E">
            <w:pPr>
              <w:jc w:val="right"/>
              <w:rPr>
                <w:sz w:val="18"/>
                <w:szCs w:val="18"/>
                <w:lang w:eastAsia="en-AU"/>
              </w:rPr>
            </w:pPr>
            <w:r w:rsidRPr="00C10545">
              <w:rPr>
                <w:sz w:val="18"/>
                <w:szCs w:val="18"/>
                <w:lang w:eastAsia="en-AU"/>
              </w:rPr>
              <w:t>5.5%</w:t>
            </w:r>
          </w:p>
        </w:tc>
        <w:tc>
          <w:tcPr>
            <w:tcW w:w="611" w:type="pct"/>
            <w:tcBorders>
              <w:top w:val="nil"/>
              <w:left w:val="nil"/>
              <w:bottom w:val="single" w:sz="4" w:space="0" w:color="auto"/>
              <w:right w:val="single" w:sz="4" w:space="0" w:color="auto"/>
            </w:tcBorders>
            <w:shd w:val="clear" w:color="auto" w:fill="auto"/>
            <w:noWrap/>
            <w:vAlign w:val="bottom"/>
            <w:hideMark/>
          </w:tcPr>
          <w:p w14:paraId="7F91533C" w14:textId="77777777" w:rsidR="009A356E" w:rsidRPr="00C10545" w:rsidRDefault="009A356E" w:rsidP="009A356E">
            <w:pPr>
              <w:jc w:val="right"/>
              <w:rPr>
                <w:sz w:val="18"/>
                <w:szCs w:val="18"/>
                <w:lang w:eastAsia="en-AU"/>
              </w:rPr>
            </w:pPr>
            <w:r w:rsidRPr="00C10545">
              <w:rPr>
                <w:sz w:val="18"/>
                <w:szCs w:val="18"/>
                <w:lang w:eastAsia="en-AU"/>
              </w:rPr>
              <w:t>1.9%</w:t>
            </w:r>
          </w:p>
        </w:tc>
        <w:tc>
          <w:tcPr>
            <w:tcW w:w="611" w:type="pct"/>
            <w:tcBorders>
              <w:top w:val="nil"/>
              <w:left w:val="nil"/>
              <w:bottom w:val="single" w:sz="4" w:space="0" w:color="auto"/>
              <w:right w:val="single" w:sz="4" w:space="0" w:color="auto"/>
            </w:tcBorders>
            <w:shd w:val="clear" w:color="auto" w:fill="auto"/>
            <w:noWrap/>
            <w:vAlign w:val="bottom"/>
            <w:hideMark/>
          </w:tcPr>
          <w:p w14:paraId="05331DA9" w14:textId="77777777" w:rsidR="009A356E" w:rsidRPr="00C10545" w:rsidRDefault="009A356E" w:rsidP="009A356E">
            <w:pPr>
              <w:jc w:val="right"/>
              <w:rPr>
                <w:sz w:val="18"/>
                <w:szCs w:val="18"/>
                <w:lang w:eastAsia="en-AU"/>
              </w:rPr>
            </w:pPr>
            <w:r w:rsidRPr="00C10545">
              <w:rPr>
                <w:sz w:val="18"/>
                <w:szCs w:val="18"/>
                <w:lang w:eastAsia="en-AU"/>
              </w:rPr>
              <w:t>-0.5%</w:t>
            </w:r>
          </w:p>
        </w:tc>
      </w:tr>
      <w:tr w:rsidR="009A356E" w:rsidRPr="00C65C2B" w14:paraId="4B4804E2" w14:textId="77777777" w:rsidTr="009A356E">
        <w:trPr>
          <w:trHeight w:val="240"/>
        </w:trPr>
        <w:tc>
          <w:tcPr>
            <w:tcW w:w="1211" w:type="pct"/>
            <w:tcBorders>
              <w:top w:val="nil"/>
              <w:left w:val="single" w:sz="4" w:space="0" w:color="auto"/>
              <w:bottom w:val="single" w:sz="4" w:space="0" w:color="auto"/>
              <w:right w:val="single" w:sz="4" w:space="0" w:color="auto"/>
            </w:tcBorders>
            <w:shd w:val="clear" w:color="auto" w:fill="auto"/>
            <w:noWrap/>
            <w:vAlign w:val="bottom"/>
            <w:hideMark/>
          </w:tcPr>
          <w:p w14:paraId="115BF076" w14:textId="77777777" w:rsidR="009A356E" w:rsidRPr="00C10545" w:rsidRDefault="009A356E" w:rsidP="009A356E">
            <w:pPr>
              <w:rPr>
                <w:sz w:val="18"/>
                <w:szCs w:val="18"/>
                <w:lang w:eastAsia="en-AU"/>
              </w:rPr>
            </w:pPr>
            <w:r w:rsidRPr="00C10545">
              <w:rPr>
                <w:sz w:val="18"/>
                <w:szCs w:val="18"/>
                <w:lang w:eastAsia="en-AU"/>
              </w:rPr>
              <w:t>Warrnambool</w:t>
            </w:r>
          </w:p>
        </w:tc>
        <w:tc>
          <w:tcPr>
            <w:tcW w:w="652" w:type="pct"/>
            <w:tcBorders>
              <w:top w:val="nil"/>
              <w:left w:val="nil"/>
              <w:bottom w:val="single" w:sz="4" w:space="0" w:color="auto"/>
              <w:right w:val="single" w:sz="4" w:space="0" w:color="auto"/>
            </w:tcBorders>
            <w:shd w:val="clear" w:color="auto" w:fill="auto"/>
            <w:noWrap/>
            <w:vAlign w:val="bottom"/>
            <w:hideMark/>
          </w:tcPr>
          <w:p w14:paraId="0F24AA9F" w14:textId="77777777" w:rsidR="009A356E" w:rsidRPr="00C10545" w:rsidRDefault="009A356E" w:rsidP="009A356E">
            <w:pPr>
              <w:jc w:val="right"/>
              <w:rPr>
                <w:sz w:val="18"/>
                <w:szCs w:val="18"/>
                <w:lang w:eastAsia="en-AU"/>
              </w:rPr>
            </w:pPr>
            <w:r w:rsidRPr="00C10545">
              <w:rPr>
                <w:sz w:val="18"/>
                <w:szCs w:val="18"/>
                <w:lang w:eastAsia="en-AU"/>
              </w:rPr>
              <w:t>-7.6%</w:t>
            </w:r>
          </w:p>
        </w:tc>
        <w:tc>
          <w:tcPr>
            <w:tcW w:w="652" w:type="pct"/>
            <w:tcBorders>
              <w:top w:val="nil"/>
              <w:left w:val="nil"/>
              <w:bottom w:val="single" w:sz="4" w:space="0" w:color="auto"/>
              <w:right w:val="single" w:sz="4" w:space="0" w:color="auto"/>
            </w:tcBorders>
            <w:shd w:val="clear" w:color="auto" w:fill="auto"/>
            <w:noWrap/>
            <w:vAlign w:val="bottom"/>
            <w:hideMark/>
          </w:tcPr>
          <w:p w14:paraId="0CB261BE" w14:textId="77777777" w:rsidR="009A356E" w:rsidRPr="00C10545" w:rsidRDefault="009A356E" w:rsidP="009A356E">
            <w:pPr>
              <w:jc w:val="right"/>
              <w:rPr>
                <w:sz w:val="18"/>
                <w:szCs w:val="18"/>
                <w:lang w:eastAsia="en-AU"/>
              </w:rPr>
            </w:pPr>
            <w:r w:rsidRPr="00C10545">
              <w:rPr>
                <w:sz w:val="18"/>
                <w:szCs w:val="18"/>
                <w:lang w:eastAsia="en-AU"/>
              </w:rPr>
              <w:t>-1.4%</w:t>
            </w:r>
          </w:p>
        </w:tc>
        <w:tc>
          <w:tcPr>
            <w:tcW w:w="652" w:type="pct"/>
            <w:tcBorders>
              <w:top w:val="nil"/>
              <w:left w:val="nil"/>
              <w:bottom w:val="single" w:sz="4" w:space="0" w:color="auto"/>
              <w:right w:val="single" w:sz="4" w:space="0" w:color="auto"/>
            </w:tcBorders>
            <w:shd w:val="clear" w:color="auto" w:fill="auto"/>
            <w:noWrap/>
            <w:vAlign w:val="bottom"/>
            <w:hideMark/>
          </w:tcPr>
          <w:p w14:paraId="325C708B" w14:textId="77777777" w:rsidR="009A356E" w:rsidRPr="00C10545" w:rsidRDefault="009A356E" w:rsidP="009A356E">
            <w:pPr>
              <w:jc w:val="right"/>
              <w:rPr>
                <w:sz w:val="18"/>
                <w:szCs w:val="18"/>
                <w:lang w:eastAsia="en-AU"/>
              </w:rPr>
            </w:pPr>
            <w:r w:rsidRPr="00C10545">
              <w:rPr>
                <w:sz w:val="18"/>
                <w:szCs w:val="18"/>
                <w:lang w:eastAsia="en-AU"/>
              </w:rPr>
              <w:t>-0.9%</w:t>
            </w:r>
          </w:p>
        </w:tc>
        <w:tc>
          <w:tcPr>
            <w:tcW w:w="611" w:type="pct"/>
            <w:tcBorders>
              <w:top w:val="nil"/>
              <w:left w:val="nil"/>
              <w:bottom w:val="single" w:sz="4" w:space="0" w:color="auto"/>
              <w:right w:val="single" w:sz="4" w:space="0" w:color="auto"/>
            </w:tcBorders>
            <w:shd w:val="clear" w:color="auto" w:fill="auto"/>
            <w:noWrap/>
            <w:vAlign w:val="bottom"/>
            <w:hideMark/>
          </w:tcPr>
          <w:p w14:paraId="1F565904" w14:textId="77777777" w:rsidR="009A356E" w:rsidRPr="00C10545" w:rsidRDefault="009A356E" w:rsidP="009A356E">
            <w:pPr>
              <w:jc w:val="right"/>
              <w:rPr>
                <w:sz w:val="18"/>
                <w:szCs w:val="18"/>
                <w:lang w:eastAsia="en-AU"/>
              </w:rPr>
            </w:pPr>
            <w:r w:rsidRPr="00C10545">
              <w:rPr>
                <w:sz w:val="18"/>
                <w:szCs w:val="18"/>
                <w:lang w:eastAsia="en-AU"/>
              </w:rPr>
              <w:t>1.3%</w:t>
            </w:r>
          </w:p>
        </w:tc>
        <w:tc>
          <w:tcPr>
            <w:tcW w:w="611" w:type="pct"/>
            <w:tcBorders>
              <w:top w:val="nil"/>
              <w:left w:val="nil"/>
              <w:bottom w:val="single" w:sz="4" w:space="0" w:color="auto"/>
              <w:right w:val="single" w:sz="4" w:space="0" w:color="auto"/>
            </w:tcBorders>
            <w:shd w:val="clear" w:color="auto" w:fill="auto"/>
            <w:noWrap/>
            <w:vAlign w:val="bottom"/>
            <w:hideMark/>
          </w:tcPr>
          <w:p w14:paraId="4EA1C418" w14:textId="77777777" w:rsidR="009A356E" w:rsidRPr="00C10545" w:rsidRDefault="009A356E" w:rsidP="009A356E">
            <w:pPr>
              <w:jc w:val="right"/>
              <w:rPr>
                <w:sz w:val="18"/>
                <w:szCs w:val="18"/>
                <w:lang w:eastAsia="en-AU"/>
              </w:rPr>
            </w:pPr>
            <w:r w:rsidRPr="00C10545">
              <w:rPr>
                <w:sz w:val="18"/>
                <w:szCs w:val="18"/>
                <w:lang w:eastAsia="en-AU"/>
              </w:rPr>
              <w:t>-1.2%</w:t>
            </w:r>
          </w:p>
        </w:tc>
        <w:tc>
          <w:tcPr>
            <w:tcW w:w="611" w:type="pct"/>
            <w:tcBorders>
              <w:top w:val="nil"/>
              <w:left w:val="nil"/>
              <w:bottom w:val="single" w:sz="4" w:space="0" w:color="auto"/>
              <w:right w:val="single" w:sz="4" w:space="0" w:color="auto"/>
            </w:tcBorders>
            <w:shd w:val="clear" w:color="auto" w:fill="auto"/>
            <w:noWrap/>
            <w:vAlign w:val="bottom"/>
            <w:hideMark/>
          </w:tcPr>
          <w:p w14:paraId="2EECBE29" w14:textId="77777777" w:rsidR="009A356E" w:rsidRPr="00C10545" w:rsidRDefault="009A356E" w:rsidP="009A356E">
            <w:pPr>
              <w:jc w:val="right"/>
              <w:rPr>
                <w:sz w:val="18"/>
                <w:szCs w:val="18"/>
                <w:lang w:eastAsia="en-AU"/>
              </w:rPr>
            </w:pPr>
            <w:r w:rsidRPr="00C10545">
              <w:rPr>
                <w:sz w:val="18"/>
                <w:szCs w:val="18"/>
                <w:lang w:eastAsia="en-AU"/>
              </w:rPr>
              <w:t>-3.6%</w:t>
            </w:r>
          </w:p>
        </w:tc>
      </w:tr>
      <w:tr w:rsidR="009A356E" w:rsidRPr="00C65C2B" w14:paraId="246D0A21" w14:textId="77777777" w:rsidTr="009A356E">
        <w:trPr>
          <w:trHeight w:val="240"/>
        </w:trPr>
        <w:tc>
          <w:tcPr>
            <w:tcW w:w="1211" w:type="pct"/>
            <w:tcBorders>
              <w:top w:val="nil"/>
              <w:left w:val="single" w:sz="4" w:space="0" w:color="auto"/>
              <w:bottom w:val="single" w:sz="4" w:space="0" w:color="auto"/>
              <w:right w:val="single" w:sz="4" w:space="0" w:color="auto"/>
            </w:tcBorders>
            <w:shd w:val="clear" w:color="000000" w:fill="000000"/>
            <w:noWrap/>
            <w:vAlign w:val="bottom"/>
            <w:hideMark/>
          </w:tcPr>
          <w:p w14:paraId="24F031B6" w14:textId="77777777" w:rsidR="009A356E" w:rsidRPr="00C10545" w:rsidRDefault="009A356E" w:rsidP="009A356E">
            <w:pPr>
              <w:rPr>
                <w:sz w:val="18"/>
                <w:szCs w:val="18"/>
                <w:lang w:eastAsia="en-AU"/>
              </w:rPr>
            </w:pPr>
            <w:r w:rsidRPr="00C10545">
              <w:rPr>
                <w:sz w:val="18"/>
                <w:szCs w:val="18"/>
                <w:lang w:eastAsia="en-AU"/>
              </w:rPr>
              <w:t> </w:t>
            </w:r>
          </w:p>
        </w:tc>
        <w:tc>
          <w:tcPr>
            <w:tcW w:w="652" w:type="pct"/>
            <w:tcBorders>
              <w:top w:val="nil"/>
              <w:left w:val="nil"/>
              <w:bottom w:val="single" w:sz="4" w:space="0" w:color="auto"/>
              <w:right w:val="single" w:sz="4" w:space="0" w:color="auto"/>
            </w:tcBorders>
            <w:shd w:val="clear" w:color="000000" w:fill="000000"/>
            <w:noWrap/>
            <w:vAlign w:val="bottom"/>
            <w:hideMark/>
          </w:tcPr>
          <w:p w14:paraId="2DAFE444" w14:textId="77777777" w:rsidR="009A356E" w:rsidRPr="00C10545" w:rsidRDefault="009A356E" w:rsidP="009A356E">
            <w:pPr>
              <w:rPr>
                <w:sz w:val="18"/>
                <w:szCs w:val="18"/>
                <w:lang w:eastAsia="en-AU"/>
              </w:rPr>
            </w:pPr>
            <w:r w:rsidRPr="00C10545">
              <w:rPr>
                <w:sz w:val="18"/>
                <w:szCs w:val="18"/>
                <w:lang w:eastAsia="en-AU"/>
              </w:rPr>
              <w:t> </w:t>
            </w:r>
          </w:p>
        </w:tc>
        <w:tc>
          <w:tcPr>
            <w:tcW w:w="652" w:type="pct"/>
            <w:tcBorders>
              <w:top w:val="nil"/>
              <w:left w:val="nil"/>
              <w:bottom w:val="single" w:sz="4" w:space="0" w:color="auto"/>
              <w:right w:val="single" w:sz="4" w:space="0" w:color="auto"/>
            </w:tcBorders>
            <w:shd w:val="clear" w:color="000000" w:fill="000000"/>
            <w:noWrap/>
            <w:vAlign w:val="bottom"/>
            <w:hideMark/>
          </w:tcPr>
          <w:p w14:paraId="4FD4D3AD" w14:textId="77777777" w:rsidR="009A356E" w:rsidRPr="00C10545" w:rsidRDefault="009A356E" w:rsidP="009A356E">
            <w:pPr>
              <w:rPr>
                <w:sz w:val="18"/>
                <w:szCs w:val="18"/>
                <w:lang w:eastAsia="en-AU"/>
              </w:rPr>
            </w:pPr>
            <w:r w:rsidRPr="00C10545">
              <w:rPr>
                <w:sz w:val="18"/>
                <w:szCs w:val="18"/>
                <w:lang w:eastAsia="en-AU"/>
              </w:rPr>
              <w:t> </w:t>
            </w:r>
          </w:p>
        </w:tc>
        <w:tc>
          <w:tcPr>
            <w:tcW w:w="652" w:type="pct"/>
            <w:tcBorders>
              <w:top w:val="nil"/>
              <w:left w:val="nil"/>
              <w:bottom w:val="single" w:sz="4" w:space="0" w:color="auto"/>
              <w:right w:val="single" w:sz="4" w:space="0" w:color="auto"/>
            </w:tcBorders>
            <w:shd w:val="clear" w:color="000000" w:fill="000000"/>
            <w:noWrap/>
            <w:vAlign w:val="bottom"/>
            <w:hideMark/>
          </w:tcPr>
          <w:p w14:paraId="32C97EEC" w14:textId="77777777" w:rsidR="009A356E" w:rsidRPr="00C10545" w:rsidRDefault="009A356E" w:rsidP="009A356E">
            <w:pPr>
              <w:rPr>
                <w:sz w:val="18"/>
                <w:szCs w:val="18"/>
                <w:lang w:eastAsia="en-AU"/>
              </w:rPr>
            </w:pPr>
            <w:r w:rsidRPr="00C10545">
              <w:rPr>
                <w:sz w:val="18"/>
                <w:szCs w:val="18"/>
                <w:lang w:eastAsia="en-AU"/>
              </w:rPr>
              <w:t> </w:t>
            </w:r>
          </w:p>
        </w:tc>
        <w:tc>
          <w:tcPr>
            <w:tcW w:w="611" w:type="pct"/>
            <w:tcBorders>
              <w:top w:val="nil"/>
              <w:left w:val="nil"/>
              <w:bottom w:val="single" w:sz="4" w:space="0" w:color="auto"/>
              <w:right w:val="single" w:sz="4" w:space="0" w:color="auto"/>
            </w:tcBorders>
            <w:shd w:val="clear" w:color="000000" w:fill="000000"/>
            <w:noWrap/>
            <w:vAlign w:val="bottom"/>
            <w:hideMark/>
          </w:tcPr>
          <w:p w14:paraId="7716ECDD" w14:textId="77777777" w:rsidR="009A356E" w:rsidRPr="00C10545" w:rsidRDefault="009A356E" w:rsidP="009A356E">
            <w:pPr>
              <w:rPr>
                <w:sz w:val="18"/>
                <w:szCs w:val="18"/>
                <w:lang w:eastAsia="en-AU"/>
              </w:rPr>
            </w:pPr>
            <w:r w:rsidRPr="00C10545">
              <w:rPr>
                <w:sz w:val="18"/>
                <w:szCs w:val="18"/>
                <w:lang w:eastAsia="en-AU"/>
              </w:rPr>
              <w:t> </w:t>
            </w:r>
          </w:p>
        </w:tc>
        <w:tc>
          <w:tcPr>
            <w:tcW w:w="611" w:type="pct"/>
            <w:tcBorders>
              <w:top w:val="nil"/>
              <w:left w:val="nil"/>
              <w:bottom w:val="single" w:sz="4" w:space="0" w:color="auto"/>
              <w:right w:val="single" w:sz="4" w:space="0" w:color="auto"/>
            </w:tcBorders>
            <w:shd w:val="clear" w:color="000000" w:fill="000000"/>
            <w:noWrap/>
            <w:vAlign w:val="bottom"/>
            <w:hideMark/>
          </w:tcPr>
          <w:p w14:paraId="4589BEEA" w14:textId="77777777" w:rsidR="009A356E" w:rsidRPr="00C10545" w:rsidRDefault="009A356E" w:rsidP="009A356E">
            <w:pPr>
              <w:rPr>
                <w:sz w:val="18"/>
                <w:szCs w:val="18"/>
                <w:lang w:eastAsia="en-AU"/>
              </w:rPr>
            </w:pPr>
            <w:r w:rsidRPr="00C10545">
              <w:rPr>
                <w:sz w:val="18"/>
                <w:szCs w:val="18"/>
                <w:lang w:eastAsia="en-AU"/>
              </w:rPr>
              <w:t> </w:t>
            </w:r>
          </w:p>
        </w:tc>
        <w:tc>
          <w:tcPr>
            <w:tcW w:w="611" w:type="pct"/>
            <w:tcBorders>
              <w:top w:val="nil"/>
              <w:left w:val="nil"/>
              <w:bottom w:val="single" w:sz="4" w:space="0" w:color="auto"/>
              <w:right w:val="single" w:sz="4" w:space="0" w:color="auto"/>
            </w:tcBorders>
            <w:shd w:val="clear" w:color="000000" w:fill="000000"/>
            <w:noWrap/>
            <w:vAlign w:val="bottom"/>
            <w:hideMark/>
          </w:tcPr>
          <w:p w14:paraId="506DEEC0" w14:textId="77777777" w:rsidR="009A356E" w:rsidRPr="00C10545" w:rsidRDefault="009A356E" w:rsidP="009A356E">
            <w:pPr>
              <w:rPr>
                <w:sz w:val="18"/>
                <w:szCs w:val="18"/>
                <w:lang w:eastAsia="en-AU"/>
              </w:rPr>
            </w:pPr>
            <w:r w:rsidRPr="00C10545">
              <w:rPr>
                <w:sz w:val="18"/>
                <w:szCs w:val="18"/>
                <w:lang w:eastAsia="en-AU"/>
              </w:rPr>
              <w:t> </w:t>
            </w:r>
          </w:p>
        </w:tc>
      </w:tr>
      <w:tr w:rsidR="009A356E" w:rsidRPr="00C65C2B" w14:paraId="2C05B087" w14:textId="77777777" w:rsidTr="009A356E">
        <w:trPr>
          <w:trHeight w:val="240"/>
        </w:trPr>
        <w:tc>
          <w:tcPr>
            <w:tcW w:w="1211" w:type="pct"/>
            <w:tcBorders>
              <w:top w:val="nil"/>
              <w:left w:val="single" w:sz="4" w:space="0" w:color="auto"/>
              <w:bottom w:val="single" w:sz="4" w:space="0" w:color="auto"/>
              <w:right w:val="single" w:sz="4" w:space="0" w:color="auto"/>
            </w:tcBorders>
            <w:shd w:val="clear" w:color="000000" w:fill="000000"/>
            <w:noWrap/>
            <w:vAlign w:val="bottom"/>
            <w:hideMark/>
          </w:tcPr>
          <w:p w14:paraId="062A4751" w14:textId="77777777" w:rsidR="009A356E" w:rsidRPr="00C10545" w:rsidRDefault="009A356E" w:rsidP="009A356E">
            <w:pPr>
              <w:rPr>
                <w:sz w:val="18"/>
                <w:szCs w:val="18"/>
                <w:lang w:eastAsia="en-AU"/>
              </w:rPr>
            </w:pPr>
            <w:r w:rsidRPr="00C10545">
              <w:rPr>
                <w:sz w:val="18"/>
                <w:szCs w:val="18"/>
                <w:lang w:eastAsia="en-AU"/>
              </w:rPr>
              <w:t> </w:t>
            </w:r>
          </w:p>
        </w:tc>
        <w:tc>
          <w:tcPr>
            <w:tcW w:w="3789" w:type="pct"/>
            <w:gridSpan w:val="6"/>
            <w:tcBorders>
              <w:top w:val="single" w:sz="4" w:space="0" w:color="auto"/>
              <w:left w:val="nil"/>
              <w:bottom w:val="single" w:sz="4" w:space="0" w:color="auto"/>
              <w:right w:val="single" w:sz="4" w:space="0" w:color="auto"/>
            </w:tcBorders>
            <w:shd w:val="clear" w:color="auto" w:fill="auto"/>
            <w:noWrap/>
            <w:vAlign w:val="bottom"/>
            <w:hideMark/>
          </w:tcPr>
          <w:p w14:paraId="1EFEB22A" w14:textId="77777777" w:rsidR="009A356E" w:rsidRPr="00C10545" w:rsidRDefault="009A356E" w:rsidP="009A356E">
            <w:pPr>
              <w:jc w:val="center"/>
              <w:rPr>
                <w:b/>
                <w:bCs/>
                <w:sz w:val="18"/>
                <w:szCs w:val="18"/>
                <w:lang w:eastAsia="en-AU"/>
              </w:rPr>
            </w:pPr>
            <w:r w:rsidRPr="00C10545">
              <w:rPr>
                <w:b/>
                <w:bCs/>
                <w:sz w:val="18"/>
                <w:szCs w:val="18"/>
                <w:lang w:eastAsia="en-AU"/>
              </w:rPr>
              <w:t>Discounted by 60% CPI/40% WPI</w:t>
            </w:r>
          </w:p>
        </w:tc>
      </w:tr>
      <w:tr w:rsidR="009A356E" w:rsidRPr="00C65C2B" w14:paraId="0618F7EA" w14:textId="77777777" w:rsidTr="009A356E">
        <w:trPr>
          <w:trHeight w:val="240"/>
        </w:trPr>
        <w:tc>
          <w:tcPr>
            <w:tcW w:w="1211" w:type="pct"/>
            <w:tcBorders>
              <w:top w:val="nil"/>
              <w:left w:val="single" w:sz="4" w:space="0" w:color="auto"/>
              <w:bottom w:val="single" w:sz="4" w:space="0" w:color="auto"/>
              <w:right w:val="single" w:sz="4" w:space="0" w:color="auto"/>
            </w:tcBorders>
            <w:shd w:val="clear" w:color="000000" w:fill="FDE9D9"/>
            <w:noWrap/>
            <w:vAlign w:val="bottom"/>
            <w:hideMark/>
          </w:tcPr>
          <w:p w14:paraId="7151F884" w14:textId="77777777" w:rsidR="009A356E" w:rsidRPr="00C10545" w:rsidRDefault="009A356E" w:rsidP="009A356E">
            <w:pPr>
              <w:rPr>
                <w:b/>
                <w:bCs/>
                <w:sz w:val="18"/>
                <w:szCs w:val="18"/>
                <w:lang w:eastAsia="en-AU"/>
              </w:rPr>
            </w:pPr>
            <w:r w:rsidRPr="00C10545">
              <w:rPr>
                <w:b/>
                <w:bCs/>
                <w:sz w:val="18"/>
                <w:szCs w:val="18"/>
                <w:lang w:eastAsia="en-AU"/>
              </w:rPr>
              <w:t>Small Shires</w:t>
            </w:r>
          </w:p>
        </w:tc>
        <w:tc>
          <w:tcPr>
            <w:tcW w:w="652" w:type="pct"/>
            <w:tcBorders>
              <w:top w:val="nil"/>
              <w:left w:val="nil"/>
              <w:bottom w:val="single" w:sz="4" w:space="0" w:color="auto"/>
              <w:right w:val="single" w:sz="4" w:space="0" w:color="auto"/>
            </w:tcBorders>
            <w:shd w:val="clear" w:color="000000" w:fill="000000"/>
            <w:noWrap/>
            <w:vAlign w:val="bottom"/>
            <w:hideMark/>
          </w:tcPr>
          <w:p w14:paraId="70B7D91C" w14:textId="77777777" w:rsidR="009A356E" w:rsidRPr="00C10545" w:rsidRDefault="009A356E" w:rsidP="009A356E">
            <w:pPr>
              <w:rPr>
                <w:sz w:val="18"/>
                <w:szCs w:val="18"/>
                <w:lang w:eastAsia="en-AU"/>
              </w:rPr>
            </w:pPr>
            <w:r w:rsidRPr="00C10545">
              <w:rPr>
                <w:sz w:val="18"/>
                <w:szCs w:val="18"/>
                <w:lang w:eastAsia="en-AU"/>
              </w:rPr>
              <w:t> </w:t>
            </w:r>
          </w:p>
        </w:tc>
        <w:tc>
          <w:tcPr>
            <w:tcW w:w="652" w:type="pct"/>
            <w:tcBorders>
              <w:top w:val="nil"/>
              <w:left w:val="nil"/>
              <w:bottom w:val="single" w:sz="4" w:space="0" w:color="auto"/>
              <w:right w:val="single" w:sz="4" w:space="0" w:color="auto"/>
            </w:tcBorders>
            <w:shd w:val="clear" w:color="000000" w:fill="000000"/>
            <w:noWrap/>
            <w:vAlign w:val="bottom"/>
            <w:hideMark/>
          </w:tcPr>
          <w:p w14:paraId="5810FC6F" w14:textId="77777777" w:rsidR="009A356E" w:rsidRPr="00C10545" w:rsidRDefault="009A356E" w:rsidP="009A356E">
            <w:pPr>
              <w:rPr>
                <w:sz w:val="18"/>
                <w:szCs w:val="18"/>
                <w:lang w:eastAsia="en-AU"/>
              </w:rPr>
            </w:pPr>
            <w:r w:rsidRPr="00C10545">
              <w:rPr>
                <w:sz w:val="18"/>
                <w:szCs w:val="18"/>
                <w:lang w:eastAsia="en-AU"/>
              </w:rPr>
              <w:t> </w:t>
            </w:r>
          </w:p>
        </w:tc>
        <w:tc>
          <w:tcPr>
            <w:tcW w:w="652" w:type="pct"/>
            <w:tcBorders>
              <w:top w:val="nil"/>
              <w:left w:val="nil"/>
              <w:bottom w:val="single" w:sz="4" w:space="0" w:color="auto"/>
              <w:right w:val="single" w:sz="4" w:space="0" w:color="auto"/>
            </w:tcBorders>
            <w:shd w:val="clear" w:color="000000" w:fill="000000"/>
            <w:noWrap/>
            <w:vAlign w:val="bottom"/>
            <w:hideMark/>
          </w:tcPr>
          <w:p w14:paraId="1EB11281" w14:textId="77777777" w:rsidR="009A356E" w:rsidRPr="00C10545" w:rsidRDefault="009A356E" w:rsidP="009A356E">
            <w:pPr>
              <w:rPr>
                <w:sz w:val="18"/>
                <w:szCs w:val="18"/>
                <w:lang w:eastAsia="en-AU"/>
              </w:rPr>
            </w:pPr>
            <w:r w:rsidRPr="00C10545">
              <w:rPr>
                <w:sz w:val="18"/>
                <w:szCs w:val="18"/>
                <w:lang w:eastAsia="en-AU"/>
              </w:rPr>
              <w:t> </w:t>
            </w:r>
          </w:p>
        </w:tc>
        <w:tc>
          <w:tcPr>
            <w:tcW w:w="611" w:type="pct"/>
            <w:tcBorders>
              <w:top w:val="nil"/>
              <w:left w:val="nil"/>
              <w:bottom w:val="single" w:sz="4" w:space="0" w:color="auto"/>
              <w:right w:val="single" w:sz="4" w:space="0" w:color="auto"/>
            </w:tcBorders>
            <w:shd w:val="clear" w:color="000000" w:fill="000000"/>
            <w:noWrap/>
            <w:vAlign w:val="bottom"/>
            <w:hideMark/>
          </w:tcPr>
          <w:p w14:paraId="0A1FB316" w14:textId="77777777" w:rsidR="009A356E" w:rsidRPr="00C10545" w:rsidRDefault="009A356E" w:rsidP="009A356E">
            <w:pPr>
              <w:rPr>
                <w:sz w:val="18"/>
                <w:szCs w:val="18"/>
                <w:lang w:eastAsia="en-AU"/>
              </w:rPr>
            </w:pPr>
            <w:r w:rsidRPr="00C10545">
              <w:rPr>
                <w:sz w:val="18"/>
                <w:szCs w:val="18"/>
                <w:lang w:eastAsia="en-AU"/>
              </w:rPr>
              <w:t> </w:t>
            </w:r>
          </w:p>
        </w:tc>
        <w:tc>
          <w:tcPr>
            <w:tcW w:w="611" w:type="pct"/>
            <w:tcBorders>
              <w:top w:val="nil"/>
              <w:left w:val="nil"/>
              <w:bottom w:val="single" w:sz="4" w:space="0" w:color="auto"/>
              <w:right w:val="single" w:sz="4" w:space="0" w:color="auto"/>
            </w:tcBorders>
            <w:shd w:val="clear" w:color="000000" w:fill="000000"/>
            <w:noWrap/>
            <w:vAlign w:val="bottom"/>
            <w:hideMark/>
          </w:tcPr>
          <w:p w14:paraId="7D260CC2" w14:textId="77777777" w:rsidR="009A356E" w:rsidRPr="00C10545" w:rsidRDefault="009A356E" w:rsidP="009A356E">
            <w:pPr>
              <w:rPr>
                <w:sz w:val="18"/>
                <w:szCs w:val="18"/>
                <w:lang w:eastAsia="en-AU"/>
              </w:rPr>
            </w:pPr>
            <w:r w:rsidRPr="00C10545">
              <w:rPr>
                <w:sz w:val="18"/>
                <w:szCs w:val="18"/>
                <w:lang w:eastAsia="en-AU"/>
              </w:rPr>
              <w:t> </w:t>
            </w:r>
          </w:p>
        </w:tc>
        <w:tc>
          <w:tcPr>
            <w:tcW w:w="611" w:type="pct"/>
            <w:tcBorders>
              <w:top w:val="nil"/>
              <w:left w:val="nil"/>
              <w:bottom w:val="single" w:sz="4" w:space="0" w:color="auto"/>
              <w:right w:val="single" w:sz="4" w:space="0" w:color="auto"/>
            </w:tcBorders>
            <w:shd w:val="clear" w:color="000000" w:fill="000000"/>
            <w:noWrap/>
            <w:vAlign w:val="bottom"/>
            <w:hideMark/>
          </w:tcPr>
          <w:p w14:paraId="37C47067" w14:textId="77777777" w:rsidR="009A356E" w:rsidRPr="00C10545" w:rsidRDefault="009A356E" w:rsidP="009A356E">
            <w:pPr>
              <w:rPr>
                <w:sz w:val="18"/>
                <w:szCs w:val="18"/>
                <w:lang w:eastAsia="en-AU"/>
              </w:rPr>
            </w:pPr>
            <w:r w:rsidRPr="00C10545">
              <w:rPr>
                <w:sz w:val="18"/>
                <w:szCs w:val="18"/>
                <w:lang w:eastAsia="en-AU"/>
              </w:rPr>
              <w:t> </w:t>
            </w:r>
          </w:p>
        </w:tc>
      </w:tr>
      <w:tr w:rsidR="009A356E" w:rsidRPr="00C65C2B" w14:paraId="457BEE84" w14:textId="77777777" w:rsidTr="009A356E">
        <w:trPr>
          <w:trHeight w:val="240"/>
        </w:trPr>
        <w:tc>
          <w:tcPr>
            <w:tcW w:w="1211" w:type="pct"/>
            <w:tcBorders>
              <w:top w:val="nil"/>
              <w:left w:val="single" w:sz="4" w:space="0" w:color="auto"/>
              <w:bottom w:val="single" w:sz="4" w:space="0" w:color="auto"/>
              <w:right w:val="single" w:sz="4" w:space="0" w:color="auto"/>
            </w:tcBorders>
            <w:shd w:val="clear" w:color="auto" w:fill="auto"/>
            <w:noWrap/>
            <w:vAlign w:val="bottom"/>
            <w:hideMark/>
          </w:tcPr>
          <w:p w14:paraId="06EB6CFB" w14:textId="77777777" w:rsidR="009A356E" w:rsidRPr="00C10545" w:rsidRDefault="009A356E" w:rsidP="009A356E">
            <w:pPr>
              <w:rPr>
                <w:sz w:val="18"/>
                <w:szCs w:val="18"/>
                <w:lang w:eastAsia="en-AU"/>
              </w:rPr>
            </w:pPr>
            <w:r w:rsidRPr="00C10545">
              <w:rPr>
                <w:sz w:val="18"/>
                <w:szCs w:val="18"/>
                <w:lang w:eastAsia="en-AU"/>
              </w:rPr>
              <w:t>Alpine</w:t>
            </w:r>
          </w:p>
        </w:tc>
        <w:tc>
          <w:tcPr>
            <w:tcW w:w="652" w:type="pct"/>
            <w:tcBorders>
              <w:top w:val="nil"/>
              <w:left w:val="nil"/>
              <w:bottom w:val="single" w:sz="4" w:space="0" w:color="auto"/>
              <w:right w:val="single" w:sz="4" w:space="0" w:color="auto"/>
            </w:tcBorders>
            <w:shd w:val="clear" w:color="auto" w:fill="auto"/>
            <w:noWrap/>
            <w:vAlign w:val="bottom"/>
            <w:hideMark/>
          </w:tcPr>
          <w:p w14:paraId="10C089AA" w14:textId="77777777" w:rsidR="009A356E" w:rsidRPr="00C10545" w:rsidRDefault="009A356E" w:rsidP="009A356E">
            <w:pPr>
              <w:jc w:val="right"/>
              <w:rPr>
                <w:sz w:val="18"/>
                <w:szCs w:val="18"/>
                <w:lang w:eastAsia="en-AU"/>
              </w:rPr>
            </w:pPr>
            <w:r w:rsidRPr="00C10545">
              <w:rPr>
                <w:sz w:val="18"/>
                <w:szCs w:val="18"/>
                <w:lang w:eastAsia="en-AU"/>
              </w:rPr>
              <w:t>-3.6%</w:t>
            </w:r>
          </w:p>
        </w:tc>
        <w:tc>
          <w:tcPr>
            <w:tcW w:w="652" w:type="pct"/>
            <w:tcBorders>
              <w:top w:val="nil"/>
              <w:left w:val="nil"/>
              <w:bottom w:val="single" w:sz="4" w:space="0" w:color="auto"/>
              <w:right w:val="single" w:sz="4" w:space="0" w:color="auto"/>
            </w:tcBorders>
            <w:shd w:val="clear" w:color="auto" w:fill="auto"/>
            <w:noWrap/>
            <w:vAlign w:val="bottom"/>
            <w:hideMark/>
          </w:tcPr>
          <w:p w14:paraId="456E063D" w14:textId="77777777" w:rsidR="009A356E" w:rsidRPr="00C10545" w:rsidRDefault="009A356E" w:rsidP="009A356E">
            <w:pPr>
              <w:jc w:val="right"/>
              <w:rPr>
                <w:sz w:val="18"/>
                <w:szCs w:val="18"/>
                <w:lang w:eastAsia="en-AU"/>
              </w:rPr>
            </w:pPr>
            <w:r w:rsidRPr="00C10545">
              <w:rPr>
                <w:sz w:val="18"/>
                <w:szCs w:val="18"/>
                <w:lang w:eastAsia="en-AU"/>
              </w:rPr>
              <w:t>10.2%</w:t>
            </w:r>
          </w:p>
        </w:tc>
        <w:tc>
          <w:tcPr>
            <w:tcW w:w="652" w:type="pct"/>
            <w:tcBorders>
              <w:top w:val="nil"/>
              <w:left w:val="nil"/>
              <w:bottom w:val="single" w:sz="4" w:space="0" w:color="auto"/>
              <w:right w:val="single" w:sz="4" w:space="0" w:color="auto"/>
            </w:tcBorders>
            <w:shd w:val="clear" w:color="auto" w:fill="auto"/>
            <w:noWrap/>
            <w:vAlign w:val="bottom"/>
            <w:hideMark/>
          </w:tcPr>
          <w:p w14:paraId="28F236F1" w14:textId="77777777" w:rsidR="009A356E" w:rsidRPr="00C10545" w:rsidRDefault="009A356E" w:rsidP="009A356E">
            <w:pPr>
              <w:jc w:val="right"/>
              <w:rPr>
                <w:sz w:val="18"/>
                <w:szCs w:val="18"/>
                <w:lang w:eastAsia="en-AU"/>
              </w:rPr>
            </w:pPr>
            <w:r w:rsidRPr="00C10545">
              <w:rPr>
                <w:sz w:val="18"/>
                <w:szCs w:val="18"/>
                <w:lang w:eastAsia="en-AU"/>
              </w:rPr>
              <w:t>18.8%</w:t>
            </w:r>
          </w:p>
        </w:tc>
        <w:tc>
          <w:tcPr>
            <w:tcW w:w="611" w:type="pct"/>
            <w:tcBorders>
              <w:top w:val="nil"/>
              <w:left w:val="nil"/>
              <w:bottom w:val="single" w:sz="4" w:space="0" w:color="auto"/>
              <w:right w:val="single" w:sz="4" w:space="0" w:color="auto"/>
            </w:tcBorders>
            <w:shd w:val="clear" w:color="auto" w:fill="auto"/>
            <w:noWrap/>
            <w:vAlign w:val="bottom"/>
            <w:hideMark/>
          </w:tcPr>
          <w:p w14:paraId="6F327ACA" w14:textId="77777777" w:rsidR="009A356E" w:rsidRPr="00C10545" w:rsidRDefault="009A356E" w:rsidP="009A356E">
            <w:pPr>
              <w:jc w:val="right"/>
              <w:rPr>
                <w:sz w:val="18"/>
                <w:szCs w:val="18"/>
                <w:lang w:eastAsia="en-AU"/>
              </w:rPr>
            </w:pPr>
            <w:r w:rsidRPr="00C10545">
              <w:rPr>
                <w:sz w:val="18"/>
                <w:szCs w:val="18"/>
                <w:lang w:eastAsia="en-AU"/>
              </w:rPr>
              <w:t>3.0%</w:t>
            </w:r>
          </w:p>
        </w:tc>
        <w:tc>
          <w:tcPr>
            <w:tcW w:w="611" w:type="pct"/>
            <w:tcBorders>
              <w:top w:val="nil"/>
              <w:left w:val="nil"/>
              <w:bottom w:val="single" w:sz="4" w:space="0" w:color="auto"/>
              <w:right w:val="single" w:sz="4" w:space="0" w:color="auto"/>
            </w:tcBorders>
            <w:shd w:val="clear" w:color="auto" w:fill="auto"/>
            <w:noWrap/>
            <w:vAlign w:val="bottom"/>
            <w:hideMark/>
          </w:tcPr>
          <w:p w14:paraId="7E9D7CE8" w14:textId="77777777" w:rsidR="009A356E" w:rsidRPr="00C10545" w:rsidRDefault="009A356E" w:rsidP="009A356E">
            <w:pPr>
              <w:jc w:val="right"/>
              <w:rPr>
                <w:sz w:val="18"/>
                <w:szCs w:val="18"/>
                <w:lang w:eastAsia="en-AU"/>
              </w:rPr>
            </w:pPr>
            <w:r w:rsidRPr="00C10545">
              <w:rPr>
                <w:sz w:val="18"/>
                <w:szCs w:val="18"/>
                <w:lang w:eastAsia="en-AU"/>
              </w:rPr>
              <w:t>-1.8%</w:t>
            </w:r>
          </w:p>
        </w:tc>
        <w:tc>
          <w:tcPr>
            <w:tcW w:w="611" w:type="pct"/>
            <w:tcBorders>
              <w:top w:val="nil"/>
              <w:left w:val="nil"/>
              <w:bottom w:val="single" w:sz="4" w:space="0" w:color="auto"/>
              <w:right w:val="single" w:sz="4" w:space="0" w:color="auto"/>
            </w:tcBorders>
            <w:shd w:val="clear" w:color="auto" w:fill="auto"/>
            <w:noWrap/>
            <w:vAlign w:val="bottom"/>
            <w:hideMark/>
          </w:tcPr>
          <w:p w14:paraId="7ACDD547" w14:textId="77777777" w:rsidR="009A356E" w:rsidRPr="00C10545" w:rsidRDefault="009A356E" w:rsidP="009A356E">
            <w:pPr>
              <w:jc w:val="right"/>
              <w:rPr>
                <w:sz w:val="18"/>
                <w:szCs w:val="18"/>
                <w:lang w:eastAsia="en-AU"/>
              </w:rPr>
            </w:pPr>
            <w:r w:rsidRPr="00C10545">
              <w:rPr>
                <w:sz w:val="18"/>
                <w:szCs w:val="18"/>
                <w:lang w:eastAsia="en-AU"/>
              </w:rPr>
              <w:t>-4.2%</w:t>
            </w:r>
          </w:p>
        </w:tc>
      </w:tr>
      <w:tr w:rsidR="009A356E" w:rsidRPr="00C65C2B" w14:paraId="27BB49BE" w14:textId="77777777" w:rsidTr="009A356E">
        <w:trPr>
          <w:trHeight w:val="240"/>
        </w:trPr>
        <w:tc>
          <w:tcPr>
            <w:tcW w:w="1211" w:type="pct"/>
            <w:tcBorders>
              <w:top w:val="nil"/>
              <w:left w:val="single" w:sz="4" w:space="0" w:color="auto"/>
              <w:bottom w:val="single" w:sz="4" w:space="0" w:color="auto"/>
              <w:right w:val="single" w:sz="4" w:space="0" w:color="auto"/>
            </w:tcBorders>
            <w:shd w:val="clear" w:color="auto" w:fill="auto"/>
            <w:noWrap/>
            <w:vAlign w:val="bottom"/>
            <w:hideMark/>
          </w:tcPr>
          <w:p w14:paraId="3E7A232F" w14:textId="77777777" w:rsidR="009A356E" w:rsidRPr="00C10545" w:rsidRDefault="009A356E" w:rsidP="009A356E">
            <w:pPr>
              <w:rPr>
                <w:sz w:val="18"/>
                <w:szCs w:val="18"/>
                <w:lang w:eastAsia="en-AU"/>
              </w:rPr>
            </w:pPr>
            <w:r w:rsidRPr="00C10545">
              <w:rPr>
                <w:sz w:val="18"/>
                <w:szCs w:val="18"/>
                <w:lang w:eastAsia="en-AU"/>
              </w:rPr>
              <w:t>Bass Coast</w:t>
            </w:r>
          </w:p>
        </w:tc>
        <w:tc>
          <w:tcPr>
            <w:tcW w:w="652" w:type="pct"/>
            <w:tcBorders>
              <w:top w:val="nil"/>
              <w:left w:val="nil"/>
              <w:bottom w:val="single" w:sz="4" w:space="0" w:color="auto"/>
              <w:right w:val="single" w:sz="4" w:space="0" w:color="auto"/>
            </w:tcBorders>
            <w:shd w:val="clear" w:color="auto" w:fill="auto"/>
            <w:noWrap/>
            <w:vAlign w:val="bottom"/>
            <w:hideMark/>
          </w:tcPr>
          <w:p w14:paraId="6EA484C2" w14:textId="77777777" w:rsidR="009A356E" w:rsidRPr="00C10545" w:rsidRDefault="009A356E" w:rsidP="009A356E">
            <w:pPr>
              <w:jc w:val="right"/>
              <w:rPr>
                <w:sz w:val="18"/>
                <w:szCs w:val="18"/>
                <w:lang w:eastAsia="en-AU"/>
              </w:rPr>
            </w:pPr>
            <w:r w:rsidRPr="00C10545">
              <w:rPr>
                <w:sz w:val="18"/>
                <w:szCs w:val="18"/>
                <w:lang w:eastAsia="en-AU"/>
              </w:rPr>
              <w:t>2.0%</w:t>
            </w:r>
          </w:p>
        </w:tc>
        <w:tc>
          <w:tcPr>
            <w:tcW w:w="652" w:type="pct"/>
            <w:tcBorders>
              <w:top w:val="nil"/>
              <w:left w:val="nil"/>
              <w:bottom w:val="single" w:sz="4" w:space="0" w:color="auto"/>
              <w:right w:val="single" w:sz="4" w:space="0" w:color="auto"/>
            </w:tcBorders>
            <w:shd w:val="clear" w:color="auto" w:fill="auto"/>
            <w:noWrap/>
            <w:vAlign w:val="bottom"/>
            <w:hideMark/>
          </w:tcPr>
          <w:p w14:paraId="3885F9A4" w14:textId="77777777" w:rsidR="009A356E" w:rsidRPr="00C10545" w:rsidRDefault="009A356E" w:rsidP="009A356E">
            <w:pPr>
              <w:jc w:val="right"/>
              <w:rPr>
                <w:sz w:val="18"/>
                <w:szCs w:val="18"/>
                <w:lang w:eastAsia="en-AU"/>
              </w:rPr>
            </w:pPr>
            <w:r w:rsidRPr="00C10545">
              <w:rPr>
                <w:sz w:val="18"/>
                <w:szCs w:val="18"/>
                <w:lang w:eastAsia="en-AU"/>
              </w:rPr>
              <w:t>-2.6%</w:t>
            </w:r>
          </w:p>
        </w:tc>
        <w:tc>
          <w:tcPr>
            <w:tcW w:w="652" w:type="pct"/>
            <w:tcBorders>
              <w:top w:val="nil"/>
              <w:left w:val="nil"/>
              <w:bottom w:val="single" w:sz="4" w:space="0" w:color="auto"/>
              <w:right w:val="single" w:sz="4" w:space="0" w:color="auto"/>
            </w:tcBorders>
            <w:shd w:val="clear" w:color="auto" w:fill="auto"/>
            <w:noWrap/>
            <w:vAlign w:val="bottom"/>
            <w:hideMark/>
          </w:tcPr>
          <w:p w14:paraId="06C6E977" w14:textId="77777777" w:rsidR="009A356E" w:rsidRPr="00C10545" w:rsidRDefault="009A356E" w:rsidP="009A356E">
            <w:pPr>
              <w:jc w:val="right"/>
              <w:rPr>
                <w:sz w:val="18"/>
                <w:szCs w:val="18"/>
                <w:lang w:eastAsia="en-AU"/>
              </w:rPr>
            </w:pPr>
            <w:r w:rsidRPr="00C10545">
              <w:rPr>
                <w:sz w:val="18"/>
                <w:szCs w:val="18"/>
                <w:lang w:eastAsia="en-AU"/>
              </w:rPr>
              <w:t>-0.1%</w:t>
            </w:r>
          </w:p>
        </w:tc>
        <w:tc>
          <w:tcPr>
            <w:tcW w:w="611" w:type="pct"/>
            <w:tcBorders>
              <w:top w:val="nil"/>
              <w:left w:val="nil"/>
              <w:bottom w:val="single" w:sz="4" w:space="0" w:color="auto"/>
              <w:right w:val="single" w:sz="4" w:space="0" w:color="auto"/>
            </w:tcBorders>
            <w:shd w:val="clear" w:color="auto" w:fill="auto"/>
            <w:noWrap/>
            <w:vAlign w:val="bottom"/>
            <w:hideMark/>
          </w:tcPr>
          <w:p w14:paraId="17F72864" w14:textId="77777777" w:rsidR="009A356E" w:rsidRPr="00C10545" w:rsidRDefault="009A356E" w:rsidP="009A356E">
            <w:pPr>
              <w:jc w:val="right"/>
              <w:rPr>
                <w:sz w:val="18"/>
                <w:szCs w:val="18"/>
                <w:lang w:eastAsia="en-AU"/>
              </w:rPr>
            </w:pPr>
            <w:r w:rsidRPr="00C10545">
              <w:rPr>
                <w:sz w:val="18"/>
                <w:szCs w:val="18"/>
                <w:lang w:eastAsia="en-AU"/>
              </w:rPr>
              <w:t>5.8%</w:t>
            </w:r>
          </w:p>
        </w:tc>
        <w:tc>
          <w:tcPr>
            <w:tcW w:w="611" w:type="pct"/>
            <w:tcBorders>
              <w:top w:val="nil"/>
              <w:left w:val="nil"/>
              <w:bottom w:val="single" w:sz="4" w:space="0" w:color="auto"/>
              <w:right w:val="single" w:sz="4" w:space="0" w:color="auto"/>
            </w:tcBorders>
            <w:shd w:val="clear" w:color="auto" w:fill="auto"/>
            <w:noWrap/>
            <w:vAlign w:val="bottom"/>
            <w:hideMark/>
          </w:tcPr>
          <w:p w14:paraId="7FD5339B" w14:textId="77777777" w:rsidR="009A356E" w:rsidRPr="00C10545" w:rsidRDefault="009A356E" w:rsidP="009A356E">
            <w:pPr>
              <w:jc w:val="right"/>
              <w:rPr>
                <w:sz w:val="18"/>
                <w:szCs w:val="18"/>
                <w:lang w:eastAsia="en-AU"/>
              </w:rPr>
            </w:pPr>
            <w:r w:rsidRPr="00C10545">
              <w:rPr>
                <w:sz w:val="18"/>
                <w:szCs w:val="18"/>
                <w:lang w:eastAsia="en-AU"/>
              </w:rPr>
              <w:t>-3.7%</w:t>
            </w:r>
          </w:p>
        </w:tc>
        <w:tc>
          <w:tcPr>
            <w:tcW w:w="611" w:type="pct"/>
            <w:tcBorders>
              <w:top w:val="nil"/>
              <w:left w:val="nil"/>
              <w:bottom w:val="single" w:sz="4" w:space="0" w:color="auto"/>
              <w:right w:val="single" w:sz="4" w:space="0" w:color="auto"/>
            </w:tcBorders>
            <w:shd w:val="clear" w:color="auto" w:fill="auto"/>
            <w:noWrap/>
            <w:vAlign w:val="bottom"/>
            <w:hideMark/>
          </w:tcPr>
          <w:p w14:paraId="3129B2C0" w14:textId="77777777" w:rsidR="009A356E" w:rsidRPr="00C10545" w:rsidRDefault="009A356E" w:rsidP="009A356E">
            <w:pPr>
              <w:jc w:val="right"/>
              <w:rPr>
                <w:sz w:val="18"/>
                <w:szCs w:val="18"/>
                <w:lang w:eastAsia="en-AU"/>
              </w:rPr>
            </w:pPr>
            <w:r w:rsidRPr="00C10545">
              <w:rPr>
                <w:sz w:val="18"/>
                <w:szCs w:val="18"/>
                <w:lang w:eastAsia="en-AU"/>
              </w:rPr>
              <w:t>-5.4%</w:t>
            </w:r>
          </w:p>
        </w:tc>
      </w:tr>
      <w:tr w:rsidR="009A356E" w:rsidRPr="00C65C2B" w14:paraId="00243FFD" w14:textId="77777777" w:rsidTr="009A356E">
        <w:trPr>
          <w:trHeight w:val="240"/>
        </w:trPr>
        <w:tc>
          <w:tcPr>
            <w:tcW w:w="1211" w:type="pct"/>
            <w:tcBorders>
              <w:top w:val="nil"/>
              <w:left w:val="single" w:sz="4" w:space="0" w:color="auto"/>
              <w:bottom w:val="single" w:sz="4" w:space="0" w:color="auto"/>
              <w:right w:val="single" w:sz="4" w:space="0" w:color="auto"/>
            </w:tcBorders>
            <w:shd w:val="clear" w:color="auto" w:fill="auto"/>
            <w:noWrap/>
            <w:vAlign w:val="bottom"/>
            <w:hideMark/>
          </w:tcPr>
          <w:p w14:paraId="5708B744" w14:textId="77777777" w:rsidR="009A356E" w:rsidRPr="00C10545" w:rsidRDefault="009A356E" w:rsidP="009A356E">
            <w:pPr>
              <w:rPr>
                <w:sz w:val="18"/>
                <w:szCs w:val="18"/>
                <w:lang w:eastAsia="en-AU"/>
              </w:rPr>
            </w:pPr>
            <w:proofErr w:type="spellStart"/>
            <w:r w:rsidRPr="00C10545">
              <w:rPr>
                <w:sz w:val="18"/>
                <w:szCs w:val="18"/>
                <w:lang w:eastAsia="en-AU"/>
              </w:rPr>
              <w:t>Buloke</w:t>
            </w:r>
            <w:proofErr w:type="spellEnd"/>
          </w:p>
        </w:tc>
        <w:tc>
          <w:tcPr>
            <w:tcW w:w="652" w:type="pct"/>
            <w:tcBorders>
              <w:top w:val="nil"/>
              <w:left w:val="nil"/>
              <w:bottom w:val="single" w:sz="4" w:space="0" w:color="auto"/>
              <w:right w:val="single" w:sz="4" w:space="0" w:color="auto"/>
            </w:tcBorders>
            <w:shd w:val="clear" w:color="auto" w:fill="auto"/>
            <w:noWrap/>
            <w:vAlign w:val="bottom"/>
            <w:hideMark/>
          </w:tcPr>
          <w:p w14:paraId="046BA338" w14:textId="77777777" w:rsidR="009A356E" w:rsidRPr="00C10545" w:rsidRDefault="009A356E" w:rsidP="009A356E">
            <w:pPr>
              <w:jc w:val="right"/>
              <w:rPr>
                <w:sz w:val="18"/>
                <w:szCs w:val="18"/>
                <w:lang w:eastAsia="en-AU"/>
              </w:rPr>
            </w:pPr>
            <w:r w:rsidRPr="00C10545">
              <w:rPr>
                <w:sz w:val="18"/>
                <w:szCs w:val="18"/>
                <w:lang w:eastAsia="en-AU"/>
              </w:rPr>
              <w:t>2.2%</w:t>
            </w:r>
          </w:p>
        </w:tc>
        <w:tc>
          <w:tcPr>
            <w:tcW w:w="652" w:type="pct"/>
            <w:tcBorders>
              <w:top w:val="nil"/>
              <w:left w:val="nil"/>
              <w:bottom w:val="single" w:sz="4" w:space="0" w:color="auto"/>
              <w:right w:val="single" w:sz="4" w:space="0" w:color="auto"/>
            </w:tcBorders>
            <w:shd w:val="clear" w:color="auto" w:fill="auto"/>
            <w:noWrap/>
            <w:vAlign w:val="bottom"/>
            <w:hideMark/>
          </w:tcPr>
          <w:p w14:paraId="306143F5" w14:textId="77777777" w:rsidR="009A356E" w:rsidRPr="00C10545" w:rsidRDefault="009A356E" w:rsidP="009A356E">
            <w:pPr>
              <w:jc w:val="right"/>
              <w:rPr>
                <w:sz w:val="18"/>
                <w:szCs w:val="18"/>
                <w:lang w:eastAsia="en-AU"/>
              </w:rPr>
            </w:pPr>
            <w:r w:rsidRPr="00C10545">
              <w:rPr>
                <w:sz w:val="18"/>
                <w:szCs w:val="18"/>
                <w:lang w:eastAsia="en-AU"/>
              </w:rPr>
              <w:t>0.4%</w:t>
            </w:r>
          </w:p>
        </w:tc>
        <w:tc>
          <w:tcPr>
            <w:tcW w:w="652" w:type="pct"/>
            <w:tcBorders>
              <w:top w:val="nil"/>
              <w:left w:val="nil"/>
              <w:bottom w:val="single" w:sz="4" w:space="0" w:color="auto"/>
              <w:right w:val="single" w:sz="4" w:space="0" w:color="auto"/>
            </w:tcBorders>
            <w:shd w:val="clear" w:color="auto" w:fill="auto"/>
            <w:noWrap/>
            <w:vAlign w:val="bottom"/>
            <w:hideMark/>
          </w:tcPr>
          <w:p w14:paraId="1E78D2B7" w14:textId="77777777" w:rsidR="009A356E" w:rsidRPr="00C10545" w:rsidRDefault="009A356E" w:rsidP="009A356E">
            <w:pPr>
              <w:jc w:val="right"/>
              <w:rPr>
                <w:sz w:val="18"/>
                <w:szCs w:val="18"/>
                <w:lang w:eastAsia="en-AU"/>
              </w:rPr>
            </w:pPr>
            <w:r w:rsidRPr="00C10545">
              <w:rPr>
                <w:sz w:val="18"/>
                <w:szCs w:val="18"/>
                <w:lang w:eastAsia="en-AU"/>
              </w:rPr>
              <w:t>-4.3%</w:t>
            </w:r>
          </w:p>
        </w:tc>
        <w:tc>
          <w:tcPr>
            <w:tcW w:w="611" w:type="pct"/>
            <w:tcBorders>
              <w:top w:val="nil"/>
              <w:left w:val="nil"/>
              <w:bottom w:val="single" w:sz="4" w:space="0" w:color="auto"/>
              <w:right w:val="single" w:sz="4" w:space="0" w:color="auto"/>
            </w:tcBorders>
            <w:shd w:val="clear" w:color="auto" w:fill="auto"/>
            <w:noWrap/>
            <w:vAlign w:val="bottom"/>
            <w:hideMark/>
          </w:tcPr>
          <w:p w14:paraId="1C387F9D" w14:textId="77777777" w:rsidR="009A356E" w:rsidRPr="00C10545" w:rsidRDefault="009A356E" w:rsidP="009A356E">
            <w:pPr>
              <w:jc w:val="right"/>
              <w:rPr>
                <w:sz w:val="18"/>
                <w:szCs w:val="18"/>
                <w:lang w:eastAsia="en-AU"/>
              </w:rPr>
            </w:pPr>
            <w:r w:rsidRPr="00C10545">
              <w:rPr>
                <w:sz w:val="18"/>
                <w:szCs w:val="18"/>
                <w:lang w:eastAsia="en-AU"/>
              </w:rPr>
              <w:t>8.1%</w:t>
            </w:r>
          </w:p>
        </w:tc>
        <w:tc>
          <w:tcPr>
            <w:tcW w:w="611" w:type="pct"/>
            <w:tcBorders>
              <w:top w:val="nil"/>
              <w:left w:val="nil"/>
              <w:bottom w:val="single" w:sz="4" w:space="0" w:color="auto"/>
              <w:right w:val="single" w:sz="4" w:space="0" w:color="auto"/>
            </w:tcBorders>
            <w:shd w:val="clear" w:color="auto" w:fill="auto"/>
            <w:noWrap/>
            <w:vAlign w:val="bottom"/>
            <w:hideMark/>
          </w:tcPr>
          <w:p w14:paraId="3E84684D" w14:textId="77777777" w:rsidR="009A356E" w:rsidRPr="00C10545" w:rsidRDefault="009A356E" w:rsidP="009A356E">
            <w:pPr>
              <w:jc w:val="right"/>
              <w:rPr>
                <w:sz w:val="18"/>
                <w:szCs w:val="18"/>
                <w:lang w:eastAsia="en-AU"/>
              </w:rPr>
            </w:pPr>
            <w:r w:rsidRPr="00C10545">
              <w:rPr>
                <w:sz w:val="18"/>
                <w:szCs w:val="18"/>
                <w:lang w:eastAsia="en-AU"/>
              </w:rPr>
              <w:t>3.0%</w:t>
            </w:r>
          </w:p>
        </w:tc>
        <w:tc>
          <w:tcPr>
            <w:tcW w:w="611" w:type="pct"/>
            <w:tcBorders>
              <w:top w:val="nil"/>
              <w:left w:val="nil"/>
              <w:bottom w:val="single" w:sz="4" w:space="0" w:color="auto"/>
              <w:right w:val="single" w:sz="4" w:space="0" w:color="auto"/>
            </w:tcBorders>
            <w:shd w:val="clear" w:color="auto" w:fill="auto"/>
            <w:noWrap/>
            <w:vAlign w:val="bottom"/>
            <w:hideMark/>
          </w:tcPr>
          <w:p w14:paraId="78A229A3" w14:textId="77777777" w:rsidR="009A356E" w:rsidRPr="00C10545" w:rsidRDefault="009A356E" w:rsidP="009A356E">
            <w:pPr>
              <w:jc w:val="right"/>
              <w:rPr>
                <w:sz w:val="18"/>
                <w:szCs w:val="18"/>
                <w:lang w:eastAsia="en-AU"/>
              </w:rPr>
            </w:pPr>
            <w:r w:rsidRPr="00C10545">
              <w:rPr>
                <w:sz w:val="18"/>
                <w:szCs w:val="18"/>
                <w:lang w:eastAsia="en-AU"/>
              </w:rPr>
              <w:t>1.6%</w:t>
            </w:r>
          </w:p>
        </w:tc>
      </w:tr>
      <w:tr w:rsidR="009A356E" w:rsidRPr="00C65C2B" w14:paraId="2993D149" w14:textId="77777777" w:rsidTr="009A356E">
        <w:trPr>
          <w:trHeight w:val="240"/>
        </w:trPr>
        <w:tc>
          <w:tcPr>
            <w:tcW w:w="1211" w:type="pct"/>
            <w:tcBorders>
              <w:top w:val="nil"/>
              <w:left w:val="single" w:sz="4" w:space="0" w:color="auto"/>
              <w:bottom w:val="single" w:sz="4" w:space="0" w:color="auto"/>
              <w:right w:val="single" w:sz="4" w:space="0" w:color="auto"/>
            </w:tcBorders>
            <w:shd w:val="clear" w:color="auto" w:fill="auto"/>
            <w:noWrap/>
            <w:vAlign w:val="bottom"/>
            <w:hideMark/>
          </w:tcPr>
          <w:p w14:paraId="09B78470" w14:textId="77777777" w:rsidR="009A356E" w:rsidRPr="00C10545" w:rsidRDefault="009A356E" w:rsidP="009A356E">
            <w:pPr>
              <w:rPr>
                <w:sz w:val="18"/>
                <w:szCs w:val="18"/>
                <w:lang w:eastAsia="en-AU"/>
              </w:rPr>
            </w:pPr>
            <w:r w:rsidRPr="00C10545">
              <w:rPr>
                <w:sz w:val="18"/>
                <w:szCs w:val="18"/>
                <w:lang w:eastAsia="en-AU"/>
              </w:rPr>
              <w:t>Golden Plains</w:t>
            </w:r>
          </w:p>
        </w:tc>
        <w:tc>
          <w:tcPr>
            <w:tcW w:w="652" w:type="pct"/>
            <w:tcBorders>
              <w:top w:val="nil"/>
              <w:left w:val="nil"/>
              <w:bottom w:val="single" w:sz="4" w:space="0" w:color="auto"/>
              <w:right w:val="single" w:sz="4" w:space="0" w:color="auto"/>
            </w:tcBorders>
            <w:shd w:val="clear" w:color="auto" w:fill="auto"/>
            <w:noWrap/>
            <w:vAlign w:val="bottom"/>
            <w:hideMark/>
          </w:tcPr>
          <w:p w14:paraId="606060A7" w14:textId="77777777" w:rsidR="009A356E" w:rsidRPr="00C10545" w:rsidRDefault="009A356E" w:rsidP="009A356E">
            <w:pPr>
              <w:jc w:val="right"/>
              <w:rPr>
                <w:sz w:val="18"/>
                <w:szCs w:val="18"/>
                <w:lang w:eastAsia="en-AU"/>
              </w:rPr>
            </w:pPr>
            <w:r w:rsidRPr="00C10545">
              <w:rPr>
                <w:sz w:val="18"/>
                <w:szCs w:val="18"/>
                <w:lang w:eastAsia="en-AU"/>
              </w:rPr>
              <w:t>-4.5%</w:t>
            </w:r>
          </w:p>
        </w:tc>
        <w:tc>
          <w:tcPr>
            <w:tcW w:w="652" w:type="pct"/>
            <w:tcBorders>
              <w:top w:val="nil"/>
              <w:left w:val="nil"/>
              <w:bottom w:val="single" w:sz="4" w:space="0" w:color="auto"/>
              <w:right w:val="single" w:sz="4" w:space="0" w:color="auto"/>
            </w:tcBorders>
            <w:shd w:val="clear" w:color="auto" w:fill="auto"/>
            <w:noWrap/>
            <w:vAlign w:val="bottom"/>
            <w:hideMark/>
          </w:tcPr>
          <w:p w14:paraId="6C68D613" w14:textId="77777777" w:rsidR="009A356E" w:rsidRPr="00C10545" w:rsidRDefault="009A356E" w:rsidP="009A356E">
            <w:pPr>
              <w:jc w:val="right"/>
              <w:rPr>
                <w:sz w:val="18"/>
                <w:szCs w:val="18"/>
                <w:lang w:eastAsia="en-AU"/>
              </w:rPr>
            </w:pPr>
            <w:r w:rsidRPr="00C10545">
              <w:rPr>
                <w:sz w:val="18"/>
                <w:szCs w:val="18"/>
                <w:lang w:eastAsia="en-AU"/>
              </w:rPr>
              <w:t>4.1%</w:t>
            </w:r>
          </w:p>
        </w:tc>
        <w:tc>
          <w:tcPr>
            <w:tcW w:w="652" w:type="pct"/>
            <w:tcBorders>
              <w:top w:val="nil"/>
              <w:left w:val="nil"/>
              <w:bottom w:val="single" w:sz="4" w:space="0" w:color="auto"/>
              <w:right w:val="single" w:sz="4" w:space="0" w:color="auto"/>
            </w:tcBorders>
            <w:shd w:val="clear" w:color="auto" w:fill="auto"/>
            <w:noWrap/>
            <w:vAlign w:val="bottom"/>
            <w:hideMark/>
          </w:tcPr>
          <w:p w14:paraId="0CE98BA5" w14:textId="77777777" w:rsidR="009A356E" w:rsidRPr="00C10545" w:rsidRDefault="009A356E" w:rsidP="009A356E">
            <w:pPr>
              <w:jc w:val="right"/>
              <w:rPr>
                <w:sz w:val="18"/>
                <w:szCs w:val="18"/>
                <w:lang w:eastAsia="en-AU"/>
              </w:rPr>
            </w:pPr>
            <w:r w:rsidRPr="00C10545">
              <w:rPr>
                <w:sz w:val="18"/>
                <w:szCs w:val="18"/>
                <w:lang w:eastAsia="en-AU"/>
              </w:rPr>
              <w:t>5.2%</w:t>
            </w:r>
          </w:p>
        </w:tc>
        <w:tc>
          <w:tcPr>
            <w:tcW w:w="611" w:type="pct"/>
            <w:tcBorders>
              <w:top w:val="nil"/>
              <w:left w:val="nil"/>
              <w:bottom w:val="single" w:sz="4" w:space="0" w:color="auto"/>
              <w:right w:val="single" w:sz="4" w:space="0" w:color="auto"/>
            </w:tcBorders>
            <w:shd w:val="clear" w:color="auto" w:fill="auto"/>
            <w:noWrap/>
            <w:vAlign w:val="bottom"/>
            <w:hideMark/>
          </w:tcPr>
          <w:p w14:paraId="769EEC44" w14:textId="77777777" w:rsidR="009A356E" w:rsidRPr="00C10545" w:rsidRDefault="009A356E" w:rsidP="009A356E">
            <w:pPr>
              <w:jc w:val="right"/>
              <w:rPr>
                <w:sz w:val="18"/>
                <w:szCs w:val="18"/>
                <w:lang w:eastAsia="en-AU"/>
              </w:rPr>
            </w:pPr>
            <w:r w:rsidRPr="00C10545">
              <w:rPr>
                <w:sz w:val="18"/>
                <w:szCs w:val="18"/>
                <w:lang w:eastAsia="en-AU"/>
              </w:rPr>
              <w:t>2.1%</w:t>
            </w:r>
          </w:p>
        </w:tc>
        <w:tc>
          <w:tcPr>
            <w:tcW w:w="611" w:type="pct"/>
            <w:tcBorders>
              <w:top w:val="nil"/>
              <w:left w:val="nil"/>
              <w:bottom w:val="single" w:sz="4" w:space="0" w:color="auto"/>
              <w:right w:val="single" w:sz="4" w:space="0" w:color="auto"/>
            </w:tcBorders>
            <w:shd w:val="clear" w:color="auto" w:fill="auto"/>
            <w:noWrap/>
            <w:vAlign w:val="bottom"/>
            <w:hideMark/>
          </w:tcPr>
          <w:p w14:paraId="49DAD6CD" w14:textId="77777777" w:rsidR="009A356E" w:rsidRPr="00C10545" w:rsidRDefault="009A356E" w:rsidP="009A356E">
            <w:pPr>
              <w:jc w:val="right"/>
              <w:rPr>
                <w:sz w:val="18"/>
                <w:szCs w:val="18"/>
                <w:lang w:eastAsia="en-AU"/>
              </w:rPr>
            </w:pPr>
            <w:r w:rsidRPr="00C10545">
              <w:rPr>
                <w:sz w:val="18"/>
                <w:szCs w:val="18"/>
                <w:lang w:eastAsia="en-AU"/>
              </w:rPr>
              <w:t>-2.9%</w:t>
            </w:r>
          </w:p>
        </w:tc>
        <w:tc>
          <w:tcPr>
            <w:tcW w:w="611" w:type="pct"/>
            <w:tcBorders>
              <w:top w:val="nil"/>
              <w:left w:val="nil"/>
              <w:bottom w:val="single" w:sz="4" w:space="0" w:color="auto"/>
              <w:right w:val="single" w:sz="4" w:space="0" w:color="auto"/>
            </w:tcBorders>
            <w:shd w:val="clear" w:color="auto" w:fill="auto"/>
            <w:noWrap/>
            <w:vAlign w:val="bottom"/>
            <w:hideMark/>
          </w:tcPr>
          <w:p w14:paraId="6B6F581A" w14:textId="77777777" w:rsidR="009A356E" w:rsidRPr="00C10545" w:rsidRDefault="009A356E" w:rsidP="009A356E">
            <w:pPr>
              <w:jc w:val="right"/>
              <w:rPr>
                <w:sz w:val="18"/>
                <w:szCs w:val="18"/>
                <w:lang w:eastAsia="en-AU"/>
              </w:rPr>
            </w:pPr>
            <w:r w:rsidRPr="00C10545">
              <w:rPr>
                <w:sz w:val="18"/>
                <w:szCs w:val="18"/>
                <w:lang w:eastAsia="en-AU"/>
              </w:rPr>
              <w:t>-5.4%</w:t>
            </w:r>
          </w:p>
        </w:tc>
      </w:tr>
      <w:tr w:rsidR="009A356E" w:rsidRPr="00C65C2B" w14:paraId="0A54199E" w14:textId="77777777" w:rsidTr="009A356E">
        <w:trPr>
          <w:trHeight w:val="240"/>
        </w:trPr>
        <w:tc>
          <w:tcPr>
            <w:tcW w:w="1211" w:type="pct"/>
            <w:tcBorders>
              <w:top w:val="nil"/>
              <w:left w:val="single" w:sz="4" w:space="0" w:color="auto"/>
              <w:bottom w:val="single" w:sz="4" w:space="0" w:color="auto"/>
              <w:right w:val="single" w:sz="4" w:space="0" w:color="auto"/>
            </w:tcBorders>
            <w:shd w:val="clear" w:color="auto" w:fill="auto"/>
            <w:noWrap/>
            <w:vAlign w:val="bottom"/>
            <w:hideMark/>
          </w:tcPr>
          <w:p w14:paraId="26D0B051" w14:textId="77777777" w:rsidR="009A356E" w:rsidRPr="00C10545" w:rsidRDefault="009A356E" w:rsidP="009A356E">
            <w:pPr>
              <w:rPr>
                <w:sz w:val="18"/>
                <w:szCs w:val="18"/>
                <w:lang w:eastAsia="en-AU"/>
              </w:rPr>
            </w:pPr>
            <w:r w:rsidRPr="00C10545">
              <w:rPr>
                <w:sz w:val="18"/>
                <w:szCs w:val="18"/>
                <w:lang w:eastAsia="en-AU"/>
              </w:rPr>
              <w:t>Indigo</w:t>
            </w:r>
          </w:p>
        </w:tc>
        <w:tc>
          <w:tcPr>
            <w:tcW w:w="652" w:type="pct"/>
            <w:tcBorders>
              <w:top w:val="nil"/>
              <w:left w:val="nil"/>
              <w:bottom w:val="single" w:sz="4" w:space="0" w:color="auto"/>
              <w:right w:val="single" w:sz="4" w:space="0" w:color="auto"/>
            </w:tcBorders>
            <w:shd w:val="clear" w:color="auto" w:fill="auto"/>
            <w:noWrap/>
            <w:vAlign w:val="bottom"/>
            <w:hideMark/>
          </w:tcPr>
          <w:p w14:paraId="2F08E240" w14:textId="77777777" w:rsidR="009A356E" w:rsidRPr="00C10545" w:rsidRDefault="009A356E" w:rsidP="009A356E">
            <w:pPr>
              <w:jc w:val="right"/>
              <w:rPr>
                <w:sz w:val="18"/>
                <w:szCs w:val="18"/>
                <w:lang w:eastAsia="en-AU"/>
              </w:rPr>
            </w:pPr>
            <w:r w:rsidRPr="00C10545">
              <w:rPr>
                <w:sz w:val="18"/>
                <w:szCs w:val="18"/>
                <w:lang w:eastAsia="en-AU"/>
              </w:rPr>
              <w:t>-1.8%</w:t>
            </w:r>
          </w:p>
        </w:tc>
        <w:tc>
          <w:tcPr>
            <w:tcW w:w="652" w:type="pct"/>
            <w:tcBorders>
              <w:top w:val="nil"/>
              <w:left w:val="nil"/>
              <w:bottom w:val="single" w:sz="4" w:space="0" w:color="auto"/>
              <w:right w:val="single" w:sz="4" w:space="0" w:color="auto"/>
            </w:tcBorders>
            <w:shd w:val="clear" w:color="auto" w:fill="auto"/>
            <w:noWrap/>
            <w:vAlign w:val="bottom"/>
            <w:hideMark/>
          </w:tcPr>
          <w:p w14:paraId="02DC8E64" w14:textId="77777777" w:rsidR="009A356E" w:rsidRPr="00C10545" w:rsidRDefault="009A356E" w:rsidP="009A356E">
            <w:pPr>
              <w:jc w:val="right"/>
              <w:rPr>
                <w:sz w:val="18"/>
                <w:szCs w:val="18"/>
                <w:lang w:eastAsia="en-AU"/>
              </w:rPr>
            </w:pPr>
            <w:r w:rsidRPr="00C10545">
              <w:rPr>
                <w:sz w:val="18"/>
                <w:szCs w:val="18"/>
                <w:lang w:eastAsia="en-AU"/>
              </w:rPr>
              <w:t>9.9%</w:t>
            </w:r>
          </w:p>
        </w:tc>
        <w:tc>
          <w:tcPr>
            <w:tcW w:w="652" w:type="pct"/>
            <w:tcBorders>
              <w:top w:val="nil"/>
              <w:left w:val="nil"/>
              <w:bottom w:val="single" w:sz="4" w:space="0" w:color="auto"/>
              <w:right w:val="single" w:sz="4" w:space="0" w:color="auto"/>
            </w:tcBorders>
            <w:shd w:val="clear" w:color="auto" w:fill="auto"/>
            <w:noWrap/>
            <w:vAlign w:val="bottom"/>
            <w:hideMark/>
          </w:tcPr>
          <w:p w14:paraId="624F3D56" w14:textId="77777777" w:rsidR="009A356E" w:rsidRPr="00C10545" w:rsidRDefault="009A356E" w:rsidP="009A356E">
            <w:pPr>
              <w:jc w:val="right"/>
              <w:rPr>
                <w:sz w:val="18"/>
                <w:szCs w:val="18"/>
                <w:lang w:eastAsia="en-AU"/>
              </w:rPr>
            </w:pPr>
            <w:r w:rsidRPr="00C10545">
              <w:rPr>
                <w:sz w:val="18"/>
                <w:szCs w:val="18"/>
                <w:lang w:eastAsia="en-AU"/>
              </w:rPr>
              <w:t>5.4%</w:t>
            </w:r>
          </w:p>
        </w:tc>
        <w:tc>
          <w:tcPr>
            <w:tcW w:w="611" w:type="pct"/>
            <w:tcBorders>
              <w:top w:val="nil"/>
              <w:left w:val="nil"/>
              <w:bottom w:val="single" w:sz="4" w:space="0" w:color="auto"/>
              <w:right w:val="single" w:sz="4" w:space="0" w:color="auto"/>
            </w:tcBorders>
            <w:shd w:val="clear" w:color="auto" w:fill="auto"/>
            <w:noWrap/>
            <w:vAlign w:val="bottom"/>
            <w:hideMark/>
          </w:tcPr>
          <w:p w14:paraId="14F0F020" w14:textId="77777777" w:rsidR="009A356E" w:rsidRPr="00C10545" w:rsidRDefault="009A356E" w:rsidP="009A356E">
            <w:pPr>
              <w:jc w:val="right"/>
              <w:rPr>
                <w:sz w:val="18"/>
                <w:szCs w:val="18"/>
                <w:lang w:eastAsia="en-AU"/>
              </w:rPr>
            </w:pPr>
            <w:r w:rsidRPr="00C10545">
              <w:rPr>
                <w:sz w:val="18"/>
                <w:szCs w:val="18"/>
                <w:lang w:eastAsia="en-AU"/>
              </w:rPr>
              <w:t>3.9%</w:t>
            </w:r>
          </w:p>
        </w:tc>
        <w:tc>
          <w:tcPr>
            <w:tcW w:w="611" w:type="pct"/>
            <w:tcBorders>
              <w:top w:val="nil"/>
              <w:left w:val="nil"/>
              <w:bottom w:val="single" w:sz="4" w:space="0" w:color="auto"/>
              <w:right w:val="single" w:sz="4" w:space="0" w:color="auto"/>
            </w:tcBorders>
            <w:shd w:val="clear" w:color="auto" w:fill="auto"/>
            <w:noWrap/>
            <w:vAlign w:val="bottom"/>
            <w:hideMark/>
          </w:tcPr>
          <w:p w14:paraId="7A38CAF9" w14:textId="77777777" w:rsidR="009A356E" w:rsidRPr="00C10545" w:rsidRDefault="009A356E" w:rsidP="009A356E">
            <w:pPr>
              <w:jc w:val="right"/>
              <w:rPr>
                <w:sz w:val="18"/>
                <w:szCs w:val="18"/>
                <w:lang w:eastAsia="en-AU"/>
              </w:rPr>
            </w:pPr>
            <w:r w:rsidRPr="00C10545">
              <w:rPr>
                <w:sz w:val="18"/>
                <w:szCs w:val="18"/>
                <w:lang w:eastAsia="en-AU"/>
              </w:rPr>
              <w:t>-2.4%</w:t>
            </w:r>
          </w:p>
        </w:tc>
        <w:tc>
          <w:tcPr>
            <w:tcW w:w="611" w:type="pct"/>
            <w:tcBorders>
              <w:top w:val="nil"/>
              <w:left w:val="nil"/>
              <w:bottom w:val="single" w:sz="4" w:space="0" w:color="auto"/>
              <w:right w:val="single" w:sz="4" w:space="0" w:color="auto"/>
            </w:tcBorders>
            <w:shd w:val="clear" w:color="auto" w:fill="auto"/>
            <w:noWrap/>
            <w:vAlign w:val="bottom"/>
            <w:hideMark/>
          </w:tcPr>
          <w:p w14:paraId="6FCF9A01" w14:textId="77777777" w:rsidR="009A356E" w:rsidRPr="00C10545" w:rsidRDefault="009A356E" w:rsidP="009A356E">
            <w:pPr>
              <w:jc w:val="right"/>
              <w:rPr>
                <w:sz w:val="18"/>
                <w:szCs w:val="18"/>
                <w:lang w:eastAsia="en-AU"/>
              </w:rPr>
            </w:pPr>
            <w:r w:rsidRPr="00C10545">
              <w:rPr>
                <w:sz w:val="18"/>
                <w:szCs w:val="18"/>
                <w:lang w:eastAsia="en-AU"/>
              </w:rPr>
              <w:t>-5.1%</w:t>
            </w:r>
          </w:p>
        </w:tc>
      </w:tr>
      <w:tr w:rsidR="009A356E" w:rsidRPr="00C65C2B" w14:paraId="1B35CDB6" w14:textId="77777777" w:rsidTr="009A356E">
        <w:trPr>
          <w:trHeight w:val="240"/>
        </w:trPr>
        <w:tc>
          <w:tcPr>
            <w:tcW w:w="1211" w:type="pct"/>
            <w:tcBorders>
              <w:top w:val="nil"/>
              <w:left w:val="single" w:sz="4" w:space="0" w:color="auto"/>
              <w:bottom w:val="single" w:sz="4" w:space="0" w:color="auto"/>
              <w:right w:val="single" w:sz="4" w:space="0" w:color="auto"/>
            </w:tcBorders>
            <w:shd w:val="clear" w:color="auto" w:fill="auto"/>
            <w:noWrap/>
            <w:vAlign w:val="bottom"/>
            <w:hideMark/>
          </w:tcPr>
          <w:p w14:paraId="5767829C" w14:textId="77777777" w:rsidR="009A356E" w:rsidRPr="00C10545" w:rsidRDefault="009A356E" w:rsidP="009A356E">
            <w:pPr>
              <w:rPr>
                <w:sz w:val="18"/>
                <w:szCs w:val="18"/>
                <w:lang w:eastAsia="en-AU"/>
              </w:rPr>
            </w:pPr>
            <w:r w:rsidRPr="00C10545">
              <w:rPr>
                <w:sz w:val="18"/>
                <w:szCs w:val="18"/>
                <w:lang w:eastAsia="en-AU"/>
              </w:rPr>
              <w:t>Loddon</w:t>
            </w:r>
          </w:p>
        </w:tc>
        <w:tc>
          <w:tcPr>
            <w:tcW w:w="652" w:type="pct"/>
            <w:tcBorders>
              <w:top w:val="nil"/>
              <w:left w:val="nil"/>
              <w:bottom w:val="single" w:sz="4" w:space="0" w:color="auto"/>
              <w:right w:val="single" w:sz="4" w:space="0" w:color="auto"/>
            </w:tcBorders>
            <w:shd w:val="clear" w:color="auto" w:fill="auto"/>
            <w:noWrap/>
            <w:vAlign w:val="bottom"/>
            <w:hideMark/>
          </w:tcPr>
          <w:p w14:paraId="390A8E10" w14:textId="77777777" w:rsidR="009A356E" w:rsidRPr="00C10545" w:rsidRDefault="009A356E" w:rsidP="009A356E">
            <w:pPr>
              <w:jc w:val="right"/>
              <w:rPr>
                <w:sz w:val="18"/>
                <w:szCs w:val="18"/>
                <w:lang w:eastAsia="en-AU"/>
              </w:rPr>
            </w:pPr>
            <w:r w:rsidRPr="00C10545">
              <w:rPr>
                <w:sz w:val="18"/>
                <w:szCs w:val="18"/>
                <w:lang w:eastAsia="en-AU"/>
              </w:rPr>
              <w:t>0.5%</w:t>
            </w:r>
          </w:p>
        </w:tc>
        <w:tc>
          <w:tcPr>
            <w:tcW w:w="652" w:type="pct"/>
            <w:tcBorders>
              <w:top w:val="nil"/>
              <w:left w:val="nil"/>
              <w:bottom w:val="single" w:sz="4" w:space="0" w:color="auto"/>
              <w:right w:val="single" w:sz="4" w:space="0" w:color="auto"/>
            </w:tcBorders>
            <w:shd w:val="clear" w:color="auto" w:fill="auto"/>
            <w:noWrap/>
            <w:vAlign w:val="bottom"/>
            <w:hideMark/>
          </w:tcPr>
          <w:p w14:paraId="64F8CB29" w14:textId="77777777" w:rsidR="009A356E" w:rsidRPr="00C10545" w:rsidRDefault="009A356E" w:rsidP="009A356E">
            <w:pPr>
              <w:jc w:val="right"/>
              <w:rPr>
                <w:sz w:val="18"/>
                <w:szCs w:val="18"/>
                <w:lang w:eastAsia="en-AU"/>
              </w:rPr>
            </w:pPr>
            <w:r w:rsidRPr="00C10545">
              <w:rPr>
                <w:sz w:val="18"/>
                <w:szCs w:val="18"/>
                <w:lang w:eastAsia="en-AU"/>
              </w:rPr>
              <w:t>0.3%</w:t>
            </w:r>
          </w:p>
        </w:tc>
        <w:tc>
          <w:tcPr>
            <w:tcW w:w="652" w:type="pct"/>
            <w:tcBorders>
              <w:top w:val="nil"/>
              <w:left w:val="nil"/>
              <w:bottom w:val="single" w:sz="4" w:space="0" w:color="auto"/>
              <w:right w:val="single" w:sz="4" w:space="0" w:color="auto"/>
            </w:tcBorders>
            <w:shd w:val="clear" w:color="auto" w:fill="auto"/>
            <w:noWrap/>
            <w:vAlign w:val="bottom"/>
            <w:hideMark/>
          </w:tcPr>
          <w:p w14:paraId="3796CB72" w14:textId="77777777" w:rsidR="009A356E" w:rsidRPr="00C10545" w:rsidRDefault="009A356E" w:rsidP="009A356E">
            <w:pPr>
              <w:jc w:val="right"/>
              <w:rPr>
                <w:sz w:val="18"/>
                <w:szCs w:val="18"/>
                <w:lang w:eastAsia="en-AU"/>
              </w:rPr>
            </w:pPr>
            <w:r w:rsidRPr="00C10545">
              <w:rPr>
                <w:sz w:val="18"/>
                <w:szCs w:val="18"/>
                <w:lang w:eastAsia="en-AU"/>
              </w:rPr>
              <w:t>16.7%</w:t>
            </w:r>
          </w:p>
        </w:tc>
        <w:tc>
          <w:tcPr>
            <w:tcW w:w="611" w:type="pct"/>
            <w:tcBorders>
              <w:top w:val="nil"/>
              <w:left w:val="nil"/>
              <w:bottom w:val="single" w:sz="4" w:space="0" w:color="auto"/>
              <w:right w:val="single" w:sz="4" w:space="0" w:color="auto"/>
            </w:tcBorders>
            <w:shd w:val="clear" w:color="auto" w:fill="auto"/>
            <w:noWrap/>
            <w:vAlign w:val="bottom"/>
            <w:hideMark/>
          </w:tcPr>
          <w:p w14:paraId="2F07AF4E" w14:textId="77777777" w:rsidR="009A356E" w:rsidRPr="00C10545" w:rsidRDefault="009A356E" w:rsidP="009A356E">
            <w:pPr>
              <w:jc w:val="right"/>
              <w:rPr>
                <w:sz w:val="18"/>
                <w:szCs w:val="18"/>
                <w:lang w:eastAsia="en-AU"/>
              </w:rPr>
            </w:pPr>
            <w:r w:rsidRPr="00C10545">
              <w:rPr>
                <w:sz w:val="18"/>
                <w:szCs w:val="18"/>
                <w:lang w:eastAsia="en-AU"/>
              </w:rPr>
              <w:t>6.5%</w:t>
            </w:r>
          </w:p>
        </w:tc>
        <w:tc>
          <w:tcPr>
            <w:tcW w:w="611" w:type="pct"/>
            <w:tcBorders>
              <w:top w:val="nil"/>
              <w:left w:val="nil"/>
              <w:bottom w:val="single" w:sz="4" w:space="0" w:color="auto"/>
              <w:right w:val="single" w:sz="4" w:space="0" w:color="auto"/>
            </w:tcBorders>
            <w:shd w:val="clear" w:color="auto" w:fill="auto"/>
            <w:noWrap/>
            <w:vAlign w:val="bottom"/>
            <w:hideMark/>
          </w:tcPr>
          <w:p w14:paraId="54DD0379" w14:textId="77777777" w:rsidR="009A356E" w:rsidRPr="00C10545" w:rsidRDefault="009A356E" w:rsidP="009A356E">
            <w:pPr>
              <w:jc w:val="right"/>
              <w:rPr>
                <w:sz w:val="18"/>
                <w:szCs w:val="18"/>
                <w:lang w:eastAsia="en-AU"/>
              </w:rPr>
            </w:pPr>
            <w:r w:rsidRPr="00C10545">
              <w:rPr>
                <w:sz w:val="18"/>
                <w:szCs w:val="18"/>
                <w:lang w:eastAsia="en-AU"/>
              </w:rPr>
              <w:t>1.2%</w:t>
            </w:r>
          </w:p>
        </w:tc>
        <w:tc>
          <w:tcPr>
            <w:tcW w:w="611" w:type="pct"/>
            <w:tcBorders>
              <w:top w:val="nil"/>
              <w:left w:val="nil"/>
              <w:bottom w:val="single" w:sz="4" w:space="0" w:color="auto"/>
              <w:right w:val="single" w:sz="4" w:space="0" w:color="auto"/>
            </w:tcBorders>
            <w:shd w:val="clear" w:color="auto" w:fill="auto"/>
            <w:noWrap/>
            <w:vAlign w:val="bottom"/>
            <w:hideMark/>
          </w:tcPr>
          <w:p w14:paraId="3DDB2561" w14:textId="77777777" w:rsidR="009A356E" w:rsidRPr="00C10545" w:rsidRDefault="009A356E" w:rsidP="009A356E">
            <w:pPr>
              <w:jc w:val="right"/>
              <w:rPr>
                <w:sz w:val="18"/>
                <w:szCs w:val="18"/>
                <w:lang w:eastAsia="en-AU"/>
              </w:rPr>
            </w:pPr>
            <w:r w:rsidRPr="00C10545">
              <w:rPr>
                <w:sz w:val="18"/>
                <w:szCs w:val="18"/>
                <w:lang w:eastAsia="en-AU"/>
              </w:rPr>
              <w:t>0.3%</w:t>
            </w:r>
          </w:p>
        </w:tc>
      </w:tr>
      <w:tr w:rsidR="009A356E" w:rsidRPr="00C65C2B" w14:paraId="0C928F8F" w14:textId="77777777" w:rsidTr="009A356E">
        <w:trPr>
          <w:trHeight w:val="240"/>
        </w:trPr>
        <w:tc>
          <w:tcPr>
            <w:tcW w:w="1211" w:type="pct"/>
            <w:tcBorders>
              <w:top w:val="nil"/>
              <w:left w:val="single" w:sz="4" w:space="0" w:color="auto"/>
              <w:bottom w:val="single" w:sz="4" w:space="0" w:color="auto"/>
              <w:right w:val="single" w:sz="4" w:space="0" w:color="auto"/>
            </w:tcBorders>
            <w:shd w:val="clear" w:color="auto" w:fill="auto"/>
            <w:noWrap/>
            <w:vAlign w:val="bottom"/>
            <w:hideMark/>
          </w:tcPr>
          <w:p w14:paraId="7A217FED" w14:textId="77777777" w:rsidR="009A356E" w:rsidRPr="00C10545" w:rsidRDefault="009A356E" w:rsidP="009A356E">
            <w:pPr>
              <w:rPr>
                <w:sz w:val="18"/>
                <w:szCs w:val="18"/>
                <w:lang w:eastAsia="en-AU"/>
              </w:rPr>
            </w:pPr>
            <w:r w:rsidRPr="00C10545">
              <w:rPr>
                <w:sz w:val="18"/>
                <w:szCs w:val="18"/>
                <w:lang w:eastAsia="en-AU"/>
              </w:rPr>
              <w:t>Northern Grampians</w:t>
            </w:r>
          </w:p>
        </w:tc>
        <w:tc>
          <w:tcPr>
            <w:tcW w:w="652" w:type="pct"/>
            <w:tcBorders>
              <w:top w:val="nil"/>
              <w:left w:val="nil"/>
              <w:bottom w:val="single" w:sz="4" w:space="0" w:color="auto"/>
              <w:right w:val="single" w:sz="4" w:space="0" w:color="auto"/>
            </w:tcBorders>
            <w:shd w:val="clear" w:color="auto" w:fill="auto"/>
            <w:noWrap/>
            <w:vAlign w:val="bottom"/>
            <w:hideMark/>
          </w:tcPr>
          <w:p w14:paraId="7235ABDE" w14:textId="77777777" w:rsidR="009A356E" w:rsidRPr="00C10545" w:rsidRDefault="009A356E" w:rsidP="009A356E">
            <w:pPr>
              <w:jc w:val="right"/>
              <w:rPr>
                <w:sz w:val="18"/>
                <w:szCs w:val="18"/>
                <w:lang w:eastAsia="en-AU"/>
              </w:rPr>
            </w:pPr>
            <w:r w:rsidRPr="00C10545">
              <w:rPr>
                <w:sz w:val="18"/>
                <w:szCs w:val="18"/>
                <w:lang w:eastAsia="en-AU"/>
              </w:rPr>
              <w:t>-3.2%</w:t>
            </w:r>
          </w:p>
        </w:tc>
        <w:tc>
          <w:tcPr>
            <w:tcW w:w="652" w:type="pct"/>
            <w:tcBorders>
              <w:top w:val="nil"/>
              <w:left w:val="nil"/>
              <w:bottom w:val="single" w:sz="4" w:space="0" w:color="auto"/>
              <w:right w:val="single" w:sz="4" w:space="0" w:color="auto"/>
            </w:tcBorders>
            <w:shd w:val="clear" w:color="auto" w:fill="auto"/>
            <w:noWrap/>
            <w:vAlign w:val="bottom"/>
            <w:hideMark/>
          </w:tcPr>
          <w:p w14:paraId="100F5EC2" w14:textId="77777777" w:rsidR="009A356E" w:rsidRPr="00C10545" w:rsidRDefault="009A356E" w:rsidP="009A356E">
            <w:pPr>
              <w:jc w:val="right"/>
              <w:rPr>
                <w:sz w:val="18"/>
                <w:szCs w:val="18"/>
                <w:lang w:eastAsia="en-AU"/>
              </w:rPr>
            </w:pPr>
            <w:r w:rsidRPr="00C10545">
              <w:rPr>
                <w:sz w:val="18"/>
                <w:szCs w:val="18"/>
                <w:lang w:eastAsia="en-AU"/>
              </w:rPr>
              <w:t>3.8%</w:t>
            </w:r>
          </w:p>
        </w:tc>
        <w:tc>
          <w:tcPr>
            <w:tcW w:w="652" w:type="pct"/>
            <w:tcBorders>
              <w:top w:val="nil"/>
              <w:left w:val="nil"/>
              <w:bottom w:val="single" w:sz="4" w:space="0" w:color="auto"/>
              <w:right w:val="single" w:sz="4" w:space="0" w:color="auto"/>
            </w:tcBorders>
            <w:shd w:val="clear" w:color="auto" w:fill="auto"/>
            <w:noWrap/>
            <w:vAlign w:val="bottom"/>
            <w:hideMark/>
          </w:tcPr>
          <w:p w14:paraId="38B2FCBD" w14:textId="77777777" w:rsidR="009A356E" w:rsidRPr="00C10545" w:rsidRDefault="009A356E" w:rsidP="009A356E">
            <w:pPr>
              <w:jc w:val="right"/>
              <w:rPr>
                <w:sz w:val="18"/>
                <w:szCs w:val="18"/>
                <w:lang w:eastAsia="en-AU"/>
              </w:rPr>
            </w:pPr>
            <w:r w:rsidRPr="00C10545">
              <w:rPr>
                <w:sz w:val="18"/>
                <w:szCs w:val="18"/>
                <w:lang w:eastAsia="en-AU"/>
              </w:rPr>
              <w:t>7.3%</w:t>
            </w:r>
          </w:p>
        </w:tc>
        <w:tc>
          <w:tcPr>
            <w:tcW w:w="611" w:type="pct"/>
            <w:tcBorders>
              <w:top w:val="nil"/>
              <w:left w:val="nil"/>
              <w:bottom w:val="single" w:sz="4" w:space="0" w:color="auto"/>
              <w:right w:val="single" w:sz="4" w:space="0" w:color="auto"/>
            </w:tcBorders>
            <w:shd w:val="clear" w:color="auto" w:fill="auto"/>
            <w:noWrap/>
            <w:vAlign w:val="bottom"/>
            <w:hideMark/>
          </w:tcPr>
          <w:p w14:paraId="4596A458" w14:textId="77777777" w:rsidR="009A356E" w:rsidRPr="00C10545" w:rsidRDefault="009A356E" w:rsidP="009A356E">
            <w:pPr>
              <w:jc w:val="right"/>
              <w:rPr>
                <w:sz w:val="18"/>
                <w:szCs w:val="18"/>
                <w:lang w:eastAsia="en-AU"/>
              </w:rPr>
            </w:pPr>
            <w:r w:rsidRPr="00C10545">
              <w:rPr>
                <w:sz w:val="18"/>
                <w:szCs w:val="18"/>
                <w:lang w:eastAsia="en-AU"/>
              </w:rPr>
              <w:t>5.7%</w:t>
            </w:r>
          </w:p>
        </w:tc>
        <w:tc>
          <w:tcPr>
            <w:tcW w:w="611" w:type="pct"/>
            <w:tcBorders>
              <w:top w:val="nil"/>
              <w:left w:val="nil"/>
              <w:bottom w:val="single" w:sz="4" w:space="0" w:color="auto"/>
              <w:right w:val="single" w:sz="4" w:space="0" w:color="auto"/>
            </w:tcBorders>
            <w:shd w:val="clear" w:color="auto" w:fill="auto"/>
            <w:noWrap/>
            <w:vAlign w:val="bottom"/>
            <w:hideMark/>
          </w:tcPr>
          <w:p w14:paraId="3F2B9AF6" w14:textId="77777777" w:rsidR="009A356E" w:rsidRPr="00C10545" w:rsidRDefault="009A356E" w:rsidP="009A356E">
            <w:pPr>
              <w:jc w:val="right"/>
              <w:rPr>
                <w:sz w:val="18"/>
                <w:szCs w:val="18"/>
                <w:lang w:eastAsia="en-AU"/>
              </w:rPr>
            </w:pPr>
            <w:r w:rsidRPr="00C10545">
              <w:rPr>
                <w:sz w:val="18"/>
                <w:szCs w:val="18"/>
                <w:lang w:eastAsia="en-AU"/>
              </w:rPr>
              <w:t>1.4%</w:t>
            </w:r>
          </w:p>
        </w:tc>
        <w:tc>
          <w:tcPr>
            <w:tcW w:w="611" w:type="pct"/>
            <w:tcBorders>
              <w:top w:val="nil"/>
              <w:left w:val="nil"/>
              <w:bottom w:val="single" w:sz="4" w:space="0" w:color="auto"/>
              <w:right w:val="single" w:sz="4" w:space="0" w:color="auto"/>
            </w:tcBorders>
            <w:shd w:val="clear" w:color="auto" w:fill="auto"/>
            <w:noWrap/>
            <w:vAlign w:val="bottom"/>
            <w:hideMark/>
          </w:tcPr>
          <w:p w14:paraId="06E4A4CA" w14:textId="77777777" w:rsidR="009A356E" w:rsidRPr="00C10545" w:rsidRDefault="009A356E" w:rsidP="009A356E">
            <w:pPr>
              <w:jc w:val="right"/>
              <w:rPr>
                <w:sz w:val="18"/>
                <w:szCs w:val="18"/>
                <w:lang w:eastAsia="en-AU"/>
              </w:rPr>
            </w:pPr>
            <w:r w:rsidRPr="00C10545">
              <w:rPr>
                <w:sz w:val="18"/>
                <w:szCs w:val="18"/>
                <w:lang w:eastAsia="en-AU"/>
              </w:rPr>
              <w:t>0.0%</w:t>
            </w:r>
          </w:p>
        </w:tc>
      </w:tr>
      <w:tr w:rsidR="009A356E" w:rsidRPr="00C65C2B" w14:paraId="3D47F84E" w14:textId="77777777" w:rsidTr="009A356E">
        <w:trPr>
          <w:trHeight w:val="240"/>
        </w:trPr>
        <w:tc>
          <w:tcPr>
            <w:tcW w:w="1211" w:type="pct"/>
            <w:tcBorders>
              <w:top w:val="nil"/>
              <w:left w:val="single" w:sz="4" w:space="0" w:color="auto"/>
              <w:bottom w:val="single" w:sz="4" w:space="0" w:color="auto"/>
              <w:right w:val="single" w:sz="4" w:space="0" w:color="auto"/>
            </w:tcBorders>
            <w:shd w:val="clear" w:color="auto" w:fill="auto"/>
            <w:noWrap/>
            <w:vAlign w:val="bottom"/>
            <w:hideMark/>
          </w:tcPr>
          <w:p w14:paraId="6D9A20EF" w14:textId="77777777" w:rsidR="009A356E" w:rsidRPr="00C10545" w:rsidRDefault="009A356E" w:rsidP="009A356E">
            <w:pPr>
              <w:rPr>
                <w:sz w:val="18"/>
                <w:szCs w:val="18"/>
                <w:lang w:eastAsia="en-AU"/>
              </w:rPr>
            </w:pPr>
            <w:proofErr w:type="spellStart"/>
            <w:r w:rsidRPr="00C10545">
              <w:rPr>
                <w:sz w:val="18"/>
                <w:szCs w:val="18"/>
                <w:lang w:eastAsia="en-AU"/>
              </w:rPr>
              <w:t>Yarriambiack</w:t>
            </w:r>
            <w:proofErr w:type="spellEnd"/>
          </w:p>
        </w:tc>
        <w:tc>
          <w:tcPr>
            <w:tcW w:w="652" w:type="pct"/>
            <w:tcBorders>
              <w:top w:val="nil"/>
              <w:left w:val="nil"/>
              <w:bottom w:val="single" w:sz="4" w:space="0" w:color="auto"/>
              <w:right w:val="single" w:sz="4" w:space="0" w:color="auto"/>
            </w:tcBorders>
            <w:shd w:val="clear" w:color="auto" w:fill="auto"/>
            <w:noWrap/>
            <w:vAlign w:val="bottom"/>
            <w:hideMark/>
          </w:tcPr>
          <w:p w14:paraId="4CEE75AC" w14:textId="77777777" w:rsidR="009A356E" w:rsidRPr="00C10545" w:rsidRDefault="009A356E" w:rsidP="009A356E">
            <w:pPr>
              <w:jc w:val="right"/>
              <w:rPr>
                <w:sz w:val="18"/>
                <w:szCs w:val="18"/>
                <w:lang w:eastAsia="en-AU"/>
              </w:rPr>
            </w:pPr>
            <w:r w:rsidRPr="00C10545">
              <w:rPr>
                <w:sz w:val="18"/>
                <w:szCs w:val="18"/>
                <w:lang w:eastAsia="en-AU"/>
              </w:rPr>
              <w:t>3.1%</w:t>
            </w:r>
          </w:p>
        </w:tc>
        <w:tc>
          <w:tcPr>
            <w:tcW w:w="652" w:type="pct"/>
            <w:tcBorders>
              <w:top w:val="nil"/>
              <w:left w:val="nil"/>
              <w:bottom w:val="single" w:sz="4" w:space="0" w:color="auto"/>
              <w:right w:val="single" w:sz="4" w:space="0" w:color="auto"/>
            </w:tcBorders>
            <w:shd w:val="clear" w:color="auto" w:fill="auto"/>
            <w:noWrap/>
            <w:vAlign w:val="bottom"/>
            <w:hideMark/>
          </w:tcPr>
          <w:p w14:paraId="73252345" w14:textId="77777777" w:rsidR="009A356E" w:rsidRPr="00C10545" w:rsidRDefault="009A356E" w:rsidP="009A356E">
            <w:pPr>
              <w:jc w:val="right"/>
              <w:rPr>
                <w:sz w:val="18"/>
                <w:szCs w:val="18"/>
                <w:lang w:eastAsia="en-AU"/>
              </w:rPr>
            </w:pPr>
            <w:r w:rsidRPr="00C10545">
              <w:rPr>
                <w:sz w:val="18"/>
                <w:szCs w:val="18"/>
                <w:lang w:eastAsia="en-AU"/>
              </w:rPr>
              <w:t>0.8%</w:t>
            </w:r>
          </w:p>
        </w:tc>
        <w:tc>
          <w:tcPr>
            <w:tcW w:w="652" w:type="pct"/>
            <w:tcBorders>
              <w:top w:val="nil"/>
              <w:left w:val="nil"/>
              <w:bottom w:val="single" w:sz="4" w:space="0" w:color="auto"/>
              <w:right w:val="single" w:sz="4" w:space="0" w:color="auto"/>
            </w:tcBorders>
            <w:shd w:val="clear" w:color="auto" w:fill="auto"/>
            <w:noWrap/>
            <w:vAlign w:val="bottom"/>
            <w:hideMark/>
          </w:tcPr>
          <w:p w14:paraId="72C6FB75" w14:textId="77777777" w:rsidR="009A356E" w:rsidRPr="00C10545" w:rsidRDefault="009A356E" w:rsidP="009A356E">
            <w:pPr>
              <w:jc w:val="right"/>
              <w:rPr>
                <w:sz w:val="18"/>
                <w:szCs w:val="18"/>
                <w:lang w:eastAsia="en-AU"/>
              </w:rPr>
            </w:pPr>
            <w:r w:rsidRPr="00C10545">
              <w:rPr>
                <w:sz w:val="18"/>
                <w:szCs w:val="18"/>
                <w:lang w:eastAsia="en-AU"/>
              </w:rPr>
              <w:t>2.1%</w:t>
            </w:r>
          </w:p>
        </w:tc>
        <w:tc>
          <w:tcPr>
            <w:tcW w:w="611" w:type="pct"/>
            <w:tcBorders>
              <w:top w:val="nil"/>
              <w:left w:val="nil"/>
              <w:bottom w:val="single" w:sz="4" w:space="0" w:color="auto"/>
              <w:right w:val="single" w:sz="4" w:space="0" w:color="auto"/>
            </w:tcBorders>
            <w:shd w:val="clear" w:color="auto" w:fill="auto"/>
            <w:noWrap/>
            <w:vAlign w:val="bottom"/>
            <w:hideMark/>
          </w:tcPr>
          <w:p w14:paraId="56A9BF33" w14:textId="77777777" w:rsidR="009A356E" w:rsidRPr="00C10545" w:rsidRDefault="009A356E" w:rsidP="009A356E">
            <w:pPr>
              <w:jc w:val="right"/>
              <w:rPr>
                <w:sz w:val="18"/>
                <w:szCs w:val="18"/>
                <w:lang w:eastAsia="en-AU"/>
              </w:rPr>
            </w:pPr>
            <w:r w:rsidRPr="00C10545">
              <w:rPr>
                <w:sz w:val="18"/>
                <w:szCs w:val="18"/>
                <w:lang w:eastAsia="en-AU"/>
              </w:rPr>
              <w:t>6.0%</w:t>
            </w:r>
          </w:p>
        </w:tc>
        <w:tc>
          <w:tcPr>
            <w:tcW w:w="611" w:type="pct"/>
            <w:tcBorders>
              <w:top w:val="nil"/>
              <w:left w:val="nil"/>
              <w:bottom w:val="single" w:sz="4" w:space="0" w:color="auto"/>
              <w:right w:val="single" w:sz="4" w:space="0" w:color="auto"/>
            </w:tcBorders>
            <w:shd w:val="clear" w:color="auto" w:fill="auto"/>
            <w:noWrap/>
            <w:vAlign w:val="bottom"/>
            <w:hideMark/>
          </w:tcPr>
          <w:p w14:paraId="4918DF91" w14:textId="77777777" w:rsidR="009A356E" w:rsidRPr="00C10545" w:rsidRDefault="009A356E" w:rsidP="009A356E">
            <w:pPr>
              <w:jc w:val="right"/>
              <w:rPr>
                <w:sz w:val="18"/>
                <w:szCs w:val="18"/>
                <w:lang w:eastAsia="en-AU"/>
              </w:rPr>
            </w:pPr>
            <w:r w:rsidRPr="00C10545">
              <w:rPr>
                <w:sz w:val="18"/>
                <w:szCs w:val="18"/>
                <w:lang w:eastAsia="en-AU"/>
              </w:rPr>
              <w:t>1.1%</w:t>
            </w:r>
          </w:p>
        </w:tc>
        <w:tc>
          <w:tcPr>
            <w:tcW w:w="611" w:type="pct"/>
            <w:tcBorders>
              <w:top w:val="nil"/>
              <w:left w:val="nil"/>
              <w:bottom w:val="single" w:sz="4" w:space="0" w:color="auto"/>
              <w:right w:val="single" w:sz="4" w:space="0" w:color="auto"/>
            </w:tcBorders>
            <w:shd w:val="clear" w:color="auto" w:fill="auto"/>
            <w:noWrap/>
            <w:vAlign w:val="bottom"/>
            <w:hideMark/>
          </w:tcPr>
          <w:p w14:paraId="5A45A7EC" w14:textId="77777777" w:rsidR="009A356E" w:rsidRPr="00C10545" w:rsidRDefault="009A356E" w:rsidP="009A356E">
            <w:pPr>
              <w:jc w:val="right"/>
              <w:rPr>
                <w:sz w:val="18"/>
                <w:szCs w:val="18"/>
                <w:lang w:eastAsia="en-AU"/>
              </w:rPr>
            </w:pPr>
            <w:r w:rsidRPr="00C10545">
              <w:rPr>
                <w:sz w:val="18"/>
                <w:szCs w:val="18"/>
                <w:lang w:eastAsia="en-AU"/>
              </w:rPr>
              <w:t>-1.5%</w:t>
            </w:r>
          </w:p>
        </w:tc>
      </w:tr>
      <w:tr w:rsidR="009A356E" w:rsidRPr="00C65C2B" w14:paraId="4AC39C3E" w14:textId="77777777" w:rsidTr="009A356E">
        <w:trPr>
          <w:trHeight w:val="240"/>
        </w:trPr>
        <w:tc>
          <w:tcPr>
            <w:tcW w:w="1211" w:type="pct"/>
            <w:tcBorders>
              <w:top w:val="nil"/>
              <w:left w:val="single" w:sz="4" w:space="0" w:color="auto"/>
              <w:bottom w:val="single" w:sz="4" w:space="0" w:color="auto"/>
              <w:right w:val="single" w:sz="4" w:space="0" w:color="auto"/>
            </w:tcBorders>
            <w:shd w:val="clear" w:color="000000" w:fill="DAEEF3"/>
            <w:noWrap/>
            <w:vAlign w:val="bottom"/>
            <w:hideMark/>
          </w:tcPr>
          <w:p w14:paraId="0D0D8D93" w14:textId="77777777" w:rsidR="009A356E" w:rsidRPr="00C10545" w:rsidRDefault="009A356E" w:rsidP="009A356E">
            <w:pPr>
              <w:rPr>
                <w:b/>
                <w:bCs/>
                <w:sz w:val="18"/>
                <w:szCs w:val="18"/>
                <w:lang w:eastAsia="en-AU"/>
              </w:rPr>
            </w:pPr>
            <w:r w:rsidRPr="00C10545">
              <w:rPr>
                <w:b/>
                <w:bCs/>
                <w:sz w:val="18"/>
                <w:szCs w:val="18"/>
                <w:lang w:eastAsia="en-AU"/>
              </w:rPr>
              <w:t>Large Shires</w:t>
            </w:r>
          </w:p>
        </w:tc>
        <w:tc>
          <w:tcPr>
            <w:tcW w:w="652" w:type="pct"/>
            <w:tcBorders>
              <w:top w:val="nil"/>
              <w:left w:val="nil"/>
              <w:bottom w:val="single" w:sz="4" w:space="0" w:color="auto"/>
              <w:right w:val="single" w:sz="4" w:space="0" w:color="auto"/>
            </w:tcBorders>
            <w:shd w:val="clear" w:color="000000" w:fill="000000"/>
            <w:noWrap/>
            <w:vAlign w:val="bottom"/>
            <w:hideMark/>
          </w:tcPr>
          <w:p w14:paraId="5BFCED95" w14:textId="77777777" w:rsidR="009A356E" w:rsidRPr="00C10545" w:rsidRDefault="009A356E" w:rsidP="009A356E">
            <w:pPr>
              <w:rPr>
                <w:sz w:val="18"/>
                <w:szCs w:val="18"/>
                <w:lang w:eastAsia="en-AU"/>
              </w:rPr>
            </w:pPr>
            <w:r w:rsidRPr="00C10545">
              <w:rPr>
                <w:sz w:val="18"/>
                <w:szCs w:val="18"/>
                <w:lang w:eastAsia="en-AU"/>
              </w:rPr>
              <w:t> </w:t>
            </w:r>
          </w:p>
        </w:tc>
        <w:tc>
          <w:tcPr>
            <w:tcW w:w="652" w:type="pct"/>
            <w:tcBorders>
              <w:top w:val="nil"/>
              <w:left w:val="nil"/>
              <w:bottom w:val="single" w:sz="4" w:space="0" w:color="auto"/>
              <w:right w:val="single" w:sz="4" w:space="0" w:color="auto"/>
            </w:tcBorders>
            <w:shd w:val="clear" w:color="000000" w:fill="000000"/>
            <w:noWrap/>
            <w:vAlign w:val="bottom"/>
            <w:hideMark/>
          </w:tcPr>
          <w:p w14:paraId="11335B47" w14:textId="77777777" w:rsidR="009A356E" w:rsidRPr="00C10545" w:rsidRDefault="009A356E" w:rsidP="009A356E">
            <w:pPr>
              <w:rPr>
                <w:sz w:val="18"/>
                <w:szCs w:val="18"/>
                <w:lang w:eastAsia="en-AU"/>
              </w:rPr>
            </w:pPr>
            <w:r w:rsidRPr="00C10545">
              <w:rPr>
                <w:sz w:val="18"/>
                <w:szCs w:val="18"/>
                <w:lang w:eastAsia="en-AU"/>
              </w:rPr>
              <w:t> </w:t>
            </w:r>
          </w:p>
        </w:tc>
        <w:tc>
          <w:tcPr>
            <w:tcW w:w="652" w:type="pct"/>
            <w:tcBorders>
              <w:top w:val="nil"/>
              <w:left w:val="nil"/>
              <w:bottom w:val="single" w:sz="4" w:space="0" w:color="auto"/>
              <w:right w:val="single" w:sz="4" w:space="0" w:color="auto"/>
            </w:tcBorders>
            <w:shd w:val="clear" w:color="000000" w:fill="000000"/>
            <w:noWrap/>
            <w:vAlign w:val="bottom"/>
            <w:hideMark/>
          </w:tcPr>
          <w:p w14:paraId="7A4166B7" w14:textId="77777777" w:rsidR="009A356E" w:rsidRPr="00C10545" w:rsidRDefault="009A356E" w:rsidP="009A356E">
            <w:pPr>
              <w:rPr>
                <w:sz w:val="18"/>
                <w:szCs w:val="18"/>
                <w:lang w:eastAsia="en-AU"/>
              </w:rPr>
            </w:pPr>
            <w:r w:rsidRPr="00C10545">
              <w:rPr>
                <w:sz w:val="18"/>
                <w:szCs w:val="18"/>
                <w:lang w:eastAsia="en-AU"/>
              </w:rPr>
              <w:t> </w:t>
            </w:r>
          </w:p>
        </w:tc>
        <w:tc>
          <w:tcPr>
            <w:tcW w:w="611" w:type="pct"/>
            <w:tcBorders>
              <w:top w:val="nil"/>
              <w:left w:val="nil"/>
              <w:bottom w:val="single" w:sz="4" w:space="0" w:color="auto"/>
              <w:right w:val="single" w:sz="4" w:space="0" w:color="auto"/>
            </w:tcBorders>
            <w:shd w:val="clear" w:color="000000" w:fill="000000"/>
            <w:noWrap/>
            <w:vAlign w:val="bottom"/>
            <w:hideMark/>
          </w:tcPr>
          <w:p w14:paraId="3A0E75F7" w14:textId="77777777" w:rsidR="009A356E" w:rsidRPr="00C10545" w:rsidRDefault="009A356E" w:rsidP="009A356E">
            <w:pPr>
              <w:rPr>
                <w:sz w:val="18"/>
                <w:szCs w:val="18"/>
                <w:lang w:eastAsia="en-AU"/>
              </w:rPr>
            </w:pPr>
            <w:r w:rsidRPr="00C10545">
              <w:rPr>
                <w:sz w:val="18"/>
                <w:szCs w:val="18"/>
                <w:lang w:eastAsia="en-AU"/>
              </w:rPr>
              <w:t> </w:t>
            </w:r>
          </w:p>
        </w:tc>
        <w:tc>
          <w:tcPr>
            <w:tcW w:w="611" w:type="pct"/>
            <w:tcBorders>
              <w:top w:val="nil"/>
              <w:left w:val="nil"/>
              <w:bottom w:val="single" w:sz="4" w:space="0" w:color="auto"/>
              <w:right w:val="single" w:sz="4" w:space="0" w:color="auto"/>
            </w:tcBorders>
            <w:shd w:val="clear" w:color="000000" w:fill="000000"/>
            <w:noWrap/>
            <w:vAlign w:val="bottom"/>
            <w:hideMark/>
          </w:tcPr>
          <w:p w14:paraId="57D04564" w14:textId="77777777" w:rsidR="009A356E" w:rsidRPr="00C10545" w:rsidRDefault="009A356E" w:rsidP="009A356E">
            <w:pPr>
              <w:rPr>
                <w:sz w:val="18"/>
                <w:szCs w:val="18"/>
                <w:lang w:eastAsia="en-AU"/>
              </w:rPr>
            </w:pPr>
            <w:r w:rsidRPr="00C10545">
              <w:rPr>
                <w:sz w:val="18"/>
                <w:szCs w:val="18"/>
                <w:lang w:eastAsia="en-AU"/>
              </w:rPr>
              <w:t> </w:t>
            </w:r>
          </w:p>
        </w:tc>
        <w:tc>
          <w:tcPr>
            <w:tcW w:w="611" w:type="pct"/>
            <w:tcBorders>
              <w:top w:val="nil"/>
              <w:left w:val="nil"/>
              <w:bottom w:val="single" w:sz="4" w:space="0" w:color="auto"/>
              <w:right w:val="single" w:sz="4" w:space="0" w:color="auto"/>
            </w:tcBorders>
            <w:shd w:val="clear" w:color="000000" w:fill="000000"/>
            <w:noWrap/>
            <w:vAlign w:val="bottom"/>
            <w:hideMark/>
          </w:tcPr>
          <w:p w14:paraId="6C030429" w14:textId="77777777" w:rsidR="009A356E" w:rsidRPr="00C10545" w:rsidRDefault="009A356E" w:rsidP="009A356E">
            <w:pPr>
              <w:rPr>
                <w:sz w:val="18"/>
                <w:szCs w:val="18"/>
                <w:lang w:eastAsia="en-AU"/>
              </w:rPr>
            </w:pPr>
            <w:r w:rsidRPr="00C10545">
              <w:rPr>
                <w:sz w:val="18"/>
                <w:szCs w:val="18"/>
                <w:lang w:eastAsia="en-AU"/>
              </w:rPr>
              <w:t> </w:t>
            </w:r>
          </w:p>
        </w:tc>
      </w:tr>
      <w:tr w:rsidR="009A356E" w:rsidRPr="00C65C2B" w14:paraId="757FEF77" w14:textId="77777777" w:rsidTr="009A356E">
        <w:trPr>
          <w:trHeight w:val="240"/>
        </w:trPr>
        <w:tc>
          <w:tcPr>
            <w:tcW w:w="1211" w:type="pct"/>
            <w:tcBorders>
              <w:top w:val="nil"/>
              <w:left w:val="single" w:sz="4" w:space="0" w:color="auto"/>
              <w:bottom w:val="single" w:sz="4" w:space="0" w:color="auto"/>
              <w:right w:val="single" w:sz="4" w:space="0" w:color="auto"/>
            </w:tcBorders>
            <w:shd w:val="clear" w:color="auto" w:fill="auto"/>
            <w:noWrap/>
            <w:vAlign w:val="bottom"/>
            <w:hideMark/>
          </w:tcPr>
          <w:p w14:paraId="4D4DE066" w14:textId="77777777" w:rsidR="009A356E" w:rsidRPr="00C10545" w:rsidRDefault="009A356E" w:rsidP="009A356E">
            <w:pPr>
              <w:rPr>
                <w:sz w:val="18"/>
                <w:szCs w:val="18"/>
                <w:lang w:eastAsia="en-AU"/>
              </w:rPr>
            </w:pPr>
            <w:r w:rsidRPr="00C10545">
              <w:rPr>
                <w:sz w:val="18"/>
                <w:szCs w:val="18"/>
                <w:lang w:eastAsia="en-AU"/>
              </w:rPr>
              <w:t>Campaspe</w:t>
            </w:r>
          </w:p>
        </w:tc>
        <w:tc>
          <w:tcPr>
            <w:tcW w:w="652" w:type="pct"/>
            <w:tcBorders>
              <w:top w:val="nil"/>
              <w:left w:val="nil"/>
              <w:bottom w:val="single" w:sz="4" w:space="0" w:color="auto"/>
              <w:right w:val="single" w:sz="4" w:space="0" w:color="auto"/>
            </w:tcBorders>
            <w:shd w:val="clear" w:color="auto" w:fill="auto"/>
            <w:noWrap/>
            <w:vAlign w:val="bottom"/>
            <w:hideMark/>
          </w:tcPr>
          <w:p w14:paraId="3FA675C8" w14:textId="77777777" w:rsidR="009A356E" w:rsidRPr="00C10545" w:rsidRDefault="009A356E" w:rsidP="009A356E">
            <w:pPr>
              <w:jc w:val="right"/>
              <w:rPr>
                <w:sz w:val="18"/>
                <w:szCs w:val="18"/>
                <w:lang w:eastAsia="en-AU"/>
              </w:rPr>
            </w:pPr>
            <w:r w:rsidRPr="00C10545">
              <w:rPr>
                <w:sz w:val="18"/>
                <w:szCs w:val="18"/>
                <w:lang w:eastAsia="en-AU"/>
              </w:rPr>
              <w:t>-3.6%</w:t>
            </w:r>
          </w:p>
        </w:tc>
        <w:tc>
          <w:tcPr>
            <w:tcW w:w="652" w:type="pct"/>
            <w:tcBorders>
              <w:top w:val="nil"/>
              <w:left w:val="nil"/>
              <w:bottom w:val="single" w:sz="4" w:space="0" w:color="auto"/>
              <w:right w:val="single" w:sz="4" w:space="0" w:color="auto"/>
            </w:tcBorders>
            <w:shd w:val="clear" w:color="auto" w:fill="auto"/>
            <w:noWrap/>
            <w:vAlign w:val="bottom"/>
            <w:hideMark/>
          </w:tcPr>
          <w:p w14:paraId="7001537E" w14:textId="77777777" w:rsidR="009A356E" w:rsidRPr="00C10545" w:rsidRDefault="009A356E" w:rsidP="009A356E">
            <w:pPr>
              <w:jc w:val="right"/>
              <w:rPr>
                <w:sz w:val="18"/>
                <w:szCs w:val="18"/>
                <w:lang w:eastAsia="en-AU"/>
              </w:rPr>
            </w:pPr>
            <w:r w:rsidRPr="00C10545">
              <w:rPr>
                <w:sz w:val="18"/>
                <w:szCs w:val="18"/>
                <w:lang w:eastAsia="en-AU"/>
              </w:rPr>
              <w:t>-4.5%</w:t>
            </w:r>
          </w:p>
        </w:tc>
        <w:tc>
          <w:tcPr>
            <w:tcW w:w="652" w:type="pct"/>
            <w:tcBorders>
              <w:top w:val="nil"/>
              <w:left w:val="nil"/>
              <w:bottom w:val="single" w:sz="4" w:space="0" w:color="auto"/>
              <w:right w:val="single" w:sz="4" w:space="0" w:color="auto"/>
            </w:tcBorders>
            <w:shd w:val="clear" w:color="auto" w:fill="auto"/>
            <w:noWrap/>
            <w:vAlign w:val="bottom"/>
            <w:hideMark/>
          </w:tcPr>
          <w:p w14:paraId="7DED00CE" w14:textId="77777777" w:rsidR="009A356E" w:rsidRPr="00C10545" w:rsidRDefault="009A356E" w:rsidP="009A356E">
            <w:pPr>
              <w:jc w:val="right"/>
              <w:rPr>
                <w:sz w:val="18"/>
                <w:szCs w:val="18"/>
                <w:lang w:eastAsia="en-AU"/>
              </w:rPr>
            </w:pPr>
            <w:r w:rsidRPr="00C10545">
              <w:rPr>
                <w:sz w:val="18"/>
                <w:szCs w:val="18"/>
                <w:lang w:eastAsia="en-AU"/>
              </w:rPr>
              <w:t>15.1%</w:t>
            </w:r>
          </w:p>
        </w:tc>
        <w:tc>
          <w:tcPr>
            <w:tcW w:w="611" w:type="pct"/>
            <w:tcBorders>
              <w:top w:val="nil"/>
              <w:left w:val="nil"/>
              <w:bottom w:val="single" w:sz="4" w:space="0" w:color="auto"/>
              <w:right w:val="single" w:sz="4" w:space="0" w:color="auto"/>
            </w:tcBorders>
            <w:shd w:val="clear" w:color="auto" w:fill="auto"/>
            <w:noWrap/>
            <w:vAlign w:val="bottom"/>
            <w:hideMark/>
          </w:tcPr>
          <w:p w14:paraId="0844DE98" w14:textId="77777777" w:rsidR="009A356E" w:rsidRPr="00C10545" w:rsidRDefault="009A356E" w:rsidP="009A356E">
            <w:pPr>
              <w:jc w:val="right"/>
              <w:rPr>
                <w:sz w:val="18"/>
                <w:szCs w:val="18"/>
                <w:lang w:eastAsia="en-AU"/>
              </w:rPr>
            </w:pPr>
            <w:r w:rsidRPr="00C10545">
              <w:rPr>
                <w:sz w:val="18"/>
                <w:szCs w:val="18"/>
                <w:lang w:eastAsia="en-AU"/>
              </w:rPr>
              <w:t>4.0%</w:t>
            </w:r>
          </w:p>
        </w:tc>
        <w:tc>
          <w:tcPr>
            <w:tcW w:w="611" w:type="pct"/>
            <w:tcBorders>
              <w:top w:val="nil"/>
              <w:left w:val="nil"/>
              <w:bottom w:val="single" w:sz="4" w:space="0" w:color="auto"/>
              <w:right w:val="single" w:sz="4" w:space="0" w:color="auto"/>
            </w:tcBorders>
            <w:shd w:val="clear" w:color="auto" w:fill="auto"/>
            <w:noWrap/>
            <w:vAlign w:val="bottom"/>
            <w:hideMark/>
          </w:tcPr>
          <w:p w14:paraId="551C1528" w14:textId="77777777" w:rsidR="009A356E" w:rsidRPr="00C10545" w:rsidRDefault="009A356E" w:rsidP="009A356E">
            <w:pPr>
              <w:jc w:val="right"/>
              <w:rPr>
                <w:sz w:val="18"/>
                <w:szCs w:val="18"/>
                <w:lang w:eastAsia="en-AU"/>
              </w:rPr>
            </w:pPr>
            <w:r w:rsidRPr="00C10545">
              <w:rPr>
                <w:sz w:val="18"/>
                <w:szCs w:val="18"/>
                <w:lang w:eastAsia="en-AU"/>
              </w:rPr>
              <w:t>-1.9%</w:t>
            </w:r>
          </w:p>
        </w:tc>
        <w:tc>
          <w:tcPr>
            <w:tcW w:w="611" w:type="pct"/>
            <w:tcBorders>
              <w:top w:val="nil"/>
              <w:left w:val="nil"/>
              <w:bottom w:val="single" w:sz="4" w:space="0" w:color="auto"/>
              <w:right w:val="single" w:sz="4" w:space="0" w:color="auto"/>
            </w:tcBorders>
            <w:shd w:val="clear" w:color="auto" w:fill="auto"/>
            <w:noWrap/>
            <w:vAlign w:val="bottom"/>
            <w:hideMark/>
          </w:tcPr>
          <w:p w14:paraId="31647241" w14:textId="77777777" w:rsidR="009A356E" w:rsidRPr="00C10545" w:rsidRDefault="009A356E" w:rsidP="009A356E">
            <w:pPr>
              <w:jc w:val="right"/>
              <w:rPr>
                <w:sz w:val="18"/>
                <w:szCs w:val="18"/>
                <w:lang w:eastAsia="en-AU"/>
              </w:rPr>
            </w:pPr>
            <w:r w:rsidRPr="00C10545">
              <w:rPr>
                <w:sz w:val="18"/>
                <w:szCs w:val="18"/>
                <w:lang w:eastAsia="en-AU"/>
              </w:rPr>
              <w:t>-3.7%</w:t>
            </w:r>
          </w:p>
        </w:tc>
      </w:tr>
      <w:tr w:rsidR="009A356E" w:rsidRPr="00C65C2B" w14:paraId="0B021EE7" w14:textId="77777777" w:rsidTr="009A356E">
        <w:trPr>
          <w:trHeight w:val="240"/>
        </w:trPr>
        <w:tc>
          <w:tcPr>
            <w:tcW w:w="1211" w:type="pct"/>
            <w:tcBorders>
              <w:top w:val="nil"/>
              <w:left w:val="single" w:sz="4" w:space="0" w:color="auto"/>
              <w:bottom w:val="single" w:sz="4" w:space="0" w:color="auto"/>
              <w:right w:val="single" w:sz="4" w:space="0" w:color="auto"/>
            </w:tcBorders>
            <w:shd w:val="clear" w:color="auto" w:fill="auto"/>
            <w:noWrap/>
            <w:vAlign w:val="bottom"/>
            <w:hideMark/>
          </w:tcPr>
          <w:p w14:paraId="4812AFDA" w14:textId="77777777" w:rsidR="009A356E" w:rsidRPr="00C10545" w:rsidRDefault="009A356E" w:rsidP="009A356E">
            <w:pPr>
              <w:rPr>
                <w:sz w:val="18"/>
                <w:szCs w:val="18"/>
                <w:lang w:eastAsia="en-AU"/>
              </w:rPr>
            </w:pPr>
            <w:r w:rsidRPr="00C10545">
              <w:rPr>
                <w:sz w:val="18"/>
                <w:szCs w:val="18"/>
                <w:lang w:eastAsia="en-AU"/>
              </w:rPr>
              <w:t>Corangamite</w:t>
            </w:r>
          </w:p>
        </w:tc>
        <w:tc>
          <w:tcPr>
            <w:tcW w:w="652" w:type="pct"/>
            <w:tcBorders>
              <w:top w:val="nil"/>
              <w:left w:val="nil"/>
              <w:bottom w:val="single" w:sz="4" w:space="0" w:color="auto"/>
              <w:right w:val="single" w:sz="4" w:space="0" w:color="auto"/>
            </w:tcBorders>
            <w:shd w:val="clear" w:color="auto" w:fill="auto"/>
            <w:noWrap/>
            <w:vAlign w:val="bottom"/>
            <w:hideMark/>
          </w:tcPr>
          <w:p w14:paraId="0FF10F32" w14:textId="77777777" w:rsidR="009A356E" w:rsidRPr="00C10545" w:rsidRDefault="009A356E" w:rsidP="009A356E">
            <w:pPr>
              <w:jc w:val="right"/>
              <w:rPr>
                <w:sz w:val="18"/>
                <w:szCs w:val="18"/>
                <w:lang w:eastAsia="en-AU"/>
              </w:rPr>
            </w:pPr>
            <w:r w:rsidRPr="00C10545">
              <w:rPr>
                <w:sz w:val="18"/>
                <w:szCs w:val="18"/>
                <w:lang w:eastAsia="en-AU"/>
              </w:rPr>
              <w:t>-3.4%</w:t>
            </w:r>
          </w:p>
        </w:tc>
        <w:tc>
          <w:tcPr>
            <w:tcW w:w="652" w:type="pct"/>
            <w:tcBorders>
              <w:top w:val="nil"/>
              <w:left w:val="nil"/>
              <w:bottom w:val="single" w:sz="4" w:space="0" w:color="auto"/>
              <w:right w:val="single" w:sz="4" w:space="0" w:color="auto"/>
            </w:tcBorders>
            <w:shd w:val="clear" w:color="auto" w:fill="auto"/>
            <w:noWrap/>
            <w:vAlign w:val="bottom"/>
            <w:hideMark/>
          </w:tcPr>
          <w:p w14:paraId="2DE0B234" w14:textId="77777777" w:rsidR="009A356E" w:rsidRPr="00C10545" w:rsidRDefault="009A356E" w:rsidP="009A356E">
            <w:pPr>
              <w:jc w:val="right"/>
              <w:rPr>
                <w:sz w:val="18"/>
                <w:szCs w:val="18"/>
                <w:lang w:eastAsia="en-AU"/>
              </w:rPr>
            </w:pPr>
            <w:r w:rsidRPr="00C10545">
              <w:rPr>
                <w:sz w:val="18"/>
                <w:szCs w:val="18"/>
                <w:lang w:eastAsia="en-AU"/>
              </w:rPr>
              <w:t>-3.6%</w:t>
            </w:r>
          </w:p>
        </w:tc>
        <w:tc>
          <w:tcPr>
            <w:tcW w:w="652" w:type="pct"/>
            <w:tcBorders>
              <w:top w:val="nil"/>
              <w:left w:val="nil"/>
              <w:bottom w:val="single" w:sz="4" w:space="0" w:color="auto"/>
              <w:right w:val="single" w:sz="4" w:space="0" w:color="auto"/>
            </w:tcBorders>
            <w:shd w:val="clear" w:color="auto" w:fill="auto"/>
            <w:noWrap/>
            <w:vAlign w:val="bottom"/>
            <w:hideMark/>
          </w:tcPr>
          <w:p w14:paraId="202141D8" w14:textId="77777777" w:rsidR="009A356E" w:rsidRPr="00C10545" w:rsidRDefault="009A356E" w:rsidP="009A356E">
            <w:pPr>
              <w:jc w:val="right"/>
              <w:rPr>
                <w:sz w:val="18"/>
                <w:szCs w:val="18"/>
                <w:lang w:eastAsia="en-AU"/>
              </w:rPr>
            </w:pPr>
            <w:r w:rsidRPr="00C10545">
              <w:rPr>
                <w:sz w:val="18"/>
                <w:szCs w:val="18"/>
                <w:lang w:eastAsia="en-AU"/>
              </w:rPr>
              <w:t>18.7%</w:t>
            </w:r>
          </w:p>
        </w:tc>
        <w:tc>
          <w:tcPr>
            <w:tcW w:w="611" w:type="pct"/>
            <w:tcBorders>
              <w:top w:val="nil"/>
              <w:left w:val="nil"/>
              <w:bottom w:val="single" w:sz="4" w:space="0" w:color="auto"/>
              <w:right w:val="single" w:sz="4" w:space="0" w:color="auto"/>
            </w:tcBorders>
            <w:shd w:val="clear" w:color="auto" w:fill="auto"/>
            <w:noWrap/>
            <w:vAlign w:val="bottom"/>
            <w:hideMark/>
          </w:tcPr>
          <w:p w14:paraId="36E7C3DA" w14:textId="77777777" w:rsidR="009A356E" w:rsidRPr="00C10545" w:rsidRDefault="009A356E" w:rsidP="009A356E">
            <w:pPr>
              <w:jc w:val="right"/>
              <w:rPr>
                <w:sz w:val="18"/>
                <w:szCs w:val="18"/>
                <w:lang w:eastAsia="en-AU"/>
              </w:rPr>
            </w:pPr>
            <w:r w:rsidRPr="00C10545">
              <w:rPr>
                <w:sz w:val="18"/>
                <w:szCs w:val="18"/>
                <w:lang w:eastAsia="en-AU"/>
              </w:rPr>
              <w:t>7.1%</w:t>
            </w:r>
          </w:p>
        </w:tc>
        <w:tc>
          <w:tcPr>
            <w:tcW w:w="611" w:type="pct"/>
            <w:tcBorders>
              <w:top w:val="nil"/>
              <w:left w:val="nil"/>
              <w:bottom w:val="single" w:sz="4" w:space="0" w:color="auto"/>
              <w:right w:val="single" w:sz="4" w:space="0" w:color="auto"/>
            </w:tcBorders>
            <w:shd w:val="clear" w:color="auto" w:fill="auto"/>
            <w:noWrap/>
            <w:vAlign w:val="bottom"/>
            <w:hideMark/>
          </w:tcPr>
          <w:p w14:paraId="74514780" w14:textId="77777777" w:rsidR="009A356E" w:rsidRPr="00C10545" w:rsidRDefault="009A356E" w:rsidP="009A356E">
            <w:pPr>
              <w:jc w:val="right"/>
              <w:rPr>
                <w:sz w:val="18"/>
                <w:szCs w:val="18"/>
                <w:lang w:eastAsia="en-AU"/>
              </w:rPr>
            </w:pPr>
            <w:r w:rsidRPr="00C10545">
              <w:rPr>
                <w:sz w:val="18"/>
                <w:szCs w:val="18"/>
                <w:lang w:eastAsia="en-AU"/>
              </w:rPr>
              <w:t>1.6%</w:t>
            </w:r>
          </w:p>
        </w:tc>
        <w:tc>
          <w:tcPr>
            <w:tcW w:w="611" w:type="pct"/>
            <w:tcBorders>
              <w:top w:val="nil"/>
              <w:left w:val="nil"/>
              <w:bottom w:val="single" w:sz="4" w:space="0" w:color="auto"/>
              <w:right w:val="single" w:sz="4" w:space="0" w:color="auto"/>
            </w:tcBorders>
            <w:shd w:val="clear" w:color="auto" w:fill="auto"/>
            <w:noWrap/>
            <w:vAlign w:val="bottom"/>
            <w:hideMark/>
          </w:tcPr>
          <w:p w14:paraId="6D30FA60" w14:textId="77777777" w:rsidR="009A356E" w:rsidRPr="00C10545" w:rsidRDefault="009A356E" w:rsidP="009A356E">
            <w:pPr>
              <w:jc w:val="right"/>
              <w:rPr>
                <w:sz w:val="18"/>
                <w:szCs w:val="18"/>
                <w:lang w:eastAsia="en-AU"/>
              </w:rPr>
            </w:pPr>
            <w:r w:rsidRPr="00C10545">
              <w:rPr>
                <w:sz w:val="18"/>
                <w:szCs w:val="18"/>
                <w:lang w:eastAsia="en-AU"/>
              </w:rPr>
              <w:t>-0.9%</w:t>
            </w:r>
          </w:p>
        </w:tc>
      </w:tr>
      <w:tr w:rsidR="009A356E" w:rsidRPr="00C65C2B" w14:paraId="36D0FEC5" w14:textId="77777777" w:rsidTr="009A356E">
        <w:trPr>
          <w:trHeight w:val="240"/>
        </w:trPr>
        <w:tc>
          <w:tcPr>
            <w:tcW w:w="1211" w:type="pct"/>
            <w:tcBorders>
              <w:top w:val="nil"/>
              <w:left w:val="single" w:sz="4" w:space="0" w:color="auto"/>
              <w:bottom w:val="single" w:sz="4" w:space="0" w:color="auto"/>
              <w:right w:val="single" w:sz="4" w:space="0" w:color="auto"/>
            </w:tcBorders>
            <w:shd w:val="clear" w:color="auto" w:fill="auto"/>
            <w:noWrap/>
            <w:vAlign w:val="bottom"/>
            <w:hideMark/>
          </w:tcPr>
          <w:p w14:paraId="6B68384A" w14:textId="77777777" w:rsidR="009A356E" w:rsidRPr="00C10545" w:rsidRDefault="009A356E" w:rsidP="009A356E">
            <w:pPr>
              <w:rPr>
                <w:sz w:val="18"/>
                <w:szCs w:val="18"/>
                <w:lang w:eastAsia="en-AU"/>
              </w:rPr>
            </w:pPr>
            <w:r w:rsidRPr="00C10545">
              <w:rPr>
                <w:sz w:val="18"/>
                <w:szCs w:val="18"/>
                <w:lang w:eastAsia="en-AU"/>
              </w:rPr>
              <w:t>Mitchell</w:t>
            </w:r>
          </w:p>
        </w:tc>
        <w:tc>
          <w:tcPr>
            <w:tcW w:w="652" w:type="pct"/>
            <w:tcBorders>
              <w:top w:val="nil"/>
              <w:left w:val="nil"/>
              <w:bottom w:val="single" w:sz="4" w:space="0" w:color="auto"/>
              <w:right w:val="single" w:sz="4" w:space="0" w:color="auto"/>
            </w:tcBorders>
            <w:shd w:val="clear" w:color="auto" w:fill="auto"/>
            <w:noWrap/>
            <w:vAlign w:val="bottom"/>
            <w:hideMark/>
          </w:tcPr>
          <w:p w14:paraId="18446DD0" w14:textId="77777777" w:rsidR="009A356E" w:rsidRPr="00C10545" w:rsidRDefault="009A356E" w:rsidP="009A356E">
            <w:pPr>
              <w:jc w:val="right"/>
              <w:rPr>
                <w:sz w:val="18"/>
                <w:szCs w:val="18"/>
                <w:lang w:eastAsia="en-AU"/>
              </w:rPr>
            </w:pPr>
            <w:r w:rsidRPr="00C10545">
              <w:rPr>
                <w:sz w:val="18"/>
                <w:szCs w:val="18"/>
                <w:lang w:eastAsia="en-AU"/>
              </w:rPr>
              <w:t>-4.4%</w:t>
            </w:r>
          </w:p>
        </w:tc>
        <w:tc>
          <w:tcPr>
            <w:tcW w:w="652" w:type="pct"/>
            <w:tcBorders>
              <w:top w:val="nil"/>
              <w:left w:val="nil"/>
              <w:bottom w:val="single" w:sz="4" w:space="0" w:color="auto"/>
              <w:right w:val="single" w:sz="4" w:space="0" w:color="auto"/>
            </w:tcBorders>
            <w:shd w:val="clear" w:color="auto" w:fill="auto"/>
            <w:noWrap/>
            <w:vAlign w:val="bottom"/>
            <w:hideMark/>
          </w:tcPr>
          <w:p w14:paraId="143592DE" w14:textId="77777777" w:rsidR="009A356E" w:rsidRPr="00C10545" w:rsidRDefault="009A356E" w:rsidP="009A356E">
            <w:pPr>
              <w:jc w:val="right"/>
              <w:rPr>
                <w:sz w:val="18"/>
                <w:szCs w:val="18"/>
                <w:lang w:eastAsia="en-AU"/>
              </w:rPr>
            </w:pPr>
            <w:r w:rsidRPr="00C10545">
              <w:rPr>
                <w:sz w:val="18"/>
                <w:szCs w:val="18"/>
                <w:lang w:eastAsia="en-AU"/>
              </w:rPr>
              <w:t>2.1%</w:t>
            </w:r>
          </w:p>
        </w:tc>
        <w:tc>
          <w:tcPr>
            <w:tcW w:w="652" w:type="pct"/>
            <w:tcBorders>
              <w:top w:val="nil"/>
              <w:left w:val="nil"/>
              <w:bottom w:val="single" w:sz="4" w:space="0" w:color="auto"/>
              <w:right w:val="single" w:sz="4" w:space="0" w:color="auto"/>
            </w:tcBorders>
            <w:shd w:val="clear" w:color="auto" w:fill="auto"/>
            <w:noWrap/>
            <w:vAlign w:val="bottom"/>
            <w:hideMark/>
          </w:tcPr>
          <w:p w14:paraId="664FFB01" w14:textId="77777777" w:rsidR="009A356E" w:rsidRPr="00C10545" w:rsidRDefault="009A356E" w:rsidP="009A356E">
            <w:pPr>
              <w:jc w:val="right"/>
              <w:rPr>
                <w:sz w:val="18"/>
                <w:szCs w:val="18"/>
                <w:lang w:eastAsia="en-AU"/>
              </w:rPr>
            </w:pPr>
            <w:r w:rsidRPr="00C10545">
              <w:rPr>
                <w:sz w:val="18"/>
                <w:szCs w:val="18"/>
                <w:lang w:eastAsia="en-AU"/>
              </w:rPr>
              <w:t>1.0%</w:t>
            </w:r>
          </w:p>
        </w:tc>
        <w:tc>
          <w:tcPr>
            <w:tcW w:w="611" w:type="pct"/>
            <w:tcBorders>
              <w:top w:val="nil"/>
              <w:left w:val="nil"/>
              <w:bottom w:val="single" w:sz="4" w:space="0" w:color="auto"/>
              <w:right w:val="single" w:sz="4" w:space="0" w:color="auto"/>
            </w:tcBorders>
            <w:shd w:val="clear" w:color="auto" w:fill="auto"/>
            <w:noWrap/>
            <w:vAlign w:val="bottom"/>
            <w:hideMark/>
          </w:tcPr>
          <w:p w14:paraId="255D4396" w14:textId="77777777" w:rsidR="009A356E" w:rsidRPr="00C10545" w:rsidRDefault="009A356E" w:rsidP="009A356E">
            <w:pPr>
              <w:jc w:val="right"/>
              <w:rPr>
                <w:sz w:val="18"/>
                <w:szCs w:val="18"/>
                <w:lang w:eastAsia="en-AU"/>
              </w:rPr>
            </w:pPr>
            <w:r w:rsidRPr="00C10545">
              <w:rPr>
                <w:sz w:val="18"/>
                <w:szCs w:val="18"/>
                <w:lang w:eastAsia="en-AU"/>
              </w:rPr>
              <w:t>-0.5%</w:t>
            </w:r>
          </w:p>
        </w:tc>
        <w:tc>
          <w:tcPr>
            <w:tcW w:w="611" w:type="pct"/>
            <w:tcBorders>
              <w:top w:val="nil"/>
              <w:left w:val="nil"/>
              <w:bottom w:val="single" w:sz="4" w:space="0" w:color="auto"/>
              <w:right w:val="single" w:sz="4" w:space="0" w:color="auto"/>
            </w:tcBorders>
            <w:shd w:val="clear" w:color="auto" w:fill="auto"/>
            <w:noWrap/>
            <w:vAlign w:val="bottom"/>
            <w:hideMark/>
          </w:tcPr>
          <w:p w14:paraId="05F68C64" w14:textId="77777777" w:rsidR="009A356E" w:rsidRPr="00C10545" w:rsidRDefault="009A356E" w:rsidP="009A356E">
            <w:pPr>
              <w:jc w:val="right"/>
              <w:rPr>
                <w:sz w:val="18"/>
                <w:szCs w:val="18"/>
                <w:lang w:eastAsia="en-AU"/>
              </w:rPr>
            </w:pPr>
            <w:r w:rsidRPr="00C10545">
              <w:rPr>
                <w:sz w:val="18"/>
                <w:szCs w:val="18"/>
                <w:lang w:eastAsia="en-AU"/>
              </w:rPr>
              <w:t>-2.7%</w:t>
            </w:r>
          </w:p>
        </w:tc>
        <w:tc>
          <w:tcPr>
            <w:tcW w:w="611" w:type="pct"/>
            <w:tcBorders>
              <w:top w:val="nil"/>
              <w:left w:val="nil"/>
              <w:bottom w:val="single" w:sz="4" w:space="0" w:color="auto"/>
              <w:right w:val="single" w:sz="4" w:space="0" w:color="auto"/>
            </w:tcBorders>
            <w:shd w:val="clear" w:color="auto" w:fill="auto"/>
            <w:noWrap/>
            <w:vAlign w:val="bottom"/>
            <w:hideMark/>
          </w:tcPr>
          <w:p w14:paraId="5E7482F6" w14:textId="77777777" w:rsidR="009A356E" w:rsidRPr="00C10545" w:rsidRDefault="009A356E" w:rsidP="009A356E">
            <w:pPr>
              <w:jc w:val="right"/>
              <w:rPr>
                <w:sz w:val="18"/>
                <w:szCs w:val="18"/>
                <w:lang w:eastAsia="en-AU"/>
              </w:rPr>
            </w:pPr>
            <w:r w:rsidRPr="00C10545">
              <w:rPr>
                <w:sz w:val="18"/>
                <w:szCs w:val="18"/>
                <w:lang w:eastAsia="en-AU"/>
              </w:rPr>
              <w:t>-2.4%</w:t>
            </w:r>
          </w:p>
        </w:tc>
      </w:tr>
      <w:tr w:rsidR="009A356E" w:rsidRPr="00C65C2B" w14:paraId="3312A82A" w14:textId="77777777" w:rsidTr="009A356E">
        <w:trPr>
          <w:trHeight w:val="240"/>
        </w:trPr>
        <w:tc>
          <w:tcPr>
            <w:tcW w:w="1211" w:type="pct"/>
            <w:tcBorders>
              <w:top w:val="nil"/>
              <w:left w:val="single" w:sz="4" w:space="0" w:color="auto"/>
              <w:bottom w:val="single" w:sz="4" w:space="0" w:color="auto"/>
              <w:right w:val="single" w:sz="4" w:space="0" w:color="auto"/>
            </w:tcBorders>
            <w:shd w:val="clear" w:color="auto" w:fill="auto"/>
            <w:noWrap/>
            <w:vAlign w:val="bottom"/>
            <w:hideMark/>
          </w:tcPr>
          <w:p w14:paraId="0ACA9885" w14:textId="77777777" w:rsidR="009A356E" w:rsidRPr="00C10545" w:rsidRDefault="009A356E" w:rsidP="009A356E">
            <w:pPr>
              <w:rPr>
                <w:sz w:val="18"/>
                <w:szCs w:val="18"/>
                <w:lang w:eastAsia="en-AU"/>
              </w:rPr>
            </w:pPr>
            <w:r w:rsidRPr="00C10545">
              <w:rPr>
                <w:sz w:val="18"/>
                <w:szCs w:val="18"/>
                <w:lang w:eastAsia="en-AU"/>
              </w:rPr>
              <w:t>Moira</w:t>
            </w:r>
          </w:p>
        </w:tc>
        <w:tc>
          <w:tcPr>
            <w:tcW w:w="652" w:type="pct"/>
            <w:tcBorders>
              <w:top w:val="nil"/>
              <w:left w:val="nil"/>
              <w:bottom w:val="single" w:sz="4" w:space="0" w:color="auto"/>
              <w:right w:val="single" w:sz="4" w:space="0" w:color="auto"/>
            </w:tcBorders>
            <w:shd w:val="clear" w:color="auto" w:fill="auto"/>
            <w:noWrap/>
            <w:vAlign w:val="bottom"/>
            <w:hideMark/>
          </w:tcPr>
          <w:p w14:paraId="1949EEB3" w14:textId="77777777" w:rsidR="009A356E" w:rsidRPr="00C10545" w:rsidRDefault="009A356E" w:rsidP="009A356E">
            <w:pPr>
              <w:jc w:val="right"/>
              <w:rPr>
                <w:sz w:val="18"/>
                <w:szCs w:val="18"/>
                <w:lang w:eastAsia="en-AU"/>
              </w:rPr>
            </w:pPr>
            <w:r w:rsidRPr="00C10545">
              <w:rPr>
                <w:sz w:val="18"/>
                <w:szCs w:val="18"/>
                <w:lang w:eastAsia="en-AU"/>
              </w:rPr>
              <w:t>-5.2%</w:t>
            </w:r>
          </w:p>
        </w:tc>
        <w:tc>
          <w:tcPr>
            <w:tcW w:w="652" w:type="pct"/>
            <w:tcBorders>
              <w:top w:val="nil"/>
              <w:left w:val="nil"/>
              <w:bottom w:val="single" w:sz="4" w:space="0" w:color="auto"/>
              <w:right w:val="single" w:sz="4" w:space="0" w:color="auto"/>
            </w:tcBorders>
            <w:shd w:val="clear" w:color="auto" w:fill="auto"/>
            <w:noWrap/>
            <w:vAlign w:val="bottom"/>
            <w:hideMark/>
          </w:tcPr>
          <w:p w14:paraId="44570E56" w14:textId="77777777" w:rsidR="009A356E" w:rsidRPr="00C10545" w:rsidRDefault="009A356E" w:rsidP="009A356E">
            <w:pPr>
              <w:jc w:val="right"/>
              <w:rPr>
                <w:sz w:val="18"/>
                <w:szCs w:val="18"/>
                <w:lang w:eastAsia="en-AU"/>
              </w:rPr>
            </w:pPr>
            <w:r w:rsidRPr="00C10545">
              <w:rPr>
                <w:sz w:val="18"/>
                <w:szCs w:val="18"/>
                <w:lang w:eastAsia="en-AU"/>
              </w:rPr>
              <w:t>0.5%</w:t>
            </w:r>
          </w:p>
        </w:tc>
        <w:tc>
          <w:tcPr>
            <w:tcW w:w="652" w:type="pct"/>
            <w:tcBorders>
              <w:top w:val="nil"/>
              <w:left w:val="nil"/>
              <w:bottom w:val="single" w:sz="4" w:space="0" w:color="auto"/>
              <w:right w:val="single" w:sz="4" w:space="0" w:color="auto"/>
            </w:tcBorders>
            <w:shd w:val="clear" w:color="auto" w:fill="auto"/>
            <w:noWrap/>
            <w:vAlign w:val="bottom"/>
            <w:hideMark/>
          </w:tcPr>
          <w:p w14:paraId="5ACDD3C1" w14:textId="77777777" w:rsidR="009A356E" w:rsidRPr="00C10545" w:rsidRDefault="009A356E" w:rsidP="009A356E">
            <w:pPr>
              <w:jc w:val="right"/>
              <w:rPr>
                <w:sz w:val="18"/>
                <w:szCs w:val="18"/>
                <w:lang w:eastAsia="en-AU"/>
              </w:rPr>
            </w:pPr>
            <w:r w:rsidRPr="00C10545">
              <w:rPr>
                <w:sz w:val="18"/>
                <w:szCs w:val="18"/>
                <w:lang w:eastAsia="en-AU"/>
              </w:rPr>
              <w:t>2.1%</w:t>
            </w:r>
          </w:p>
        </w:tc>
        <w:tc>
          <w:tcPr>
            <w:tcW w:w="611" w:type="pct"/>
            <w:tcBorders>
              <w:top w:val="nil"/>
              <w:left w:val="nil"/>
              <w:bottom w:val="single" w:sz="4" w:space="0" w:color="auto"/>
              <w:right w:val="single" w:sz="4" w:space="0" w:color="auto"/>
            </w:tcBorders>
            <w:shd w:val="clear" w:color="auto" w:fill="auto"/>
            <w:noWrap/>
            <w:vAlign w:val="bottom"/>
            <w:hideMark/>
          </w:tcPr>
          <w:p w14:paraId="25417D24" w14:textId="77777777" w:rsidR="009A356E" w:rsidRPr="00C10545" w:rsidRDefault="009A356E" w:rsidP="009A356E">
            <w:pPr>
              <w:jc w:val="right"/>
              <w:rPr>
                <w:sz w:val="18"/>
                <w:szCs w:val="18"/>
                <w:lang w:eastAsia="en-AU"/>
              </w:rPr>
            </w:pPr>
            <w:r w:rsidRPr="00C10545">
              <w:rPr>
                <w:sz w:val="18"/>
                <w:szCs w:val="18"/>
                <w:lang w:eastAsia="en-AU"/>
              </w:rPr>
              <w:t>5.5%</w:t>
            </w:r>
          </w:p>
        </w:tc>
        <w:tc>
          <w:tcPr>
            <w:tcW w:w="611" w:type="pct"/>
            <w:tcBorders>
              <w:top w:val="nil"/>
              <w:left w:val="nil"/>
              <w:bottom w:val="single" w:sz="4" w:space="0" w:color="auto"/>
              <w:right w:val="single" w:sz="4" w:space="0" w:color="auto"/>
            </w:tcBorders>
            <w:shd w:val="clear" w:color="auto" w:fill="auto"/>
            <w:noWrap/>
            <w:vAlign w:val="bottom"/>
            <w:hideMark/>
          </w:tcPr>
          <w:p w14:paraId="5C6A8260" w14:textId="77777777" w:rsidR="009A356E" w:rsidRPr="00C10545" w:rsidRDefault="009A356E" w:rsidP="009A356E">
            <w:pPr>
              <w:jc w:val="right"/>
              <w:rPr>
                <w:sz w:val="18"/>
                <w:szCs w:val="18"/>
                <w:lang w:eastAsia="en-AU"/>
              </w:rPr>
            </w:pPr>
            <w:r w:rsidRPr="00C10545">
              <w:rPr>
                <w:sz w:val="18"/>
                <w:szCs w:val="18"/>
                <w:lang w:eastAsia="en-AU"/>
              </w:rPr>
              <w:t>-0.4%</w:t>
            </w:r>
          </w:p>
        </w:tc>
        <w:tc>
          <w:tcPr>
            <w:tcW w:w="611" w:type="pct"/>
            <w:tcBorders>
              <w:top w:val="nil"/>
              <w:left w:val="nil"/>
              <w:bottom w:val="single" w:sz="4" w:space="0" w:color="auto"/>
              <w:right w:val="single" w:sz="4" w:space="0" w:color="auto"/>
            </w:tcBorders>
            <w:shd w:val="clear" w:color="auto" w:fill="auto"/>
            <w:noWrap/>
            <w:vAlign w:val="bottom"/>
            <w:hideMark/>
          </w:tcPr>
          <w:p w14:paraId="7D1894D5" w14:textId="77777777" w:rsidR="009A356E" w:rsidRPr="00C10545" w:rsidRDefault="009A356E" w:rsidP="009A356E">
            <w:pPr>
              <w:jc w:val="right"/>
              <w:rPr>
                <w:sz w:val="18"/>
                <w:szCs w:val="18"/>
                <w:lang w:eastAsia="en-AU"/>
              </w:rPr>
            </w:pPr>
            <w:r w:rsidRPr="00C10545">
              <w:rPr>
                <w:sz w:val="18"/>
                <w:szCs w:val="18"/>
                <w:lang w:eastAsia="en-AU"/>
              </w:rPr>
              <w:t>-2.4%</w:t>
            </w:r>
          </w:p>
        </w:tc>
      </w:tr>
      <w:tr w:rsidR="009A356E" w:rsidRPr="00C65C2B" w14:paraId="0171E285" w14:textId="77777777" w:rsidTr="009A356E">
        <w:trPr>
          <w:trHeight w:val="240"/>
        </w:trPr>
        <w:tc>
          <w:tcPr>
            <w:tcW w:w="1211" w:type="pct"/>
            <w:tcBorders>
              <w:top w:val="nil"/>
              <w:left w:val="single" w:sz="4" w:space="0" w:color="auto"/>
              <w:bottom w:val="single" w:sz="4" w:space="0" w:color="auto"/>
              <w:right w:val="single" w:sz="4" w:space="0" w:color="auto"/>
            </w:tcBorders>
            <w:shd w:val="clear" w:color="auto" w:fill="auto"/>
            <w:noWrap/>
            <w:vAlign w:val="bottom"/>
            <w:hideMark/>
          </w:tcPr>
          <w:p w14:paraId="6DCA259A" w14:textId="77777777" w:rsidR="009A356E" w:rsidRPr="00C10545" w:rsidRDefault="009A356E" w:rsidP="009A356E">
            <w:pPr>
              <w:rPr>
                <w:sz w:val="18"/>
                <w:szCs w:val="18"/>
                <w:lang w:eastAsia="en-AU"/>
              </w:rPr>
            </w:pPr>
            <w:r w:rsidRPr="00C10545">
              <w:rPr>
                <w:sz w:val="18"/>
                <w:szCs w:val="18"/>
                <w:lang w:eastAsia="en-AU"/>
              </w:rPr>
              <w:t>Moorabool</w:t>
            </w:r>
          </w:p>
        </w:tc>
        <w:tc>
          <w:tcPr>
            <w:tcW w:w="652" w:type="pct"/>
            <w:tcBorders>
              <w:top w:val="nil"/>
              <w:left w:val="nil"/>
              <w:bottom w:val="single" w:sz="4" w:space="0" w:color="auto"/>
              <w:right w:val="single" w:sz="4" w:space="0" w:color="auto"/>
            </w:tcBorders>
            <w:shd w:val="clear" w:color="auto" w:fill="auto"/>
            <w:noWrap/>
            <w:vAlign w:val="bottom"/>
            <w:hideMark/>
          </w:tcPr>
          <w:p w14:paraId="7F1176AF" w14:textId="77777777" w:rsidR="009A356E" w:rsidRPr="00C10545" w:rsidRDefault="009A356E" w:rsidP="009A356E">
            <w:pPr>
              <w:jc w:val="right"/>
              <w:rPr>
                <w:sz w:val="18"/>
                <w:szCs w:val="18"/>
                <w:lang w:eastAsia="en-AU"/>
              </w:rPr>
            </w:pPr>
            <w:r w:rsidRPr="00C10545">
              <w:rPr>
                <w:sz w:val="18"/>
                <w:szCs w:val="18"/>
                <w:lang w:eastAsia="en-AU"/>
              </w:rPr>
              <w:t>-7.0%</w:t>
            </w:r>
          </w:p>
        </w:tc>
        <w:tc>
          <w:tcPr>
            <w:tcW w:w="652" w:type="pct"/>
            <w:tcBorders>
              <w:top w:val="nil"/>
              <w:left w:val="nil"/>
              <w:bottom w:val="single" w:sz="4" w:space="0" w:color="auto"/>
              <w:right w:val="single" w:sz="4" w:space="0" w:color="auto"/>
            </w:tcBorders>
            <w:shd w:val="clear" w:color="auto" w:fill="auto"/>
            <w:noWrap/>
            <w:vAlign w:val="bottom"/>
            <w:hideMark/>
          </w:tcPr>
          <w:p w14:paraId="5C030D6F" w14:textId="77777777" w:rsidR="009A356E" w:rsidRPr="00C10545" w:rsidRDefault="009A356E" w:rsidP="009A356E">
            <w:pPr>
              <w:jc w:val="right"/>
              <w:rPr>
                <w:sz w:val="18"/>
                <w:szCs w:val="18"/>
                <w:lang w:eastAsia="en-AU"/>
              </w:rPr>
            </w:pPr>
            <w:r w:rsidRPr="00C10545">
              <w:rPr>
                <w:sz w:val="18"/>
                <w:szCs w:val="18"/>
                <w:lang w:eastAsia="en-AU"/>
              </w:rPr>
              <w:t>9.1%</w:t>
            </w:r>
          </w:p>
        </w:tc>
        <w:tc>
          <w:tcPr>
            <w:tcW w:w="652" w:type="pct"/>
            <w:tcBorders>
              <w:top w:val="nil"/>
              <w:left w:val="nil"/>
              <w:bottom w:val="single" w:sz="4" w:space="0" w:color="auto"/>
              <w:right w:val="single" w:sz="4" w:space="0" w:color="auto"/>
            </w:tcBorders>
            <w:shd w:val="clear" w:color="auto" w:fill="auto"/>
            <w:noWrap/>
            <w:vAlign w:val="bottom"/>
            <w:hideMark/>
          </w:tcPr>
          <w:p w14:paraId="7C2750E2" w14:textId="77777777" w:rsidR="009A356E" w:rsidRPr="00C10545" w:rsidRDefault="009A356E" w:rsidP="009A356E">
            <w:pPr>
              <w:jc w:val="right"/>
              <w:rPr>
                <w:sz w:val="18"/>
                <w:szCs w:val="18"/>
                <w:lang w:eastAsia="en-AU"/>
              </w:rPr>
            </w:pPr>
            <w:r w:rsidRPr="00C10545">
              <w:rPr>
                <w:sz w:val="18"/>
                <w:szCs w:val="18"/>
                <w:lang w:eastAsia="en-AU"/>
              </w:rPr>
              <w:t>1.2%</w:t>
            </w:r>
          </w:p>
        </w:tc>
        <w:tc>
          <w:tcPr>
            <w:tcW w:w="611" w:type="pct"/>
            <w:tcBorders>
              <w:top w:val="nil"/>
              <w:left w:val="nil"/>
              <w:bottom w:val="single" w:sz="4" w:space="0" w:color="auto"/>
              <w:right w:val="single" w:sz="4" w:space="0" w:color="auto"/>
            </w:tcBorders>
            <w:shd w:val="clear" w:color="auto" w:fill="auto"/>
            <w:noWrap/>
            <w:vAlign w:val="bottom"/>
            <w:hideMark/>
          </w:tcPr>
          <w:p w14:paraId="0B56EE15" w14:textId="77777777" w:rsidR="009A356E" w:rsidRPr="00C10545" w:rsidRDefault="009A356E" w:rsidP="009A356E">
            <w:pPr>
              <w:jc w:val="right"/>
              <w:rPr>
                <w:sz w:val="18"/>
                <w:szCs w:val="18"/>
                <w:lang w:eastAsia="en-AU"/>
              </w:rPr>
            </w:pPr>
            <w:r w:rsidRPr="00C10545">
              <w:rPr>
                <w:sz w:val="18"/>
                <w:szCs w:val="18"/>
                <w:lang w:eastAsia="en-AU"/>
              </w:rPr>
              <w:t>2.5%</w:t>
            </w:r>
          </w:p>
        </w:tc>
        <w:tc>
          <w:tcPr>
            <w:tcW w:w="611" w:type="pct"/>
            <w:tcBorders>
              <w:top w:val="nil"/>
              <w:left w:val="nil"/>
              <w:bottom w:val="single" w:sz="4" w:space="0" w:color="auto"/>
              <w:right w:val="single" w:sz="4" w:space="0" w:color="auto"/>
            </w:tcBorders>
            <w:shd w:val="clear" w:color="auto" w:fill="auto"/>
            <w:noWrap/>
            <w:vAlign w:val="bottom"/>
            <w:hideMark/>
          </w:tcPr>
          <w:p w14:paraId="20F85866" w14:textId="77777777" w:rsidR="009A356E" w:rsidRPr="00C10545" w:rsidRDefault="009A356E" w:rsidP="009A356E">
            <w:pPr>
              <w:jc w:val="right"/>
              <w:rPr>
                <w:sz w:val="18"/>
                <w:szCs w:val="18"/>
                <w:lang w:eastAsia="en-AU"/>
              </w:rPr>
            </w:pPr>
            <w:r w:rsidRPr="00C10545">
              <w:rPr>
                <w:sz w:val="18"/>
                <w:szCs w:val="18"/>
                <w:lang w:eastAsia="en-AU"/>
              </w:rPr>
              <w:t>-3.0%</w:t>
            </w:r>
          </w:p>
        </w:tc>
        <w:tc>
          <w:tcPr>
            <w:tcW w:w="611" w:type="pct"/>
            <w:tcBorders>
              <w:top w:val="nil"/>
              <w:left w:val="nil"/>
              <w:bottom w:val="single" w:sz="4" w:space="0" w:color="auto"/>
              <w:right w:val="single" w:sz="4" w:space="0" w:color="auto"/>
            </w:tcBorders>
            <w:shd w:val="clear" w:color="auto" w:fill="auto"/>
            <w:noWrap/>
            <w:vAlign w:val="bottom"/>
            <w:hideMark/>
          </w:tcPr>
          <w:p w14:paraId="72640071" w14:textId="77777777" w:rsidR="009A356E" w:rsidRPr="00C10545" w:rsidRDefault="009A356E" w:rsidP="009A356E">
            <w:pPr>
              <w:jc w:val="right"/>
              <w:rPr>
                <w:sz w:val="18"/>
                <w:szCs w:val="18"/>
                <w:lang w:eastAsia="en-AU"/>
              </w:rPr>
            </w:pPr>
            <w:r w:rsidRPr="00C10545">
              <w:rPr>
                <w:sz w:val="18"/>
                <w:szCs w:val="18"/>
                <w:lang w:eastAsia="en-AU"/>
              </w:rPr>
              <w:t>-3.3%</w:t>
            </w:r>
          </w:p>
        </w:tc>
      </w:tr>
      <w:tr w:rsidR="009A356E" w:rsidRPr="00C65C2B" w14:paraId="4D806DD6" w14:textId="77777777" w:rsidTr="009A356E">
        <w:trPr>
          <w:trHeight w:val="240"/>
        </w:trPr>
        <w:tc>
          <w:tcPr>
            <w:tcW w:w="1211" w:type="pct"/>
            <w:tcBorders>
              <w:top w:val="nil"/>
              <w:left w:val="single" w:sz="4" w:space="0" w:color="auto"/>
              <w:bottom w:val="single" w:sz="4" w:space="0" w:color="auto"/>
              <w:right w:val="single" w:sz="4" w:space="0" w:color="auto"/>
            </w:tcBorders>
            <w:shd w:val="clear" w:color="auto" w:fill="auto"/>
            <w:noWrap/>
            <w:vAlign w:val="bottom"/>
            <w:hideMark/>
          </w:tcPr>
          <w:p w14:paraId="090BB859" w14:textId="77777777" w:rsidR="009A356E" w:rsidRPr="00C10545" w:rsidRDefault="009A356E" w:rsidP="009A356E">
            <w:pPr>
              <w:rPr>
                <w:sz w:val="18"/>
                <w:szCs w:val="18"/>
                <w:lang w:eastAsia="en-AU"/>
              </w:rPr>
            </w:pPr>
            <w:r w:rsidRPr="00C10545">
              <w:rPr>
                <w:sz w:val="18"/>
                <w:szCs w:val="18"/>
                <w:lang w:eastAsia="en-AU"/>
              </w:rPr>
              <w:t>Murrindindi</w:t>
            </w:r>
          </w:p>
        </w:tc>
        <w:tc>
          <w:tcPr>
            <w:tcW w:w="652" w:type="pct"/>
            <w:tcBorders>
              <w:top w:val="nil"/>
              <w:left w:val="nil"/>
              <w:bottom w:val="single" w:sz="4" w:space="0" w:color="auto"/>
              <w:right w:val="single" w:sz="4" w:space="0" w:color="auto"/>
            </w:tcBorders>
            <w:shd w:val="clear" w:color="auto" w:fill="auto"/>
            <w:noWrap/>
            <w:vAlign w:val="bottom"/>
            <w:hideMark/>
          </w:tcPr>
          <w:p w14:paraId="21ABF25F" w14:textId="77777777" w:rsidR="009A356E" w:rsidRPr="00C10545" w:rsidRDefault="009A356E" w:rsidP="009A356E">
            <w:pPr>
              <w:jc w:val="right"/>
              <w:rPr>
                <w:sz w:val="18"/>
                <w:szCs w:val="18"/>
                <w:lang w:eastAsia="en-AU"/>
              </w:rPr>
            </w:pPr>
            <w:r w:rsidRPr="00C10545">
              <w:rPr>
                <w:sz w:val="18"/>
                <w:szCs w:val="18"/>
                <w:lang w:eastAsia="en-AU"/>
              </w:rPr>
              <w:t>-3.6%</w:t>
            </w:r>
          </w:p>
        </w:tc>
        <w:tc>
          <w:tcPr>
            <w:tcW w:w="652" w:type="pct"/>
            <w:tcBorders>
              <w:top w:val="nil"/>
              <w:left w:val="nil"/>
              <w:bottom w:val="single" w:sz="4" w:space="0" w:color="auto"/>
              <w:right w:val="single" w:sz="4" w:space="0" w:color="auto"/>
            </w:tcBorders>
            <w:shd w:val="clear" w:color="auto" w:fill="auto"/>
            <w:noWrap/>
            <w:vAlign w:val="bottom"/>
            <w:hideMark/>
          </w:tcPr>
          <w:p w14:paraId="5C7DE2CA" w14:textId="77777777" w:rsidR="009A356E" w:rsidRPr="00C10545" w:rsidRDefault="009A356E" w:rsidP="009A356E">
            <w:pPr>
              <w:jc w:val="right"/>
              <w:rPr>
                <w:sz w:val="18"/>
                <w:szCs w:val="18"/>
                <w:lang w:eastAsia="en-AU"/>
              </w:rPr>
            </w:pPr>
            <w:r w:rsidRPr="00C10545">
              <w:rPr>
                <w:sz w:val="18"/>
                <w:szCs w:val="18"/>
                <w:lang w:eastAsia="en-AU"/>
              </w:rPr>
              <w:t>-3.7%</w:t>
            </w:r>
          </w:p>
        </w:tc>
        <w:tc>
          <w:tcPr>
            <w:tcW w:w="652" w:type="pct"/>
            <w:tcBorders>
              <w:top w:val="nil"/>
              <w:left w:val="nil"/>
              <w:bottom w:val="single" w:sz="4" w:space="0" w:color="auto"/>
              <w:right w:val="single" w:sz="4" w:space="0" w:color="auto"/>
            </w:tcBorders>
            <w:shd w:val="clear" w:color="auto" w:fill="auto"/>
            <w:noWrap/>
            <w:vAlign w:val="bottom"/>
            <w:hideMark/>
          </w:tcPr>
          <w:p w14:paraId="64725162" w14:textId="77777777" w:rsidR="009A356E" w:rsidRPr="00C10545" w:rsidRDefault="009A356E" w:rsidP="009A356E">
            <w:pPr>
              <w:jc w:val="right"/>
              <w:rPr>
                <w:sz w:val="18"/>
                <w:szCs w:val="18"/>
                <w:lang w:eastAsia="en-AU"/>
              </w:rPr>
            </w:pPr>
            <w:r w:rsidRPr="00C10545">
              <w:rPr>
                <w:sz w:val="18"/>
                <w:szCs w:val="18"/>
                <w:lang w:eastAsia="en-AU"/>
              </w:rPr>
              <w:t>19.8%</w:t>
            </w:r>
          </w:p>
        </w:tc>
        <w:tc>
          <w:tcPr>
            <w:tcW w:w="611" w:type="pct"/>
            <w:tcBorders>
              <w:top w:val="nil"/>
              <w:left w:val="nil"/>
              <w:bottom w:val="single" w:sz="4" w:space="0" w:color="auto"/>
              <w:right w:val="single" w:sz="4" w:space="0" w:color="auto"/>
            </w:tcBorders>
            <w:shd w:val="clear" w:color="auto" w:fill="auto"/>
            <w:noWrap/>
            <w:vAlign w:val="bottom"/>
            <w:hideMark/>
          </w:tcPr>
          <w:p w14:paraId="10A917B6" w14:textId="77777777" w:rsidR="009A356E" w:rsidRPr="00C10545" w:rsidRDefault="009A356E" w:rsidP="009A356E">
            <w:pPr>
              <w:jc w:val="right"/>
              <w:rPr>
                <w:sz w:val="18"/>
                <w:szCs w:val="18"/>
                <w:lang w:eastAsia="en-AU"/>
              </w:rPr>
            </w:pPr>
            <w:r w:rsidRPr="00C10545">
              <w:rPr>
                <w:sz w:val="18"/>
                <w:szCs w:val="18"/>
                <w:lang w:eastAsia="en-AU"/>
              </w:rPr>
              <w:t>5.2%</w:t>
            </w:r>
          </w:p>
        </w:tc>
        <w:tc>
          <w:tcPr>
            <w:tcW w:w="611" w:type="pct"/>
            <w:tcBorders>
              <w:top w:val="nil"/>
              <w:left w:val="nil"/>
              <w:bottom w:val="single" w:sz="4" w:space="0" w:color="auto"/>
              <w:right w:val="single" w:sz="4" w:space="0" w:color="auto"/>
            </w:tcBorders>
            <w:shd w:val="clear" w:color="auto" w:fill="auto"/>
            <w:noWrap/>
            <w:vAlign w:val="bottom"/>
            <w:hideMark/>
          </w:tcPr>
          <w:p w14:paraId="41FF654D" w14:textId="77777777" w:rsidR="009A356E" w:rsidRPr="00C10545" w:rsidRDefault="009A356E" w:rsidP="009A356E">
            <w:pPr>
              <w:jc w:val="right"/>
              <w:rPr>
                <w:sz w:val="18"/>
                <w:szCs w:val="18"/>
                <w:lang w:eastAsia="en-AU"/>
              </w:rPr>
            </w:pPr>
            <w:r w:rsidRPr="00C10545">
              <w:rPr>
                <w:sz w:val="18"/>
                <w:szCs w:val="18"/>
                <w:lang w:eastAsia="en-AU"/>
              </w:rPr>
              <w:t>-3.8%</w:t>
            </w:r>
          </w:p>
        </w:tc>
        <w:tc>
          <w:tcPr>
            <w:tcW w:w="611" w:type="pct"/>
            <w:tcBorders>
              <w:top w:val="nil"/>
              <w:left w:val="nil"/>
              <w:bottom w:val="single" w:sz="4" w:space="0" w:color="auto"/>
              <w:right w:val="single" w:sz="4" w:space="0" w:color="auto"/>
            </w:tcBorders>
            <w:shd w:val="clear" w:color="auto" w:fill="auto"/>
            <w:noWrap/>
            <w:vAlign w:val="bottom"/>
            <w:hideMark/>
          </w:tcPr>
          <w:p w14:paraId="7DDE200C" w14:textId="77777777" w:rsidR="009A356E" w:rsidRPr="00C10545" w:rsidRDefault="009A356E" w:rsidP="009A356E">
            <w:pPr>
              <w:jc w:val="right"/>
              <w:rPr>
                <w:sz w:val="18"/>
                <w:szCs w:val="18"/>
                <w:lang w:eastAsia="en-AU"/>
              </w:rPr>
            </w:pPr>
            <w:r w:rsidRPr="00C10545">
              <w:rPr>
                <w:sz w:val="18"/>
                <w:szCs w:val="18"/>
                <w:lang w:eastAsia="en-AU"/>
              </w:rPr>
              <w:t>-4.6%</w:t>
            </w:r>
          </w:p>
        </w:tc>
      </w:tr>
      <w:tr w:rsidR="009A356E" w:rsidRPr="00C65C2B" w14:paraId="53A3CD8D" w14:textId="77777777" w:rsidTr="009A356E">
        <w:trPr>
          <w:trHeight w:val="240"/>
        </w:trPr>
        <w:tc>
          <w:tcPr>
            <w:tcW w:w="1211" w:type="pct"/>
            <w:tcBorders>
              <w:top w:val="nil"/>
              <w:left w:val="single" w:sz="4" w:space="0" w:color="auto"/>
              <w:bottom w:val="single" w:sz="4" w:space="0" w:color="auto"/>
              <w:right w:val="single" w:sz="4" w:space="0" w:color="auto"/>
            </w:tcBorders>
            <w:shd w:val="clear" w:color="auto" w:fill="auto"/>
            <w:noWrap/>
            <w:vAlign w:val="bottom"/>
            <w:hideMark/>
          </w:tcPr>
          <w:p w14:paraId="53027FC9" w14:textId="77777777" w:rsidR="009A356E" w:rsidRPr="00C10545" w:rsidRDefault="009A356E" w:rsidP="009A356E">
            <w:pPr>
              <w:rPr>
                <w:sz w:val="18"/>
                <w:szCs w:val="18"/>
                <w:lang w:eastAsia="en-AU"/>
              </w:rPr>
            </w:pPr>
            <w:r w:rsidRPr="00C10545">
              <w:rPr>
                <w:sz w:val="18"/>
                <w:szCs w:val="18"/>
                <w:lang w:eastAsia="en-AU"/>
              </w:rPr>
              <w:t>South Gippsland</w:t>
            </w:r>
          </w:p>
        </w:tc>
        <w:tc>
          <w:tcPr>
            <w:tcW w:w="652" w:type="pct"/>
            <w:tcBorders>
              <w:top w:val="nil"/>
              <w:left w:val="nil"/>
              <w:bottom w:val="single" w:sz="4" w:space="0" w:color="auto"/>
              <w:right w:val="single" w:sz="4" w:space="0" w:color="auto"/>
            </w:tcBorders>
            <w:shd w:val="clear" w:color="auto" w:fill="auto"/>
            <w:noWrap/>
            <w:vAlign w:val="bottom"/>
            <w:hideMark/>
          </w:tcPr>
          <w:p w14:paraId="21ED2214" w14:textId="77777777" w:rsidR="009A356E" w:rsidRPr="00C10545" w:rsidRDefault="009A356E" w:rsidP="009A356E">
            <w:pPr>
              <w:jc w:val="right"/>
              <w:rPr>
                <w:sz w:val="18"/>
                <w:szCs w:val="18"/>
                <w:lang w:eastAsia="en-AU"/>
              </w:rPr>
            </w:pPr>
            <w:r w:rsidRPr="00C10545">
              <w:rPr>
                <w:sz w:val="18"/>
                <w:szCs w:val="18"/>
                <w:lang w:eastAsia="en-AU"/>
              </w:rPr>
              <w:t>11.0%</w:t>
            </w:r>
          </w:p>
        </w:tc>
        <w:tc>
          <w:tcPr>
            <w:tcW w:w="652" w:type="pct"/>
            <w:tcBorders>
              <w:top w:val="nil"/>
              <w:left w:val="nil"/>
              <w:bottom w:val="single" w:sz="4" w:space="0" w:color="auto"/>
              <w:right w:val="single" w:sz="4" w:space="0" w:color="auto"/>
            </w:tcBorders>
            <w:shd w:val="clear" w:color="auto" w:fill="auto"/>
            <w:noWrap/>
            <w:vAlign w:val="bottom"/>
            <w:hideMark/>
          </w:tcPr>
          <w:p w14:paraId="21412DDD" w14:textId="77777777" w:rsidR="009A356E" w:rsidRPr="00C10545" w:rsidRDefault="009A356E" w:rsidP="009A356E">
            <w:pPr>
              <w:jc w:val="right"/>
              <w:rPr>
                <w:sz w:val="18"/>
                <w:szCs w:val="18"/>
                <w:lang w:eastAsia="en-AU"/>
              </w:rPr>
            </w:pPr>
            <w:r w:rsidRPr="00C10545">
              <w:rPr>
                <w:sz w:val="18"/>
                <w:szCs w:val="18"/>
                <w:lang w:eastAsia="en-AU"/>
              </w:rPr>
              <w:t>-6.0%</w:t>
            </w:r>
          </w:p>
        </w:tc>
        <w:tc>
          <w:tcPr>
            <w:tcW w:w="652" w:type="pct"/>
            <w:tcBorders>
              <w:top w:val="nil"/>
              <w:left w:val="nil"/>
              <w:bottom w:val="single" w:sz="4" w:space="0" w:color="auto"/>
              <w:right w:val="single" w:sz="4" w:space="0" w:color="auto"/>
            </w:tcBorders>
            <w:shd w:val="clear" w:color="auto" w:fill="auto"/>
            <w:noWrap/>
            <w:vAlign w:val="bottom"/>
            <w:hideMark/>
          </w:tcPr>
          <w:p w14:paraId="5C892D88" w14:textId="77777777" w:rsidR="009A356E" w:rsidRPr="00C10545" w:rsidRDefault="009A356E" w:rsidP="009A356E">
            <w:pPr>
              <w:jc w:val="right"/>
              <w:rPr>
                <w:sz w:val="18"/>
                <w:szCs w:val="18"/>
                <w:lang w:eastAsia="en-AU"/>
              </w:rPr>
            </w:pPr>
            <w:r w:rsidRPr="00C10545">
              <w:rPr>
                <w:sz w:val="18"/>
                <w:szCs w:val="18"/>
                <w:lang w:eastAsia="en-AU"/>
              </w:rPr>
              <w:t>19.9%</w:t>
            </w:r>
          </w:p>
        </w:tc>
        <w:tc>
          <w:tcPr>
            <w:tcW w:w="611" w:type="pct"/>
            <w:tcBorders>
              <w:top w:val="nil"/>
              <w:left w:val="nil"/>
              <w:bottom w:val="single" w:sz="4" w:space="0" w:color="auto"/>
              <w:right w:val="single" w:sz="4" w:space="0" w:color="auto"/>
            </w:tcBorders>
            <w:shd w:val="clear" w:color="auto" w:fill="auto"/>
            <w:noWrap/>
            <w:vAlign w:val="bottom"/>
            <w:hideMark/>
          </w:tcPr>
          <w:p w14:paraId="15A4A7BB" w14:textId="77777777" w:rsidR="009A356E" w:rsidRPr="00C10545" w:rsidRDefault="009A356E" w:rsidP="009A356E">
            <w:pPr>
              <w:jc w:val="right"/>
              <w:rPr>
                <w:sz w:val="18"/>
                <w:szCs w:val="18"/>
                <w:lang w:eastAsia="en-AU"/>
              </w:rPr>
            </w:pPr>
            <w:r w:rsidRPr="00C10545">
              <w:rPr>
                <w:sz w:val="18"/>
                <w:szCs w:val="18"/>
                <w:lang w:eastAsia="en-AU"/>
              </w:rPr>
              <w:t>5.1%</w:t>
            </w:r>
          </w:p>
        </w:tc>
        <w:tc>
          <w:tcPr>
            <w:tcW w:w="611" w:type="pct"/>
            <w:tcBorders>
              <w:top w:val="nil"/>
              <w:left w:val="nil"/>
              <w:bottom w:val="single" w:sz="4" w:space="0" w:color="auto"/>
              <w:right w:val="single" w:sz="4" w:space="0" w:color="auto"/>
            </w:tcBorders>
            <w:shd w:val="clear" w:color="auto" w:fill="auto"/>
            <w:noWrap/>
            <w:vAlign w:val="bottom"/>
            <w:hideMark/>
          </w:tcPr>
          <w:p w14:paraId="68C364EF" w14:textId="77777777" w:rsidR="009A356E" w:rsidRPr="00C10545" w:rsidRDefault="009A356E" w:rsidP="009A356E">
            <w:pPr>
              <w:jc w:val="right"/>
              <w:rPr>
                <w:sz w:val="18"/>
                <w:szCs w:val="18"/>
                <w:lang w:eastAsia="en-AU"/>
              </w:rPr>
            </w:pPr>
            <w:r w:rsidRPr="00C10545">
              <w:rPr>
                <w:sz w:val="18"/>
                <w:szCs w:val="18"/>
                <w:lang w:eastAsia="en-AU"/>
              </w:rPr>
              <w:t>0.5%</w:t>
            </w:r>
          </w:p>
        </w:tc>
        <w:tc>
          <w:tcPr>
            <w:tcW w:w="611" w:type="pct"/>
            <w:tcBorders>
              <w:top w:val="nil"/>
              <w:left w:val="nil"/>
              <w:bottom w:val="single" w:sz="4" w:space="0" w:color="auto"/>
              <w:right w:val="single" w:sz="4" w:space="0" w:color="auto"/>
            </w:tcBorders>
            <w:shd w:val="clear" w:color="auto" w:fill="auto"/>
            <w:noWrap/>
            <w:vAlign w:val="bottom"/>
            <w:hideMark/>
          </w:tcPr>
          <w:p w14:paraId="2B0400EA" w14:textId="77777777" w:rsidR="009A356E" w:rsidRPr="00C10545" w:rsidRDefault="009A356E" w:rsidP="009A356E">
            <w:pPr>
              <w:jc w:val="right"/>
              <w:rPr>
                <w:sz w:val="18"/>
                <w:szCs w:val="18"/>
                <w:lang w:eastAsia="en-AU"/>
              </w:rPr>
            </w:pPr>
            <w:r w:rsidRPr="00C10545">
              <w:rPr>
                <w:sz w:val="18"/>
                <w:szCs w:val="18"/>
                <w:lang w:eastAsia="en-AU"/>
              </w:rPr>
              <w:t>1.4%</w:t>
            </w:r>
          </w:p>
        </w:tc>
      </w:tr>
      <w:tr w:rsidR="009A356E" w:rsidRPr="00C65C2B" w14:paraId="0CD69406" w14:textId="77777777" w:rsidTr="009A356E">
        <w:trPr>
          <w:trHeight w:val="240"/>
        </w:trPr>
        <w:tc>
          <w:tcPr>
            <w:tcW w:w="1211" w:type="pct"/>
            <w:tcBorders>
              <w:top w:val="nil"/>
              <w:left w:val="single" w:sz="4" w:space="0" w:color="auto"/>
              <w:bottom w:val="single" w:sz="4" w:space="0" w:color="auto"/>
              <w:right w:val="single" w:sz="4" w:space="0" w:color="auto"/>
            </w:tcBorders>
            <w:shd w:val="clear" w:color="000000" w:fill="E4DFEC"/>
            <w:noWrap/>
            <w:vAlign w:val="bottom"/>
            <w:hideMark/>
          </w:tcPr>
          <w:p w14:paraId="4E116B12" w14:textId="77777777" w:rsidR="009A356E" w:rsidRPr="00C10545" w:rsidRDefault="009A356E" w:rsidP="009A356E">
            <w:pPr>
              <w:rPr>
                <w:b/>
                <w:bCs/>
                <w:sz w:val="18"/>
                <w:szCs w:val="18"/>
                <w:lang w:eastAsia="en-AU"/>
              </w:rPr>
            </w:pPr>
            <w:r w:rsidRPr="00C10545">
              <w:rPr>
                <w:b/>
                <w:bCs/>
                <w:sz w:val="18"/>
                <w:szCs w:val="18"/>
                <w:lang w:eastAsia="en-AU"/>
              </w:rPr>
              <w:t>Regional Cities</w:t>
            </w:r>
          </w:p>
        </w:tc>
        <w:tc>
          <w:tcPr>
            <w:tcW w:w="652" w:type="pct"/>
            <w:tcBorders>
              <w:top w:val="nil"/>
              <w:left w:val="nil"/>
              <w:bottom w:val="single" w:sz="4" w:space="0" w:color="auto"/>
              <w:right w:val="single" w:sz="4" w:space="0" w:color="auto"/>
            </w:tcBorders>
            <w:shd w:val="clear" w:color="000000" w:fill="000000"/>
            <w:noWrap/>
            <w:vAlign w:val="bottom"/>
            <w:hideMark/>
          </w:tcPr>
          <w:p w14:paraId="0D456B02" w14:textId="77777777" w:rsidR="009A356E" w:rsidRPr="00C10545" w:rsidRDefault="009A356E" w:rsidP="009A356E">
            <w:pPr>
              <w:rPr>
                <w:sz w:val="18"/>
                <w:szCs w:val="18"/>
                <w:lang w:eastAsia="en-AU"/>
              </w:rPr>
            </w:pPr>
            <w:r w:rsidRPr="00C10545">
              <w:rPr>
                <w:sz w:val="18"/>
                <w:szCs w:val="18"/>
                <w:lang w:eastAsia="en-AU"/>
              </w:rPr>
              <w:t> </w:t>
            </w:r>
          </w:p>
        </w:tc>
        <w:tc>
          <w:tcPr>
            <w:tcW w:w="652" w:type="pct"/>
            <w:tcBorders>
              <w:top w:val="nil"/>
              <w:left w:val="nil"/>
              <w:bottom w:val="single" w:sz="4" w:space="0" w:color="auto"/>
              <w:right w:val="single" w:sz="4" w:space="0" w:color="auto"/>
            </w:tcBorders>
            <w:shd w:val="clear" w:color="000000" w:fill="000000"/>
            <w:noWrap/>
            <w:vAlign w:val="bottom"/>
            <w:hideMark/>
          </w:tcPr>
          <w:p w14:paraId="3B26DA8F" w14:textId="77777777" w:rsidR="009A356E" w:rsidRPr="00C10545" w:rsidRDefault="009A356E" w:rsidP="009A356E">
            <w:pPr>
              <w:rPr>
                <w:sz w:val="18"/>
                <w:szCs w:val="18"/>
                <w:lang w:eastAsia="en-AU"/>
              </w:rPr>
            </w:pPr>
            <w:r w:rsidRPr="00C10545">
              <w:rPr>
                <w:sz w:val="18"/>
                <w:szCs w:val="18"/>
                <w:lang w:eastAsia="en-AU"/>
              </w:rPr>
              <w:t> </w:t>
            </w:r>
          </w:p>
        </w:tc>
        <w:tc>
          <w:tcPr>
            <w:tcW w:w="652" w:type="pct"/>
            <w:tcBorders>
              <w:top w:val="nil"/>
              <w:left w:val="nil"/>
              <w:bottom w:val="single" w:sz="4" w:space="0" w:color="auto"/>
              <w:right w:val="single" w:sz="4" w:space="0" w:color="auto"/>
            </w:tcBorders>
            <w:shd w:val="clear" w:color="000000" w:fill="000000"/>
            <w:noWrap/>
            <w:vAlign w:val="bottom"/>
            <w:hideMark/>
          </w:tcPr>
          <w:p w14:paraId="5C9B6794" w14:textId="77777777" w:rsidR="009A356E" w:rsidRPr="00C10545" w:rsidRDefault="009A356E" w:rsidP="009A356E">
            <w:pPr>
              <w:rPr>
                <w:sz w:val="18"/>
                <w:szCs w:val="18"/>
                <w:lang w:eastAsia="en-AU"/>
              </w:rPr>
            </w:pPr>
            <w:r w:rsidRPr="00C10545">
              <w:rPr>
                <w:sz w:val="18"/>
                <w:szCs w:val="18"/>
                <w:lang w:eastAsia="en-AU"/>
              </w:rPr>
              <w:t> </w:t>
            </w:r>
          </w:p>
        </w:tc>
        <w:tc>
          <w:tcPr>
            <w:tcW w:w="611" w:type="pct"/>
            <w:tcBorders>
              <w:top w:val="nil"/>
              <w:left w:val="nil"/>
              <w:bottom w:val="single" w:sz="4" w:space="0" w:color="auto"/>
              <w:right w:val="single" w:sz="4" w:space="0" w:color="auto"/>
            </w:tcBorders>
            <w:shd w:val="clear" w:color="000000" w:fill="000000"/>
            <w:noWrap/>
            <w:vAlign w:val="bottom"/>
            <w:hideMark/>
          </w:tcPr>
          <w:p w14:paraId="50E18B7B" w14:textId="77777777" w:rsidR="009A356E" w:rsidRPr="00C10545" w:rsidRDefault="009A356E" w:rsidP="009A356E">
            <w:pPr>
              <w:rPr>
                <w:sz w:val="18"/>
                <w:szCs w:val="18"/>
                <w:lang w:eastAsia="en-AU"/>
              </w:rPr>
            </w:pPr>
            <w:r w:rsidRPr="00C10545">
              <w:rPr>
                <w:sz w:val="18"/>
                <w:szCs w:val="18"/>
                <w:lang w:eastAsia="en-AU"/>
              </w:rPr>
              <w:t> </w:t>
            </w:r>
          </w:p>
        </w:tc>
        <w:tc>
          <w:tcPr>
            <w:tcW w:w="611" w:type="pct"/>
            <w:tcBorders>
              <w:top w:val="nil"/>
              <w:left w:val="nil"/>
              <w:bottom w:val="single" w:sz="4" w:space="0" w:color="auto"/>
              <w:right w:val="single" w:sz="4" w:space="0" w:color="auto"/>
            </w:tcBorders>
            <w:shd w:val="clear" w:color="000000" w:fill="000000"/>
            <w:noWrap/>
            <w:vAlign w:val="bottom"/>
            <w:hideMark/>
          </w:tcPr>
          <w:p w14:paraId="77B0CB0B" w14:textId="77777777" w:rsidR="009A356E" w:rsidRPr="00C10545" w:rsidRDefault="009A356E" w:rsidP="009A356E">
            <w:pPr>
              <w:rPr>
                <w:sz w:val="18"/>
                <w:szCs w:val="18"/>
                <w:lang w:eastAsia="en-AU"/>
              </w:rPr>
            </w:pPr>
            <w:r w:rsidRPr="00C10545">
              <w:rPr>
                <w:sz w:val="18"/>
                <w:szCs w:val="18"/>
                <w:lang w:eastAsia="en-AU"/>
              </w:rPr>
              <w:t> </w:t>
            </w:r>
          </w:p>
        </w:tc>
        <w:tc>
          <w:tcPr>
            <w:tcW w:w="611" w:type="pct"/>
            <w:tcBorders>
              <w:top w:val="nil"/>
              <w:left w:val="nil"/>
              <w:bottom w:val="single" w:sz="4" w:space="0" w:color="auto"/>
              <w:right w:val="single" w:sz="4" w:space="0" w:color="auto"/>
            </w:tcBorders>
            <w:shd w:val="clear" w:color="000000" w:fill="000000"/>
            <w:noWrap/>
            <w:vAlign w:val="bottom"/>
            <w:hideMark/>
          </w:tcPr>
          <w:p w14:paraId="546A4B46" w14:textId="77777777" w:rsidR="009A356E" w:rsidRPr="00C10545" w:rsidRDefault="009A356E" w:rsidP="009A356E">
            <w:pPr>
              <w:rPr>
                <w:sz w:val="18"/>
                <w:szCs w:val="18"/>
                <w:lang w:eastAsia="en-AU"/>
              </w:rPr>
            </w:pPr>
            <w:r w:rsidRPr="00C10545">
              <w:rPr>
                <w:sz w:val="18"/>
                <w:szCs w:val="18"/>
                <w:lang w:eastAsia="en-AU"/>
              </w:rPr>
              <w:t> </w:t>
            </w:r>
          </w:p>
        </w:tc>
      </w:tr>
      <w:tr w:rsidR="009A356E" w:rsidRPr="00C65C2B" w14:paraId="512FF717" w14:textId="77777777" w:rsidTr="009A356E">
        <w:trPr>
          <w:trHeight w:val="240"/>
        </w:trPr>
        <w:tc>
          <w:tcPr>
            <w:tcW w:w="1211" w:type="pct"/>
            <w:tcBorders>
              <w:top w:val="nil"/>
              <w:left w:val="single" w:sz="4" w:space="0" w:color="auto"/>
              <w:bottom w:val="single" w:sz="4" w:space="0" w:color="auto"/>
              <w:right w:val="single" w:sz="4" w:space="0" w:color="auto"/>
            </w:tcBorders>
            <w:shd w:val="clear" w:color="auto" w:fill="auto"/>
            <w:noWrap/>
            <w:vAlign w:val="bottom"/>
            <w:hideMark/>
          </w:tcPr>
          <w:p w14:paraId="1EF96A9F" w14:textId="77777777" w:rsidR="009A356E" w:rsidRPr="00C10545" w:rsidRDefault="009A356E" w:rsidP="009A356E">
            <w:pPr>
              <w:rPr>
                <w:sz w:val="18"/>
                <w:szCs w:val="18"/>
                <w:lang w:eastAsia="en-AU"/>
              </w:rPr>
            </w:pPr>
            <w:r w:rsidRPr="00C10545">
              <w:rPr>
                <w:sz w:val="18"/>
                <w:szCs w:val="18"/>
                <w:lang w:eastAsia="en-AU"/>
              </w:rPr>
              <w:t>Greater Bendigo</w:t>
            </w:r>
          </w:p>
        </w:tc>
        <w:tc>
          <w:tcPr>
            <w:tcW w:w="652" w:type="pct"/>
            <w:tcBorders>
              <w:top w:val="nil"/>
              <w:left w:val="nil"/>
              <w:bottom w:val="single" w:sz="4" w:space="0" w:color="auto"/>
              <w:right w:val="single" w:sz="4" w:space="0" w:color="auto"/>
            </w:tcBorders>
            <w:shd w:val="clear" w:color="auto" w:fill="auto"/>
            <w:noWrap/>
            <w:vAlign w:val="bottom"/>
            <w:hideMark/>
          </w:tcPr>
          <w:p w14:paraId="617C1154" w14:textId="77777777" w:rsidR="009A356E" w:rsidRPr="00C10545" w:rsidRDefault="009A356E" w:rsidP="009A356E">
            <w:pPr>
              <w:jc w:val="right"/>
              <w:rPr>
                <w:sz w:val="18"/>
                <w:szCs w:val="18"/>
                <w:lang w:eastAsia="en-AU"/>
              </w:rPr>
            </w:pPr>
            <w:r w:rsidRPr="00C10545">
              <w:rPr>
                <w:sz w:val="18"/>
                <w:szCs w:val="18"/>
                <w:lang w:eastAsia="en-AU"/>
              </w:rPr>
              <w:t>-6.5%</w:t>
            </w:r>
          </w:p>
        </w:tc>
        <w:tc>
          <w:tcPr>
            <w:tcW w:w="652" w:type="pct"/>
            <w:tcBorders>
              <w:top w:val="nil"/>
              <w:left w:val="nil"/>
              <w:bottom w:val="single" w:sz="4" w:space="0" w:color="auto"/>
              <w:right w:val="single" w:sz="4" w:space="0" w:color="auto"/>
            </w:tcBorders>
            <w:shd w:val="clear" w:color="auto" w:fill="auto"/>
            <w:noWrap/>
            <w:vAlign w:val="bottom"/>
            <w:hideMark/>
          </w:tcPr>
          <w:p w14:paraId="6FB1ACDD" w14:textId="77777777" w:rsidR="009A356E" w:rsidRPr="00C10545" w:rsidRDefault="009A356E" w:rsidP="009A356E">
            <w:pPr>
              <w:jc w:val="right"/>
              <w:rPr>
                <w:sz w:val="18"/>
                <w:szCs w:val="18"/>
                <w:lang w:eastAsia="en-AU"/>
              </w:rPr>
            </w:pPr>
            <w:r w:rsidRPr="00C10545">
              <w:rPr>
                <w:sz w:val="18"/>
                <w:szCs w:val="18"/>
                <w:lang w:eastAsia="en-AU"/>
              </w:rPr>
              <w:t>-0.2%</w:t>
            </w:r>
          </w:p>
        </w:tc>
        <w:tc>
          <w:tcPr>
            <w:tcW w:w="652" w:type="pct"/>
            <w:tcBorders>
              <w:top w:val="nil"/>
              <w:left w:val="nil"/>
              <w:bottom w:val="single" w:sz="4" w:space="0" w:color="auto"/>
              <w:right w:val="single" w:sz="4" w:space="0" w:color="auto"/>
            </w:tcBorders>
            <w:shd w:val="clear" w:color="auto" w:fill="auto"/>
            <w:noWrap/>
            <w:vAlign w:val="bottom"/>
            <w:hideMark/>
          </w:tcPr>
          <w:p w14:paraId="0E4182F7" w14:textId="77777777" w:rsidR="009A356E" w:rsidRPr="00C10545" w:rsidRDefault="009A356E" w:rsidP="009A356E">
            <w:pPr>
              <w:jc w:val="right"/>
              <w:rPr>
                <w:sz w:val="18"/>
                <w:szCs w:val="18"/>
                <w:lang w:eastAsia="en-AU"/>
              </w:rPr>
            </w:pPr>
            <w:r w:rsidRPr="00C10545">
              <w:rPr>
                <w:sz w:val="18"/>
                <w:szCs w:val="18"/>
                <w:lang w:eastAsia="en-AU"/>
              </w:rPr>
              <w:t>-2.7%</w:t>
            </w:r>
          </w:p>
        </w:tc>
        <w:tc>
          <w:tcPr>
            <w:tcW w:w="611" w:type="pct"/>
            <w:tcBorders>
              <w:top w:val="nil"/>
              <w:left w:val="nil"/>
              <w:bottom w:val="single" w:sz="4" w:space="0" w:color="auto"/>
              <w:right w:val="single" w:sz="4" w:space="0" w:color="auto"/>
            </w:tcBorders>
            <w:shd w:val="clear" w:color="auto" w:fill="auto"/>
            <w:noWrap/>
            <w:vAlign w:val="bottom"/>
            <w:hideMark/>
          </w:tcPr>
          <w:p w14:paraId="0249E7C5" w14:textId="77777777" w:rsidR="009A356E" w:rsidRPr="00C10545" w:rsidRDefault="009A356E" w:rsidP="009A356E">
            <w:pPr>
              <w:jc w:val="right"/>
              <w:rPr>
                <w:sz w:val="18"/>
                <w:szCs w:val="18"/>
                <w:lang w:eastAsia="en-AU"/>
              </w:rPr>
            </w:pPr>
            <w:r w:rsidRPr="00C10545">
              <w:rPr>
                <w:sz w:val="18"/>
                <w:szCs w:val="18"/>
                <w:lang w:eastAsia="en-AU"/>
              </w:rPr>
              <w:t>2.0%</w:t>
            </w:r>
          </w:p>
        </w:tc>
        <w:tc>
          <w:tcPr>
            <w:tcW w:w="611" w:type="pct"/>
            <w:tcBorders>
              <w:top w:val="nil"/>
              <w:left w:val="nil"/>
              <w:bottom w:val="single" w:sz="4" w:space="0" w:color="auto"/>
              <w:right w:val="single" w:sz="4" w:space="0" w:color="auto"/>
            </w:tcBorders>
            <w:shd w:val="clear" w:color="auto" w:fill="auto"/>
            <w:noWrap/>
            <w:vAlign w:val="bottom"/>
            <w:hideMark/>
          </w:tcPr>
          <w:p w14:paraId="684D2038" w14:textId="77777777" w:rsidR="009A356E" w:rsidRPr="00C10545" w:rsidRDefault="009A356E" w:rsidP="009A356E">
            <w:pPr>
              <w:jc w:val="right"/>
              <w:rPr>
                <w:sz w:val="18"/>
                <w:szCs w:val="18"/>
                <w:lang w:eastAsia="en-AU"/>
              </w:rPr>
            </w:pPr>
            <w:r w:rsidRPr="00C10545">
              <w:rPr>
                <w:sz w:val="18"/>
                <w:szCs w:val="18"/>
                <w:lang w:eastAsia="en-AU"/>
              </w:rPr>
              <w:t>-3.0%</w:t>
            </w:r>
          </w:p>
        </w:tc>
        <w:tc>
          <w:tcPr>
            <w:tcW w:w="611" w:type="pct"/>
            <w:tcBorders>
              <w:top w:val="nil"/>
              <w:left w:val="nil"/>
              <w:bottom w:val="single" w:sz="4" w:space="0" w:color="auto"/>
              <w:right w:val="single" w:sz="4" w:space="0" w:color="auto"/>
            </w:tcBorders>
            <w:shd w:val="clear" w:color="auto" w:fill="auto"/>
            <w:noWrap/>
            <w:vAlign w:val="bottom"/>
            <w:hideMark/>
          </w:tcPr>
          <w:p w14:paraId="71D9F243" w14:textId="77777777" w:rsidR="009A356E" w:rsidRPr="00C10545" w:rsidRDefault="009A356E" w:rsidP="009A356E">
            <w:pPr>
              <w:jc w:val="right"/>
              <w:rPr>
                <w:sz w:val="18"/>
                <w:szCs w:val="18"/>
                <w:lang w:eastAsia="en-AU"/>
              </w:rPr>
            </w:pPr>
            <w:r w:rsidRPr="00C10545">
              <w:rPr>
                <w:sz w:val="18"/>
                <w:szCs w:val="18"/>
                <w:lang w:eastAsia="en-AU"/>
              </w:rPr>
              <w:t>-4.2%</w:t>
            </w:r>
          </w:p>
        </w:tc>
      </w:tr>
      <w:tr w:rsidR="009A356E" w:rsidRPr="00C65C2B" w14:paraId="428873C9" w14:textId="77777777" w:rsidTr="009A356E">
        <w:trPr>
          <w:trHeight w:val="240"/>
        </w:trPr>
        <w:tc>
          <w:tcPr>
            <w:tcW w:w="1211" w:type="pct"/>
            <w:tcBorders>
              <w:top w:val="nil"/>
              <w:left w:val="single" w:sz="4" w:space="0" w:color="auto"/>
              <w:bottom w:val="single" w:sz="4" w:space="0" w:color="auto"/>
              <w:right w:val="single" w:sz="4" w:space="0" w:color="auto"/>
            </w:tcBorders>
            <w:shd w:val="clear" w:color="auto" w:fill="auto"/>
            <w:noWrap/>
            <w:vAlign w:val="bottom"/>
            <w:hideMark/>
          </w:tcPr>
          <w:p w14:paraId="382705D9" w14:textId="77777777" w:rsidR="009A356E" w:rsidRPr="00C10545" w:rsidRDefault="009A356E" w:rsidP="009A356E">
            <w:pPr>
              <w:rPr>
                <w:sz w:val="18"/>
                <w:szCs w:val="18"/>
                <w:lang w:eastAsia="en-AU"/>
              </w:rPr>
            </w:pPr>
            <w:r w:rsidRPr="00C10545">
              <w:rPr>
                <w:sz w:val="18"/>
                <w:szCs w:val="18"/>
                <w:lang w:eastAsia="en-AU"/>
              </w:rPr>
              <w:t>Greater Geelong</w:t>
            </w:r>
          </w:p>
        </w:tc>
        <w:tc>
          <w:tcPr>
            <w:tcW w:w="652" w:type="pct"/>
            <w:tcBorders>
              <w:top w:val="nil"/>
              <w:left w:val="nil"/>
              <w:bottom w:val="single" w:sz="4" w:space="0" w:color="auto"/>
              <w:right w:val="single" w:sz="4" w:space="0" w:color="auto"/>
            </w:tcBorders>
            <w:shd w:val="clear" w:color="auto" w:fill="auto"/>
            <w:noWrap/>
            <w:vAlign w:val="bottom"/>
            <w:hideMark/>
          </w:tcPr>
          <w:p w14:paraId="4C181D2A" w14:textId="77777777" w:rsidR="009A356E" w:rsidRPr="00C10545" w:rsidRDefault="009A356E" w:rsidP="009A356E">
            <w:pPr>
              <w:jc w:val="right"/>
              <w:rPr>
                <w:sz w:val="18"/>
                <w:szCs w:val="18"/>
                <w:lang w:eastAsia="en-AU"/>
              </w:rPr>
            </w:pPr>
            <w:r w:rsidRPr="00C10545">
              <w:rPr>
                <w:sz w:val="18"/>
                <w:szCs w:val="18"/>
                <w:lang w:eastAsia="en-AU"/>
              </w:rPr>
              <w:t>-7.8%</w:t>
            </w:r>
          </w:p>
        </w:tc>
        <w:tc>
          <w:tcPr>
            <w:tcW w:w="652" w:type="pct"/>
            <w:tcBorders>
              <w:top w:val="nil"/>
              <w:left w:val="nil"/>
              <w:bottom w:val="single" w:sz="4" w:space="0" w:color="auto"/>
              <w:right w:val="single" w:sz="4" w:space="0" w:color="auto"/>
            </w:tcBorders>
            <w:shd w:val="clear" w:color="auto" w:fill="auto"/>
            <w:noWrap/>
            <w:vAlign w:val="bottom"/>
            <w:hideMark/>
          </w:tcPr>
          <w:p w14:paraId="5423AB19" w14:textId="77777777" w:rsidR="009A356E" w:rsidRPr="00C10545" w:rsidRDefault="009A356E" w:rsidP="009A356E">
            <w:pPr>
              <w:jc w:val="right"/>
              <w:rPr>
                <w:sz w:val="18"/>
                <w:szCs w:val="18"/>
                <w:lang w:eastAsia="en-AU"/>
              </w:rPr>
            </w:pPr>
            <w:r w:rsidRPr="00C10545">
              <w:rPr>
                <w:sz w:val="18"/>
                <w:szCs w:val="18"/>
                <w:lang w:eastAsia="en-AU"/>
              </w:rPr>
              <w:t>-1.4%</w:t>
            </w:r>
          </w:p>
        </w:tc>
        <w:tc>
          <w:tcPr>
            <w:tcW w:w="652" w:type="pct"/>
            <w:tcBorders>
              <w:top w:val="nil"/>
              <w:left w:val="nil"/>
              <w:bottom w:val="single" w:sz="4" w:space="0" w:color="auto"/>
              <w:right w:val="single" w:sz="4" w:space="0" w:color="auto"/>
            </w:tcBorders>
            <w:shd w:val="clear" w:color="auto" w:fill="auto"/>
            <w:noWrap/>
            <w:vAlign w:val="bottom"/>
            <w:hideMark/>
          </w:tcPr>
          <w:p w14:paraId="7767CBED" w14:textId="77777777" w:rsidR="009A356E" w:rsidRPr="00C10545" w:rsidRDefault="009A356E" w:rsidP="009A356E">
            <w:pPr>
              <w:jc w:val="right"/>
              <w:rPr>
                <w:sz w:val="18"/>
                <w:szCs w:val="18"/>
                <w:lang w:eastAsia="en-AU"/>
              </w:rPr>
            </w:pPr>
            <w:r w:rsidRPr="00C10545">
              <w:rPr>
                <w:sz w:val="18"/>
                <w:szCs w:val="18"/>
                <w:lang w:eastAsia="en-AU"/>
              </w:rPr>
              <w:t>-1.7%</w:t>
            </w:r>
          </w:p>
        </w:tc>
        <w:tc>
          <w:tcPr>
            <w:tcW w:w="611" w:type="pct"/>
            <w:tcBorders>
              <w:top w:val="nil"/>
              <w:left w:val="nil"/>
              <w:bottom w:val="single" w:sz="4" w:space="0" w:color="auto"/>
              <w:right w:val="single" w:sz="4" w:space="0" w:color="auto"/>
            </w:tcBorders>
            <w:shd w:val="clear" w:color="auto" w:fill="auto"/>
            <w:noWrap/>
            <w:vAlign w:val="bottom"/>
            <w:hideMark/>
          </w:tcPr>
          <w:p w14:paraId="640727E0" w14:textId="77777777" w:rsidR="009A356E" w:rsidRPr="00C10545" w:rsidRDefault="009A356E" w:rsidP="009A356E">
            <w:pPr>
              <w:jc w:val="right"/>
              <w:rPr>
                <w:sz w:val="18"/>
                <w:szCs w:val="18"/>
                <w:lang w:eastAsia="en-AU"/>
              </w:rPr>
            </w:pPr>
            <w:r w:rsidRPr="00C10545">
              <w:rPr>
                <w:sz w:val="18"/>
                <w:szCs w:val="18"/>
                <w:lang w:eastAsia="en-AU"/>
              </w:rPr>
              <w:t>-0.5%</w:t>
            </w:r>
          </w:p>
        </w:tc>
        <w:tc>
          <w:tcPr>
            <w:tcW w:w="611" w:type="pct"/>
            <w:tcBorders>
              <w:top w:val="nil"/>
              <w:left w:val="nil"/>
              <w:bottom w:val="single" w:sz="4" w:space="0" w:color="auto"/>
              <w:right w:val="single" w:sz="4" w:space="0" w:color="auto"/>
            </w:tcBorders>
            <w:shd w:val="clear" w:color="auto" w:fill="auto"/>
            <w:noWrap/>
            <w:vAlign w:val="bottom"/>
            <w:hideMark/>
          </w:tcPr>
          <w:p w14:paraId="0191A20F" w14:textId="77777777" w:rsidR="009A356E" w:rsidRPr="00C10545" w:rsidRDefault="009A356E" w:rsidP="009A356E">
            <w:pPr>
              <w:jc w:val="right"/>
              <w:rPr>
                <w:sz w:val="18"/>
                <w:szCs w:val="18"/>
                <w:lang w:eastAsia="en-AU"/>
              </w:rPr>
            </w:pPr>
            <w:r w:rsidRPr="00C10545">
              <w:rPr>
                <w:sz w:val="18"/>
                <w:szCs w:val="18"/>
                <w:lang w:eastAsia="en-AU"/>
              </w:rPr>
              <w:t>-3.2%</w:t>
            </w:r>
          </w:p>
        </w:tc>
        <w:tc>
          <w:tcPr>
            <w:tcW w:w="611" w:type="pct"/>
            <w:tcBorders>
              <w:top w:val="nil"/>
              <w:left w:val="nil"/>
              <w:bottom w:val="single" w:sz="4" w:space="0" w:color="auto"/>
              <w:right w:val="single" w:sz="4" w:space="0" w:color="auto"/>
            </w:tcBorders>
            <w:shd w:val="clear" w:color="auto" w:fill="auto"/>
            <w:noWrap/>
            <w:vAlign w:val="bottom"/>
            <w:hideMark/>
          </w:tcPr>
          <w:p w14:paraId="4B02B938" w14:textId="77777777" w:rsidR="009A356E" w:rsidRPr="00C10545" w:rsidRDefault="009A356E" w:rsidP="009A356E">
            <w:pPr>
              <w:jc w:val="right"/>
              <w:rPr>
                <w:sz w:val="18"/>
                <w:szCs w:val="18"/>
                <w:lang w:eastAsia="en-AU"/>
              </w:rPr>
            </w:pPr>
            <w:r w:rsidRPr="00C10545">
              <w:rPr>
                <w:sz w:val="18"/>
                <w:szCs w:val="18"/>
                <w:lang w:eastAsia="en-AU"/>
              </w:rPr>
              <w:t>-5.3%</w:t>
            </w:r>
          </w:p>
        </w:tc>
      </w:tr>
      <w:tr w:rsidR="009A356E" w:rsidRPr="00C65C2B" w14:paraId="30EDCE7E" w14:textId="77777777" w:rsidTr="009A356E">
        <w:trPr>
          <w:trHeight w:val="240"/>
        </w:trPr>
        <w:tc>
          <w:tcPr>
            <w:tcW w:w="1211" w:type="pct"/>
            <w:tcBorders>
              <w:top w:val="nil"/>
              <w:left w:val="single" w:sz="4" w:space="0" w:color="auto"/>
              <w:bottom w:val="single" w:sz="4" w:space="0" w:color="auto"/>
              <w:right w:val="single" w:sz="4" w:space="0" w:color="auto"/>
            </w:tcBorders>
            <w:shd w:val="clear" w:color="auto" w:fill="auto"/>
            <w:noWrap/>
            <w:vAlign w:val="bottom"/>
            <w:hideMark/>
          </w:tcPr>
          <w:p w14:paraId="07CEAE2E" w14:textId="77777777" w:rsidR="009A356E" w:rsidRPr="00C10545" w:rsidRDefault="009A356E" w:rsidP="009A356E">
            <w:pPr>
              <w:rPr>
                <w:sz w:val="18"/>
                <w:szCs w:val="18"/>
                <w:lang w:eastAsia="en-AU"/>
              </w:rPr>
            </w:pPr>
            <w:r w:rsidRPr="00C10545">
              <w:rPr>
                <w:sz w:val="18"/>
                <w:szCs w:val="18"/>
                <w:lang w:eastAsia="en-AU"/>
              </w:rPr>
              <w:t>Greater Shepparton</w:t>
            </w:r>
          </w:p>
        </w:tc>
        <w:tc>
          <w:tcPr>
            <w:tcW w:w="652" w:type="pct"/>
            <w:tcBorders>
              <w:top w:val="nil"/>
              <w:left w:val="nil"/>
              <w:bottom w:val="single" w:sz="4" w:space="0" w:color="auto"/>
              <w:right w:val="single" w:sz="4" w:space="0" w:color="auto"/>
            </w:tcBorders>
            <w:shd w:val="clear" w:color="auto" w:fill="auto"/>
            <w:noWrap/>
            <w:vAlign w:val="bottom"/>
            <w:hideMark/>
          </w:tcPr>
          <w:p w14:paraId="1EFCCB1E" w14:textId="77777777" w:rsidR="009A356E" w:rsidRPr="00C10545" w:rsidRDefault="009A356E" w:rsidP="009A356E">
            <w:pPr>
              <w:jc w:val="right"/>
              <w:rPr>
                <w:sz w:val="18"/>
                <w:szCs w:val="18"/>
                <w:lang w:eastAsia="en-AU"/>
              </w:rPr>
            </w:pPr>
            <w:r w:rsidRPr="00C10545">
              <w:rPr>
                <w:sz w:val="18"/>
                <w:szCs w:val="18"/>
                <w:lang w:eastAsia="en-AU"/>
              </w:rPr>
              <w:t>-7.4%</w:t>
            </w:r>
          </w:p>
        </w:tc>
        <w:tc>
          <w:tcPr>
            <w:tcW w:w="652" w:type="pct"/>
            <w:tcBorders>
              <w:top w:val="nil"/>
              <w:left w:val="nil"/>
              <w:bottom w:val="single" w:sz="4" w:space="0" w:color="auto"/>
              <w:right w:val="single" w:sz="4" w:space="0" w:color="auto"/>
            </w:tcBorders>
            <w:shd w:val="clear" w:color="auto" w:fill="auto"/>
            <w:noWrap/>
            <w:vAlign w:val="bottom"/>
            <w:hideMark/>
          </w:tcPr>
          <w:p w14:paraId="6308FE69" w14:textId="77777777" w:rsidR="009A356E" w:rsidRPr="00C10545" w:rsidRDefault="009A356E" w:rsidP="009A356E">
            <w:pPr>
              <w:jc w:val="right"/>
              <w:rPr>
                <w:sz w:val="18"/>
                <w:szCs w:val="18"/>
                <w:lang w:eastAsia="en-AU"/>
              </w:rPr>
            </w:pPr>
            <w:r w:rsidRPr="00C10545">
              <w:rPr>
                <w:sz w:val="18"/>
                <w:szCs w:val="18"/>
                <w:lang w:eastAsia="en-AU"/>
              </w:rPr>
              <w:t>2.8%</w:t>
            </w:r>
          </w:p>
        </w:tc>
        <w:tc>
          <w:tcPr>
            <w:tcW w:w="652" w:type="pct"/>
            <w:tcBorders>
              <w:top w:val="nil"/>
              <w:left w:val="nil"/>
              <w:bottom w:val="single" w:sz="4" w:space="0" w:color="auto"/>
              <w:right w:val="single" w:sz="4" w:space="0" w:color="auto"/>
            </w:tcBorders>
            <w:shd w:val="clear" w:color="auto" w:fill="auto"/>
            <w:noWrap/>
            <w:vAlign w:val="bottom"/>
            <w:hideMark/>
          </w:tcPr>
          <w:p w14:paraId="6B14EB0B" w14:textId="77777777" w:rsidR="009A356E" w:rsidRPr="00C10545" w:rsidRDefault="009A356E" w:rsidP="009A356E">
            <w:pPr>
              <w:jc w:val="right"/>
              <w:rPr>
                <w:sz w:val="18"/>
                <w:szCs w:val="18"/>
                <w:lang w:eastAsia="en-AU"/>
              </w:rPr>
            </w:pPr>
            <w:r w:rsidRPr="00C10545">
              <w:rPr>
                <w:sz w:val="18"/>
                <w:szCs w:val="18"/>
                <w:lang w:eastAsia="en-AU"/>
              </w:rPr>
              <w:t>-0.2%</w:t>
            </w:r>
          </w:p>
        </w:tc>
        <w:tc>
          <w:tcPr>
            <w:tcW w:w="611" w:type="pct"/>
            <w:tcBorders>
              <w:top w:val="nil"/>
              <w:left w:val="nil"/>
              <w:bottom w:val="single" w:sz="4" w:space="0" w:color="auto"/>
              <w:right w:val="single" w:sz="4" w:space="0" w:color="auto"/>
            </w:tcBorders>
            <w:shd w:val="clear" w:color="auto" w:fill="auto"/>
            <w:noWrap/>
            <w:vAlign w:val="bottom"/>
            <w:hideMark/>
          </w:tcPr>
          <w:p w14:paraId="1C89EA3A" w14:textId="77777777" w:rsidR="009A356E" w:rsidRPr="00C10545" w:rsidRDefault="009A356E" w:rsidP="009A356E">
            <w:pPr>
              <w:jc w:val="right"/>
              <w:rPr>
                <w:sz w:val="18"/>
                <w:szCs w:val="18"/>
                <w:lang w:eastAsia="en-AU"/>
              </w:rPr>
            </w:pPr>
            <w:r w:rsidRPr="00C10545">
              <w:rPr>
                <w:sz w:val="18"/>
                <w:szCs w:val="18"/>
                <w:lang w:eastAsia="en-AU"/>
              </w:rPr>
              <w:t>4.3%</w:t>
            </w:r>
          </w:p>
        </w:tc>
        <w:tc>
          <w:tcPr>
            <w:tcW w:w="611" w:type="pct"/>
            <w:tcBorders>
              <w:top w:val="nil"/>
              <w:left w:val="nil"/>
              <w:bottom w:val="single" w:sz="4" w:space="0" w:color="auto"/>
              <w:right w:val="single" w:sz="4" w:space="0" w:color="auto"/>
            </w:tcBorders>
            <w:shd w:val="clear" w:color="auto" w:fill="auto"/>
            <w:noWrap/>
            <w:vAlign w:val="bottom"/>
            <w:hideMark/>
          </w:tcPr>
          <w:p w14:paraId="71EB75D4" w14:textId="77777777" w:rsidR="009A356E" w:rsidRPr="00C10545" w:rsidRDefault="009A356E" w:rsidP="009A356E">
            <w:pPr>
              <w:jc w:val="right"/>
              <w:rPr>
                <w:sz w:val="18"/>
                <w:szCs w:val="18"/>
                <w:lang w:eastAsia="en-AU"/>
              </w:rPr>
            </w:pPr>
            <w:r w:rsidRPr="00C10545">
              <w:rPr>
                <w:sz w:val="18"/>
                <w:szCs w:val="18"/>
                <w:lang w:eastAsia="en-AU"/>
              </w:rPr>
              <w:t>-0.3%</w:t>
            </w:r>
          </w:p>
        </w:tc>
        <w:tc>
          <w:tcPr>
            <w:tcW w:w="611" w:type="pct"/>
            <w:tcBorders>
              <w:top w:val="nil"/>
              <w:left w:val="nil"/>
              <w:bottom w:val="single" w:sz="4" w:space="0" w:color="auto"/>
              <w:right w:val="single" w:sz="4" w:space="0" w:color="auto"/>
            </w:tcBorders>
            <w:shd w:val="clear" w:color="auto" w:fill="auto"/>
            <w:noWrap/>
            <w:vAlign w:val="bottom"/>
            <w:hideMark/>
          </w:tcPr>
          <w:p w14:paraId="71144025" w14:textId="77777777" w:rsidR="009A356E" w:rsidRPr="00C10545" w:rsidRDefault="009A356E" w:rsidP="009A356E">
            <w:pPr>
              <w:jc w:val="right"/>
              <w:rPr>
                <w:sz w:val="18"/>
                <w:szCs w:val="18"/>
                <w:lang w:eastAsia="en-AU"/>
              </w:rPr>
            </w:pPr>
            <w:r w:rsidRPr="00C10545">
              <w:rPr>
                <w:sz w:val="18"/>
                <w:szCs w:val="18"/>
                <w:lang w:eastAsia="en-AU"/>
              </w:rPr>
              <w:t>-3.5%</w:t>
            </w:r>
          </w:p>
        </w:tc>
      </w:tr>
      <w:tr w:rsidR="009A356E" w:rsidRPr="00C65C2B" w14:paraId="75E84252" w14:textId="77777777" w:rsidTr="009A356E">
        <w:trPr>
          <w:trHeight w:val="240"/>
        </w:trPr>
        <w:tc>
          <w:tcPr>
            <w:tcW w:w="1211" w:type="pct"/>
            <w:tcBorders>
              <w:top w:val="nil"/>
              <w:left w:val="single" w:sz="4" w:space="0" w:color="auto"/>
              <w:bottom w:val="single" w:sz="4" w:space="0" w:color="auto"/>
              <w:right w:val="single" w:sz="4" w:space="0" w:color="auto"/>
            </w:tcBorders>
            <w:shd w:val="clear" w:color="auto" w:fill="auto"/>
            <w:noWrap/>
            <w:vAlign w:val="bottom"/>
            <w:hideMark/>
          </w:tcPr>
          <w:p w14:paraId="2E1785C6" w14:textId="77777777" w:rsidR="009A356E" w:rsidRPr="00C10545" w:rsidRDefault="009A356E" w:rsidP="009A356E">
            <w:pPr>
              <w:rPr>
                <w:sz w:val="18"/>
                <w:szCs w:val="18"/>
                <w:lang w:eastAsia="en-AU"/>
              </w:rPr>
            </w:pPr>
            <w:r w:rsidRPr="00C10545">
              <w:rPr>
                <w:sz w:val="18"/>
                <w:szCs w:val="18"/>
                <w:lang w:eastAsia="en-AU"/>
              </w:rPr>
              <w:t>Mildura</w:t>
            </w:r>
          </w:p>
        </w:tc>
        <w:tc>
          <w:tcPr>
            <w:tcW w:w="652" w:type="pct"/>
            <w:tcBorders>
              <w:top w:val="nil"/>
              <w:left w:val="nil"/>
              <w:bottom w:val="single" w:sz="4" w:space="0" w:color="auto"/>
              <w:right w:val="single" w:sz="4" w:space="0" w:color="auto"/>
            </w:tcBorders>
            <w:shd w:val="clear" w:color="auto" w:fill="auto"/>
            <w:noWrap/>
            <w:vAlign w:val="bottom"/>
            <w:hideMark/>
          </w:tcPr>
          <w:p w14:paraId="5773DA24" w14:textId="77777777" w:rsidR="009A356E" w:rsidRPr="00C10545" w:rsidRDefault="009A356E" w:rsidP="009A356E">
            <w:pPr>
              <w:jc w:val="right"/>
              <w:rPr>
                <w:sz w:val="18"/>
                <w:szCs w:val="18"/>
                <w:lang w:eastAsia="en-AU"/>
              </w:rPr>
            </w:pPr>
            <w:r w:rsidRPr="00C10545">
              <w:rPr>
                <w:sz w:val="18"/>
                <w:szCs w:val="18"/>
                <w:lang w:eastAsia="en-AU"/>
              </w:rPr>
              <w:t>-1.9%</w:t>
            </w:r>
          </w:p>
        </w:tc>
        <w:tc>
          <w:tcPr>
            <w:tcW w:w="652" w:type="pct"/>
            <w:tcBorders>
              <w:top w:val="nil"/>
              <w:left w:val="nil"/>
              <w:bottom w:val="single" w:sz="4" w:space="0" w:color="auto"/>
              <w:right w:val="single" w:sz="4" w:space="0" w:color="auto"/>
            </w:tcBorders>
            <w:shd w:val="clear" w:color="auto" w:fill="auto"/>
            <w:noWrap/>
            <w:vAlign w:val="bottom"/>
            <w:hideMark/>
          </w:tcPr>
          <w:p w14:paraId="12846F6C" w14:textId="77777777" w:rsidR="009A356E" w:rsidRPr="00C10545" w:rsidRDefault="009A356E" w:rsidP="009A356E">
            <w:pPr>
              <w:jc w:val="right"/>
              <w:rPr>
                <w:sz w:val="18"/>
                <w:szCs w:val="18"/>
                <w:lang w:eastAsia="en-AU"/>
              </w:rPr>
            </w:pPr>
            <w:r w:rsidRPr="00C10545">
              <w:rPr>
                <w:sz w:val="18"/>
                <w:szCs w:val="18"/>
                <w:lang w:eastAsia="en-AU"/>
              </w:rPr>
              <w:t>7.8%</w:t>
            </w:r>
          </w:p>
        </w:tc>
        <w:tc>
          <w:tcPr>
            <w:tcW w:w="652" w:type="pct"/>
            <w:tcBorders>
              <w:top w:val="nil"/>
              <w:left w:val="nil"/>
              <w:bottom w:val="single" w:sz="4" w:space="0" w:color="auto"/>
              <w:right w:val="single" w:sz="4" w:space="0" w:color="auto"/>
            </w:tcBorders>
            <w:shd w:val="clear" w:color="auto" w:fill="auto"/>
            <w:noWrap/>
            <w:vAlign w:val="bottom"/>
            <w:hideMark/>
          </w:tcPr>
          <w:p w14:paraId="7DB33BA0" w14:textId="77777777" w:rsidR="009A356E" w:rsidRPr="00C10545" w:rsidRDefault="009A356E" w:rsidP="009A356E">
            <w:pPr>
              <w:jc w:val="right"/>
              <w:rPr>
                <w:sz w:val="18"/>
                <w:szCs w:val="18"/>
                <w:lang w:eastAsia="en-AU"/>
              </w:rPr>
            </w:pPr>
            <w:r w:rsidRPr="00C10545">
              <w:rPr>
                <w:sz w:val="18"/>
                <w:szCs w:val="18"/>
                <w:lang w:eastAsia="en-AU"/>
              </w:rPr>
              <w:t>3.7%</w:t>
            </w:r>
          </w:p>
        </w:tc>
        <w:tc>
          <w:tcPr>
            <w:tcW w:w="611" w:type="pct"/>
            <w:tcBorders>
              <w:top w:val="nil"/>
              <w:left w:val="nil"/>
              <w:bottom w:val="single" w:sz="4" w:space="0" w:color="auto"/>
              <w:right w:val="single" w:sz="4" w:space="0" w:color="auto"/>
            </w:tcBorders>
            <w:shd w:val="clear" w:color="auto" w:fill="auto"/>
            <w:noWrap/>
            <w:vAlign w:val="bottom"/>
            <w:hideMark/>
          </w:tcPr>
          <w:p w14:paraId="60036E92" w14:textId="77777777" w:rsidR="009A356E" w:rsidRPr="00C10545" w:rsidRDefault="009A356E" w:rsidP="009A356E">
            <w:pPr>
              <w:jc w:val="right"/>
              <w:rPr>
                <w:sz w:val="18"/>
                <w:szCs w:val="18"/>
                <w:lang w:eastAsia="en-AU"/>
              </w:rPr>
            </w:pPr>
            <w:r w:rsidRPr="00C10545">
              <w:rPr>
                <w:sz w:val="18"/>
                <w:szCs w:val="18"/>
                <w:lang w:eastAsia="en-AU"/>
              </w:rPr>
              <w:t>5.0%</w:t>
            </w:r>
          </w:p>
        </w:tc>
        <w:tc>
          <w:tcPr>
            <w:tcW w:w="611" w:type="pct"/>
            <w:tcBorders>
              <w:top w:val="nil"/>
              <w:left w:val="nil"/>
              <w:bottom w:val="single" w:sz="4" w:space="0" w:color="auto"/>
              <w:right w:val="single" w:sz="4" w:space="0" w:color="auto"/>
            </w:tcBorders>
            <w:shd w:val="clear" w:color="auto" w:fill="auto"/>
            <w:noWrap/>
            <w:vAlign w:val="bottom"/>
            <w:hideMark/>
          </w:tcPr>
          <w:p w14:paraId="7EB5C435" w14:textId="77777777" w:rsidR="009A356E" w:rsidRPr="00C10545" w:rsidRDefault="009A356E" w:rsidP="009A356E">
            <w:pPr>
              <w:jc w:val="right"/>
              <w:rPr>
                <w:sz w:val="18"/>
                <w:szCs w:val="18"/>
                <w:lang w:eastAsia="en-AU"/>
              </w:rPr>
            </w:pPr>
            <w:r w:rsidRPr="00C10545">
              <w:rPr>
                <w:sz w:val="18"/>
                <w:szCs w:val="18"/>
                <w:lang w:eastAsia="en-AU"/>
              </w:rPr>
              <w:t>0.7%</w:t>
            </w:r>
          </w:p>
        </w:tc>
        <w:tc>
          <w:tcPr>
            <w:tcW w:w="611" w:type="pct"/>
            <w:tcBorders>
              <w:top w:val="nil"/>
              <w:left w:val="nil"/>
              <w:bottom w:val="single" w:sz="4" w:space="0" w:color="auto"/>
              <w:right w:val="single" w:sz="4" w:space="0" w:color="auto"/>
            </w:tcBorders>
            <w:shd w:val="clear" w:color="auto" w:fill="auto"/>
            <w:noWrap/>
            <w:vAlign w:val="bottom"/>
            <w:hideMark/>
          </w:tcPr>
          <w:p w14:paraId="1E35180C" w14:textId="77777777" w:rsidR="009A356E" w:rsidRPr="00C10545" w:rsidRDefault="009A356E" w:rsidP="009A356E">
            <w:pPr>
              <w:jc w:val="right"/>
              <w:rPr>
                <w:sz w:val="18"/>
                <w:szCs w:val="18"/>
                <w:lang w:eastAsia="en-AU"/>
              </w:rPr>
            </w:pPr>
            <w:r w:rsidRPr="00C10545">
              <w:rPr>
                <w:sz w:val="18"/>
                <w:szCs w:val="18"/>
                <w:lang w:eastAsia="en-AU"/>
              </w:rPr>
              <w:t>-1.3%</w:t>
            </w:r>
          </w:p>
        </w:tc>
      </w:tr>
      <w:tr w:rsidR="009A356E" w:rsidRPr="00C65C2B" w14:paraId="2A68FD94" w14:textId="77777777" w:rsidTr="009A356E">
        <w:trPr>
          <w:trHeight w:val="240"/>
        </w:trPr>
        <w:tc>
          <w:tcPr>
            <w:tcW w:w="1211" w:type="pct"/>
            <w:tcBorders>
              <w:top w:val="nil"/>
              <w:left w:val="single" w:sz="4" w:space="0" w:color="auto"/>
              <w:bottom w:val="single" w:sz="4" w:space="0" w:color="auto"/>
              <w:right w:val="single" w:sz="4" w:space="0" w:color="auto"/>
            </w:tcBorders>
            <w:shd w:val="clear" w:color="auto" w:fill="auto"/>
            <w:noWrap/>
            <w:vAlign w:val="bottom"/>
            <w:hideMark/>
          </w:tcPr>
          <w:p w14:paraId="6A454C4E" w14:textId="77777777" w:rsidR="009A356E" w:rsidRPr="00C10545" w:rsidRDefault="009A356E" w:rsidP="009A356E">
            <w:pPr>
              <w:rPr>
                <w:sz w:val="18"/>
                <w:szCs w:val="18"/>
                <w:lang w:eastAsia="en-AU"/>
              </w:rPr>
            </w:pPr>
            <w:r w:rsidRPr="00C10545">
              <w:rPr>
                <w:sz w:val="18"/>
                <w:szCs w:val="18"/>
                <w:lang w:eastAsia="en-AU"/>
              </w:rPr>
              <w:t>Warrnambool</w:t>
            </w:r>
          </w:p>
        </w:tc>
        <w:tc>
          <w:tcPr>
            <w:tcW w:w="652" w:type="pct"/>
            <w:tcBorders>
              <w:top w:val="nil"/>
              <w:left w:val="nil"/>
              <w:bottom w:val="single" w:sz="4" w:space="0" w:color="auto"/>
              <w:right w:val="single" w:sz="4" w:space="0" w:color="auto"/>
            </w:tcBorders>
            <w:shd w:val="clear" w:color="auto" w:fill="auto"/>
            <w:noWrap/>
            <w:vAlign w:val="bottom"/>
            <w:hideMark/>
          </w:tcPr>
          <w:p w14:paraId="7F8D4A96" w14:textId="77777777" w:rsidR="009A356E" w:rsidRPr="00C10545" w:rsidRDefault="009A356E" w:rsidP="009A356E">
            <w:pPr>
              <w:jc w:val="right"/>
              <w:rPr>
                <w:sz w:val="18"/>
                <w:szCs w:val="18"/>
                <w:lang w:eastAsia="en-AU"/>
              </w:rPr>
            </w:pPr>
            <w:r w:rsidRPr="00C10545">
              <w:rPr>
                <w:sz w:val="18"/>
                <w:szCs w:val="18"/>
                <w:lang w:eastAsia="en-AU"/>
              </w:rPr>
              <w:t>-7.8%</w:t>
            </w:r>
          </w:p>
        </w:tc>
        <w:tc>
          <w:tcPr>
            <w:tcW w:w="652" w:type="pct"/>
            <w:tcBorders>
              <w:top w:val="nil"/>
              <w:left w:val="nil"/>
              <w:bottom w:val="single" w:sz="4" w:space="0" w:color="auto"/>
              <w:right w:val="single" w:sz="4" w:space="0" w:color="auto"/>
            </w:tcBorders>
            <w:shd w:val="clear" w:color="auto" w:fill="auto"/>
            <w:noWrap/>
            <w:vAlign w:val="bottom"/>
            <w:hideMark/>
          </w:tcPr>
          <w:p w14:paraId="6A735F2A" w14:textId="77777777" w:rsidR="009A356E" w:rsidRPr="00C10545" w:rsidRDefault="009A356E" w:rsidP="009A356E">
            <w:pPr>
              <w:jc w:val="right"/>
              <w:rPr>
                <w:sz w:val="18"/>
                <w:szCs w:val="18"/>
                <w:lang w:eastAsia="en-AU"/>
              </w:rPr>
            </w:pPr>
            <w:r w:rsidRPr="00C10545">
              <w:rPr>
                <w:sz w:val="18"/>
                <w:szCs w:val="18"/>
                <w:lang w:eastAsia="en-AU"/>
              </w:rPr>
              <w:t>-1.0%</w:t>
            </w:r>
          </w:p>
        </w:tc>
        <w:tc>
          <w:tcPr>
            <w:tcW w:w="652" w:type="pct"/>
            <w:tcBorders>
              <w:top w:val="nil"/>
              <w:left w:val="nil"/>
              <w:bottom w:val="single" w:sz="4" w:space="0" w:color="auto"/>
              <w:right w:val="single" w:sz="4" w:space="0" w:color="auto"/>
            </w:tcBorders>
            <w:shd w:val="clear" w:color="auto" w:fill="auto"/>
            <w:noWrap/>
            <w:vAlign w:val="bottom"/>
            <w:hideMark/>
          </w:tcPr>
          <w:p w14:paraId="6716C611" w14:textId="77777777" w:rsidR="009A356E" w:rsidRPr="00C10545" w:rsidRDefault="009A356E" w:rsidP="009A356E">
            <w:pPr>
              <w:jc w:val="right"/>
              <w:rPr>
                <w:sz w:val="18"/>
                <w:szCs w:val="18"/>
                <w:lang w:eastAsia="en-AU"/>
              </w:rPr>
            </w:pPr>
            <w:r w:rsidRPr="00C10545">
              <w:rPr>
                <w:sz w:val="18"/>
                <w:szCs w:val="18"/>
                <w:lang w:eastAsia="en-AU"/>
              </w:rPr>
              <w:t>-1.1%</w:t>
            </w:r>
          </w:p>
        </w:tc>
        <w:tc>
          <w:tcPr>
            <w:tcW w:w="611" w:type="pct"/>
            <w:tcBorders>
              <w:top w:val="nil"/>
              <w:left w:val="nil"/>
              <w:bottom w:val="single" w:sz="4" w:space="0" w:color="auto"/>
              <w:right w:val="single" w:sz="4" w:space="0" w:color="auto"/>
            </w:tcBorders>
            <w:shd w:val="clear" w:color="auto" w:fill="auto"/>
            <w:noWrap/>
            <w:vAlign w:val="bottom"/>
            <w:hideMark/>
          </w:tcPr>
          <w:p w14:paraId="6FB96505" w14:textId="77777777" w:rsidR="009A356E" w:rsidRPr="00C10545" w:rsidRDefault="009A356E" w:rsidP="009A356E">
            <w:pPr>
              <w:jc w:val="right"/>
              <w:rPr>
                <w:sz w:val="18"/>
                <w:szCs w:val="18"/>
                <w:lang w:eastAsia="en-AU"/>
              </w:rPr>
            </w:pPr>
            <w:r w:rsidRPr="00C10545">
              <w:rPr>
                <w:sz w:val="18"/>
                <w:szCs w:val="18"/>
                <w:lang w:eastAsia="en-AU"/>
              </w:rPr>
              <w:t>0.8%</w:t>
            </w:r>
          </w:p>
        </w:tc>
        <w:tc>
          <w:tcPr>
            <w:tcW w:w="611" w:type="pct"/>
            <w:tcBorders>
              <w:top w:val="nil"/>
              <w:left w:val="nil"/>
              <w:bottom w:val="single" w:sz="4" w:space="0" w:color="auto"/>
              <w:right w:val="single" w:sz="4" w:space="0" w:color="auto"/>
            </w:tcBorders>
            <w:shd w:val="clear" w:color="auto" w:fill="auto"/>
            <w:noWrap/>
            <w:vAlign w:val="bottom"/>
            <w:hideMark/>
          </w:tcPr>
          <w:p w14:paraId="366571C5" w14:textId="77777777" w:rsidR="009A356E" w:rsidRPr="00C10545" w:rsidRDefault="009A356E" w:rsidP="009A356E">
            <w:pPr>
              <w:jc w:val="right"/>
              <w:rPr>
                <w:sz w:val="18"/>
                <w:szCs w:val="18"/>
                <w:lang w:eastAsia="en-AU"/>
              </w:rPr>
            </w:pPr>
            <w:r w:rsidRPr="00C10545">
              <w:rPr>
                <w:sz w:val="18"/>
                <w:szCs w:val="18"/>
                <w:lang w:eastAsia="en-AU"/>
              </w:rPr>
              <w:t>-2.4%</w:t>
            </w:r>
          </w:p>
        </w:tc>
        <w:tc>
          <w:tcPr>
            <w:tcW w:w="611" w:type="pct"/>
            <w:tcBorders>
              <w:top w:val="nil"/>
              <w:left w:val="nil"/>
              <w:bottom w:val="single" w:sz="4" w:space="0" w:color="auto"/>
              <w:right w:val="single" w:sz="4" w:space="0" w:color="auto"/>
            </w:tcBorders>
            <w:shd w:val="clear" w:color="auto" w:fill="auto"/>
            <w:noWrap/>
            <w:vAlign w:val="bottom"/>
            <w:hideMark/>
          </w:tcPr>
          <w:p w14:paraId="6CCA5D44" w14:textId="77777777" w:rsidR="009A356E" w:rsidRPr="00C10545" w:rsidRDefault="009A356E" w:rsidP="009A356E">
            <w:pPr>
              <w:jc w:val="right"/>
              <w:rPr>
                <w:sz w:val="18"/>
                <w:szCs w:val="18"/>
                <w:lang w:eastAsia="en-AU"/>
              </w:rPr>
            </w:pPr>
            <w:r w:rsidRPr="00C10545">
              <w:rPr>
                <w:sz w:val="18"/>
                <w:szCs w:val="18"/>
                <w:lang w:eastAsia="en-AU"/>
              </w:rPr>
              <w:t>-4.3%</w:t>
            </w:r>
          </w:p>
        </w:tc>
      </w:tr>
      <w:tr w:rsidR="009A356E" w:rsidRPr="00C65C2B" w14:paraId="505BAB6C" w14:textId="77777777" w:rsidTr="009A356E">
        <w:trPr>
          <w:trHeight w:val="240"/>
        </w:trPr>
        <w:tc>
          <w:tcPr>
            <w:tcW w:w="1211" w:type="pct"/>
            <w:tcBorders>
              <w:top w:val="nil"/>
              <w:left w:val="single" w:sz="4" w:space="0" w:color="auto"/>
              <w:bottom w:val="single" w:sz="4" w:space="0" w:color="auto"/>
              <w:right w:val="single" w:sz="4" w:space="0" w:color="auto"/>
            </w:tcBorders>
            <w:shd w:val="clear" w:color="000000" w:fill="000000"/>
            <w:noWrap/>
            <w:vAlign w:val="bottom"/>
            <w:hideMark/>
          </w:tcPr>
          <w:p w14:paraId="18D4E49E" w14:textId="77777777" w:rsidR="009A356E" w:rsidRPr="00C10545" w:rsidRDefault="009A356E" w:rsidP="009A356E">
            <w:pPr>
              <w:rPr>
                <w:sz w:val="18"/>
                <w:szCs w:val="18"/>
                <w:lang w:eastAsia="en-AU"/>
              </w:rPr>
            </w:pPr>
            <w:r w:rsidRPr="00C10545">
              <w:rPr>
                <w:sz w:val="18"/>
                <w:szCs w:val="18"/>
                <w:lang w:eastAsia="en-AU"/>
              </w:rPr>
              <w:t> </w:t>
            </w:r>
          </w:p>
        </w:tc>
        <w:tc>
          <w:tcPr>
            <w:tcW w:w="652" w:type="pct"/>
            <w:tcBorders>
              <w:top w:val="nil"/>
              <w:left w:val="nil"/>
              <w:bottom w:val="single" w:sz="4" w:space="0" w:color="auto"/>
              <w:right w:val="single" w:sz="4" w:space="0" w:color="auto"/>
            </w:tcBorders>
            <w:shd w:val="clear" w:color="000000" w:fill="000000"/>
            <w:noWrap/>
            <w:vAlign w:val="bottom"/>
            <w:hideMark/>
          </w:tcPr>
          <w:p w14:paraId="3A5350AC" w14:textId="77777777" w:rsidR="009A356E" w:rsidRPr="00C10545" w:rsidRDefault="009A356E" w:rsidP="009A356E">
            <w:pPr>
              <w:rPr>
                <w:sz w:val="18"/>
                <w:szCs w:val="18"/>
                <w:lang w:eastAsia="en-AU"/>
              </w:rPr>
            </w:pPr>
            <w:r w:rsidRPr="00C10545">
              <w:rPr>
                <w:sz w:val="18"/>
                <w:szCs w:val="18"/>
                <w:lang w:eastAsia="en-AU"/>
              </w:rPr>
              <w:t> </w:t>
            </w:r>
          </w:p>
        </w:tc>
        <w:tc>
          <w:tcPr>
            <w:tcW w:w="652" w:type="pct"/>
            <w:tcBorders>
              <w:top w:val="nil"/>
              <w:left w:val="nil"/>
              <w:bottom w:val="single" w:sz="4" w:space="0" w:color="auto"/>
              <w:right w:val="single" w:sz="4" w:space="0" w:color="auto"/>
            </w:tcBorders>
            <w:shd w:val="clear" w:color="000000" w:fill="000000"/>
            <w:noWrap/>
            <w:vAlign w:val="bottom"/>
            <w:hideMark/>
          </w:tcPr>
          <w:p w14:paraId="294AB712" w14:textId="77777777" w:rsidR="009A356E" w:rsidRPr="00C10545" w:rsidRDefault="009A356E" w:rsidP="009A356E">
            <w:pPr>
              <w:rPr>
                <w:sz w:val="18"/>
                <w:szCs w:val="18"/>
                <w:lang w:eastAsia="en-AU"/>
              </w:rPr>
            </w:pPr>
            <w:r w:rsidRPr="00C10545">
              <w:rPr>
                <w:sz w:val="18"/>
                <w:szCs w:val="18"/>
                <w:lang w:eastAsia="en-AU"/>
              </w:rPr>
              <w:t> </w:t>
            </w:r>
          </w:p>
        </w:tc>
        <w:tc>
          <w:tcPr>
            <w:tcW w:w="652" w:type="pct"/>
            <w:tcBorders>
              <w:top w:val="nil"/>
              <w:left w:val="nil"/>
              <w:bottom w:val="single" w:sz="4" w:space="0" w:color="auto"/>
              <w:right w:val="single" w:sz="4" w:space="0" w:color="auto"/>
            </w:tcBorders>
            <w:shd w:val="clear" w:color="000000" w:fill="000000"/>
            <w:noWrap/>
            <w:vAlign w:val="bottom"/>
            <w:hideMark/>
          </w:tcPr>
          <w:p w14:paraId="325DE630" w14:textId="77777777" w:rsidR="009A356E" w:rsidRPr="00C10545" w:rsidRDefault="009A356E" w:rsidP="009A356E">
            <w:pPr>
              <w:rPr>
                <w:sz w:val="18"/>
                <w:szCs w:val="18"/>
                <w:lang w:eastAsia="en-AU"/>
              </w:rPr>
            </w:pPr>
            <w:r w:rsidRPr="00C10545">
              <w:rPr>
                <w:sz w:val="18"/>
                <w:szCs w:val="18"/>
                <w:lang w:eastAsia="en-AU"/>
              </w:rPr>
              <w:t> </w:t>
            </w:r>
          </w:p>
        </w:tc>
        <w:tc>
          <w:tcPr>
            <w:tcW w:w="611" w:type="pct"/>
            <w:tcBorders>
              <w:top w:val="nil"/>
              <w:left w:val="nil"/>
              <w:bottom w:val="single" w:sz="4" w:space="0" w:color="auto"/>
              <w:right w:val="single" w:sz="4" w:space="0" w:color="auto"/>
            </w:tcBorders>
            <w:shd w:val="clear" w:color="000000" w:fill="000000"/>
            <w:noWrap/>
            <w:vAlign w:val="bottom"/>
            <w:hideMark/>
          </w:tcPr>
          <w:p w14:paraId="57547F33" w14:textId="77777777" w:rsidR="009A356E" w:rsidRPr="00C10545" w:rsidRDefault="009A356E" w:rsidP="009A356E">
            <w:pPr>
              <w:rPr>
                <w:sz w:val="18"/>
                <w:szCs w:val="18"/>
                <w:lang w:eastAsia="en-AU"/>
              </w:rPr>
            </w:pPr>
            <w:r w:rsidRPr="00C10545">
              <w:rPr>
                <w:sz w:val="18"/>
                <w:szCs w:val="18"/>
                <w:lang w:eastAsia="en-AU"/>
              </w:rPr>
              <w:t> </w:t>
            </w:r>
          </w:p>
        </w:tc>
        <w:tc>
          <w:tcPr>
            <w:tcW w:w="611" w:type="pct"/>
            <w:tcBorders>
              <w:top w:val="nil"/>
              <w:left w:val="nil"/>
              <w:bottom w:val="single" w:sz="4" w:space="0" w:color="auto"/>
              <w:right w:val="single" w:sz="4" w:space="0" w:color="auto"/>
            </w:tcBorders>
            <w:shd w:val="clear" w:color="000000" w:fill="000000"/>
            <w:noWrap/>
            <w:vAlign w:val="bottom"/>
            <w:hideMark/>
          </w:tcPr>
          <w:p w14:paraId="5FA0B778" w14:textId="77777777" w:rsidR="009A356E" w:rsidRPr="00C10545" w:rsidRDefault="009A356E" w:rsidP="009A356E">
            <w:pPr>
              <w:rPr>
                <w:sz w:val="18"/>
                <w:szCs w:val="18"/>
                <w:lang w:eastAsia="en-AU"/>
              </w:rPr>
            </w:pPr>
            <w:r w:rsidRPr="00C10545">
              <w:rPr>
                <w:sz w:val="18"/>
                <w:szCs w:val="18"/>
                <w:lang w:eastAsia="en-AU"/>
              </w:rPr>
              <w:t> </w:t>
            </w:r>
          </w:p>
        </w:tc>
        <w:tc>
          <w:tcPr>
            <w:tcW w:w="611" w:type="pct"/>
            <w:tcBorders>
              <w:top w:val="nil"/>
              <w:left w:val="nil"/>
              <w:bottom w:val="single" w:sz="4" w:space="0" w:color="auto"/>
              <w:right w:val="single" w:sz="4" w:space="0" w:color="auto"/>
            </w:tcBorders>
            <w:shd w:val="clear" w:color="000000" w:fill="000000"/>
            <w:noWrap/>
            <w:vAlign w:val="bottom"/>
            <w:hideMark/>
          </w:tcPr>
          <w:p w14:paraId="33AB5EAC" w14:textId="77777777" w:rsidR="009A356E" w:rsidRPr="00C10545" w:rsidRDefault="009A356E" w:rsidP="009A356E">
            <w:pPr>
              <w:rPr>
                <w:sz w:val="18"/>
                <w:szCs w:val="18"/>
                <w:lang w:eastAsia="en-AU"/>
              </w:rPr>
            </w:pPr>
            <w:r w:rsidRPr="00C10545">
              <w:rPr>
                <w:sz w:val="18"/>
                <w:szCs w:val="18"/>
                <w:lang w:eastAsia="en-AU"/>
              </w:rPr>
              <w:t> </w:t>
            </w:r>
          </w:p>
        </w:tc>
      </w:tr>
      <w:tr w:rsidR="009A356E" w:rsidRPr="00C65C2B" w14:paraId="554D7A6D" w14:textId="77777777" w:rsidTr="009A356E">
        <w:trPr>
          <w:trHeight w:val="240"/>
        </w:trPr>
        <w:tc>
          <w:tcPr>
            <w:tcW w:w="1211" w:type="pct"/>
            <w:tcBorders>
              <w:top w:val="nil"/>
              <w:left w:val="single" w:sz="4" w:space="0" w:color="auto"/>
              <w:bottom w:val="single" w:sz="4" w:space="0" w:color="auto"/>
              <w:right w:val="single" w:sz="4" w:space="0" w:color="auto"/>
            </w:tcBorders>
            <w:shd w:val="clear" w:color="000000" w:fill="000000"/>
            <w:noWrap/>
            <w:vAlign w:val="bottom"/>
            <w:hideMark/>
          </w:tcPr>
          <w:p w14:paraId="67CC3E40" w14:textId="77777777" w:rsidR="009A356E" w:rsidRPr="00C10545" w:rsidRDefault="009A356E" w:rsidP="009A356E">
            <w:pPr>
              <w:rPr>
                <w:sz w:val="18"/>
                <w:szCs w:val="18"/>
                <w:lang w:eastAsia="en-AU"/>
              </w:rPr>
            </w:pPr>
            <w:r w:rsidRPr="00C10545">
              <w:rPr>
                <w:sz w:val="18"/>
                <w:szCs w:val="18"/>
                <w:lang w:eastAsia="en-AU"/>
              </w:rPr>
              <w:t> </w:t>
            </w:r>
          </w:p>
        </w:tc>
        <w:tc>
          <w:tcPr>
            <w:tcW w:w="3789" w:type="pct"/>
            <w:gridSpan w:val="6"/>
            <w:tcBorders>
              <w:top w:val="single" w:sz="4" w:space="0" w:color="auto"/>
              <w:left w:val="nil"/>
              <w:bottom w:val="single" w:sz="4" w:space="0" w:color="auto"/>
              <w:right w:val="single" w:sz="4" w:space="0" w:color="auto"/>
            </w:tcBorders>
            <w:shd w:val="clear" w:color="auto" w:fill="auto"/>
            <w:noWrap/>
            <w:vAlign w:val="bottom"/>
            <w:hideMark/>
          </w:tcPr>
          <w:p w14:paraId="217D0C4C" w14:textId="77777777" w:rsidR="009A356E" w:rsidRPr="00C10545" w:rsidRDefault="009A356E" w:rsidP="009A356E">
            <w:pPr>
              <w:jc w:val="center"/>
              <w:rPr>
                <w:b/>
                <w:bCs/>
                <w:sz w:val="18"/>
                <w:szCs w:val="18"/>
                <w:lang w:eastAsia="en-AU"/>
              </w:rPr>
            </w:pPr>
            <w:r w:rsidRPr="00C10545">
              <w:rPr>
                <w:b/>
                <w:bCs/>
                <w:sz w:val="18"/>
                <w:szCs w:val="18"/>
                <w:lang w:eastAsia="en-AU"/>
              </w:rPr>
              <w:t>Discounted by AWE</w:t>
            </w:r>
          </w:p>
        </w:tc>
      </w:tr>
      <w:tr w:rsidR="009A356E" w:rsidRPr="00C65C2B" w14:paraId="6D10AD72" w14:textId="77777777" w:rsidTr="009A356E">
        <w:trPr>
          <w:trHeight w:val="240"/>
        </w:trPr>
        <w:tc>
          <w:tcPr>
            <w:tcW w:w="1211" w:type="pct"/>
            <w:tcBorders>
              <w:top w:val="nil"/>
              <w:left w:val="single" w:sz="4" w:space="0" w:color="auto"/>
              <w:bottom w:val="single" w:sz="4" w:space="0" w:color="auto"/>
              <w:right w:val="single" w:sz="4" w:space="0" w:color="auto"/>
            </w:tcBorders>
            <w:shd w:val="clear" w:color="000000" w:fill="FDE9D9"/>
            <w:noWrap/>
            <w:vAlign w:val="bottom"/>
            <w:hideMark/>
          </w:tcPr>
          <w:p w14:paraId="185E97FE" w14:textId="77777777" w:rsidR="009A356E" w:rsidRPr="00C10545" w:rsidRDefault="009A356E" w:rsidP="009A356E">
            <w:pPr>
              <w:rPr>
                <w:b/>
                <w:bCs/>
                <w:sz w:val="18"/>
                <w:szCs w:val="18"/>
                <w:lang w:eastAsia="en-AU"/>
              </w:rPr>
            </w:pPr>
            <w:r w:rsidRPr="00C10545">
              <w:rPr>
                <w:b/>
                <w:bCs/>
                <w:sz w:val="18"/>
                <w:szCs w:val="18"/>
                <w:lang w:eastAsia="en-AU"/>
              </w:rPr>
              <w:t>Small Shires</w:t>
            </w:r>
          </w:p>
        </w:tc>
        <w:tc>
          <w:tcPr>
            <w:tcW w:w="652" w:type="pct"/>
            <w:tcBorders>
              <w:top w:val="nil"/>
              <w:left w:val="nil"/>
              <w:bottom w:val="single" w:sz="4" w:space="0" w:color="auto"/>
              <w:right w:val="single" w:sz="4" w:space="0" w:color="auto"/>
            </w:tcBorders>
            <w:shd w:val="clear" w:color="000000" w:fill="000000"/>
            <w:noWrap/>
            <w:vAlign w:val="bottom"/>
            <w:hideMark/>
          </w:tcPr>
          <w:p w14:paraId="7FF9B06E" w14:textId="77777777" w:rsidR="009A356E" w:rsidRPr="00C10545" w:rsidRDefault="009A356E" w:rsidP="009A356E">
            <w:pPr>
              <w:rPr>
                <w:sz w:val="18"/>
                <w:szCs w:val="18"/>
                <w:lang w:eastAsia="en-AU"/>
              </w:rPr>
            </w:pPr>
            <w:r w:rsidRPr="00C10545">
              <w:rPr>
                <w:sz w:val="18"/>
                <w:szCs w:val="18"/>
                <w:lang w:eastAsia="en-AU"/>
              </w:rPr>
              <w:t> </w:t>
            </w:r>
          </w:p>
        </w:tc>
        <w:tc>
          <w:tcPr>
            <w:tcW w:w="652" w:type="pct"/>
            <w:tcBorders>
              <w:top w:val="nil"/>
              <w:left w:val="nil"/>
              <w:bottom w:val="single" w:sz="4" w:space="0" w:color="auto"/>
              <w:right w:val="single" w:sz="4" w:space="0" w:color="auto"/>
            </w:tcBorders>
            <w:shd w:val="clear" w:color="000000" w:fill="000000"/>
            <w:noWrap/>
            <w:vAlign w:val="bottom"/>
            <w:hideMark/>
          </w:tcPr>
          <w:p w14:paraId="28F25EE7" w14:textId="77777777" w:rsidR="009A356E" w:rsidRPr="00C10545" w:rsidRDefault="009A356E" w:rsidP="009A356E">
            <w:pPr>
              <w:rPr>
                <w:sz w:val="18"/>
                <w:szCs w:val="18"/>
                <w:lang w:eastAsia="en-AU"/>
              </w:rPr>
            </w:pPr>
            <w:r w:rsidRPr="00C10545">
              <w:rPr>
                <w:sz w:val="18"/>
                <w:szCs w:val="18"/>
                <w:lang w:eastAsia="en-AU"/>
              </w:rPr>
              <w:t> </w:t>
            </w:r>
          </w:p>
        </w:tc>
        <w:tc>
          <w:tcPr>
            <w:tcW w:w="652" w:type="pct"/>
            <w:tcBorders>
              <w:top w:val="nil"/>
              <w:left w:val="nil"/>
              <w:bottom w:val="single" w:sz="4" w:space="0" w:color="auto"/>
              <w:right w:val="single" w:sz="4" w:space="0" w:color="auto"/>
            </w:tcBorders>
            <w:shd w:val="clear" w:color="000000" w:fill="000000"/>
            <w:noWrap/>
            <w:vAlign w:val="bottom"/>
            <w:hideMark/>
          </w:tcPr>
          <w:p w14:paraId="752F8FD1" w14:textId="77777777" w:rsidR="009A356E" w:rsidRPr="00C10545" w:rsidRDefault="009A356E" w:rsidP="009A356E">
            <w:pPr>
              <w:rPr>
                <w:sz w:val="18"/>
                <w:szCs w:val="18"/>
                <w:lang w:eastAsia="en-AU"/>
              </w:rPr>
            </w:pPr>
            <w:r w:rsidRPr="00C10545">
              <w:rPr>
                <w:sz w:val="18"/>
                <w:szCs w:val="18"/>
                <w:lang w:eastAsia="en-AU"/>
              </w:rPr>
              <w:t> </w:t>
            </w:r>
          </w:p>
        </w:tc>
        <w:tc>
          <w:tcPr>
            <w:tcW w:w="611" w:type="pct"/>
            <w:tcBorders>
              <w:top w:val="nil"/>
              <w:left w:val="nil"/>
              <w:bottom w:val="single" w:sz="4" w:space="0" w:color="auto"/>
              <w:right w:val="single" w:sz="4" w:space="0" w:color="auto"/>
            </w:tcBorders>
            <w:shd w:val="clear" w:color="000000" w:fill="000000"/>
            <w:noWrap/>
            <w:vAlign w:val="bottom"/>
            <w:hideMark/>
          </w:tcPr>
          <w:p w14:paraId="3CAD4534" w14:textId="77777777" w:rsidR="009A356E" w:rsidRPr="00C10545" w:rsidRDefault="009A356E" w:rsidP="009A356E">
            <w:pPr>
              <w:rPr>
                <w:sz w:val="18"/>
                <w:szCs w:val="18"/>
                <w:lang w:eastAsia="en-AU"/>
              </w:rPr>
            </w:pPr>
            <w:r w:rsidRPr="00C10545">
              <w:rPr>
                <w:sz w:val="18"/>
                <w:szCs w:val="18"/>
                <w:lang w:eastAsia="en-AU"/>
              </w:rPr>
              <w:t> </w:t>
            </w:r>
          </w:p>
        </w:tc>
        <w:tc>
          <w:tcPr>
            <w:tcW w:w="611" w:type="pct"/>
            <w:tcBorders>
              <w:top w:val="nil"/>
              <w:left w:val="nil"/>
              <w:bottom w:val="single" w:sz="4" w:space="0" w:color="auto"/>
              <w:right w:val="single" w:sz="4" w:space="0" w:color="auto"/>
            </w:tcBorders>
            <w:shd w:val="clear" w:color="000000" w:fill="000000"/>
            <w:noWrap/>
            <w:vAlign w:val="bottom"/>
            <w:hideMark/>
          </w:tcPr>
          <w:p w14:paraId="5E44B487" w14:textId="77777777" w:rsidR="009A356E" w:rsidRPr="00C10545" w:rsidRDefault="009A356E" w:rsidP="009A356E">
            <w:pPr>
              <w:rPr>
                <w:sz w:val="18"/>
                <w:szCs w:val="18"/>
                <w:lang w:eastAsia="en-AU"/>
              </w:rPr>
            </w:pPr>
            <w:r w:rsidRPr="00C10545">
              <w:rPr>
                <w:sz w:val="18"/>
                <w:szCs w:val="18"/>
                <w:lang w:eastAsia="en-AU"/>
              </w:rPr>
              <w:t> </w:t>
            </w:r>
          </w:p>
        </w:tc>
        <w:tc>
          <w:tcPr>
            <w:tcW w:w="611" w:type="pct"/>
            <w:tcBorders>
              <w:top w:val="nil"/>
              <w:left w:val="nil"/>
              <w:bottom w:val="single" w:sz="4" w:space="0" w:color="auto"/>
              <w:right w:val="single" w:sz="4" w:space="0" w:color="auto"/>
            </w:tcBorders>
            <w:shd w:val="clear" w:color="000000" w:fill="000000"/>
            <w:noWrap/>
            <w:vAlign w:val="bottom"/>
            <w:hideMark/>
          </w:tcPr>
          <w:p w14:paraId="0CCE9AAE" w14:textId="77777777" w:rsidR="009A356E" w:rsidRPr="00C10545" w:rsidRDefault="009A356E" w:rsidP="009A356E">
            <w:pPr>
              <w:rPr>
                <w:sz w:val="18"/>
                <w:szCs w:val="18"/>
                <w:lang w:eastAsia="en-AU"/>
              </w:rPr>
            </w:pPr>
            <w:r w:rsidRPr="00C10545">
              <w:rPr>
                <w:sz w:val="18"/>
                <w:szCs w:val="18"/>
                <w:lang w:eastAsia="en-AU"/>
              </w:rPr>
              <w:t> </w:t>
            </w:r>
          </w:p>
        </w:tc>
      </w:tr>
      <w:tr w:rsidR="009A356E" w:rsidRPr="00C65C2B" w14:paraId="6024C570" w14:textId="77777777" w:rsidTr="009A356E">
        <w:trPr>
          <w:trHeight w:val="240"/>
        </w:trPr>
        <w:tc>
          <w:tcPr>
            <w:tcW w:w="1211" w:type="pct"/>
            <w:tcBorders>
              <w:top w:val="nil"/>
              <w:left w:val="single" w:sz="4" w:space="0" w:color="auto"/>
              <w:bottom w:val="single" w:sz="4" w:space="0" w:color="auto"/>
              <w:right w:val="single" w:sz="4" w:space="0" w:color="auto"/>
            </w:tcBorders>
            <w:shd w:val="clear" w:color="auto" w:fill="auto"/>
            <w:noWrap/>
            <w:vAlign w:val="bottom"/>
            <w:hideMark/>
          </w:tcPr>
          <w:p w14:paraId="33DADD02" w14:textId="77777777" w:rsidR="009A356E" w:rsidRPr="00C10545" w:rsidRDefault="009A356E" w:rsidP="009A356E">
            <w:pPr>
              <w:rPr>
                <w:sz w:val="18"/>
                <w:szCs w:val="18"/>
                <w:lang w:eastAsia="en-AU"/>
              </w:rPr>
            </w:pPr>
            <w:r w:rsidRPr="00C10545">
              <w:rPr>
                <w:sz w:val="18"/>
                <w:szCs w:val="18"/>
                <w:lang w:eastAsia="en-AU"/>
              </w:rPr>
              <w:t>Alpine</w:t>
            </w:r>
          </w:p>
        </w:tc>
        <w:tc>
          <w:tcPr>
            <w:tcW w:w="652" w:type="pct"/>
            <w:tcBorders>
              <w:top w:val="nil"/>
              <w:left w:val="nil"/>
              <w:bottom w:val="single" w:sz="4" w:space="0" w:color="auto"/>
              <w:right w:val="single" w:sz="4" w:space="0" w:color="auto"/>
            </w:tcBorders>
            <w:shd w:val="clear" w:color="auto" w:fill="auto"/>
            <w:noWrap/>
            <w:vAlign w:val="bottom"/>
            <w:hideMark/>
          </w:tcPr>
          <w:p w14:paraId="6E5D7376" w14:textId="77777777" w:rsidR="009A356E" w:rsidRPr="00C10545" w:rsidRDefault="009A356E" w:rsidP="009A356E">
            <w:pPr>
              <w:jc w:val="right"/>
              <w:rPr>
                <w:sz w:val="18"/>
                <w:szCs w:val="18"/>
                <w:lang w:eastAsia="en-AU"/>
              </w:rPr>
            </w:pPr>
            <w:r w:rsidRPr="00C10545">
              <w:rPr>
                <w:sz w:val="18"/>
                <w:szCs w:val="18"/>
                <w:lang w:eastAsia="en-AU"/>
              </w:rPr>
              <w:t>-3.2%</w:t>
            </w:r>
          </w:p>
        </w:tc>
        <w:tc>
          <w:tcPr>
            <w:tcW w:w="652" w:type="pct"/>
            <w:tcBorders>
              <w:top w:val="nil"/>
              <w:left w:val="nil"/>
              <w:bottom w:val="single" w:sz="4" w:space="0" w:color="auto"/>
              <w:right w:val="single" w:sz="4" w:space="0" w:color="auto"/>
            </w:tcBorders>
            <w:shd w:val="clear" w:color="auto" w:fill="auto"/>
            <w:noWrap/>
            <w:vAlign w:val="bottom"/>
            <w:hideMark/>
          </w:tcPr>
          <w:p w14:paraId="122358A0" w14:textId="77777777" w:rsidR="009A356E" w:rsidRPr="00C10545" w:rsidRDefault="009A356E" w:rsidP="009A356E">
            <w:pPr>
              <w:jc w:val="right"/>
              <w:rPr>
                <w:sz w:val="18"/>
                <w:szCs w:val="18"/>
                <w:lang w:eastAsia="en-AU"/>
              </w:rPr>
            </w:pPr>
            <w:r w:rsidRPr="00C10545">
              <w:rPr>
                <w:sz w:val="18"/>
                <w:szCs w:val="18"/>
                <w:lang w:eastAsia="en-AU"/>
              </w:rPr>
              <w:t>9.7%</w:t>
            </w:r>
          </w:p>
        </w:tc>
        <w:tc>
          <w:tcPr>
            <w:tcW w:w="652" w:type="pct"/>
            <w:tcBorders>
              <w:top w:val="nil"/>
              <w:left w:val="nil"/>
              <w:bottom w:val="single" w:sz="4" w:space="0" w:color="auto"/>
              <w:right w:val="single" w:sz="4" w:space="0" w:color="auto"/>
            </w:tcBorders>
            <w:shd w:val="clear" w:color="auto" w:fill="auto"/>
            <w:noWrap/>
            <w:vAlign w:val="bottom"/>
            <w:hideMark/>
          </w:tcPr>
          <w:p w14:paraId="710BB509" w14:textId="77777777" w:rsidR="009A356E" w:rsidRPr="00C10545" w:rsidRDefault="009A356E" w:rsidP="009A356E">
            <w:pPr>
              <w:jc w:val="right"/>
              <w:rPr>
                <w:sz w:val="18"/>
                <w:szCs w:val="18"/>
                <w:lang w:eastAsia="en-AU"/>
              </w:rPr>
            </w:pPr>
            <w:r w:rsidRPr="00C10545">
              <w:rPr>
                <w:sz w:val="18"/>
                <w:szCs w:val="18"/>
                <w:lang w:eastAsia="en-AU"/>
              </w:rPr>
              <w:t>15.3%</w:t>
            </w:r>
          </w:p>
        </w:tc>
        <w:tc>
          <w:tcPr>
            <w:tcW w:w="611" w:type="pct"/>
            <w:tcBorders>
              <w:top w:val="nil"/>
              <w:left w:val="nil"/>
              <w:bottom w:val="single" w:sz="4" w:space="0" w:color="auto"/>
              <w:right w:val="single" w:sz="4" w:space="0" w:color="auto"/>
            </w:tcBorders>
            <w:shd w:val="clear" w:color="auto" w:fill="auto"/>
            <w:noWrap/>
            <w:vAlign w:val="bottom"/>
            <w:hideMark/>
          </w:tcPr>
          <w:p w14:paraId="692CFBF9" w14:textId="77777777" w:rsidR="009A356E" w:rsidRPr="00C10545" w:rsidRDefault="009A356E" w:rsidP="009A356E">
            <w:pPr>
              <w:jc w:val="right"/>
              <w:rPr>
                <w:sz w:val="18"/>
                <w:szCs w:val="18"/>
                <w:lang w:eastAsia="en-AU"/>
              </w:rPr>
            </w:pPr>
            <w:r w:rsidRPr="00C10545">
              <w:rPr>
                <w:sz w:val="18"/>
                <w:szCs w:val="18"/>
                <w:lang w:eastAsia="en-AU"/>
              </w:rPr>
              <w:t>3.3%</w:t>
            </w:r>
          </w:p>
        </w:tc>
        <w:tc>
          <w:tcPr>
            <w:tcW w:w="611" w:type="pct"/>
            <w:tcBorders>
              <w:top w:val="nil"/>
              <w:left w:val="nil"/>
              <w:bottom w:val="single" w:sz="4" w:space="0" w:color="auto"/>
              <w:right w:val="single" w:sz="4" w:space="0" w:color="auto"/>
            </w:tcBorders>
            <w:shd w:val="clear" w:color="auto" w:fill="auto"/>
            <w:noWrap/>
            <w:vAlign w:val="bottom"/>
            <w:hideMark/>
          </w:tcPr>
          <w:p w14:paraId="7DCB7A43" w14:textId="77777777" w:rsidR="009A356E" w:rsidRPr="00C10545" w:rsidRDefault="009A356E" w:rsidP="009A356E">
            <w:pPr>
              <w:jc w:val="right"/>
              <w:rPr>
                <w:sz w:val="18"/>
                <w:szCs w:val="18"/>
                <w:lang w:eastAsia="en-AU"/>
              </w:rPr>
            </w:pPr>
            <w:r w:rsidRPr="00C10545">
              <w:rPr>
                <w:sz w:val="18"/>
                <w:szCs w:val="18"/>
                <w:lang w:eastAsia="en-AU"/>
              </w:rPr>
              <w:t>0.0%</w:t>
            </w:r>
          </w:p>
        </w:tc>
        <w:tc>
          <w:tcPr>
            <w:tcW w:w="611" w:type="pct"/>
            <w:tcBorders>
              <w:top w:val="nil"/>
              <w:left w:val="nil"/>
              <w:bottom w:val="single" w:sz="4" w:space="0" w:color="auto"/>
              <w:right w:val="single" w:sz="4" w:space="0" w:color="auto"/>
            </w:tcBorders>
            <w:shd w:val="clear" w:color="auto" w:fill="auto"/>
            <w:noWrap/>
            <w:vAlign w:val="bottom"/>
            <w:hideMark/>
          </w:tcPr>
          <w:p w14:paraId="021E5162" w14:textId="77777777" w:rsidR="009A356E" w:rsidRPr="00C10545" w:rsidRDefault="009A356E" w:rsidP="009A356E">
            <w:pPr>
              <w:jc w:val="right"/>
              <w:rPr>
                <w:sz w:val="18"/>
                <w:szCs w:val="18"/>
                <w:lang w:eastAsia="en-AU"/>
              </w:rPr>
            </w:pPr>
            <w:r w:rsidRPr="00C10545">
              <w:rPr>
                <w:sz w:val="18"/>
                <w:szCs w:val="18"/>
                <w:lang w:eastAsia="en-AU"/>
              </w:rPr>
              <w:t>-4.9%</w:t>
            </w:r>
          </w:p>
        </w:tc>
      </w:tr>
      <w:tr w:rsidR="009A356E" w:rsidRPr="00C65C2B" w14:paraId="54B2507F" w14:textId="77777777" w:rsidTr="009A356E">
        <w:trPr>
          <w:trHeight w:val="240"/>
        </w:trPr>
        <w:tc>
          <w:tcPr>
            <w:tcW w:w="1211" w:type="pct"/>
            <w:tcBorders>
              <w:top w:val="nil"/>
              <w:left w:val="single" w:sz="4" w:space="0" w:color="auto"/>
              <w:bottom w:val="single" w:sz="4" w:space="0" w:color="auto"/>
              <w:right w:val="single" w:sz="4" w:space="0" w:color="auto"/>
            </w:tcBorders>
            <w:shd w:val="clear" w:color="auto" w:fill="auto"/>
            <w:noWrap/>
            <w:vAlign w:val="bottom"/>
            <w:hideMark/>
          </w:tcPr>
          <w:p w14:paraId="7DB7334D" w14:textId="77777777" w:rsidR="009A356E" w:rsidRPr="00C10545" w:rsidRDefault="009A356E" w:rsidP="009A356E">
            <w:pPr>
              <w:rPr>
                <w:sz w:val="18"/>
                <w:szCs w:val="18"/>
                <w:lang w:eastAsia="en-AU"/>
              </w:rPr>
            </w:pPr>
            <w:r w:rsidRPr="00C10545">
              <w:rPr>
                <w:sz w:val="18"/>
                <w:szCs w:val="18"/>
                <w:lang w:eastAsia="en-AU"/>
              </w:rPr>
              <w:t>Bass Coast</w:t>
            </w:r>
          </w:p>
        </w:tc>
        <w:tc>
          <w:tcPr>
            <w:tcW w:w="652" w:type="pct"/>
            <w:tcBorders>
              <w:top w:val="nil"/>
              <w:left w:val="nil"/>
              <w:bottom w:val="single" w:sz="4" w:space="0" w:color="auto"/>
              <w:right w:val="single" w:sz="4" w:space="0" w:color="auto"/>
            </w:tcBorders>
            <w:shd w:val="clear" w:color="auto" w:fill="auto"/>
            <w:noWrap/>
            <w:vAlign w:val="bottom"/>
            <w:hideMark/>
          </w:tcPr>
          <w:p w14:paraId="78380B1A" w14:textId="77777777" w:rsidR="009A356E" w:rsidRPr="00C10545" w:rsidRDefault="009A356E" w:rsidP="009A356E">
            <w:pPr>
              <w:jc w:val="right"/>
              <w:rPr>
                <w:sz w:val="18"/>
                <w:szCs w:val="18"/>
                <w:lang w:eastAsia="en-AU"/>
              </w:rPr>
            </w:pPr>
            <w:r w:rsidRPr="00C10545">
              <w:rPr>
                <w:sz w:val="18"/>
                <w:szCs w:val="18"/>
                <w:lang w:eastAsia="en-AU"/>
              </w:rPr>
              <w:t>2.4%</w:t>
            </w:r>
          </w:p>
        </w:tc>
        <w:tc>
          <w:tcPr>
            <w:tcW w:w="652" w:type="pct"/>
            <w:tcBorders>
              <w:top w:val="nil"/>
              <w:left w:val="nil"/>
              <w:bottom w:val="single" w:sz="4" w:space="0" w:color="auto"/>
              <w:right w:val="single" w:sz="4" w:space="0" w:color="auto"/>
            </w:tcBorders>
            <w:shd w:val="clear" w:color="auto" w:fill="auto"/>
            <w:noWrap/>
            <w:vAlign w:val="bottom"/>
            <w:hideMark/>
          </w:tcPr>
          <w:p w14:paraId="190EE77F" w14:textId="77777777" w:rsidR="009A356E" w:rsidRPr="00C10545" w:rsidRDefault="009A356E" w:rsidP="009A356E">
            <w:pPr>
              <w:jc w:val="right"/>
              <w:rPr>
                <w:sz w:val="18"/>
                <w:szCs w:val="18"/>
                <w:lang w:eastAsia="en-AU"/>
              </w:rPr>
            </w:pPr>
            <w:r w:rsidRPr="00C10545">
              <w:rPr>
                <w:sz w:val="18"/>
                <w:szCs w:val="18"/>
                <w:lang w:eastAsia="en-AU"/>
              </w:rPr>
              <w:t>-3.0%</w:t>
            </w:r>
          </w:p>
        </w:tc>
        <w:tc>
          <w:tcPr>
            <w:tcW w:w="652" w:type="pct"/>
            <w:tcBorders>
              <w:top w:val="nil"/>
              <w:left w:val="nil"/>
              <w:bottom w:val="single" w:sz="4" w:space="0" w:color="auto"/>
              <w:right w:val="single" w:sz="4" w:space="0" w:color="auto"/>
            </w:tcBorders>
            <w:shd w:val="clear" w:color="auto" w:fill="auto"/>
            <w:noWrap/>
            <w:vAlign w:val="bottom"/>
            <w:hideMark/>
          </w:tcPr>
          <w:p w14:paraId="6BD3C122" w14:textId="77777777" w:rsidR="009A356E" w:rsidRPr="00C10545" w:rsidRDefault="009A356E" w:rsidP="009A356E">
            <w:pPr>
              <w:jc w:val="right"/>
              <w:rPr>
                <w:sz w:val="18"/>
                <w:szCs w:val="18"/>
                <w:lang w:eastAsia="en-AU"/>
              </w:rPr>
            </w:pPr>
            <w:r w:rsidRPr="00C10545">
              <w:rPr>
                <w:sz w:val="18"/>
                <w:szCs w:val="18"/>
                <w:lang w:eastAsia="en-AU"/>
              </w:rPr>
              <w:t>-3.0%</w:t>
            </w:r>
          </w:p>
        </w:tc>
        <w:tc>
          <w:tcPr>
            <w:tcW w:w="611" w:type="pct"/>
            <w:tcBorders>
              <w:top w:val="nil"/>
              <w:left w:val="nil"/>
              <w:bottom w:val="single" w:sz="4" w:space="0" w:color="auto"/>
              <w:right w:val="single" w:sz="4" w:space="0" w:color="auto"/>
            </w:tcBorders>
            <w:shd w:val="clear" w:color="auto" w:fill="auto"/>
            <w:noWrap/>
            <w:vAlign w:val="bottom"/>
            <w:hideMark/>
          </w:tcPr>
          <w:p w14:paraId="35A538ED" w14:textId="77777777" w:rsidR="009A356E" w:rsidRPr="00C10545" w:rsidRDefault="009A356E" w:rsidP="009A356E">
            <w:pPr>
              <w:jc w:val="right"/>
              <w:rPr>
                <w:sz w:val="18"/>
                <w:szCs w:val="18"/>
                <w:lang w:eastAsia="en-AU"/>
              </w:rPr>
            </w:pPr>
            <w:r w:rsidRPr="00C10545">
              <w:rPr>
                <w:sz w:val="18"/>
                <w:szCs w:val="18"/>
                <w:lang w:eastAsia="en-AU"/>
              </w:rPr>
              <w:t>6.1%</w:t>
            </w:r>
          </w:p>
        </w:tc>
        <w:tc>
          <w:tcPr>
            <w:tcW w:w="611" w:type="pct"/>
            <w:tcBorders>
              <w:top w:val="nil"/>
              <w:left w:val="nil"/>
              <w:bottom w:val="single" w:sz="4" w:space="0" w:color="auto"/>
              <w:right w:val="single" w:sz="4" w:space="0" w:color="auto"/>
            </w:tcBorders>
            <w:shd w:val="clear" w:color="auto" w:fill="auto"/>
            <w:noWrap/>
            <w:vAlign w:val="bottom"/>
            <w:hideMark/>
          </w:tcPr>
          <w:p w14:paraId="1E85B471" w14:textId="77777777" w:rsidR="009A356E" w:rsidRPr="00C10545" w:rsidRDefault="009A356E" w:rsidP="009A356E">
            <w:pPr>
              <w:jc w:val="right"/>
              <w:rPr>
                <w:sz w:val="18"/>
                <w:szCs w:val="18"/>
                <w:lang w:eastAsia="en-AU"/>
              </w:rPr>
            </w:pPr>
            <w:r w:rsidRPr="00C10545">
              <w:rPr>
                <w:sz w:val="18"/>
                <w:szCs w:val="18"/>
                <w:lang w:eastAsia="en-AU"/>
              </w:rPr>
              <w:t>-2.0%</w:t>
            </w:r>
          </w:p>
        </w:tc>
        <w:tc>
          <w:tcPr>
            <w:tcW w:w="611" w:type="pct"/>
            <w:tcBorders>
              <w:top w:val="nil"/>
              <w:left w:val="nil"/>
              <w:bottom w:val="single" w:sz="4" w:space="0" w:color="auto"/>
              <w:right w:val="single" w:sz="4" w:space="0" w:color="auto"/>
            </w:tcBorders>
            <w:shd w:val="clear" w:color="auto" w:fill="auto"/>
            <w:noWrap/>
            <w:vAlign w:val="bottom"/>
            <w:hideMark/>
          </w:tcPr>
          <w:p w14:paraId="0A680C73" w14:textId="77777777" w:rsidR="009A356E" w:rsidRPr="00C10545" w:rsidRDefault="009A356E" w:rsidP="009A356E">
            <w:pPr>
              <w:jc w:val="right"/>
              <w:rPr>
                <w:sz w:val="18"/>
                <w:szCs w:val="18"/>
                <w:lang w:eastAsia="en-AU"/>
              </w:rPr>
            </w:pPr>
            <w:r w:rsidRPr="00C10545">
              <w:rPr>
                <w:sz w:val="18"/>
                <w:szCs w:val="18"/>
                <w:lang w:eastAsia="en-AU"/>
              </w:rPr>
              <w:t>-6.1%</w:t>
            </w:r>
          </w:p>
        </w:tc>
      </w:tr>
      <w:tr w:rsidR="009A356E" w:rsidRPr="00C65C2B" w14:paraId="53AAC626" w14:textId="77777777" w:rsidTr="009A356E">
        <w:trPr>
          <w:trHeight w:val="240"/>
        </w:trPr>
        <w:tc>
          <w:tcPr>
            <w:tcW w:w="1211" w:type="pct"/>
            <w:tcBorders>
              <w:top w:val="nil"/>
              <w:left w:val="single" w:sz="4" w:space="0" w:color="auto"/>
              <w:bottom w:val="single" w:sz="4" w:space="0" w:color="auto"/>
              <w:right w:val="single" w:sz="4" w:space="0" w:color="auto"/>
            </w:tcBorders>
            <w:shd w:val="clear" w:color="auto" w:fill="auto"/>
            <w:noWrap/>
            <w:vAlign w:val="bottom"/>
            <w:hideMark/>
          </w:tcPr>
          <w:p w14:paraId="57C7053B" w14:textId="77777777" w:rsidR="009A356E" w:rsidRPr="00C10545" w:rsidRDefault="009A356E" w:rsidP="009A356E">
            <w:pPr>
              <w:rPr>
                <w:sz w:val="18"/>
                <w:szCs w:val="18"/>
                <w:lang w:eastAsia="en-AU"/>
              </w:rPr>
            </w:pPr>
            <w:proofErr w:type="spellStart"/>
            <w:r w:rsidRPr="00C10545">
              <w:rPr>
                <w:sz w:val="18"/>
                <w:szCs w:val="18"/>
                <w:lang w:eastAsia="en-AU"/>
              </w:rPr>
              <w:t>Buloke</w:t>
            </w:r>
            <w:proofErr w:type="spellEnd"/>
          </w:p>
        </w:tc>
        <w:tc>
          <w:tcPr>
            <w:tcW w:w="652" w:type="pct"/>
            <w:tcBorders>
              <w:top w:val="nil"/>
              <w:left w:val="nil"/>
              <w:bottom w:val="single" w:sz="4" w:space="0" w:color="auto"/>
              <w:right w:val="single" w:sz="4" w:space="0" w:color="auto"/>
            </w:tcBorders>
            <w:shd w:val="clear" w:color="auto" w:fill="auto"/>
            <w:noWrap/>
            <w:vAlign w:val="bottom"/>
            <w:hideMark/>
          </w:tcPr>
          <w:p w14:paraId="09209442" w14:textId="77777777" w:rsidR="009A356E" w:rsidRPr="00C10545" w:rsidRDefault="009A356E" w:rsidP="009A356E">
            <w:pPr>
              <w:jc w:val="right"/>
              <w:rPr>
                <w:sz w:val="18"/>
                <w:szCs w:val="18"/>
                <w:lang w:eastAsia="en-AU"/>
              </w:rPr>
            </w:pPr>
            <w:r w:rsidRPr="00C10545">
              <w:rPr>
                <w:sz w:val="18"/>
                <w:szCs w:val="18"/>
                <w:lang w:eastAsia="en-AU"/>
              </w:rPr>
              <w:t>2.6%</w:t>
            </w:r>
          </w:p>
        </w:tc>
        <w:tc>
          <w:tcPr>
            <w:tcW w:w="652" w:type="pct"/>
            <w:tcBorders>
              <w:top w:val="nil"/>
              <w:left w:val="nil"/>
              <w:bottom w:val="single" w:sz="4" w:space="0" w:color="auto"/>
              <w:right w:val="single" w:sz="4" w:space="0" w:color="auto"/>
            </w:tcBorders>
            <w:shd w:val="clear" w:color="auto" w:fill="auto"/>
            <w:noWrap/>
            <w:vAlign w:val="bottom"/>
            <w:hideMark/>
          </w:tcPr>
          <w:p w14:paraId="41E46A10" w14:textId="77777777" w:rsidR="009A356E" w:rsidRPr="00C10545" w:rsidRDefault="009A356E" w:rsidP="009A356E">
            <w:pPr>
              <w:jc w:val="right"/>
              <w:rPr>
                <w:sz w:val="18"/>
                <w:szCs w:val="18"/>
                <w:lang w:eastAsia="en-AU"/>
              </w:rPr>
            </w:pPr>
            <w:r w:rsidRPr="00C10545">
              <w:rPr>
                <w:sz w:val="18"/>
                <w:szCs w:val="18"/>
                <w:lang w:eastAsia="en-AU"/>
              </w:rPr>
              <w:t>-0.1%</w:t>
            </w:r>
          </w:p>
        </w:tc>
        <w:tc>
          <w:tcPr>
            <w:tcW w:w="652" w:type="pct"/>
            <w:tcBorders>
              <w:top w:val="nil"/>
              <w:left w:val="nil"/>
              <w:bottom w:val="single" w:sz="4" w:space="0" w:color="auto"/>
              <w:right w:val="single" w:sz="4" w:space="0" w:color="auto"/>
            </w:tcBorders>
            <w:shd w:val="clear" w:color="auto" w:fill="auto"/>
            <w:noWrap/>
            <w:vAlign w:val="bottom"/>
            <w:hideMark/>
          </w:tcPr>
          <w:p w14:paraId="72C5C997" w14:textId="77777777" w:rsidR="009A356E" w:rsidRPr="00C10545" w:rsidRDefault="009A356E" w:rsidP="009A356E">
            <w:pPr>
              <w:jc w:val="right"/>
              <w:rPr>
                <w:sz w:val="18"/>
                <w:szCs w:val="18"/>
                <w:lang w:eastAsia="en-AU"/>
              </w:rPr>
            </w:pPr>
            <w:r w:rsidRPr="00C10545">
              <w:rPr>
                <w:sz w:val="18"/>
                <w:szCs w:val="18"/>
                <w:lang w:eastAsia="en-AU"/>
              </w:rPr>
              <w:t>-7.2%</w:t>
            </w:r>
          </w:p>
        </w:tc>
        <w:tc>
          <w:tcPr>
            <w:tcW w:w="611" w:type="pct"/>
            <w:tcBorders>
              <w:top w:val="nil"/>
              <w:left w:val="nil"/>
              <w:bottom w:val="single" w:sz="4" w:space="0" w:color="auto"/>
              <w:right w:val="single" w:sz="4" w:space="0" w:color="auto"/>
            </w:tcBorders>
            <w:shd w:val="clear" w:color="auto" w:fill="auto"/>
            <w:noWrap/>
            <w:vAlign w:val="bottom"/>
            <w:hideMark/>
          </w:tcPr>
          <w:p w14:paraId="28D3A7A2" w14:textId="77777777" w:rsidR="009A356E" w:rsidRPr="00C10545" w:rsidRDefault="009A356E" w:rsidP="009A356E">
            <w:pPr>
              <w:jc w:val="right"/>
              <w:rPr>
                <w:sz w:val="18"/>
                <w:szCs w:val="18"/>
                <w:lang w:eastAsia="en-AU"/>
              </w:rPr>
            </w:pPr>
            <w:r w:rsidRPr="00C10545">
              <w:rPr>
                <w:sz w:val="18"/>
                <w:szCs w:val="18"/>
                <w:lang w:eastAsia="en-AU"/>
              </w:rPr>
              <w:t>8.4%</w:t>
            </w:r>
          </w:p>
        </w:tc>
        <w:tc>
          <w:tcPr>
            <w:tcW w:w="611" w:type="pct"/>
            <w:tcBorders>
              <w:top w:val="nil"/>
              <w:left w:val="nil"/>
              <w:bottom w:val="single" w:sz="4" w:space="0" w:color="auto"/>
              <w:right w:val="single" w:sz="4" w:space="0" w:color="auto"/>
            </w:tcBorders>
            <w:shd w:val="clear" w:color="auto" w:fill="auto"/>
            <w:noWrap/>
            <w:vAlign w:val="bottom"/>
            <w:hideMark/>
          </w:tcPr>
          <w:p w14:paraId="5AD2BC67" w14:textId="77777777" w:rsidR="009A356E" w:rsidRPr="00C10545" w:rsidRDefault="009A356E" w:rsidP="009A356E">
            <w:pPr>
              <w:jc w:val="right"/>
              <w:rPr>
                <w:sz w:val="18"/>
                <w:szCs w:val="18"/>
                <w:lang w:eastAsia="en-AU"/>
              </w:rPr>
            </w:pPr>
            <w:r w:rsidRPr="00C10545">
              <w:rPr>
                <w:sz w:val="18"/>
                <w:szCs w:val="18"/>
                <w:lang w:eastAsia="en-AU"/>
              </w:rPr>
              <w:t>4.9%</w:t>
            </w:r>
          </w:p>
        </w:tc>
        <w:tc>
          <w:tcPr>
            <w:tcW w:w="611" w:type="pct"/>
            <w:tcBorders>
              <w:top w:val="nil"/>
              <w:left w:val="nil"/>
              <w:bottom w:val="single" w:sz="4" w:space="0" w:color="auto"/>
              <w:right w:val="single" w:sz="4" w:space="0" w:color="auto"/>
            </w:tcBorders>
            <w:shd w:val="clear" w:color="auto" w:fill="auto"/>
            <w:noWrap/>
            <w:vAlign w:val="bottom"/>
            <w:hideMark/>
          </w:tcPr>
          <w:p w14:paraId="6192B15A" w14:textId="77777777" w:rsidR="009A356E" w:rsidRPr="00C10545" w:rsidRDefault="009A356E" w:rsidP="009A356E">
            <w:pPr>
              <w:jc w:val="right"/>
              <w:rPr>
                <w:sz w:val="18"/>
                <w:szCs w:val="18"/>
                <w:lang w:eastAsia="en-AU"/>
              </w:rPr>
            </w:pPr>
            <w:r w:rsidRPr="00C10545">
              <w:rPr>
                <w:sz w:val="18"/>
                <w:szCs w:val="18"/>
                <w:lang w:eastAsia="en-AU"/>
              </w:rPr>
              <w:t>0.9%</w:t>
            </w:r>
          </w:p>
        </w:tc>
      </w:tr>
      <w:tr w:rsidR="009A356E" w:rsidRPr="00C65C2B" w14:paraId="72EB3C62" w14:textId="77777777" w:rsidTr="009A356E">
        <w:trPr>
          <w:trHeight w:val="240"/>
        </w:trPr>
        <w:tc>
          <w:tcPr>
            <w:tcW w:w="1211" w:type="pct"/>
            <w:tcBorders>
              <w:top w:val="nil"/>
              <w:left w:val="single" w:sz="4" w:space="0" w:color="auto"/>
              <w:bottom w:val="single" w:sz="4" w:space="0" w:color="auto"/>
              <w:right w:val="single" w:sz="4" w:space="0" w:color="auto"/>
            </w:tcBorders>
            <w:shd w:val="clear" w:color="auto" w:fill="auto"/>
            <w:noWrap/>
            <w:vAlign w:val="bottom"/>
            <w:hideMark/>
          </w:tcPr>
          <w:p w14:paraId="598094B1" w14:textId="77777777" w:rsidR="009A356E" w:rsidRPr="00C10545" w:rsidRDefault="009A356E" w:rsidP="009A356E">
            <w:pPr>
              <w:rPr>
                <w:sz w:val="18"/>
                <w:szCs w:val="18"/>
                <w:lang w:eastAsia="en-AU"/>
              </w:rPr>
            </w:pPr>
            <w:r w:rsidRPr="00C10545">
              <w:rPr>
                <w:sz w:val="18"/>
                <w:szCs w:val="18"/>
                <w:lang w:eastAsia="en-AU"/>
              </w:rPr>
              <w:t>Golden Plains</w:t>
            </w:r>
          </w:p>
        </w:tc>
        <w:tc>
          <w:tcPr>
            <w:tcW w:w="652" w:type="pct"/>
            <w:tcBorders>
              <w:top w:val="nil"/>
              <w:left w:val="nil"/>
              <w:bottom w:val="single" w:sz="4" w:space="0" w:color="auto"/>
              <w:right w:val="single" w:sz="4" w:space="0" w:color="auto"/>
            </w:tcBorders>
            <w:shd w:val="clear" w:color="auto" w:fill="auto"/>
            <w:noWrap/>
            <w:vAlign w:val="bottom"/>
            <w:hideMark/>
          </w:tcPr>
          <w:p w14:paraId="34D531ED" w14:textId="77777777" w:rsidR="009A356E" w:rsidRPr="00C10545" w:rsidRDefault="009A356E" w:rsidP="009A356E">
            <w:pPr>
              <w:jc w:val="right"/>
              <w:rPr>
                <w:sz w:val="18"/>
                <w:szCs w:val="18"/>
                <w:lang w:eastAsia="en-AU"/>
              </w:rPr>
            </w:pPr>
            <w:r w:rsidRPr="00C10545">
              <w:rPr>
                <w:sz w:val="18"/>
                <w:szCs w:val="18"/>
                <w:lang w:eastAsia="en-AU"/>
              </w:rPr>
              <w:t>-4.1%</w:t>
            </w:r>
          </w:p>
        </w:tc>
        <w:tc>
          <w:tcPr>
            <w:tcW w:w="652" w:type="pct"/>
            <w:tcBorders>
              <w:top w:val="nil"/>
              <w:left w:val="nil"/>
              <w:bottom w:val="single" w:sz="4" w:space="0" w:color="auto"/>
              <w:right w:val="single" w:sz="4" w:space="0" w:color="auto"/>
            </w:tcBorders>
            <w:shd w:val="clear" w:color="auto" w:fill="auto"/>
            <w:noWrap/>
            <w:vAlign w:val="bottom"/>
            <w:hideMark/>
          </w:tcPr>
          <w:p w14:paraId="71E932F4" w14:textId="77777777" w:rsidR="009A356E" w:rsidRPr="00C10545" w:rsidRDefault="009A356E" w:rsidP="009A356E">
            <w:pPr>
              <w:jc w:val="right"/>
              <w:rPr>
                <w:sz w:val="18"/>
                <w:szCs w:val="18"/>
                <w:lang w:eastAsia="en-AU"/>
              </w:rPr>
            </w:pPr>
            <w:r w:rsidRPr="00C10545">
              <w:rPr>
                <w:sz w:val="18"/>
                <w:szCs w:val="18"/>
                <w:lang w:eastAsia="en-AU"/>
              </w:rPr>
              <w:t>3.7%</w:t>
            </w:r>
          </w:p>
        </w:tc>
        <w:tc>
          <w:tcPr>
            <w:tcW w:w="652" w:type="pct"/>
            <w:tcBorders>
              <w:top w:val="nil"/>
              <w:left w:val="nil"/>
              <w:bottom w:val="single" w:sz="4" w:space="0" w:color="auto"/>
              <w:right w:val="single" w:sz="4" w:space="0" w:color="auto"/>
            </w:tcBorders>
            <w:shd w:val="clear" w:color="auto" w:fill="auto"/>
            <w:noWrap/>
            <w:vAlign w:val="bottom"/>
            <w:hideMark/>
          </w:tcPr>
          <w:p w14:paraId="1A549D06" w14:textId="77777777" w:rsidR="009A356E" w:rsidRPr="00C10545" w:rsidRDefault="009A356E" w:rsidP="009A356E">
            <w:pPr>
              <w:jc w:val="right"/>
              <w:rPr>
                <w:sz w:val="18"/>
                <w:szCs w:val="18"/>
                <w:lang w:eastAsia="en-AU"/>
              </w:rPr>
            </w:pPr>
            <w:r w:rsidRPr="00C10545">
              <w:rPr>
                <w:sz w:val="18"/>
                <w:szCs w:val="18"/>
                <w:lang w:eastAsia="en-AU"/>
              </w:rPr>
              <w:t>2.1%</w:t>
            </w:r>
          </w:p>
        </w:tc>
        <w:tc>
          <w:tcPr>
            <w:tcW w:w="611" w:type="pct"/>
            <w:tcBorders>
              <w:top w:val="nil"/>
              <w:left w:val="nil"/>
              <w:bottom w:val="single" w:sz="4" w:space="0" w:color="auto"/>
              <w:right w:val="single" w:sz="4" w:space="0" w:color="auto"/>
            </w:tcBorders>
            <w:shd w:val="clear" w:color="auto" w:fill="auto"/>
            <w:noWrap/>
            <w:vAlign w:val="bottom"/>
            <w:hideMark/>
          </w:tcPr>
          <w:p w14:paraId="3B18B5B0" w14:textId="77777777" w:rsidR="009A356E" w:rsidRPr="00C10545" w:rsidRDefault="009A356E" w:rsidP="009A356E">
            <w:pPr>
              <w:jc w:val="right"/>
              <w:rPr>
                <w:sz w:val="18"/>
                <w:szCs w:val="18"/>
                <w:lang w:eastAsia="en-AU"/>
              </w:rPr>
            </w:pPr>
            <w:r w:rsidRPr="00C10545">
              <w:rPr>
                <w:sz w:val="18"/>
                <w:szCs w:val="18"/>
                <w:lang w:eastAsia="en-AU"/>
              </w:rPr>
              <w:t>2.4%</w:t>
            </w:r>
          </w:p>
        </w:tc>
        <w:tc>
          <w:tcPr>
            <w:tcW w:w="611" w:type="pct"/>
            <w:tcBorders>
              <w:top w:val="nil"/>
              <w:left w:val="nil"/>
              <w:bottom w:val="single" w:sz="4" w:space="0" w:color="auto"/>
              <w:right w:val="single" w:sz="4" w:space="0" w:color="auto"/>
            </w:tcBorders>
            <w:shd w:val="clear" w:color="auto" w:fill="auto"/>
            <w:noWrap/>
            <w:vAlign w:val="bottom"/>
            <w:hideMark/>
          </w:tcPr>
          <w:p w14:paraId="3DFEF7DB" w14:textId="77777777" w:rsidR="009A356E" w:rsidRPr="00C10545" w:rsidRDefault="009A356E" w:rsidP="009A356E">
            <w:pPr>
              <w:jc w:val="right"/>
              <w:rPr>
                <w:sz w:val="18"/>
                <w:szCs w:val="18"/>
                <w:lang w:eastAsia="en-AU"/>
              </w:rPr>
            </w:pPr>
            <w:r w:rsidRPr="00C10545">
              <w:rPr>
                <w:sz w:val="18"/>
                <w:szCs w:val="18"/>
                <w:lang w:eastAsia="en-AU"/>
              </w:rPr>
              <w:t>-1.1%</w:t>
            </w:r>
          </w:p>
        </w:tc>
        <w:tc>
          <w:tcPr>
            <w:tcW w:w="611" w:type="pct"/>
            <w:tcBorders>
              <w:top w:val="nil"/>
              <w:left w:val="nil"/>
              <w:bottom w:val="single" w:sz="4" w:space="0" w:color="auto"/>
              <w:right w:val="single" w:sz="4" w:space="0" w:color="auto"/>
            </w:tcBorders>
            <w:shd w:val="clear" w:color="auto" w:fill="auto"/>
            <w:noWrap/>
            <w:vAlign w:val="bottom"/>
            <w:hideMark/>
          </w:tcPr>
          <w:p w14:paraId="79775B01" w14:textId="77777777" w:rsidR="009A356E" w:rsidRPr="00C10545" w:rsidRDefault="009A356E" w:rsidP="009A356E">
            <w:pPr>
              <w:jc w:val="right"/>
              <w:rPr>
                <w:sz w:val="18"/>
                <w:szCs w:val="18"/>
                <w:lang w:eastAsia="en-AU"/>
              </w:rPr>
            </w:pPr>
            <w:r w:rsidRPr="00C10545">
              <w:rPr>
                <w:sz w:val="18"/>
                <w:szCs w:val="18"/>
                <w:lang w:eastAsia="en-AU"/>
              </w:rPr>
              <w:t>-6.1%</w:t>
            </w:r>
          </w:p>
        </w:tc>
      </w:tr>
      <w:tr w:rsidR="009A356E" w:rsidRPr="00C65C2B" w14:paraId="6D42D656" w14:textId="77777777" w:rsidTr="009A356E">
        <w:trPr>
          <w:trHeight w:val="240"/>
        </w:trPr>
        <w:tc>
          <w:tcPr>
            <w:tcW w:w="1211" w:type="pct"/>
            <w:tcBorders>
              <w:top w:val="nil"/>
              <w:left w:val="single" w:sz="4" w:space="0" w:color="auto"/>
              <w:bottom w:val="single" w:sz="4" w:space="0" w:color="auto"/>
              <w:right w:val="single" w:sz="4" w:space="0" w:color="auto"/>
            </w:tcBorders>
            <w:shd w:val="clear" w:color="auto" w:fill="auto"/>
            <w:noWrap/>
            <w:vAlign w:val="bottom"/>
            <w:hideMark/>
          </w:tcPr>
          <w:p w14:paraId="45786194" w14:textId="77777777" w:rsidR="009A356E" w:rsidRPr="00C10545" w:rsidRDefault="009A356E" w:rsidP="009A356E">
            <w:pPr>
              <w:rPr>
                <w:sz w:val="18"/>
                <w:szCs w:val="18"/>
                <w:lang w:eastAsia="en-AU"/>
              </w:rPr>
            </w:pPr>
            <w:r w:rsidRPr="00C10545">
              <w:rPr>
                <w:sz w:val="18"/>
                <w:szCs w:val="18"/>
                <w:lang w:eastAsia="en-AU"/>
              </w:rPr>
              <w:t>Indigo</w:t>
            </w:r>
          </w:p>
        </w:tc>
        <w:tc>
          <w:tcPr>
            <w:tcW w:w="652" w:type="pct"/>
            <w:tcBorders>
              <w:top w:val="nil"/>
              <w:left w:val="nil"/>
              <w:bottom w:val="single" w:sz="4" w:space="0" w:color="auto"/>
              <w:right w:val="single" w:sz="4" w:space="0" w:color="auto"/>
            </w:tcBorders>
            <w:shd w:val="clear" w:color="auto" w:fill="auto"/>
            <w:noWrap/>
            <w:vAlign w:val="bottom"/>
            <w:hideMark/>
          </w:tcPr>
          <w:p w14:paraId="36444CD9" w14:textId="77777777" w:rsidR="009A356E" w:rsidRPr="00C10545" w:rsidRDefault="009A356E" w:rsidP="009A356E">
            <w:pPr>
              <w:jc w:val="right"/>
              <w:rPr>
                <w:sz w:val="18"/>
                <w:szCs w:val="18"/>
                <w:lang w:eastAsia="en-AU"/>
              </w:rPr>
            </w:pPr>
            <w:r w:rsidRPr="00C10545">
              <w:rPr>
                <w:sz w:val="18"/>
                <w:szCs w:val="18"/>
                <w:lang w:eastAsia="en-AU"/>
              </w:rPr>
              <w:t>-1.4%</w:t>
            </w:r>
          </w:p>
        </w:tc>
        <w:tc>
          <w:tcPr>
            <w:tcW w:w="652" w:type="pct"/>
            <w:tcBorders>
              <w:top w:val="nil"/>
              <w:left w:val="nil"/>
              <w:bottom w:val="single" w:sz="4" w:space="0" w:color="auto"/>
              <w:right w:val="single" w:sz="4" w:space="0" w:color="auto"/>
            </w:tcBorders>
            <w:shd w:val="clear" w:color="auto" w:fill="auto"/>
            <w:noWrap/>
            <w:vAlign w:val="bottom"/>
            <w:hideMark/>
          </w:tcPr>
          <w:p w14:paraId="7544F1C0" w14:textId="77777777" w:rsidR="009A356E" w:rsidRPr="00C10545" w:rsidRDefault="009A356E" w:rsidP="009A356E">
            <w:pPr>
              <w:jc w:val="right"/>
              <w:rPr>
                <w:sz w:val="18"/>
                <w:szCs w:val="18"/>
                <w:lang w:eastAsia="en-AU"/>
              </w:rPr>
            </w:pPr>
            <w:r w:rsidRPr="00C10545">
              <w:rPr>
                <w:sz w:val="18"/>
                <w:szCs w:val="18"/>
                <w:lang w:eastAsia="en-AU"/>
              </w:rPr>
              <w:t>9.5%</w:t>
            </w:r>
          </w:p>
        </w:tc>
        <w:tc>
          <w:tcPr>
            <w:tcW w:w="652" w:type="pct"/>
            <w:tcBorders>
              <w:top w:val="nil"/>
              <w:left w:val="nil"/>
              <w:bottom w:val="single" w:sz="4" w:space="0" w:color="auto"/>
              <w:right w:val="single" w:sz="4" w:space="0" w:color="auto"/>
            </w:tcBorders>
            <w:shd w:val="clear" w:color="auto" w:fill="auto"/>
            <w:noWrap/>
            <w:vAlign w:val="bottom"/>
            <w:hideMark/>
          </w:tcPr>
          <w:p w14:paraId="70FB598B" w14:textId="77777777" w:rsidR="009A356E" w:rsidRPr="00C10545" w:rsidRDefault="009A356E" w:rsidP="009A356E">
            <w:pPr>
              <w:jc w:val="right"/>
              <w:rPr>
                <w:sz w:val="18"/>
                <w:szCs w:val="18"/>
                <w:lang w:eastAsia="en-AU"/>
              </w:rPr>
            </w:pPr>
            <w:r w:rsidRPr="00C10545">
              <w:rPr>
                <w:sz w:val="18"/>
                <w:szCs w:val="18"/>
                <w:lang w:eastAsia="en-AU"/>
              </w:rPr>
              <w:t>2.3%</w:t>
            </w:r>
          </w:p>
        </w:tc>
        <w:tc>
          <w:tcPr>
            <w:tcW w:w="611" w:type="pct"/>
            <w:tcBorders>
              <w:top w:val="nil"/>
              <w:left w:val="nil"/>
              <w:bottom w:val="single" w:sz="4" w:space="0" w:color="auto"/>
              <w:right w:val="single" w:sz="4" w:space="0" w:color="auto"/>
            </w:tcBorders>
            <w:shd w:val="clear" w:color="auto" w:fill="auto"/>
            <w:noWrap/>
            <w:vAlign w:val="bottom"/>
            <w:hideMark/>
          </w:tcPr>
          <w:p w14:paraId="75A72101" w14:textId="77777777" w:rsidR="009A356E" w:rsidRPr="00C10545" w:rsidRDefault="009A356E" w:rsidP="009A356E">
            <w:pPr>
              <w:jc w:val="right"/>
              <w:rPr>
                <w:sz w:val="18"/>
                <w:szCs w:val="18"/>
                <w:lang w:eastAsia="en-AU"/>
              </w:rPr>
            </w:pPr>
            <w:r w:rsidRPr="00C10545">
              <w:rPr>
                <w:sz w:val="18"/>
                <w:szCs w:val="18"/>
                <w:lang w:eastAsia="en-AU"/>
              </w:rPr>
              <w:t>4.2%</w:t>
            </w:r>
          </w:p>
        </w:tc>
        <w:tc>
          <w:tcPr>
            <w:tcW w:w="611" w:type="pct"/>
            <w:tcBorders>
              <w:top w:val="nil"/>
              <w:left w:val="nil"/>
              <w:bottom w:val="single" w:sz="4" w:space="0" w:color="auto"/>
              <w:right w:val="single" w:sz="4" w:space="0" w:color="auto"/>
            </w:tcBorders>
            <w:shd w:val="clear" w:color="auto" w:fill="auto"/>
            <w:noWrap/>
            <w:vAlign w:val="bottom"/>
            <w:hideMark/>
          </w:tcPr>
          <w:p w14:paraId="27AA18C7" w14:textId="77777777" w:rsidR="009A356E" w:rsidRPr="00C10545" w:rsidRDefault="009A356E" w:rsidP="009A356E">
            <w:pPr>
              <w:jc w:val="right"/>
              <w:rPr>
                <w:sz w:val="18"/>
                <w:szCs w:val="18"/>
                <w:lang w:eastAsia="en-AU"/>
              </w:rPr>
            </w:pPr>
            <w:r w:rsidRPr="00C10545">
              <w:rPr>
                <w:sz w:val="18"/>
                <w:szCs w:val="18"/>
                <w:lang w:eastAsia="en-AU"/>
              </w:rPr>
              <w:t>-0.6%</w:t>
            </w:r>
          </w:p>
        </w:tc>
        <w:tc>
          <w:tcPr>
            <w:tcW w:w="611" w:type="pct"/>
            <w:tcBorders>
              <w:top w:val="nil"/>
              <w:left w:val="nil"/>
              <w:bottom w:val="single" w:sz="4" w:space="0" w:color="auto"/>
              <w:right w:val="single" w:sz="4" w:space="0" w:color="auto"/>
            </w:tcBorders>
            <w:shd w:val="clear" w:color="auto" w:fill="auto"/>
            <w:noWrap/>
            <w:vAlign w:val="bottom"/>
            <w:hideMark/>
          </w:tcPr>
          <w:p w14:paraId="4385560C" w14:textId="77777777" w:rsidR="009A356E" w:rsidRPr="00C10545" w:rsidRDefault="009A356E" w:rsidP="009A356E">
            <w:pPr>
              <w:jc w:val="right"/>
              <w:rPr>
                <w:sz w:val="18"/>
                <w:szCs w:val="18"/>
                <w:lang w:eastAsia="en-AU"/>
              </w:rPr>
            </w:pPr>
            <w:r w:rsidRPr="00C10545">
              <w:rPr>
                <w:sz w:val="18"/>
                <w:szCs w:val="18"/>
                <w:lang w:eastAsia="en-AU"/>
              </w:rPr>
              <w:t>-5.8%</w:t>
            </w:r>
          </w:p>
        </w:tc>
      </w:tr>
      <w:tr w:rsidR="009A356E" w:rsidRPr="00C65C2B" w14:paraId="7855000D" w14:textId="77777777" w:rsidTr="009A356E">
        <w:trPr>
          <w:trHeight w:val="240"/>
        </w:trPr>
        <w:tc>
          <w:tcPr>
            <w:tcW w:w="1211" w:type="pct"/>
            <w:tcBorders>
              <w:top w:val="nil"/>
              <w:left w:val="single" w:sz="4" w:space="0" w:color="auto"/>
              <w:bottom w:val="single" w:sz="4" w:space="0" w:color="auto"/>
              <w:right w:val="single" w:sz="4" w:space="0" w:color="auto"/>
            </w:tcBorders>
            <w:shd w:val="clear" w:color="auto" w:fill="auto"/>
            <w:noWrap/>
            <w:vAlign w:val="bottom"/>
            <w:hideMark/>
          </w:tcPr>
          <w:p w14:paraId="38258220" w14:textId="77777777" w:rsidR="009A356E" w:rsidRPr="00C10545" w:rsidRDefault="009A356E" w:rsidP="009A356E">
            <w:pPr>
              <w:rPr>
                <w:sz w:val="18"/>
                <w:szCs w:val="18"/>
                <w:lang w:eastAsia="en-AU"/>
              </w:rPr>
            </w:pPr>
            <w:r w:rsidRPr="00C10545">
              <w:rPr>
                <w:sz w:val="18"/>
                <w:szCs w:val="18"/>
                <w:lang w:eastAsia="en-AU"/>
              </w:rPr>
              <w:t>Loddon</w:t>
            </w:r>
          </w:p>
        </w:tc>
        <w:tc>
          <w:tcPr>
            <w:tcW w:w="652" w:type="pct"/>
            <w:tcBorders>
              <w:top w:val="nil"/>
              <w:left w:val="nil"/>
              <w:bottom w:val="single" w:sz="4" w:space="0" w:color="auto"/>
              <w:right w:val="single" w:sz="4" w:space="0" w:color="auto"/>
            </w:tcBorders>
            <w:shd w:val="clear" w:color="auto" w:fill="auto"/>
            <w:noWrap/>
            <w:vAlign w:val="bottom"/>
            <w:hideMark/>
          </w:tcPr>
          <w:p w14:paraId="11FDDA39" w14:textId="77777777" w:rsidR="009A356E" w:rsidRPr="00C10545" w:rsidRDefault="009A356E" w:rsidP="009A356E">
            <w:pPr>
              <w:jc w:val="right"/>
              <w:rPr>
                <w:sz w:val="18"/>
                <w:szCs w:val="18"/>
                <w:lang w:eastAsia="en-AU"/>
              </w:rPr>
            </w:pPr>
            <w:r w:rsidRPr="00C10545">
              <w:rPr>
                <w:sz w:val="18"/>
                <w:szCs w:val="18"/>
                <w:lang w:eastAsia="en-AU"/>
              </w:rPr>
              <w:t>0.9%</w:t>
            </w:r>
          </w:p>
        </w:tc>
        <w:tc>
          <w:tcPr>
            <w:tcW w:w="652" w:type="pct"/>
            <w:tcBorders>
              <w:top w:val="nil"/>
              <w:left w:val="nil"/>
              <w:bottom w:val="single" w:sz="4" w:space="0" w:color="auto"/>
              <w:right w:val="single" w:sz="4" w:space="0" w:color="auto"/>
            </w:tcBorders>
            <w:shd w:val="clear" w:color="auto" w:fill="auto"/>
            <w:noWrap/>
            <w:vAlign w:val="bottom"/>
            <w:hideMark/>
          </w:tcPr>
          <w:p w14:paraId="52A972F4" w14:textId="77777777" w:rsidR="009A356E" w:rsidRPr="00C10545" w:rsidRDefault="009A356E" w:rsidP="009A356E">
            <w:pPr>
              <w:jc w:val="right"/>
              <w:rPr>
                <w:sz w:val="18"/>
                <w:szCs w:val="18"/>
                <w:lang w:eastAsia="en-AU"/>
              </w:rPr>
            </w:pPr>
            <w:r w:rsidRPr="00C10545">
              <w:rPr>
                <w:sz w:val="18"/>
                <w:szCs w:val="18"/>
                <w:lang w:eastAsia="en-AU"/>
              </w:rPr>
              <w:t>-0.1%</w:t>
            </w:r>
          </w:p>
        </w:tc>
        <w:tc>
          <w:tcPr>
            <w:tcW w:w="652" w:type="pct"/>
            <w:tcBorders>
              <w:top w:val="nil"/>
              <w:left w:val="nil"/>
              <w:bottom w:val="single" w:sz="4" w:space="0" w:color="auto"/>
              <w:right w:val="single" w:sz="4" w:space="0" w:color="auto"/>
            </w:tcBorders>
            <w:shd w:val="clear" w:color="auto" w:fill="auto"/>
            <w:noWrap/>
            <w:vAlign w:val="bottom"/>
            <w:hideMark/>
          </w:tcPr>
          <w:p w14:paraId="49ABE7F6" w14:textId="77777777" w:rsidR="009A356E" w:rsidRPr="00C10545" w:rsidRDefault="009A356E" w:rsidP="009A356E">
            <w:pPr>
              <w:jc w:val="right"/>
              <w:rPr>
                <w:sz w:val="18"/>
                <w:szCs w:val="18"/>
                <w:lang w:eastAsia="en-AU"/>
              </w:rPr>
            </w:pPr>
            <w:r w:rsidRPr="00C10545">
              <w:rPr>
                <w:sz w:val="18"/>
                <w:szCs w:val="18"/>
                <w:lang w:eastAsia="en-AU"/>
              </w:rPr>
              <w:t>13.2%</w:t>
            </w:r>
          </w:p>
        </w:tc>
        <w:tc>
          <w:tcPr>
            <w:tcW w:w="611" w:type="pct"/>
            <w:tcBorders>
              <w:top w:val="nil"/>
              <w:left w:val="nil"/>
              <w:bottom w:val="single" w:sz="4" w:space="0" w:color="auto"/>
              <w:right w:val="single" w:sz="4" w:space="0" w:color="auto"/>
            </w:tcBorders>
            <w:shd w:val="clear" w:color="auto" w:fill="auto"/>
            <w:noWrap/>
            <w:vAlign w:val="bottom"/>
            <w:hideMark/>
          </w:tcPr>
          <w:p w14:paraId="62EEA2BB" w14:textId="77777777" w:rsidR="009A356E" w:rsidRPr="00C10545" w:rsidRDefault="009A356E" w:rsidP="009A356E">
            <w:pPr>
              <w:jc w:val="right"/>
              <w:rPr>
                <w:sz w:val="18"/>
                <w:szCs w:val="18"/>
                <w:lang w:eastAsia="en-AU"/>
              </w:rPr>
            </w:pPr>
            <w:r w:rsidRPr="00C10545">
              <w:rPr>
                <w:sz w:val="18"/>
                <w:szCs w:val="18"/>
                <w:lang w:eastAsia="en-AU"/>
              </w:rPr>
              <w:t>6.8%</w:t>
            </w:r>
          </w:p>
        </w:tc>
        <w:tc>
          <w:tcPr>
            <w:tcW w:w="611" w:type="pct"/>
            <w:tcBorders>
              <w:top w:val="nil"/>
              <w:left w:val="nil"/>
              <w:bottom w:val="single" w:sz="4" w:space="0" w:color="auto"/>
              <w:right w:val="single" w:sz="4" w:space="0" w:color="auto"/>
            </w:tcBorders>
            <w:shd w:val="clear" w:color="auto" w:fill="auto"/>
            <w:noWrap/>
            <w:vAlign w:val="bottom"/>
            <w:hideMark/>
          </w:tcPr>
          <w:p w14:paraId="77E5BC04" w14:textId="77777777" w:rsidR="009A356E" w:rsidRPr="00C10545" w:rsidRDefault="009A356E" w:rsidP="009A356E">
            <w:pPr>
              <w:jc w:val="right"/>
              <w:rPr>
                <w:sz w:val="18"/>
                <w:szCs w:val="18"/>
                <w:lang w:eastAsia="en-AU"/>
              </w:rPr>
            </w:pPr>
            <w:r w:rsidRPr="00C10545">
              <w:rPr>
                <w:sz w:val="18"/>
                <w:szCs w:val="18"/>
                <w:lang w:eastAsia="en-AU"/>
              </w:rPr>
              <w:t>3.1%</w:t>
            </w:r>
          </w:p>
        </w:tc>
        <w:tc>
          <w:tcPr>
            <w:tcW w:w="611" w:type="pct"/>
            <w:tcBorders>
              <w:top w:val="nil"/>
              <w:left w:val="nil"/>
              <w:bottom w:val="single" w:sz="4" w:space="0" w:color="auto"/>
              <w:right w:val="single" w:sz="4" w:space="0" w:color="auto"/>
            </w:tcBorders>
            <w:shd w:val="clear" w:color="auto" w:fill="auto"/>
            <w:noWrap/>
            <w:vAlign w:val="bottom"/>
            <w:hideMark/>
          </w:tcPr>
          <w:p w14:paraId="436AEEB9" w14:textId="77777777" w:rsidR="009A356E" w:rsidRPr="00C10545" w:rsidRDefault="009A356E" w:rsidP="009A356E">
            <w:pPr>
              <w:jc w:val="right"/>
              <w:rPr>
                <w:sz w:val="18"/>
                <w:szCs w:val="18"/>
                <w:lang w:eastAsia="en-AU"/>
              </w:rPr>
            </w:pPr>
            <w:r w:rsidRPr="00C10545">
              <w:rPr>
                <w:sz w:val="18"/>
                <w:szCs w:val="18"/>
                <w:lang w:eastAsia="en-AU"/>
              </w:rPr>
              <w:t>-0.5%</w:t>
            </w:r>
          </w:p>
        </w:tc>
      </w:tr>
      <w:tr w:rsidR="009A356E" w:rsidRPr="00C65C2B" w14:paraId="512E2023" w14:textId="77777777" w:rsidTr="009A356E">
        <w:trPr>
          <w:trHeight w:val="240"/>
        </w:trPr>
        <w:tc>
          <w:tcPr>
            <w:tcW w:w="1211" w:type="pct"/>
            <w:tcBorders>
              <w:top w:val="nil"/>
              <w:left w:val="single" w:sz="4" w:space="0" w:color="auto"/>
              <w:bottom w:val="single" w:sz="4" w:space="0" w:color="auto"/>
              <w:right w:val="single" w:sz="4" w:space="0" w:color="auto"/>
            </w:tcBorders>
            <w:shd w:val="clear" w:color="auto" w:fill="auto"/>
            <w:noWrap/>
            <w:vAlign w:val="bottom"/>
            <w:hideMark/>
          </w:tcPr>
          <w:p w14:paraId="6FEFF28C" w14:textId="77777777" w:rsidR="009A356E" w:rsidRPr="00C10545" w:rsidRDefault="009A356E" w:rsidP="009A356E">
            <w:pPr>
              <w:rPr>
                <w:sz w:val="18"/>
                <w:szCs w:val="18"/>
                <w:lang w:eastAsia="en-AU"/>
              </w:rPr>
            </w:pPr>
            <w:r w:rsidRPr="00C10545">
              <w:rPr>
                <w:sz w:val="18"/>
                <w:szCs w:val="18"/>
                <w:lang w:eastAsia="en-AU"/>
              </w:rPr>
              <w:t>Northern Grampians</w:t>
            </w:r>
          </w:p>
        </w:tc>
        <w:tc>
          <w:tcPr>
            <w:tcW w:w="652" w:type="pct"/>
            <w:tcBorders>
              <w:top w:val="nil"/>
              <w:left w:val="nil"/>
              <w:bottom w:val="single" w:sz="4" w:space="0" w:color="auto"/>
              <w:right w:val="single" w:sz="4" w:space="0" w:color="auto"/>
            </w:tcBorders>
            <w:shd w:val="clear" w:color="auto" w:fill="auto"/>
            <w:noWrap/>
            <w:vAlign w:val="bottom"/>
            <w:hideMark/>
          </w:tcPr>
          <w:p w14:paraId="6338E06A" w14:textId="77777777" w:rsidR="009A356E" w:rsidRPr="00C10545" w:rsidRDefault="009A356E" w:rsidP="009A356E">
            <w:pPr>
              <w:jc w:val="right"/>
              <w:rPr>
                <w:sz w:val="18"/>
                <w:szCs w:val="18"/>
                <w:lang w:eastAsia="en-AU"/>
              </w:rPr>
            </w:pPr>
            <w:r w:rsidRPr="00C10545">
              <w:rPr>
                <w:sz w:val="18"/>
                <w:szCs w:val="18"/>
                <w:lang w:eastAsia="en-AU"/>
              </w:rPr>
              <w:t>-2.8%</w:t>
            </w:r>
          </w:p>
        </w:tc>
        <w:tc>
          <w:tcPr>
            <w:tcW w:w="652" w:type="pct"/>
            <w:tcBorders>
              <w:top w:val="nil"/>
              <w:left w:val="nil"/>
              <w:bottom w:val="single" w:sz="4" w:space="0" w:color="auto"/>
              <w:right w:val="single" w:sz="4" w:space="0" w:color="auto"/>
            </w:tcBorders>
            <w:shd w:val="clear" w:color="auto" w:fill="auto"/>
            <w:noWrap/>
            <w:vAlign w:val="bottom"/>
            <w:hideMark/>
          </w:tcPr>
          <w:p w14:paraId="18063095" w14:textId="77777777" w:rsidR="009A356E" w:rsidRPr="00C10545" w:rsidRDefault="009A356E" w:rsidP="009A356E">
            <w:pPr>
              <w:jc w:val="right"/>
              <w:rPr>
                <w:sz w:val="18"/>
                <w:szCs w:val="18"/>
                <w:lang w:eastAsia="en-AU"/>
              </w:rPr>
            </w:pPr>
            <w:r w:rsidRPr="00C10545">
              <w:rPr>
                <w:sz w:val="18"/>
                <w:szCs w:val="18"/>
                <w:lang w:eastAsia="en-AU"/>
              </w:rPr>
              <w:t>3.3%</w:t>
            </w:r>
          </w:p>
        </w:tc>
        <w:tc>
          <w:tcPr>
            <w:tcW w:w="652" w:type="pct"/>
            <w:tcBorders>
              <w:top w:val="nil"/>
              <w:left w:val="nil"/>
              <w:bottom w:val="single" w:sz="4" w:space="0" w:color="auto"/>
              <w:right w:val="single" w:sz="4" w:space="0" w:color="auto"/>
            </w:tcBorders>
            <w:shd w:val="clear" w:color="auto" w:fill="auto"/>
            <w:noWrap/>
            <w:vAlign w:val="bottom"/>
            <w:hideMark/>
          </w:tcPr>
          <w:p w14:paraId="40827116" w14:textId="77777777" w:rsidR="009A356E" w:rsidRPr="00C10545" w:rsidRDefault="009A356E" w:rsidP="009A356E">
            <w:pPr>
              <w:jc w:val="right"/>
              <w:rPr>
                <w:sz w:val="18"/>
                <w:szCs w:val="18"/>
                <w:lang w:eastAsia="en-AU"/>
              </w:rPr>
            </w:pPr>
            <w:r w:rsidRPr="00C10545">
              <w:rPr>
                <w:sz w:val="18"/>
                <w:szCs w:val="18"/>
                <w:lang w:eastAsia="en-AU"/>
              </w:rPr>
              <w:t>4.1%</w:t>
            </w:r>
          </w:p>
        </w:tc>
        <w:tc>
          <w:tcPr>
            <w:tcW w:w="611" w:type="pct"/>
            <w:tcBorders>
              <w:top w:val="nil"/>
              <w:left w:val="nil"/>
              <w:bottom w:val="single" w:sz="4" w:space="0" w:color="auto"/>
              <w:right w:val="single" w:sz="4" w:space="0" w:color="auto"/>
            </w:tcBorders>
            <w:shd w:val="clear" w:color="auto" w:fill="auto"/>
            <w:noWrap/>
            <w:vAlign w:val="bottom"/>
            <w:hideMark/>
          </w:tcPr>
          <w:p w14:paraId="6739323B" w14:textId="77777777" w:rsidR="009A356E" w:rsidRPr="00C10545" w:rsidRDefault="009A356E" w:rsidP="009A356E">
            <w:pPr>
              <w:jc w:val="right"/>
              <w:rPr>
                <w:sz w:val="18"/>
                <w:szCs w:val="18"/>
                <w:lang w:eastAsia="en-AU"/>
              </w:rPr>
            </w:pPr>
            <w:r w:rsidRPr="00C10545">
              <w:rPr>
                <w:sz w:val="18"/>
                <w:szCs w:val="18"/>
                <w:lang w:eastAsia="en-AU"/>
              </w:rPr>
              <w:t>6.1%</w:t>
            </w:r>
          </w:p>
        </w:tc>
        <w:tc>
          <w:tcPr>
            <w:tcW w:w="611" w:type="pct"/>
            <w:tcBorders>
              <w:top w:val="nil"/>
              <w:left w:val="nil"/>
              <w:bottom w:val="single" w:sz="4" w:space="0" w:color="auto"/>
              <w:right w:val="single" w:sz="4" w:space="0" w:color="auto"/>
            </w:tcBorders>
            <w:shd w:val="clear" w:color="auto" w:fill="auto"/>
            <w:noWrap/>
            <w:vAlign w:val="bottom"/>
            <w:hideMark/>
          </w:tcPr>
          <w:p w14:paraId="1848E817" w14:textId="77777777" w:rsidR="009A356E" w:rsidRPr="00C10545" w:rsidRDefault="009A356E" w:rsidP="009A356E">
            <w:pPr>
              <w:jc w:val="right"/>
              <w:rPr>
                <w:sz w:val="18"/>
                <w:szCs w:val="18"/>
                <w:lang w:eastAsia="en-AU"/>
              </w:rPr>
            </w:pPr>
            <w:r w:rsidRPr="00C10545">
              <w:rPr>
                <w:sz w:val="18"/>
                <w:szCs w:val="18"/>
                <w:lang w:eastAsia="en-AU"/>
              </w:rPr>
              <w:t>3.3%</w:t>
            </w:r>
          </w:p>
        </w:tc>
        <w:tc>
          <w:tcPr>
            <w:tcW w:w="611" w:type="pct"/>
            <w:tcBorders>
              <w:top w:val="nil"/>
              <w:left w:val="nil"/>
              <w:bottom w:val="single" w:sz="4" w:space="0" w:color="auto"/>
              <w:right w:val="single" w:sz="4" w:space="0" w:color="auto"/>
            </w:tcBorders>
            <w:shd w:val="clear" w:color="auto" w:fill="auto"/>
            <w:noWrap/>
            <w:vAlign w:val="bottom"/>
            <w:hideMark/>
          </w:tcPr>
          <w:p w14:paraId="3FFC67FD" w14:textId="77777777" w:rsidR="009A356E" w:rsidRPr="00C10545" w:rsidRDefault="009A356E" w:rsidP="009A356E">
            <w:pPr>
              <w:jc w:val="right"/>
              <w:rPr>
                <w:sz w:val="18"/>
                <w:szCs w:val="18"/>
                <w:lang w:eastAsia="en-AU"/>
              </w:rPr>
            </w:pPr>
            <w:r w:rsidRPr="00C10545">
              <w:rPr>
                <w:sz w:val="18"/>
                <w:szCs w:val="18"/>
                <w:lang w:eastAsia="en-AU"/>
              </w:rPr>
              <w:t>-0.7%</w:t>
            </w:r>
          </w:p>
        </w:tc>
      </w:tr>
      <w:tr w:rsidR="009A356E" w:rsidRPr="00C65C2B" w14:paraId="65852099" w14:textId="77777777" w:rsidTr="009A356E">
        <w:trPr>
          <w:trHeight w:val="240"/>
        </w:trPr>
        <w:tc>
          <w:tcPr>
            <w:tcW w:w="1211" w:type="pct"/>
            <w:tcBorders>
              <w:top w:val="nil"/>
              <w:left w:val="single" w:sz="4" w:space="0" w:color="auto"/>
              <w:bottom w:val="single" w:sz="4" w:space="0" w:color="auto"/>
              <w:right w:val="single" w:sz="4" w:space="0" w:color="auto"/>
            </w:tcBorders>
            <w:shd w:val="clear" w:color="auto" w:fill="auto"/>
            <w:noWrap/>
            <w:vAlign w:val="bottom"/>
            <w:hideMark/>
          </w:tcPr>
          <w:p w14:paraId="7193C6A3" w14:textId="77777777" w:rsidR="009A356E" w:rsidRPr="00C10545" w:rsidRDefault="009A356E" w:rsidP="009A356E">
            <w:pPr>
              <w:rPr>
                <w:sz w:val="18"/>
                <w:szCs w:val="18"/>
                <w:lang w:eastAsia="en-AU"/>
              </w:rPr>
            </w:pPr>
            <w:proofErr w:type="spellStart"/>
            <w:r w:rsidRPr="00C10545">
              <w:rPr>
                <w:sz w:val="18"/>
                <w:szCs w:val="18"/>
                <w:lang w:eastAsia="en-AU"/>
              </w:rPr>
              <w:t>Yarriambiack</w:t>
            </w:r>
            <w:proofErr w:type="spellEnd"/>
          </w:p>
        </w:tc>
        <w:tc>
          <w:tcPr>
            <w:tcW w:w="652" w:type="pct"/>
            <w:tcBorders>
              <w:top w:val="nil"/>
              <w:left w:val="nil"/>
              <w:bottom w:val="single" w:sz="4" w:space="0" w:color="auto"/>
              <w:right w:val="single" w:sz="4" w:space="0" w:color="auto"/>
            </w:tcBorders>
            <w:shd w:val="clear" w:color="auto" w:fill="auto"/>
            <w:noWrap/>
            <w:vAlign w:val="bottom"/>
            <w:hideMark/>
          </w:tcPr>
          <w:p w14:paraId="4D3858F2" w14:textId="77777777" w:rsidR="009A356E" w:rsidRPr="00C10545" w:rsidRDefault="009A356E" w:rsidP="009A356E">
            <w:pPr>
              <w:jc w:val="right"/>
              <w:rPr>
                <w:sz w:val="18"/>
                <w:szCs w:val="18"/>
                <w:lang w:eastAsia="en-AU"/>
              </w:rPr>
            </w:pPr>
            <w:r w:rsidRPr="00C10545">
              <w:rPr>
                <w:sz w:val="18"/>
                <w:szCs w:val="18"/>
                <w:lang w:eastAsia="en-AU"/>
              </w:rPr>
              <w:t>3.5%</w:t>
            </w:r>
          </w:p>
        </w:tc>
        <w:tc>
          <w:tcPr>
            <w:tcW w:w="652" w:type="pct"/>
            <w:tcBorders>
              <w:top w:val="nil"/>
              <w:left w:val="nil"/>
              <w:bottom w:val="single" w:sz="4" w:space="0" w:color="auto"/>
              <w:right w:val="single" w:sz="4" w:space="0" w:color="auto"/>
            </w:tcBorders>
            <w:shd w:val="clear" w:color="auto" w:fill="auto"/>
            <w:noWrap/>
            <w:vAlign w:val="bottom"/>
            <w:hideMark/>
          </w:tcPr>
          <w:p w14:paraId="05B90DD1" w14:textId="77777777" w:rsidR="009A356E" w:rsidRPr="00C10545" w:rsidRDefault="009A356E" w:rsidP="009A356E">
            <w:pPr>
              <w:jc w:val="right"/>
              <w:rPr>
                <w:sz w:val="18"/>
                <w:szCs w:val="18"/>
                <w:lang w:eastAsia="en-AU"/>
              </w:rPr>
            </w:pPr>
            <w:r w:rsidRPr="00C10545">
              <w:rPr>
                <w:sz w:val="18"/>
                <w:szCs w:val="18"/>
                <w:lang w:eastAsia="en-AU"/>
              </w:rPr>
              <w:t>0.3%</w:t>
            </w:r>
          </w:p>
        </w:tc>
        <w:tc>
          <w:tcPr>
            <w:tcW w:w="652" w:type="pct"/>
            <w:tcBorders>
              <w:top w:val="nil"/>
              <w:left w:val="nil"/>
              <w:bottom w:val="single" w:sz="4" w:space="0" w:color="auto"/>
              <w:right w:val="single" w:sz="4" w:space="0" w:color="auto"/>
            </w:tcBorders>
            <w:shd w:val="clear" w:color="auto" w:fill="auto"/>
            <w:noWrap/>
            <w:vAlign w:val="bottom"/>
            <w:hideMark/>
          </w:tcPr>
          <w:p w14:paraId="2753AC7F" w14:textId="77777777" w:rsidR="009A356E" w:rsidRPr="00C10545" w:rsidRDefault="009A356E" w:rsidP="009A356E">
            <w:pPr>
              <w:jc w:val="right"/>
              <w:rPr>
                <w:sz w:val="18"/>
                <w:szCs w:val="18"/>
                <w:lang w:eastAsia="en-AU"/>
              </w:rPr>
            </w:pPr>
            <w:r w:rsidRPr="00C10545">
              <w:rPr>
                <w:sz w:val="18"/>
                <w:szCs w:val="18"/>
                <w:lang w:eastAsia="en-AU"/>
              </w:rPr>
              <w:t>-0.9%</w:t>
            </w:r>
          </w:p>
        </w:tc>
        <w:tc>
          <w:tcPr>
            <w:tcW w:w="611" w:type="pct"/>
            <w:tcBorders>
              <w:top w:val="nil"/>
              <w:left w:val="nil"/>
              <w:bottom w:val="single" w:sz="4" w:space="0" w:color="auto"/>
              <w:right w:val="single" w:sz="4" w:space="0" w:color="auto"/>
            </w:tcBorders>
            <w:shd w:val="clear" w:color="auto" w:fill="auto"/>
            <w:noWrap/>
            <w:vAlign w:val="bottom"/>
            <w:hideMark/>
          </w:tcPr>
          <w:p w14:paraId="500D45FF" w14:textId="77777777" w:rsidR="009A356E" w:rsidRPr="00C10545" w:rsidRDefault="009A356E" w:rsidP="009A356E">
            <w:pPr>
              <w:jc w:val="right"/>
              <w:rPr>
                <w:sz w:val="18"/>
                <w:szCs w:val="18"/>
                <w:lang w:eastAsia="en-AU"/>
              </w:rPr>
            </w:pPr>
            <w:r w:rsidRPr="00C10545">
              <w:rPr>
                <w:sz w:val="18"/>
                <w:szCs w:val="18"/>
                <w:lang w:eastAsia="en-AU"/>
              </w:rPr>
              <w:t>6.4%</w:t>
            </w:r>
          </w:p>
        </w:tc>
        <w:tc>
          <w:tcPr>
            <w:tcW w:w="611" w:type="pct"/>
            <w:tcBorders>
              <w:top w:val="nil"/>
              <w:left w:val="nil"/>
              <w:bottom w:val="single" w:sz="4" w:space="0" w:color="auto"/>
              <w:right w:val="single" w:sz="4" w:space="0" w:color="auto"/>
            </w:tcBorders>
            <w:shd w:val="clear" w:color="auto" w:fill="auto"/>
            <w:noWrap/>
            <w:vAlign w:val="bottom"/>
            <w:hideMark/>
          </w:tcPr>
          <w:p w14:paraId="28433AE1" w14:textId="77777777" w:rsidR="009A356E" w:rsidRPr="00C10545" w:rsidRDefault="009A356E" w:rsidP="009A356E">
            <w:pPr>
              <w:jc w:val="right"/>
              <w:rPr>
                <w:sz w:val="18"/>
                <w:szCs w:val="18"/>
                <w:lang w:eastAsia="en-AU"/>
              </w:rPr>
            </w:pPr>
            <w:r w:rsidRPr="00C10545">
              <w:rPr>
                <w:sz w:val="18"/>
                <w:szCs w:val="18"/>
                <w:lang w:eastAsia="en-AU"/>
              </w:rPr>
              <w:t>3.0%</w:t>
            </w:r>
          </w:p>
        </w:tc>
        <w:tc>
          <w:tcPr>
            <w:tcW w:w="611" w:type="pct"/>
            <w:tcBorders>
              <w:top w:val="nil"/>
              <w:left w:val="nil"/>
              <w:bottom w:val="single" w:sz="4" w:space="0" w:color="auto"/>
              <w:right w:val="single" w:sz="4" w:space="0" w:color="auto"/>
            </w:tcBorders>
            <w:shd w:val="clear" w:color="auto" w:fill="auto"/>
            <w:noWrap/>
            <w:vAlign w:val="bottom"/>
            <w:hideMark/>
          </w:tcPr>
          <w:p w14:paraId="36368B27" w14:textId="77777777" w:rsidR="009A356E" w:rsidRPr="00C10545" w:rsidRDefault="009A356E" w:rsidP="009A356E">
            <w:pPr>
              <w:jc w:val="right"/>
              <w:rPr>
                <w:sz w:val="18"/>
                <w:szCs w:val="18"/>
                <w:lang w:eastAsia="en-AU"/>
              </w:rPr>
            </w:pPr>
            <w:r w:rsidRPr="00C10545">
              <w:rPr>
                <w:sz w:val="18"/>
                <w:szCs w:val="18"/>
                <w:lang w:eastAsia="en-AU"/>
              </w:rPr>
              <w:t>-2.2%</w:t>
            </w:r>
          </w:p>
        </w:tc>
      </w:tr>
      <w:tr w:rsidR="009A356E" w:rsidRPr="00C65C2B" w14:paraId="1861B0F6" w14:textId="77777777" w:rsidTr="009A356E">
        <w:trPr>
          <w:trHeight w:val="240"/>
        </w:trPr>
        <w:tc>
          <w:tcPr>
            <w:tcW w:w="1211" w:type="pct"/>
            <w:tcBorders>
              <w:top w:val="nil"/>
              <w:left w:val="single" w:sz="4" w:space="0" w:color="auto"/>
              <w:bottom w:val="single" w:sz="4" w:space="0" w:color="auto"/>
              <w:right w:val="single" w:sz="4" w:space="0" w:color="auto"/>
            </w:tcBorders>
            <w:shd w:val="clear" w:color="000000" w:fill="DAEEF3"/>
            <w:noWrap/>
            <w:vAlign w:val="bottom"/>
            <w:hideMark/>
          </w:tcPr>
          <w:p w14:paraId="3F4067B9" w14:textId="77777777" w:rsidR="009A356E" w:rsidRPr="00C10545" w:rsidRDefault="009A356E" w:rsidP="009A356E">
            <w:pPr>
              <w:rPr>
                <w:b/>
                <w:bCs/>
                <w:sz w:val="18"/>
                <w:szCs w:val="18"/>
                <w:lang w:eastAsia="en-AU"/>
              </w:rPr>
            </w:pPr>
            <w:r w:rsidRPr="00C10545">
              <w:rPr>
                <w:b/>
                <w:bCs/>
                <w:sz w:val="18"/>
                <w:szCs w:val="18"/>
                <w:lang w:eastAsia="en-AU"/>
              </w:rPr>
              <w:t>Large Shires</w:t>
            </w:r>
          </w:p>
        </w:tc>
        <w:tc>
          <w:tcPr>
            <w:tcW w:w="652" w:type="pct"/>
            <w:tcBorders>
              <w:top w:val="nil"/>
              <w:left w:val="nil"/>
              <w:bottom w:val="single" w:sz="4" w:space="0" w:color="auto"/>
              <w:right w:val="single" w:sz="4" w:space="0" w:color="auto"/>
            </w:tcBorders>
            <w:shd w:val="clear" w:color="000000" w:fill="000000"/>
            <w:noWrap/>
            <w:vAlign w:val="bottom"/>
            <w:hideMark/>
          </w:tcPr>
          <w:p w14:paraId="24D7EB64" w14:textId="77777777" w:rsidR="009A356E" w:rsidRPr="00C10545" w:rsidRDefault="009A356E" w:rsidP="009A356E">
            <w:pPr>
              <w:rPr>
                <w:sz w:val="18"/>
                <w:szCs w:val="18"/>
                <w:lang w:eastAsia="en-AU"/>
              </w:rPr>
            </w:pPr>
            <w:r w:rsidRPr="00C10545">
              <w:rPr>
                <w:sz w:val="18"/>
                <w:szCs w:val="18"/>
                <w:lang w:eastAsia="en-AU"/>
              </w:rPr>
              <w:t> </w:t>
            </w:r>
          </w:p>
        </w:tc>
        <w:tc>
          <w:tcPr>
            <w:tcW w:w="652" w:type="pct"/>
            <w:tcBorders>
              <w:top w:val="nil"/>
              <w:left w:val="nil"/>
              <w:bottom w:val="single" w:sz="4" w:space="0" w:color="auto"/>
              <w:right w:val="single" w:sz="4" w:space="0" w:color="auto"/>
            </w:tcBorders>
            <w:shd w:val="clear" w:color="000000" w:fill="000000"/>
            <w:noWrap/>
            <w:vAlign w:val="bottom"/>
            <w:hideMark/>
          </w:tcPr>
          <w:p w14:paraId="0A6E243D" w14:textId="77777777" w:rsidR="009A356E" w:rsidRPr="00C10545" w:rsidRDefault="009A356E" w:rsidP="009A356E">
            <w:pPr>
              <w:rPr>
                <w:sz w:val="18"/>
                <w:szCs w:val="18"/>
                <w:lang w:eastAsia="en-AU"/>
              </w:rPr>
            </w:pPr>
            <w:r w:rsidRPr="00C10545">
              <w:rPr>
                <w:sz w:val="18"/>
                <w:szCs w:val="18"/>
                <w:lang w:eastAsia="en-AU"/>
              </w:rPr>
              <w:t> </w:t>
            </w:r>
          </w:p>
        </w:tc>
        <w:tc>
          <w:tcPr>
            <w:tcW w:w="652" w:type="pct"/>
            <w:tcBorders>
              <w:top w:val="nil"/>
              <w:left w:val="nil"/>
              <w:bottom w:val="single" w:sz="4" w:space="0" w:color="auto"/>
              <w:right w:val="single" w:sz="4" w:space="0" w:color="auto"/>
            </w:tcBorders>
            <w:shd w:val="clear" w:color="000000" w:fill="000000"/>
            <w:noWrap/>
            <w:vAlign w:val="bottom"/>
            <w:hideMark/>
          </w:tcPr>
          <w:p w14:paraId="3E70E185" w14:textId="77777777" w:rsidR="009A356E" w:rsidRPr="00C10545" w:rsidRDefault="009A356E" w:rsidP="009A356E">
            <w:pPr>
              <w:rPr>
                <w:sz w:val="18"/>
                <w:szCs w:val="18"/>
                <w:lang w:eastAsia="en-AU"/>
              </w:rPr>
            </w:pPr>
            <w:r w:rsidRPr="00C10545">
              <w:rPr>
                <w:sz w:val="18"/>
                <w:szCs w:val="18"/>
                <w:lang w:eastAsia="en-AU"/>
              </w:rPr>
              <w:t> </w:t>
            </w:r>
          </w:p>
        </w:tc>
        <w:tc>
          <w:tcPr>
            <w:tcW w:w="611" w:type="pct"/>
            <w:tcBorders>
              <w:top w:val="nil"/>
              <w:left w:val="nil"/>
              <w:bottom w:val="single" w:sz="4" w:space="0" w:color="auto"/>
              <w:right w:val="single" w:sz="4" w:space="0" w:color="auto"/>
            </w:tcBorders>
            <w:shd w:val="clear" w:color="000000" w:fill="000000"/>
            <w:noWrap/>
            <w:vAlign w:val="bottom"/>
            <w:hideMark/>
          </w:tcPr>
          <w:p w14:paraId="0B888F59" w14:textId="77777777" w:rsidR="009A356E" w:rsidRPr="00C10545" w:rsidRDefault="009A356E" w:rsidP="009A356E">
            <w:pPr>
              <w:rPr>
                <w:sz w:val="18"/>
                <w:szCs w:val="18"/>
                <w:lang w:eastAsia="en-AU"/>
              </w:rPr>
            </w:pPr>
            <w:r w:rsidRPr="00C10545">
              <w:rPr>
                <w:sz w:val="18"/>
                <w:szCs w:val="18"/>
                <w:lang w:eastAsia="en-AU"/>
              </w:rPr>
              <w:t> </w:t>
            </w:r>
          </w:p>
        </w:tc>
        <w:tc>
          <w:tcPr>
            <w:tcW w:w="611" w:type="pct"/>
            <w:tcBorders>
              <w:top w:val="nil"/>
              <w:left w:val="nil"/>
              <w:bottom w:val="single" w:sz="4" w:space="0" w:color="auto"/>
              <w:right w:val="single" w:sz="4" w:space="0" w:color="auto"/>
            </w:tcBorders>
            <w:shd w:val="clear" w:color="000000" w:fill="000000"/>
            <w:noWrap/>
            <w:vAlign w:val="bottom"/>
            <w:hideMark/>
          </w:tcPr>
          <w:p w14:paraId="10F00F9E" w14:textId="77777777" w:rsidR="009A356E" w:rsidRPr="00C10545" w:rsidRDefault="009A356E" w:rsidP="009A356E">
            <w:pPr>
              <w:rPr>
                <w:sz w:val="18"/>
                <w:szCs w:val="18"/>
                <w:lang w:eastAsia="en-AU"/>
              </w:rPr>
            </w:pPr>
            <w:r w:rsidRPr="00C10545">
              <w:rPr>
                <w:sz w:val="18"/>
                <w:szCs w:val="18"/>
                <w:lang w:eastAsia="en-AU"/>
              </w:rPr>
              <w:t> </w:t>
            </w:r>
          </w:p>
        </w:tc>
        <w:tc>
          <w:tcPr>
            <w:tcW w:w="611" w:type="pct"/>
            <w:tcBorders>
              <w:top w:val="nil"/>
              <w:left w:val="nil"/>
              <w:bottom w:val="single" w:sz="4" w:space="0" w:color="auto"/>
              <w:right w:val="single" w:sz="4" w:space="0" w:color="auto"/>
            </w:tcBorders>
            <w:shd w:val="clear" w:color="000000" w:fill="000000"/>
            <w:noWrap/>
            <w:vAlign w:val="bottom"/>
            <w:hideMark/>
          </w:tcPr>
          <w:p w14:paraId="6493E269" w14:textId="77777777" w:rsidR="009A356E" w:rsidRPr="00C10545" w:rsidRDefault="009A356E" w:rsidP="009A356E">
            <w:pPr>
              <w:rPr>
                <w:sz w:val="18"/>
                <w:szCs w:val="18"/>
                <w:lang w:eastAsia="en-AU"/>
              </w:rPr>
            </w:pPr>
            <w:r w:rsidRPr="00C10545">
              <w:rPr>
                <w:sz w:val="18"/>
                <w:szCs w:val="18"/>
                <w:lang w:eastAsia="en-AU"/>
              </w:rPr>
              <w:t> </w:t>
            </w:r>
          </w:p>
        </w:tc>
      </w:tr>
      <w:tr w:rsidR="009A356E" w:rsidRPr="00C65C2B" w14:paraId="25EE7486" w14:textId="77777777" w:rsidTr="009A356E">
        <w:trPr>
          <w:trHeight w:val="240"/>
        </w:trPr>
        <w:tc>
          <w:tcPr>
            <w:tcW w:w="1211" w:type="pct"/>
            <w:tcBorders>
              <w:top w:val="nil"/>
              <w:left w:val="single" w:sz="4" w:space="0" w:color="auto"/>
              <w:bottom w:val="single" w:sz="4" w:space="0" w:color="auto"/>
              <w:right w:val="single" w:sz="4" w:space="0" w:color="auto"/>
            </w:tcBorders>
            <w:shd w:val="clear" w:color="auto" w:fill="auto"/>
            <w:noWrap/>
            <w:vAlign w:val="bottom"/>
            <w:hideMark/>
          </w:tcPr>
          <w:p w14:paraId="76CE8689" w14:textId="77777777" w:rsidR="009A356E" w:rsidRPr="00C10545" w:rsidRDefault="009A356E" w:rsidP="009A356E">
            <w:pPr>
              <w:rPr>
                <w:sz w:val="18"/>
                <w:szCs w:val="18"/>
                <w:lang w:eastAsia="en-AU"/>
              </w:rPr>
            </w:pPr>
            <w:r w:rsidRPr="00C10545">
              <w:rPr>
                <w:sz w:val="18"/>
                <w:szCs w:val="18"/>
                <w:lang w:eastAsia="en-AU"/>
              </w:rPr>
              <w:t>Campaspe</w:t>
            </w:r>
          </w:p>
        </w:tc>
        <w:tc>
          <w:tcPr>
            <w:tcW w:w="652" w:type="pct"/>
            <w:tcBorders>
              <w:top w:val="nil"/>
              <w:left w:val="nil"/>
              <w:bottom w:val="single" w:sz="4" w:space="0" w:color="auto"/>
              <w:right w:val="single" w:sz="4" w:space="0" w:color="auto"/>
            </w:tcBorders>
            <w:shd w:val="clear" w:color="auto" w:fill="auto"/>
            <w:noWrap/>
            <w:vAlign w:val="bottom"/>
            <w:hideMark/>
          </w:tcPr>
          <w:p w14:paraId="6C0C264F" w14:textId="77777777" w:rsidR="009A356E" w:rsidRPr="00C10545" w:rsidRDefault="009A356E" w:rsidP="009A356E">
            <w:pPr>
              <w:jc w:val="right"/>
              <w:rPr>
                <w:sz w:val="18"/>
                <w:szCs w:val="18"/>
                <w:lang w:eastAsia="en-AU"/>
              </w:rPr>
            </w:pPr>
            <w:r w:rsidRPr="00C10545">
              <w:rPr>
                <w:sz w:val="18"/>
                <w:szCs w:val="18"/>
                <w:lang w:eastAsia="en-AU"/>
              </w:rPr>
              <w:t>-3.2%</w:t>
            </w:r>
          </w:p>
        </w:tc>
        <w:tc>
          <w:tcPr>
            <w:tcW w:w="652" w:type="pct"/>
            <w:tcBorders>
              <w:top w:val="nil"/>
              <w:left w:val="nil"/>
              <w:bottom w:val="single" w:sz="4" w:space="0" w:color="auto"/>
              <w:right w:val="single" w:sz="4" w:space="0" w:color="auto"/>
            </w:tcBorders>
            <w:shd w:val="clear" w:color="auto" w:fill="auto"/>
            <w:noWrap/>
            <w:vAlign w:val="bottom"/>
            <w:hideMark/>
          </w:tcPr>
          <w:p w14:paraId="29269E29" w14:textId="77777777" w:rsidR="009A356E" w:rsidRPr="00C10545" w:rsidRDefault="009A356E" w:rsidP="009A356E">
            <w:pPr>
              <w:jc w:val="right"/>
              <w:rPr>
                <w:sz w:val="18"/>
                <w:szCs w:val="18"/>
                <w:lang w:eastAsia="en-AU"/>
              </w:rPr>
            </w:pPr>
            <w:r w:rsidRPr="00C10545">
              <w:rPr>
                <w:sz w:val="18"/>
                <w:szCs w:val="18"/>
                <w:lang w:eastAsia="en-AU"/>
              </w:rPr>
              <w:t>-4.9%</w:t>
            </w:r>
          </w:p>
        </w:tc>
        <w:tc>
          <w:tcPr>
            <w:tcW w:w="652" w:type="pct"/>
            <w:tcBorders>
              <w:top w:val="nil"/>
              <w:left w:val="nil"/>
              <w:bottom w:val="single" w:sz="4" w:space="0" w:color="auto"/>
              <w:right w:val="single" w:sz="4" w:space="0" w:color="auto"/>
            </w:tcBorders>
            <w:shd w:val="clear" w:color="auto" w:fill="auto"/>
            <w:noWrap/>
            <w:vAlign w:val="bottom"/>
            <w:hideMark/>
          </w:tcPr>
          <w:p w14:paraId="498E4F4E" w14:textId="77777777" w:rsidR="009A356E" w:rsidRPr="00C10545" w:rsidRDefault="009A356E" w:rsidP="009A356E">
            <w:pPr>
              <w:jc w:val="right"/>
              <w:rPr>
                <w:sz w:val="18"/>
                <w:szCs w:val="18"/>
                <w:lang w:eastAsia="en-AU"/>
              </w:rPr>
            </w:pPr>
            <w:r w:rsidRPr="00C10545">
              <w:rPr>
                <w:sz w:val="18"/>
                <w:szCs w:val="18"/>
                <w:lang w:eastAsia="en-AU"/>
              </w:rPr>
              <w:t>11.7%</w:t>
            </w:r>
          </w:p>
        </w:tc>
        <w:tc>
          <w:tcPr>
            <w:tcW w:w="611" w:type="pct"/>
            <w:tcBorders>
              <w:top w:val="nil"/>
              <w:left w:val="nil"/>
              <w:bottom w:val="single" w:sz="4" w:space="0" w:color="auto"/>
              <w:right w:val="single" w:sz="4" w:space="0" w:color="auto"/>
            </w:tcBorders>
            <w:shd w:val="clear" w:color="auto" w:fill="auto"/>
            <w:noWrap/>
            <w:vAlign w:val="bottom"/>
            <w:hideMark/>
          </w:tcPr>
          <w:p w14:paraId="738536F4" w14:textId="77777777" w:rsidR="009A356E" w:rsidRPr="00C10545" w:rsidRDefault="009A356E" w:rsidP="009A356E">
            <w:pPr>
              <w:jc w:val="right"/>
              <w:rPr>
                <w:sz w:val="18"/>
                <w:szCs w:val="18"/>
                <w:lang w:eastAsia="en-AU"/>
              </w:rPr>
            </w:pPr>
            <w:r w:rsidRPr="00C10545">
              <w:rPr>
                <w:sz w:val="18"/>
                <w:szCs w:val="18"/>
                <w:lang w:eastAsia="en-AU"/>
              </w:rPr>
              <w:t>4.3%</w:t>
            </w:r>
          </w:p>
        </w:tc>
        <w:tc>
          <w:tcPr>
            <w:tcW w:w="611" w:type="pct"/>
            <w:tcBorders>
              <w:top w:val="nil"/>
              <w:left w:val="nil"/>
              <w:bottom w:val="single" w:sz="4" w:space="0" w:color="auto"/>
              <w:right w:val="single" w:sz="4" w:space="0" w:color="auto"/>
            </w:tcBorders>
            <w:shd w:val="clear" w:color="auto" w:fill="auto"/>
            <w:noWrap/>
            <w:vAlign w:val="bottom"/>
            <w:hideMark/>
          </w:tcPr>
          <w:p w14:paraId="589A23C1" w14:textId="77777777" w:rsidR="009A356E" w:rsidRPr="00C10545" w:rsidRDefault="009A356E" w:rsidP="009A356E">
            <w:pPr>
              <w:jc w:val="right"/>
              <w:rPr>
                <w:sz w:val="18"/>
                <w:szCs w:val="18"/>
                <w:lang w:eastAsia="en-AU"/>
              </w:rPr>
            </w:pPr>
            <w:r w:rsidRPr="00C10545">
              <w:rPr>
                <w:sz w:val="18"/>
                <w:szCs w:val="18"/>
                <w:lang w:eastAsia="en-AU"/>
              </w:rPr>
              <w:t>-0.1%</w:t>
            </w:r>
          </w:p>
        </w:tc>
        <w:tc>
          <w:tcPr>
            <w:tcW w:w="611" w:type="pct"/>
            <w:tcBorders>
              <w:top w:val="nil"/>
              <w:left w:val="nil"/>
              <w:bottom w:val="single" w:sz="4" w:space="0" w:color="auto"/>
              <w:right w:val="single" w:sz="4" w:space="0" w:color="auto"/>
            </w:tcBorders>
            <w:shd w:val="clear" w:color="auto" w:fill="auto"/>
            <w:noWrap/>
            <w:vAlign w:val="bottom"/>
            <w:hideMark/>
          </w:tcPr>
          <w:p w14:paraId="2C5A795B" w14:textId="77777777" w:rsidR="009A356E" w:rsidRPr="00C10545" w:rsidRDefault="009A356E" w:rsidP="009A356E">
            <w:pPr>
              <w:jc w:val="right"/>
              <w:rPr>
                <w:sz w:val="18"/>
                <w:szCs w:val="18"/>
                <w:lang w:eastAsia="en-AU"/>
              </w:rPr>
            </w:pPr>
            <w:r w:rsidRPr="00C10545">
              <w:rPr>
                <w:sz w:val="18"/>
                <w:szCs w:val="18"/>
                <w:lang w:eastAsia="en-AU"/>
              </w:rPr>
              <w:t>-4.4%</w:t>
            </w:r>
          </w:p>
        </w:tc>
      </w:tr>
      <w:tr w:rsidR="009A356E" w:rsidRPr="00C65C2B" w14:paraId="40C3E0FF" w14:textId="77777777" w:rsidTr="009A356E">
        <w:trPr>
          <w:trHeight w:val="240"/>
        </w:trPr>
        <w:tc>
          <w:tcPr>
            <w:tcW w:w="1211" w:type="pct"/>
            <w:tcBorders>
              <w:top w:val="nil"/>
              <w:left w:val="single" w:sz="4" w:space="0" w:color="auto"/>
              <w:bottom w:val="single" w:sz="4" w:space="0" w:color="auto"/>
              <w:right w:val="single" w:sz="4" w:space="0" w:color="auto"/>
            </w:tcBorders>
            <w:shd w:val="clear" w:color="auto" w:fill="auto"/>
            <w:noWrap/>
            <w:vAlign w:val="bottom"/>
            <w:hideMark/>
          </w:tcPr>
          <w:p w14:paraId="47F8F1B3" w14:textId="77777777" w:rsidR="009A356E" w:rsidRPr="00C10545" w:rsidRDefault="009A356E" w:rsidP="009A356E">
            <w:pPr>
              <w:rPr>
                <w:sz w:val="18"/>
                <w:szCs w:val="18"/>
                <w:lang w:eastAsia="en-AU"/>
              </w:rPr>
            </w:pPr>
            <w:r w:rsidRPr="00C10545">
              <w:rPr>
                <w:sz w:val="18"/>
                <w:szCs w:val="18"/>
                <w:lang w:eastAsia="en-AU"/>
              </w:rPr>
              <w:t>Corangamite</w:t>
            </w:r>
          </w:p>
        </w:tc>
        <w:tc>
          <w:tcPr>
            <w:tcW w:w="652" w:type="pct"/>
            <w:tcBorders>
              <w:top w:val="nil"/>
              <w:left w:val="nil"/>
              <w:bottom w:val="single" w:sz="4" w:space="0" w:color="auto"/>
              <w:right w:val="single" w:sz="4" w:space="0" w:color="auto"/>
            </w:tcBorders>
            <w:shd w:val="clear" w:color="auto" w:fill="auto"/>
            <w:noWrap/>
            <w:vAlign w:val="bottom"/>
            <w:hideMark/>
          </w:tcPr>
          <w:p w14:paraId="345D42A2" w14:textId="77777777" w:rsidR="009A356E" w:rsidRPr="00C10545" w:rsidRDefault="009A356E" w:rsidP="009A356E">
            <w:pPr>
              <w:jc w:val="right"/>
              <w:rPr>
                <w:sz w:val="18"/>
                <w:szCs w:val="18"/>
                <w:lang w:eastAsia="en-AU"/>
              </w:rPr>
            </w:pPr>
            <w:r w:rsidRPr="00C10545">
              <w:rPr>
                <w:sz w:val="18"/>
                <w:szCs w:val="18"/>
                <w:lang w:eastAsia="en-AU"/>
              </w:rPr>
              <w:t>-3.0%</w:t>
            </w:r>
          </w:p>
        </w:tc>
        <w:tc>
          <w:tcPr>
            <w:tcW w:w="652" w:type="pct"/>
            <w:tcBorders>
              <w:top w:val="nil"/>
              <w:left w:val="nil"/>
              <w:bottom w:val="single" w:sz="4" w:space="0" w:color="auto"/>
              <w:right w:val="single" w:sz="4" w:space="0" w:color="auto"/>
            </w:tcBorders>
            <w:shd w:val="clear" w:color="auto" w:fill="auto"/>
            <w:noWrap/>
            <w:vAlign w:val="bottom"/>
            <w:hideMark/>
          </w:tcPr>
          <w:p w14:paraId="78D21C30" w14:textId="77777777" w:rsidR="009A356E" w:rsidRPr="00C10545" w:rsidRDefault="009A356E" w:rsidP="009A356E">
            <w:pPr>
              <w:jc w:val="right"/>
              <w:rPr>
                <w:sz w:val="18"/>
                <w:szCs w:val="18"/>
                <w:lang w:eastAsia="en-AU"/>
              </w:rPr>
            </w:pPr>
            <w:r w:rsidRPr="00C10545">
              <w:rPr>
                <w:sz w:val="18"/>
                <w:szCs w:val="18"/>
                <w:lang w:eastAsia="en-AU"/>
              </w:rPr>
              <w:t>-4.0%</w:t>
            </w:r>
          </w:p>
        </w:tc>
        <w:tc>
          <w:tcPr>
            <w:tcW w:w="652" w:type="pct"/>
            <w:tcBorders>
              <w:top w:val="nil"/>
              <w:left w:val="nil"/>
              <w:bottom w:val="single" w:sz="4" w:space="0" w:color="auto"/>
              <w:right w:val="single" w:sz="4" w:space="0" w:color="auto"/>
            </w:tcBorders>
            <w:shd w:val="clear" w:color="auto" w:fill="auto"/>
            <w:noWrap/>
            <w:vAlign w:val="bottom"/>
            <w:hideMark/>
          </w:tcPr>
          <w:p w14:paraId="2F904763" w14:textId="77777777" w:rsidR="009A356E" w:rsidRPr="00C10545" w:rsidRDefault="009A356E" w:rsidP="009A356E">
            <w:pPr>
              <w:jc w:val="right"/>
              <w:rPr>
                <w:sz w:val="18"/>
                <w:szCs w:val="18"/>
                <w:lang w:eastAsia="en-AU"/>
              </w:rPr>
            </w:pPr>
            <w:r w:rsidRPr="00C10545">
              <w:rPr>
                <w:sz w:val="18"/>
                <w:szCs w:val="18"/>
                <w:lang w:eastAsia="en-AU"/>
              </w:rPr>
              <w:t>15.2%</w:t>
            </w:r>
          </w:p>
        </w:tc>
        <w:tc>
          <w:tcPr>
            <w:tcW w:w="611" w:type="pct"/>
            <w:tcBorders>
              <w:top w:val="nil"/>
              <w:left w:val="nil"/>
              <w:bottom w:val="single" w:sz="4" w:space="0" w:color="auto"/>
              <w:right w:val="single" w:sz="4" w:space="0" w:color="auto"/>
            </w:tcBorders>
            <w:shd w:val="clear" w:color="auto" w:fill="auto"/>
            <w:noWrap/>
            <w:vAlign w:val="bottom"/>
            <w:hideMark/>
          </w:tcPr>
          <w:p w14:paraId="4D0F74A9" w14:textId="77777777" w:rsidR="009A356E" w:rsidRPr="00C10545" w:rsidRDefault="009A356E" w:rsidP="009A356E">
            <w:pPr>
              <w:jc w:val="right"/>
              <w:rPr>
                <w:sz w:val="18"/>
                <w:szCs w:val="18"/>
                <w:lang w:eastAsia="en-AU"/>
              </w:rPr>
            </w:pPr>
            <w:r w:rsidRPr="00C10545">
              <w:rPr>
                <w:sz w:val="18"/>
                <w:szCs w:val="18"/>
                <w:lang w:eastAsia="en-AU"/>
              </w:rPr>
              <w:t>7.5%</w:t>
            </w:r>
          </w:p>
        </w:tc>
        <w:tc>
          <w:tcPr>
            <w:tcW w:w="611" w:type="pct"/>
            <w:tcBorders>
              <w:top w:val="nil"/>
              <w:left w:val="nil"/>
              <w:bottom w:val="single" w:sz="4" w:space="0" w:color="auto"/>
              <w:right w:val="single" w:sz="4" w:space="0" w:color="auto"/>
            </w:tcBorders>
            <w:shd w:val="clear" w:color="auto" w:fill="auto"/>
            <w:noWrap/>
            <w:vAlign w:val="bottom"/>
            <w:hideMark/>
          </w:tcPr>
          <w:p w14:paraId="64FB4D1C" w14:textId="77777777" w:rsidR="009A356E" w:rsidRPr="00C10545" w:rsidRDefault="009A356E" w:rsidP="009A356E">
            <w:pPr>
              <w:jc w:val="right"/>
              <w:rPr>
                <w:sz w:val="18"/>
                <w:szCs w:val="18"/>
                <w:lang w:eastAsia="en-AU"/>
              </w:rPr>
            </w:pPr>
            <w:r w:rsidRPr="00C10545">
              <w:rPr>
                <w:sz w:val="18"/>
                <w:szCs w:val="18"/>
                <w:lang w:eastAsia="en-AU"/>
              </w:rPr>
              <w:t>3.5%</w:t>
            </w:r>
          </w:p>
        </w:tc>
        <w:tc>
          <w:tcPr>
            <w:tcW w:w="611" w:type="pct"/>
            <w:tcBorders>
              <w:top w:val="nil"/>
              <w:left w:val="nil"/>
              <w:bottom w:val="single" w:sz="4" w:space="0" w:color="auto"/>
              <w:right w:val="single" w:sz="4" w:space="0" w:color="auto"/>
            </w:tcBorders>
            <w:shd w:val="clear" w:color="auto" w:fill="auto"/>
            <w:noWrap/>
            <w:vAlign w:val="bottom"/>
            <w:hideMark/>
          </w:tcPr>
          <w:p w14:paraId="17CA2396" w14:textId="77777777" w:rsidR="009A356E" w:rsidRPr="00C10545" w:rsidRDefault="009A356E" w:rsidP="009A356E">
            <w:pPr>
              <w:jc w:val="right"/>
              <w:rPr>
                <w:sz w:val="18"/>
                <w:szCs w:val="18"/>
                <w:lang w:eastAsia="en-AU"/>
              </w:rPr>
            </w:pPr>
            <w:r w:rsidRPr="00C10545">
              <w:rPr>
                <w:sz w:val="18"/>
                <w:szCs w:val="18"/>
                <w:lang w:eastAsia="en-AU"/>
              </w:rPr>
              <w:t>-1.6%</w:t>
            </w:r>
          </w:p>
        </w:tc>
      </w:tr>
      <w:tr w:rsidR="009A356E" w:rsidRPr="00C65C2B" w14:paraId="096B711D" w14:textId="77777777" w:rsidTr="009A356E">
        <w:trPr>
          <w:trHeight w:val="240"/>
        </w:trPr>
        <w:tc>
          <w:tcPr>
            <w:tcW w:w="1211" w:type="pct"/>
            <w:tcBorders>
              <w:top w:val="nil"/>
              <w:left w:val="single" w:sz="4" w:space="0" w:color="auto"/>
              <w:bottom w:val="single" w:sz="4" w:space="0" w:color="auto"/>
              <w:right w:val="single" w:sz="4" w:space="0" w:color="auto"/>
            </w:tcBorders>
            <w:shd w:val="clear" w:color="auto" w:fill="auto"/>
            <w:noWrap/>
            <w:vAlign w:val="bottom"/>
            <w:hideMark/>
          </w:tcPr>
          <w:p w14:paraId="359B769F" w14:textId="77777777" w:rsidR="009A356E" w:rsidRPr="00C10545" w:rsidRDefault="009A356E" w:rsidP="009A356E">
            <w:pPr>
              <w:rPr>
                <w:sz w:val="18"/>
                <w:szCs w:val="18"/>
                <w:lang w:eastAsia="en-AU"/>
              </w:rPr>
            </w:pPr>
            <w:r w:rsidRPr="00C10545">
              <w:rPr>
                <w:sz w:val="18"/>
                <w:szCs w:val="18"/>
                <w:lang w:eastAsia="en-AU"/>
              </w:rPr>
              <w:t>Mitchell</w:t>
            </w:r>
          </w:p>
        </w:tc>
        <w:tc>
          <w:tcPr>
            <w:tcW w:w="652" w:type="pct"/>
            <w:tcBorders>
              <w:top w:val="nil"/>
              <w:left w:val="nil"/>
              <w:bottom w:val="single" w:sz="4" w:space="0" w:color="auto"/>
              <w:right w:val="single" w:sz="4" w:space="0" w:color="auto"/>
            </w:tcBorders>
            <w:shd w:val="clear" w:color="auto" w:fill="auto"/>
            <w:noWrap/>
            <w:vAlign w:val="bottom"/>
            <w:hideMark/>
          </w:tcPr>
          <w:p w14:paraId="28227F64" w14:textId="77777777" w:rsidR="009A356E" w:rsidRPr="00C10545" w:rsidRDefault="009A356E" w:rsidP="009A356E">
            <w:pPr>
              <w:jc w:val="right"/>
              <w:rPr>
                <w:sz w:val="18"/>
                <w:szCs w:val="18"/>
                <w:lang w:eastAsia="en-AU"/>
              </w:rPr>
            </w:pPr>
            <w:r w:rsidRPr="00C10545">
              <w:rPr>
                <w:sz w:val="18"/>
                <w:szCs w:val="18"/>
                <w:lang w:eastAsia="en-AU"/>
              </w:rPr>
              <w:t>-4.0%</w:t>
            </w:r>
          </w:p>
        </w:tc>
        <w:tc>
          <w:tcPr>
            <w:tcW w:w="652" w:type="pct"/>
            <w:tcBorders>
              <w:top w:val="nil"/>
              <w:left w:val="nil"/>
              <w:bottom w:val="single" w:sz="4" w:space="0" w:color="auto"/>
              <w:right w:val="single" w:sz="4" w:space="0" w:color="auto"/>
            </w:tcBorders>
            <w:shd w:val="clear" w:color="auto" w:fill="auto"/>
            <w:noWrap/>
            <w:vAlign w:val="bottom"/>
            <w:hideMark/>
          </w:tcPr>
          <w:p w14:paraId="4E7DD9B2" w14:textId="77777777" w:rsidR="009A356E" w:rsidRPr="00C10545" w:rsidRDefault="009A356E" w:rsidP="009A356E">
            <w:pPr>
              <w:jc w:val="right"/>
              <w:rPr>
                <w:sz w:val="18"/>
                <w:szCs w:val="18"/>
                <w:lang w:eastAsia="en-AU"/>
              </w:rPr>
            </w:pPr>
            <w:r w:rsidRPr="00C10545">
              <w:rPr>
                <w:sz w:val="18"/>
                <w:szCs w:val="18"/>
                <w:lang w:eastAsia="en-AU"/>
              </w:rPr>
              <w:t>1.7%</w:t>
            </w:r>
          </w:p>
        </w:tc>
        <w:tc>
          <w:tcPr>
            <w:tcW w:w="652" w:type="pct"/>
            <w:tcBorders>
              <w:top w:val="nil"/>
              <w:left w:val="nil"/>
              <w:bottom w:val="single" w:sz="4" w:space="0" w:color="auto"/>
              <w:right w:val="single" w:sz="4" w:space="0" w:color="auto"/>
            </w:tcBorders>
            <w:shd w:val="clear" w:color="auto" w:fill="auto"/>
            <w:noWrap/>
            <w:vAlign w:val="bottom"/>
            <w:hideMark/>
          </w:tcPr>
          <w:p w14:paraId="4D156E9C" w14:textId="77777777" w:rsidR="009A356E" w:rsidRPr="00C10545" w:rsidRDefault="009A356E" w:rsidP="009A356E">
            <w:pPr>
              <w:jc w:val="right"/>
              <w:rPr>
                <w:sz w:val="18"/>
                <w:szCs w:val="18"/>
                <w:lang w:eastAsia="en-AU"/>
              </w:rPr>
            </w:pPr>
            <w:r w:rsidRPr="00C10545">
              <w:rPr>
                <w:sz w:val="18"/>
                <w:szCs w:val="18"/>
                <w:lang w:eastAsia="en-AU"/>
              </w:rPr>
              <w:t>-2.0%</w:t>
            </w:r>
          </w:p>
        </w:tc>
        <w:tc>
          <w:tcPr>
            <w:tcW w:w="611" w:type="pct"/>
            <w:tcBorders>
              <w:top w:val="nil"/>
              <w:left w:val="nil"/>
              <w:bottom w:val="single" w:sz="4" w:space="0" w:color="auto"/>
              <w:right w:val="single" w:sz="4" w:space="0" w:color="auto"/>
            </w:tcBorders>
            <w:shd w:val="clear" w:color="auto" w:fill="auto"/>
            <w:noWrap/>
            <w:vAlign w:val="bottom"/>
            <w:hideMark/>
          </w:tcPr>
          <w:p w14:paraId="4A41348F" w14:textId="77777777" w:rsidR="009A356E" w:rsidRPr="00C10545" w:rsidRDefault="009A356E" w:rsidP="009A356E">
            <w:pPr>
              <w:jc w:val="right"/>
              <w:rPr>
                <w:sz w:val="18"/>
                <w:szCs w:val="18"/>
                <w:lang w:eastAsia="en-AU"/>
              </w:rPr>
            </w:pPr>
            <w:r w:rsidRPr="00C10545">
              <w:rPr>
                <w:sz w:val="18"/>
                <w:szCs w:val="18"/>
                <w:lang w:eastAsia="en-AU"/>
              </w:rPr>
              <w:t>-0.2%</w:t>
            </w:r>
          </w:p>
        </w:tc>
        <w:tc>
          <w:tcPr>
            <w:tcW w:w="611" w:type="pct"/>
            <w:tcBorders>
              <w:top w:val="nil"/>
              <w:left w:val="nil"/>
              <w:bottom w:val="single" w:sz="4" w:space="0" w:color="auto"/>
              <w:right w:val="single" w:sz="4" w:space="0" w:color="auto"/>
            </w:tcBorders>
            <w:shd w:val="clear" w:color="auto" w:fill="auto"/>
            <w:noWrap/>
            <w:vAlign w:val="bottom"/>
            <w:hideMark/>
          </w:tcPr>
          <w:p w14:paraId="428A1C47" w14:textId="77777777" w:rsidR="009A356E" w:rsidRPr="00C10545" w:rsidRDefault="009A356E" w:rsidP="009A356E">
            <w:pPr>
              <w:jc w:val="right"/>
              <w:rPr>
                <w:sz w:val="18"/>
                <w:szCs w:val="18"/>
                <w:lang w:eastAsia="en-AU"/>
              </w:rPr>
            </w:pPr>
            <w:r w:rsidRPr="00C10545">
              <w:rPr>
                <w:sz w:val="18"/>
                <w:szCs w:val="18"/>
                <w:lang w:eastAsia="en-AU"/>
              </w:rPr>
              <w:t>-0.9%</w:t>
            </w:r>
          </w:p>
        </w:tc>
        <w:tc>
          <w:tcPr>
            <w:tcW w:w="611" w:type="pct"/>
            <w:tcBorders>
              <w:top w:val="nil"/>
              <w:left w:val="nil"/>
              <w:bottom w:val="single" w:sz="4" w:space="0" w:color="auto"/>
              <w:right w:val="single" w:sz="4" w:space="0" w:color="auto"/>
            </w:tcBorders>
            <w:shd w:val="clear" w:color="auto" w:fill="auto"/>
            <w:noWrap/>
            <w:vAlign w:val="bottom"/>
            <w:hideMark/>
          </w:tcPr>
          <w:p w14:paraId="476BB0D3" w14:textId="77777777" w:rsidR="009A356E" w:rsidRPr="00C10545" w:rsidRDefault="009A356E" w:rsidP="009A356E">
            <w:pPr>
              <w:jc w:val="right"/>
              <w:rPr>
                <w:sz w:val="18"/>
                <w:szCs w:val="18"/>
                <w:lang w:eastAsia="en-AU"/>
              </w:rPr>
            </w:pPr>
            <w:r w:rsidRPr="00C10545">
              <w:rPr>
                <w:sz w:val="18"/>
                <w:szCs w:val="18"/>
                <w:lang w:eastAsia="en-AU"/>
              </w:rPr>
              <w:t>-3.1%</w:t>
            </w:r>
          </w:p>
        </w:tc>
      </w:tr>
      <w:tr w:rsidR="009A356E" w:rsidRPr="00C65C2B" w14:paraId="0C383C61" w14:textId="77777777" w:rsidTr="009A356E">
        <w:trPr>
          <w:trHeight w:val="240"/>
        </w:trPr>
        <w:tc>
          <w:tcPr>
            <w:tcW w:w="1211" w:type="pct"/>
            <w:tcBorders>
              <w:top w:val="nil"/>
              <w:left w:val="single" w:sz="4" w:space="0" w:color="auto"/>
              <w:bottom w:val="single" w:sz="4" w:space="0" w:color="auto"/>
              <w:right w:val="single" w:sz="4" w:space="0" w:color="auto"/>
            </w:tcBorders>
            <w:shd w:val="clear" w:color="auto" w:fill="auto"/>
            <w:noWrap/>
            <w:vAlign w:val="bottom"/>
            <w:hideMark/>
          </w:tcPr>
          <w:p w14:paraId="79DF0C92" w14:textId="77777777" w:rsidR="009A356E" w:rsidRPr="00C10545" w:rsidRDefault="009A356E" w:rsidP="009A356E">
            <w:pPr>
              <w:rPr>
                <w:sz w:val="18"/>
                <w:szCs w:val="18"/>
                <w:lang w:eastAsia="en-AU"/>
              </w:rPr>
            </w:pPr>
            <w:r w:rsidRPr="00C10545">
              <w:rPr>
                <w:sz w:val="18"/>
                <w:szCs w:val="18"/>
                <w:lang w:eastAsia="en-AU"/>
              </w:rPr>
              <w:lastRenderedPageBreak/>
              <w:t>Moira</w:t>
            </w:r>
          </w:p>
        </w:tc>
        <w:tc>
          <w:tcPr>
            <w:tcW w:w="652" w:type="pct"/>
            <w:tcBorders>
              <w:top w:val="nil"/>
              <w:left w:val="nil"/>
              <w:bottom w:val="single" w:sz="4" w:space="0" w:color="auto"/>
              <w:right w:val="single" w:sz="4" w:space="0" w:color="auto"/>
            </w:tcBorders>
            <w:shd w:val="clear" w:color="auto" w:fill="auto"/>
            <w:noWrap/>
            <w:vAlign w:val="bottom"/>
            <w:hideMark/>
          </w:tcPr>
          <w:p w14:paraId="7CF22F3A" w14:textId="77777777" w:rsidR="009A356E" w:rsidRPr="00C10545" w:rsidRDefault="009A356E" w:rsidP="009A356E">
            <w:pPr>
              <w:jc w:val="right"/>
              <w:rPr>
                <w:sz w:val="18"/>
                <w:szCs w:val="18"/>
                <w:lang w:eastAsia="en-AU"/>
              </w:rPr>
            </w:pPr>
            <w:r w:rsidRPr="00C10545">
              <w:rPr>
                <w:sz w:val="18"/>
                <w:szCs w:val="18"/>
                <w:lang w:eastAsia="en-AU"/>
              </w:rPr>
              <w:t>-4.8%</w:t>
            </w:r>
          </w:p>
        </w:tc>
        <w:tc>
          <w:tcPr>
            <w:tcW w:w="652" w:type="pct"/>
            <w:tcBorders>
              <w:top w:val="nil"/>
              <w:left w:val="nil"/>
              <w:bottom w:val="single" w:sz="4" w:space="0" w:color="auto"/>
              <w:right w:val="single" w:sz="4" w:space="0" w:color="auto"/>
            </w:tcBorders>
            <w:shd w:val="clear" w:color="auto" w:fill="auto"/>
            <w:noWrap/>
            <w:vAlign w:val="bottom"/>
            <w:hideMark/>
          </w:tcPr>
          <w:p w14:paraId="720ABD60" w14:textId="77777777" w:rsidR="009A356E" w:rsidRPr="00C10545" w:rsidRDefault="009A356E" w:rsidP="009A356E">
            <w:pPr>
              <w:jc w:val="right"/>
              <w:rPr>
                <w:sz w:val="18"/>
                <w:szCs w:val="18"/>
                <w:lang w:eastAsia="en-AU"/>
              </w:rPr>
            </w:pPr>
            <w:r w:rsidRPr="00C10545">
              <w:rPr>
                <w:sz w:val="18"/>
                <w:szCs w:val="18"/>
                <w:lang w:eastAsia="en-AU"/>
              </w:rPr>
              <w:t>0.0%</w:t>
            </w:r>
          </w:p>
        </w:tc>
        <w:tc>
          <w:tcPr>
            <w:tcW w:w="652" w:type="pct"/>
            <w:tcBorders>
              <w:top w:val="nil"/>
              <w:left w:val="nil"/>
              <w:bottom w:val="single" w:sz="4" w:space="0" w:color="auto"/>
              <w:right w:val="single" w:sz="4" w:space="0" w:color="auto"/>
            </w:tcBorders>
            <w:shd w:val="clear" w:color="auto" w:fill="auto"/>
            <w:noWrap/>
            <w:vAlign w:val="bottom"/>
            <w:hideMark/>
          </w:tcPr>
          <w:p w14:paraId="21100F14" w14:textId="77777777" w:rsidR="009A356E" w:rsidRPr="00C10545" w:rsidRDefault="009A356E" w:rsidP="009A356E">
            <w:pPr>
              <w:jc w:val="right"/>
              <w:rPr>
                <w:sz w:val="18"/>
                <w:szCs w:val="18"/>
                <w:lang w:eastAsia="en-AU"/>
              </w:rPr>
            </w:pPr>
            <w:r w:rsidRPr="00C10545">
              <w:rPr>
                <w:sz w:val="18"/>
                <w:szCs w:val="18"/>
                <w:lang w:eastAsia="en-AU"/>
              </w:rPr>
              <w:t>-0.9%</w:t>
            </w:r>
          </w:p>
        </w:tc>
        <w:tc>
          <w:tcPr>
            <w:tcW w:w="611" w:type="pct"/>
            <w:tcBorders>
              <w:top w:val="nil"/>
              <w:left w:val="nil"/>
              <w:bottom w:val="single" w:sz="4" w:space="0" w:color="auto"/>
              <w:right w:val="single" w:sz="4" w:space="0" w:color="auto"/>
            </w:tcBorders>
            <w:shd w:val="clear" w:color="auto" w:fill="auto"/>
            <w:noWrap/>
            <w:vAlign w:val="bottom"/>
            <w:hideMark/>
          </w:tcPr>
          <w:p w14:paraId="001F27D8" w14:textId="77777777" w:rsidR="009A356E" w:rsidRPr="00C10545" w:rsidRDefault="009A356E" w:rsidP="009A356E">
            <w:pPr>
              <w:jc w:val="right"/>
              <w:rPr>
                <w:sz w:val="18"/>
                <w:szCs w:val="18"/>
                <w:lang w:eastAsia="en-AU"/>
              </w:rPr>
            </w:pPr>
            <w:r w:rsidRPr="00C10545">
              <w:rPr>
                <w:sz w:val="18"/>
                <w:szCs w:val="18"/>
                <w:lang w:eastAsia="en-AU"/>
              </w:rPr>
              <w:t>5.8%</w:t>
            </w:r>
          </w:p>
        </w:tc>
        <w:tc>
          <w:tcPr>
            <w:tcW w:w="611" w:type="pct"/>
            <w:tcBorders>
              <w:top w:val="nil"/>
              <w:left w:val="nil"/>
              <w:bottom w:val="single" w:sz="4" w:space="0" w:color="auto"/>
              <w:right w:val="single" w:sz="4" w:space="0" w:color="auto"/>
            </w:tcBorders>
            <w:shd w:val="clear" w:color="auto" w:fill="auto"/>
            <w:noWrap/>
            <w:vAlign w:val="bottom"/>
            <w:hideMark/>
          </w:tcPr>
          <w:p w14:paraId="46483813" w14:textId="77777777" w:rsidR="009A356E" w:rsidRPr="00C10545" w:rsidRDefault="009A356E" w:rsidP="009A356E">
            <w:pPr>
              <w:jc w:val="right"/>
              <w:rPr>
                <w:sz w:val="18"/>
                <w:szCs w:val="18"/>
                <w:lang w:eastAsia="en-AU"/>
              </w:rPr>
            </w:pPr>
            <w:r w:rsidRPr="00C10545">
              <w:rPr>
                <w:sz w:val="18"/>
                <w:szCs w:val="18"/>
                <w:lang w:eastAsia="en-AU"/>
              </w:rPr>
              <w:t>1.5%</w:t>
            </w:r>
          </w:p>
        </w:tc>
        <w:tc>
          <w:tcPr>
            <w:tcW w:w="611" w:type="pct"/>
            <w:tcBorders>
              <w:top w:val="nil"/>
              <w:left w:val="nil"/>
              <w:bottom w:val="single" w:sz="4" w:space="0" w:color="auto"/>
              <w:right w:val="single" w:sz="4" w:space="0" w:color="auto"/>
            </w:tcBorders>
            <w:shd w:val="clear" w:color="auto" w:fill="auto"/>
            <w:noWrap/>
            <w:vAlign w:val="bottom"/>
            <w:hideMark/>
          </w:tcPr>
          <w:p w14:paraId="5B9C09FE" w14:textId="77777777" w:rsidR="009A356E" w:rsidRPr="00C10545" w:rsidRDefault="009A356E" w:rsidP="009A356E">
            <w:pPr>
              <w:jc w:val="right"/>
              <w:rPr>
                <w:sz w:val="18"/>
                <w:szCs w:val="18"/>
                <w:lang w:eastAsia="en-AU"/>
              </w:rPr>
            </w:pPr>
            <w:r w:rsidRPr="00C10545">
              <w:rPr>
                <w:sz w:val="18"/>
                <w:szCs w:val="18"/>
                <w:lang w:eastAsia="en-AU"/>
              </w:rPr>
              <w:t>-3.1%</w:t>
            </w:r>
          </w:p>
        </w:tc>
      </w:tr>
      <w:tr w:rsidR="009A356E" w:rsidRPr="00C65C2B" w14:paraId="2FB729C5" w14:textId="77777777" w:rsidTr="009A356E">
        <w:trPr>
          <w:trHeight w:val="240"/>
        </w:trPr>
        <w:tc>
          <w:tcPr>
            <w:tcW w:w="1211" w:type="pct"/>
            <w:tcBorders>
              <w:top w:val="nil"/>
              <w:left w:val="single" w:sz="4" w:space="0" w:color="auto"/>
              <w:bottom w:val="single" w:sz="4" w:space="0" w:color="auto"/>
              <w:right w:val="single" w:sz="4" w:space="0" w:color="auto"/>
            </w:tcBorders>
            <w:shd w:val="clear" w:color="auto" w:fill="auto"/>
            <w:noWrap/>
            <w:vAlign w:val="bottom"/>
            <w:hideMark/>
          </w:tcPr>
          <w:p w14:paraId="64710650" w14:textId="77777777" w:rsidR="009A356E" w:rsidRPr="00C10545" w:rsidRDefault="009A356E" w:rsidP="009A356E">
            <w:pPr>
              <w:rPr>
                <w:sz w:val="18"/>
                <w:szCs w:val="18"/>
                <w:lang w:eastAsia="en-AU"/>
              </w:rPr>
            </w:pPr>
            <w:r w:rsidRPr="00C10545">
              <w:rPr>
                <w:sz w:val="18"/>
                <w:szCs w:val="18"/>
                <w:lang w:eastAsia="en-AU"/>
              </w:rPr>
              <w:t>Moorabool</w:t>
            </w:r>
          </w:p>
        </w:tc>
        <w:tc>
          <w:tcPr>
            <w:tcW w:w="652" w:type="pct"/>
            <w:tcBorders>
              <w:top w:val="nil"/>
              <w:left w:val="nil"/>
              <w:bottom w:val="single" w:sz="4" w:space="0" w:color="auto"/>
              <w:right w:val="single" w:sz="4" w:space="0" w:color="auto"/>
            </w:tcBorders>
            <w:shd w:val="clear" w:color="auto" w:fill="auto"/>
            <w:noWrap/>
            <w:vAlign w:val="bottom"/>
            <w:hideMark/>
          </w:tcPr>
          <w:p w14:paraId="5F0C2A4A" w14:textId="77777777" w:rsidR="009A356E" w:rsidRPr="00C10545" w:rsidRDefault="009A356E" w:rsidP="009A356E">
            <w:pPr>
              <w:jc w:val="right"/>
              <w:rPr>
                <w:sz w:val="18"/>
                <w:szCs w:val="18"/>
                <w:lang w:eastAsia="en-AU"/>
              </w:rPr>
            </w:pPr>
            <w:r w:rsidRPr="00C10545">
              <w:rPr>
                <w:sz w:val="18"/>
                <w:szCs w:val="18"/>
                <w:lang w:eastAsia="en-AU"/>
              </w:rPr>
              <w:t>-6.6%</w:t>
            </w:r>
          </w:p>
        </w:tc>
        <w:tc>
          <w:tcPr>
            <w:tcW w:w="652" w:type="pct"/>
            <w:tcBorders>
              <w:top w:val="nil"/>
              <w:left w:val="nil"/>
              <w:bottom w:val="single" w:sz="4" w:space="0" w:color="auto"/>
              <w:right w:val="single" w:sz="4" w:space="0" w:color="auto"/>
            </w:tcBorders>
            <w:shd w:val="clear" w:color="auto" w:fill="auto"/>
            <w:noWrap/>
            <w:vAlign w:val="bottom"/>
            <w:hideMark/>
          </w:tcPr>
          <w:p w14:paraId="70BF430E" w14:textId="77777777" w:rsidR="009A356E" w:rsidRPr="00C10545" w:rsidRDefault="009A356E" w:rsidP="009A356E">
            <w:pPr>
              <w:jc w:val="right"/>
              <w:rPr>
                <w:sz w:val="18"/>
                <w:szCs w:val="18"/>
                <w:lang w:eastAsia="en-AU"/>
              </w:rPr>
            </w:pPr>
            <w:r w:rsidRPr="00C10545">
              <w:rPr>
                <w:sz w:val="18"/>
                <w:szCs w:val="18"/>
                <w:lang w:eastAsia="en-AU"/>
              </w:rPr>
              <w:t>8.7%</w:t>
            </w:r>
          </w:p>
        </w:tc>
        <w:tc>
          <w:tcPr>
            <w:tcW w:w="652" w:type="pct"/>
            <w:tcBorders>
              <w:top w:val="nil"/>
              <w:left w:val="nil"/>
              <w:bottom w:val="single" w:sz="4" w:space="0" w:color="auto"/>
              <w:right w:val="single" w:sz="4" w:space="0" w:color="auto"/>
            </w:tcBorders>
            <w:shd w:val="clear" w:color="auto" w:fill="auto"/>
            <w:noWrap/>
            <w:vAlign w:val="bottom"/>
            <w:hideMark/>
          </w:tcPr>
          <w:p w14:paraId="747C58AF" w14:textId="77777777" w:rsidR="009A356E" w:rsidRPr="00C10545" w:rsidRDefault="009A356E" w:rsidP="009A356E">
            <w:pPr>
              <w:jc w:val="right"/>
              <w:rPr>
                <w:sz w:val="18"/>
                <w:szCs w:val="18"/>
                <w:lang w:eastAsia="en-AU"/>
              </w:rPr>
            </w:pPr>
            <w:r w:rsidRPr="00C10545">
              <w:rPr>
                <w:sz w:val="18"/>
                <w:szCs w:val="18"/>
                <w:lang w:eastAsia="en-AU"/>
              </w:rPr>
              <w:t>-1.8%</w:t>
            </w:r>
          </w:p>
        </w:tc>
        <w:tc>
          <w:tcPr>
            <w:tcW w:w="611" w:type="pct"/>
            <w:tcBorders>
              <w:top w:val="nil"/>
              <w:left w:val="nil"/>
              <w:bottom w:val="single" w:sz="4" w:space="0" w:color="auto"/>
              <w:right w:val="single" w:sz="4" w:space="0" w:color="auto"/>
            </w:tcBorders>
            <w:shd w:val="clear" w:color="auto" w:fill="auto"/>
            <w:noWrap/>
            <w:vAlign w:val="bottom"/>
            <w:hideMark/>
          </w:tcPr>
          <w:p w14:paraId="6163214A" w14:textId="77777777" w:rsidR="009A356E" w:rsidRPr="00C10545" w:rsidRDefault="009A356E" w:rsidP="009A356E">
            <w:pPr>
              <w:jc w:val="right"/>
              <w:rPr>
                <w:sz w:val="18"/>
                <w:szCs w:val="18"/>
                <w:lang w:eastAsia="en-AU"/>
              </w:rPr>
            </w:pPr>
            <w:r w:rsidRPr="00C10545">
              <w:rPr>
                <w:sz w:val="18"/>
                <w:szCs w:val="18"/>
                <w:lang w:eastAsia="en-AU"/>
              </w:rPr>
              <w:t>2.8%</w:t>
            </w:r>
          </w:p>
        </w:tc>
        <w:tc>
          <w:tcPr>
            <w:tcW w:w="611" w:type="pct"/>
            <w:tcBorders>
              <w:top w:val="nil"/>
              <w:left w:val="nil"/>
              <w:bottom w:val="single" w:sz="4" w:space="0" w:color="auto"/>
              <w:right w:val="single" w:sz="4" w:space="0" w:color="auto"/>
            </w:tcBorders>
            <w:shd w:val="clear" w:color="auto" w:fill="auto"/>
            <w:noWrap/>
            <w:vAlign w:val="bottom"/>
            <w:hideMark/>
          </w:tcPr>
          <w:p w14:paraId="33010D7E" w14:textId="77777777" w:rsidR="009A356E" w:rsidRPr="00C10545" w:rsidRDefault="009A356E" w:rsidP="009A356E">
            <w:pPr>
              <w:jc w:val="right"/>
              <w:rPr>
                <w:sz w:val="18"/>
                <w:szCs w:val="18"/>
                <w:lang w:eastAsia="en-AU"/>
              </w:rPr>
            </w:pPr>
            <w:r w:rsidRPr="00C10545">
              <w:rPr>
                <w:sz w:val="18"/>
                <w:szCs w:val="18"/>
                <w:lang w:eastAsia="en-AU"/>
              </w:rPr>
              <w:t>-1.2%</w:t>
            </w:r>
          </w:p>
        </w:tc>
        <w:tc>
          <w:tcPr>
            <w:tcW w:w="611" w:type="pct"/>
            <w:tcBorders>
              <w:top w:val="nil"/>
              <w:left w:val="nil"/>
              <w:bottom w:val="single" w:sz="4" w:space="0" w:color="auto"/>
              <w:right w:val="single" w:sz="4" w:space="0" w:color="auto"/>
            </w:tcBorders>
            <w:shd w:val="clear" w:color="auto" w:fill="auto"/>
            <w:noWrap/>
            <w:vAlign w:val="bottom"/>
            <w:hideMark/>
          </w:tcPr>
          <w:p w14:paraId="4A6F6D0B" w14:textId="77777777" w:rsidR="009A356E" w:rsidRPr="00C10545" w:rsidRDefault="009A356E" w:rsidP="009A356E">
            <w:pPr>
              <w:jc w:val="right"/>
              <w:rPr>
                <w:sz w:val="18"/>
                <w:szCs w:val="18"/>
                <w:lang w:eastAsia="en-AU"/>
              </w:rPr>
            </w:pPr>
            <w:r w:rsidRPr="00C10545">
              <w:rPr>
                <w:sz w:val="18"/>
                <w:szCs w:val="18"/>
                <w:lang w:eastAsia="en-AU"/>
              </w:rPr>
              <w:t>-4.0%</w:t>
            </w:r>
          </w:p>
        </w:tc>
      </w:tr>
      <w:tr w:rsidR="009A356E" w:rsidRPr="00C65C2B" w14:paraId="7B8ED151" w14:textId="77777777" w:rsidTr="009A356E">
        <w:trPr>
          <w:trHeight w:val="240"/>
        </w:trPr>
        <w:tc>
          <w:tcPr>
            <w:tcW w:w="1211" w:type="pct"/>
            <w:tcBorders>
              <w:top w:val="nil"/>
              <w:left w:val="single" w:sz="4" w:space="0" w:color="auto"/>
              <w:bottom w:val="single" w:sz="4" w:space="0" w:color="auto"/>
              <w:right w:val="single" w:sz="4" w:space="0" w:color="auto"/>
            </w:tcBorders>
            <w:shd w:val="clear" w:color="auto" w:fill="auto"/>
            <w:noWrap/>
            <w:vAlign w:val="bottom"/>
            <w:hideMark/>
          </w:tcPr>
          <w:p w14:paraId="20CA3E30" w14:textId="77777777" w:rsidR="009A356E" w:rsidRPr="00C10545" w:rsidRDefault="009A356E" w:rsidP="009A356E">
            <w:pPr>
              <w:rPr>
                <w:sz w:val="18"/>
                <w:szCs w:val="18"/>
                <w:lang w:eastAsia="en-AU"/>
              </w:rPr>
            </w:pPr>
            <w:r w:rsidRPr="00C10545">
              <w:rPr>
                <w:sz w:val="18"/>
                <w:szCs w:val="18"/>
                <w:lang w:eastAsia="en-AU"/>
              </w:rPr>
              <w:t>Murrindindi</w:t>
            </w:r>
          </w:p>
        </w:tc>
        <w:tc>
          <w:tcPr>
            <w:tcW w:w="652" w:type="pct"/>
            <w:tcBorders>
              <w:top w:val="nil"/>
              <w:left w:val="nil"/>
              <w:bottom w:val="single" w:sz="4" w:space="0" w:color="auto"/>
              <w:right w:val="single" w:sz="4" w:space="0" w:color="auto"/>
            </w:tcBorders>
            <w:shd w:val="clear" w:color="auto" w:fill="auto"/>
            <w:noWrap/>
            <w:vAlign w:val="bottom"/>
            <w:hideMark/>
          </w:tcPr>
          <w:p w14:paraId="09C08631" w14:textId="77777777" w:rsidR="009A356E" w:rsidRPr="00C10545" w:rsidRDefault="009A356E" w:rsidP="009A356E">
            <w:pPr>
              <w:jc w:val="right"/>
              <w:rPr>
                <w:sz w:val="18"/>
                <w:szCs w:val="18"/>
                <w:lang w:eastAsia="en-AU"/>
              </w:rPr>
            </w:pPr>
            <w:r w:rsidRPr="00C10545">
              <w:rPr>
                <w:sz w:val="18"/>
                <w:szCs w:val="18"/>
                <w:lang w:eastAsia="en-AU"/>
              </w:rPr>
              <w:t>-3.2%</w:t>
            </w:r>
          </w:p>
        </w:tc>
        <w:tc>
          <w:tcPr>
            <w:tcW w:w="652" w:type="pct"/>
            <w:tcBorders>
              <w:top w:val="nil"/>
              <w:left w:val="nil"/>
              <w:bottom w:val="single" w:sz="4" w:space="0" w:color="auto"/>
              <w:right w:val="single" w:sz="4" w:space="0" w:color="auto"/>
            </w:tcBorders>
            <w:shd w:val="clear" w:color="auto" w:fill="auto"/>
            <w:noWrap/>
            <w:vAlign w:val="bottom"/>
            <w:hideMark/>
          </w:tcPr>
          <w:p w14:paraId="39E8B59B" w14:textId="77777777" w:rsidR="009A356E" w:rsidRPr="00C10545" w:rsidRDefault="009A356E" w:rsidP="009A356E">
            <w:pPr>
              <w:jc w:val="right"/>
              <w:rPr>
                <w:sz w:val="18"/>
                <w:szCs w:val="18"/>
                <w:lang w:eastAsia="en-AU"/>
              </w:rPr>
            </w:pPr>
            <w:r w:rsidRPr="00C10545">
              <w:rPr>
                <w:sz w:val="18"/>
                <w:szCs w:val="18"/>
                <w:lang w:eastAsia="en-AU"/>
              </w:rPr>
              <w:t>-4.1%</w:t>
            </w:r>
          </w:p>
        </w:tc>
        <w:tc>
          <w:tcPr>
            <w:tcW w:w="652" w:type="pct"/>
            <w:tcBorders>
              <w:top w:val="nil"/>
              <w:left w:val="nil"/>
              <w:bottom w:val="single" w:sz="4" w:space="0" w:color="auto"/>
              <w:right w:val="single" w:sz="4" w:space="0" w:color="auto"/>
            </w:tcBorders>
            <w:shd w:val="clear" w:color="auto" w:fill="auto"/>
            <w:noWrap/>
            <w:vAlign w:val="bottom"/>
            <w:hideMark/>
          </w:tcPr>
          <w:p w14:paraId="2F8BD0CE" w14:textId="77777777" w:rsidR="009A356E" w:rsidRPr="00C10545" w:rsidRDefault="009A356E" w:rsidP="009A356E">
            <w:pPr>
              <w:jc w:val="right"/>
              <w:rPr>
                <w:sz w:val="18"/>
                <w:szCs w:val="18"/>
                <w:lang w:eastAsia="en-AU"/>
              </w:rPr>
            </w:pPr>
            <w:r w:rsidRPr="00C10545">
              <w:rPr>
                <w:sz w:val="18"/>
                <w:szCs w:val="18"/>
                <w:lang w:eastAsia="en-AU"/>
              </w:rPr>
              <w:t>16.3%</w:t>
            </w:r>
          </w:p>
        </w:tc>
        <w:tc>
          <w:tcPr>
            <w:tcW w:w="611" w:type="pct"/>
            <w:tcBorders>
              <w:top w:val="nil"/>
              <w:left w:val="nil"/>
              <w:bottom w:val="single" w:sz="4" w:space="0" w:color="auto"/>
              <w:right w:val="single" w:sz="4" w:space="0" w:color="auto"/>
            </w:tcBorders>
            <w:shd w:val="clear" w:color="auto" w:fill="auto"/>
            <w:noWrap/>
            <w:vAlign w:val="bottom"/>
            <w:hideMark/>
          </w:tcPr>
          <w:p w14:paraId="21D62BFB" w14:textId="77777777" w:rsidR="009A356E" w:rsidRPr="00C10545" w:rsidRDefault="009A356E" w:rsidP="009A356E">
            <w:pPr>
              <w:jc w:val="right"/>
              <w:rPr>
                <w:sz w:val="18"/>
                <w:szCs w:val="18"/>
                <w:lang w:eastAsia="en-AU"/>
              </w:rPr>
            </w:pPr>
            <w:r w:rsidRPr="00C10545">
              <w:rPr>
                <w:sz w:val="18"/>
                <w:szCs w:val="18"/>
                <w:lang w:eastAsia="en-AU"/>
              </w:rPr>
              <w:t>5.5%</w:t>
            </w:r>
          </w:p>
        </w:tc>
        <w:tc>
          <w:tcPr>
            <w:tcW w:w="611" w:type="pct"/>
            <w:tcBorders>
              <w:top w:val="nil"/>
              <w:left w:val="nil"/>
              <w:bottom w:val="single" w:sz="4" w:space="0" w:color="auto"/>
              <w:right w:val="single" w:sz="4" w:space="0" w:color="auto"/>
            </w:tcBorders>
            <w:shd w:val="clear" w:color="auto" w:fill="auto"/>
            <w:noWrap/>
            <w:vAlign w:val="bottom"/>
            <w:hideMark/>
          </w:tcPr>
          <w:p w14:paraId="3061F80D" w14:textId="77777777" w:rsidR="009A356E" w:rsidRPr="00C10545" w:rsidRDefault="009A356E" w:rsidP="009A356E">
            <w:pPr>
              <w:jc w:val="right"/>
              <w:rPr>
                <w:sz w:val="18"/>
                <w:szCs w:val="18"/>
                <w:lang w:eastAsia="en-AU"/>
              </w:rPr>
            </w:pPr>
            <w:r w:rsidRPr="00C10545">
              <w:rPr>
                <w:sz w:val="18"/>
                <w:szCs w:val="18"/>
                <w:lang w:eastAsia="en-AU"/>
              </w:rPr>
              <w:t>-2.1%</w:t>
            </w:r>
          </w:p>
        </w:tc>
        <w:tc>
          <w:tcPr>
            <w:tcW w:w="611" w:type="pct"/>
            <w:tcBorders>
              <w:top w:val="nil"/>
              <w:left w:val="nil"/>
              <w:bottom w:val="single" w:sz="4" w:space="0" w:color="auto"/>
              <w:right w:val="single" w:sz="4" w:space="0" w:color="auto"/>
            </w:tcBorders>
            <w:shd w:val="clear" w:color="auto" w:fill="auto"/>
            <w:noWrap/>
            <w:vAlign w:val="bottom"/>
            <w:hideMark/>
          </w:tcPr>
          <w:p w14:paraId="3975E995" w14:textId="77777777" w:rsidR="009A356E" w:rsidRPr="00C10545" w:rsidRDefault="009A356E" w:rsidP="009A356E">
            <w:pPr>
              <w:jc w:val="right"/>
              <w:rPr>
                <w:sz w:val="18"/>
                <w:szCs w:val="18"/>
                <w:lang w:eastAsia="en-AU"/>
              </w:rPr>
            </w:pPr>
            <w:r w:rsidRPr="00C10545">
              <w:rPr>
                <w:sz w:val="18"/>
                <w:szCs w:val="18"/>
                <w:lang w:eastAsia="en-AU"/>
              </w:rPr>
              <w:t>-5.3%</w:t>
            </w:r>
          </w:p>
        </w:tc>
      </w:tr>
      <w:tr w:rsidR="009A356E" w:rsidRPr="00C65C2B" w14:paraId="6D1AF2D7" w14:textId="77777777" w:rsidTr="009A356E">
        <w:trPr>
          <w:trHeight w:val="240"/>
        </w:trPr>
        <w:tc>
          <w:tcPr>
            <w:tcW w:w="1211" w:type="pct"/>
            <w:tcBorders>
              <w:top w:val="nil"/>
              <w:left w:val="single" w:sz="4" w:space="0" w:color="auto"/>
              <w:bottom w:val="single" w:sz="4" w:space="0" w:color="auto"/>
              <w:right w:val="single" w:sz="4" w:space="0" w:color="auto"/>
            </w:tcBorders>
            <w:shd w:val="clear" w:color="auto" w:fill="auto"/>
            <w:noWrap/>
            <w:vAlign w:val="bottom"/>
            <w:hideMark/>
          </w:tcPr>
          <w:p w14:paraId="3101089D" w14:textId="77777777" w:rsidR="009A356E" w:rsidRPr="00C10545" w:rsidRDefault="009A356E" w:rsidP="009A356E">
            <w:pPr>
              <w:rPr>
                <w:sz w:val="18"/>
                <w:szCs w:val="18"/>
                <w:lang w:eastAsia="en-AU"/>
              </w:rPr>
            </w:pPr>
            <w:r w:rsidRPr="00C10545">
              <w:rPr>
                <w:sz w:val="18"/>
                <w:szCs w:val="18"/>
                <w:lang w:eastAsia="en-AU"/>
              </w:rPr>
              <w:t>South Gippsland</w:t>
            </w:r>
          </w:p>
        </w:tc>
        <w:tc>
          <w:tcPr>
            <w:tcW w:w="652" w:type="pct"/>
            <w:tcBorders>
              <w:top w:val="nil"/>
              <w:left w:val="nil"/>
              <w:bottom w:val="single" w:sz="4" w:space="0" w:color="auto"/>
              <w:right w:val="single" w:sz="4" w:space="0" w:color="auto"/>
            </w:tcBorders>
            <w:shd w:val="clear" w:color="auto" w:fill="auto"/>
            <w:noWrap/>
            <w:vAlign w:val="bottom"/>
            <w:hideMark/>
          </w:tcPr>
          <w:p w14:paraId="0FB43000" w14:textId="77777777" w:rsidR="009A356E" w:rsidRPr="00C10545" w:rsidRDefault="009A356E" w:rsidP="009A356E">
            <w:pPr>
              <w:jc w:val="right"/>
              <w:rPr>
                <w:sz w:val="18"/>
                <w:szCs w:val="18"/>
                <w:lang w:eastAsia="en-AU"/>
              </w:rPr>
            </w:pPr>
            <w:r w:rsidRPr="00C10545">
              <w:rPr>
                <w:sz w:val="18"/>
                <w:szCs w:val="18"/>
                <w:lang w:eastAsia="en-AU"/>
              </w:rPr>
              <w:t>11.5%</w:t>
            </w:r>
          </w:p>
        </w:tc>
        <w:tc>
          <w:tcPr>
            <w:tcW w:w="652" w:type="pct"/>
            <w:tcBorders>
              <w:top w:val="nil"/>
              <w:left w:val="nil"/>
              <w:bottom w:val="single" w:sz="4" w:space="0" w:color="auto"/>
              <w:right w:val="single" w:sz="4" w:space="0" w:color="auto"/>
            </w:tcBorders>
            <w:shd w:val="clear" w:color="auto" w:fill="auto"/>
            <w:noWrap/>
            <w:vAlign w:val="bottom"/>
            <w:hideMark/>
          </w:tcPr>
          <w:p w14:paraId="0EA235FD" w14:textId="77777777" w:rsidR="009A356E" w:rsidRPr="00C10545" w:rsidRDefault="009A356E" w:rsidP="009A356E">
            <w:pPr>
              <w:jc w:val="right"/>
              <w:rPr>
                <w:sz w:val="18"/>
                <w:szCs w:val="18"/>
                <w:lang w:eastAsia="en-AU"/>
              </w:rPr>
            </w:pPr>
            <w:r w:rsidRPr="00C10545">
              <w:rPr>
                <w:sz w:val="18"/>
                <w:szCs w:val="18"/>
                <w:lang w:eastAsia="en-AU"/>
              </w:rPr>
              <w:t>-6.4%</w:t>
            </w:r>
          </w:p>
        </w:tc>
        <w:tc>
          <w:tcPr>
            <w:tcW w:w="652" w:type="pct"/>
            <w:tcBorders>
              <w:top w:val="nil"/>
              <w:left w:val="nil"/>
              <w:bottom w:val="single" w:sz="4" w:space="0" w:color="auto"/>
              <w:right w:val="single" w:sz="4" w:space="0" w:color="auto"/>
            </w:tcBorders>
            <w:shd w:val="clear" w:color="auto" w:fill="auto"/>
            <w:noWrap/>
            <w:vAlign w:val="bottom"/>
            <w:hideMark/>
          </w:tcPr>
          <w:p w14:paraId="7FFDD10C" w14:textId="77777777" w:rsidR="009A356E" w:rsidRPr="00C10545" w:rsidRDefault="009A356E" w:rsidP="009A356E">
            <w:pPr>
              <w:jc w:val="right"/>
              <w:rPr>
                <w:sz w:val="18"/>
                <w:szCs w:val="18"/>
                <w:lang w:eastAsia="en-AU"/>
              </w:rPr>
            </w:pPr>
            <w:r w:rsidRPr="00C10545">
              <w:rPr>
                <w:sz w:val="18"/>
                <w:szCs w:val="18"/>
                <w:lang w:eastAsia="en-AU"/>
              </w:rPr>
              <w:t>16.3%</w:t>
            </w:r>
          </w:p>
        </w:tc>
        <w:tc>
          <w:tcPr>
            <w:tcW w:w="611" w:type="pct"/>
            <w:tcBorders>
              <w:top w:val="nil"/>
              <w:left w:val="nil"/>
              <w:bottom w:val="single" w:sz="4" w:space="0" w:color="auto"/>
              <w:right w:val="single" w:sz="4" w:space="0" w:color="auto"/>
            </w:tcBorders>
            <w:shd w:val="clear" w:color="auto" w:fill="auto"/>
            <w:noWrap/>
            <w:vAlign w:val="bottom"/>
            <w:hideMark/>
          </w:tcPr>
          <w:p w14:paraId="4749A4A8" w14:textId="77777777" w:rsidR="009A356E" w:rsidRPr="00C10545" w:rsidRDefault="009A356E" w:rsidP="009A356E">
            <w:pPr>
              <w:jc w:val="right"/>
              <w:rPr>
                <w:sz w:val="18"/>
                <w:szCs w:val="18"/>
                <w:lang w:eastAsia="en-AU"/>
              </w:rPr>
            </w:pPr>
            <w:r w:rsidRPr="00C10545">
              <w:rPr>
                <w:sz w:val="18"/>
                <w:szCs w:val="18"/>
                <w:lang w:eastAsia="en-AU"/>
              </w:rPr>
              <w:t>5.4%</w:t>
            </w:r>
          </w:p>
        </w:tc>
        <w:tc>
          <w:tcPr>
            <w:tcW w:w="611" w:type="pct"/>
            <w:tcBorders>
              <w:top w:val="nil"/>
              <w:left w:val="nil"/>
              <w:bottom w:val="single" w:sz="4" w:space="0" w:color="auto"/>
              <w:right w:val="single" w:sz="4" w:space="0" w:color="auto"/>
            </w:tcBorders>
            <w:shd w:val="clear" w:color="auto" w:fill="auto"/>
            <w:noWrap/>
            <w:vAlign w:val="bottom"/>
            <w:hideMark/>
          </w:tcPr>
          <w:p w14:paraId="6F3E9F10" w14:textId="77777777" w:rsidR="009A356E" w:rsidRPr="00C10545" w:rsidRDefault="009A356E" w:rsidP="009A356E">
            <w:pPr>
              <w:jc w:val="right"/>
              <w:rPr>
                <w:sz w:val="18"/>
                <w:szCs w:val="18"/>
                <w:lang w:eastAsia="en-AU"/>
              </w:rPr>
            </w:pPr>
            <w:r w:rsidRPr="00C10545">
              <w:rPr>
                <w:sz w:val="18"/>
                <w:szCs w:val="18"/>
                <w:lang w:eastAsia="en-AU"/>
              </w:rPr>
              <w:t>2.3%</w:t>
            </w:r>
          </w:p>
        </w:tc>
        <w:tc>
          <w:tcPr>
            <w:tcW w:w="611" w:type="pct"/>
            <w:tcBorders>
              <w:top w:val="nil"/>
              <w:left w:val="nil"/>
              <w:bottom w:val="single" w:sz="4" w:space="0" w:color="auto"/>
              <w:right w:val="single" w:sz="4" w:space="0" w:color="auto"/>
            </w:tcBorders>
            <w:shd w:val="clear" w:color="auto" w:fill="auto"/>
            <w:noWrap/>
            <w:vAlign w:val="bottom"/>
            <w:hideMark/>
          </w:tcPr>
          <w:p w14:paraId="50692771" w14:textId="77777777" w:rsidR="009A356E" w:rsidRPr="00C10545" w:rsidRDefault="009A356E" w:rsidP="009A356E">
            <w:pPr>
              <w:jc w:val="right"/>
              <w:rPr>
                <w:sz w:val="18"/>
                <w:szCs w:val="18"/>
                <w:lang w:eastAsia="en-AU"/>
              </w:rPr>
            </w:pPr>
            <w:r w:rsidRPr="00C10545">
              <w:rPr>
                <w:sz w:val="18"/>
                <w:szCs w:val="18"/>
                <w:lang w:eastAsia="en-AU"/>
              </w:rPr>
              <w:t>0.7%</w:t>
            </w:r>
          </w:p>
        </w:tc>
      </w:tr>
      <w:tr w:rsidR="009A356E" w:rsidRPr="00C65C2B" w14:paraId="5AF5F5A5" w14:textId="77777777" w:rsidTr="009A356E">
        <w:trPr>
          <w:trHeight w:val="240"/>
        </w:trPr>
        <w:tc>
          <w:tcPr>
            <w:tcW w:w="1211" w:type="pct"/>
            <w:tcBorders>
              <w:top w:val="nil"/>
              <w:left w:val="single" w:sz="4" w:space="0" w:color="auto"/>
              <w:bottom w:val="single" w:sz="4" w:space="0" w:color="auto"/>
              <w:right w:val="single" w:sz="4" w:space="0" w:color="auto"/>
            </w:tcBorders>
            <w:shd w:val="clear" w:color="000000" w:fill="E4DFEC"/>
            <w:noWrap/>
            <w:vAlign w:val="bottom"/>
            <w:hideMark/>
          </w:tcPr>
          <w:p w14:paraId="3DE30550" w14:textId="77777777" w:rsidR="009A356E" w:rsidRPr="00C10545" w:rsidRDefault="009A356E" w:rsidP="009A356E">
            <w:pPr>
              <w:rPr>
                <w:b/>
                <w:bCs/>
                <w:sz w:val="18"/>
                <w:szCs w:val="18"/>
                <w:lang w:eastAsia="en-AU"/>
              </w:rPr>
            </w:pPr>
            <w:r w:rsidRPr="00C10545">
              <w:rPr>
                <w:b/>
                <w:bCs/>
                <w:sz w:val="18"/>
                <w:szCs w:val="18"/>
                <w:lang w:eastAsia="en-AU"/>
              </w:rPr>
              <w:t>Regional Cities</w:t>
            </w:r>
          </w:p>
        </w:tc>
        <w:tc>
          <w:tcPr>
            <w:tcW w:w="652" w:type="pct"/>
            <w:tcBorders>
              <w:top w:val="nil"/>
              <w:left w:val="nil"/>
              <w:bottom w:val="single" w:sz="4" w:space="0" w:color="auto"/>
              <w:right w:val="single" w:sz="4" w:space="0" w:color="auto"/>
            </w:tcBorders>
            <w:shd w:val="clear" w:color="000000" w:fill="000000"/>
            <w:noWrap/>
            <w:vAlign w:val="bottom"/>
            <w:hideMark/>
          </w:tcPr>
          <w:p w14:paraId="494F946C" w14:textId="77777777" w:rsidR="009A356E" w:rsidRPr="00C10545" w:rsidRDefault="009A356E" w:rsidP="009A356E">
            <w:pPr>
              <w:rPr>
                <w:sz w:val="18"/>
                <w:szCs w:val="18"/>
                <w:lang w:eastAsia="en-AU"/>
              </w:rPr>
            </w:pPr>
            <w:r w:rsidRPr="00C10545">
              <w:rPr>
                <w:sz w:val="18"/>
                <w:szCs w:val="18"/>
                <w:lang w:eastAsia="en-AU"/>
              </w:rPr>
              <w:t> </w:t>
            </w:r>
          </w:p>
        </w:tc>
        <w:tc>
          <w:tcPr>
            <w:tcW w:w="652" w:type="pct"/>
            <w:tcBorders>
              <w:top w:val="nil"/>
              <w:left w:val="nil"/>
              <w:bottom w:val="single" w:sz="4" w:space="0" w:color="auto"/>
              <w:right w:val="single" w:sz="4" w:space="0" w:color="auto"/>
            </w:tcBorders>
            <w:shd w:val="clear" w:color="000000" w:fill="000000"/>
            <w:noWrap/>
            <w:vAlign w:val="bottom"/>
            <w:hideMark/>
          </w:tcPr>
          <w:p w14:paraId="0CFDBC38" w14:textId="77777777" w:rsidR="009A356E" w:rsidRPr="00C10545" w:rsidRDefault="009A356E" w:rsidP="009A356E">
            <w:pPr>
              <w:rPr>
                <w:sz w:val="18"/>
                <w:szCs w:val="18"/>
                <w:lang w:eastAsia="en-AU"/>
              </w:rPr>
            </w:pPr>
            <w:r w:rsidRPr="00C10545">
              <w:rPr>
                <w:sz w:val="18"/>
                <w:szCs w:val="18"/>
                <w:lang w:eastAsia="en-AU"/>
              </w:rPr>
              <w:t> </w:t>
            </w:r>
          </w:p>
        </w:tc>
        <w:tc>
          <w:tcPr>
            <w:tcW w:w="652" w:type="pct"/>
            <w:tcBorders>
              <w:top w:val="nil"/>
              <w:left w:val="nil"/>
              <w:bottom w:val="single" w:sz="4" w:space="0" w:color="auto"/>
              <w:right w:val="single" w:sz="4" w:space="0" w:color="auto"/>
            </w:tcBorders>
            <w:shd w:val="clear" w:color="000000" w:fill="000000"/>
            <w:noWrap/>
            <w:vAlign w:val="bottom"/>
            <w:hideMark/>
          </w:tcPr>
          <w:p w14:paraId="7D2A60AB" w14:textId="77777777" w:rsidR="009A356E" w:rsidRPr="00C10545" w:rsidRDefault="009A356E" w:rsidP="009A356E">
            <w:pPr>
              <w:rPr>
                <w:sz w:val="18"/>
                <w:szCs w:val="18"/>
                <w:lang w:eastAsia="en-AU"/>
              </w:rPr>
            </w:pPr>
            <w:r w:rsidRPr="00C10545">
              <w:rPr>
                <w:sz w:val="18"/>
                <w:szCs w:val="18"/>
                <w:lang w:eastAsia="en-AU"/>
              </w:rPr>
              <w:t> </w:t>
            </w:r>
          </w:p>
        </w:tc>
        <w:tc>
          <w:tcPr>
            <w:tcW w:w="611" w:type="pct"/>
            <w:tcBorders>
              <w:top w:val="nil"/>
              <w:left w:val="nil"/>
              <w:bottom w:val="single" w:sz="4" w:space="0" w:color="auto"/>
              <w:right w:val="single" w:sz="4" w:space="0" w:color="auto"/>
            </w:tcBorders>
            <w:shd w:val="clear" w:color="000000" w:fill="000000"/>
            <w:noWrap/>
            <w:vAlign w:val="bottom"/>
            <w:hideMark/>
          </w:tcPr>
          <w:p w14:paraId="5DCB8664" w14:textId="77777777" w:rsidR="009A356E" w:rsidRPr="00C10545" w:rsidRDefault="009A356E" w:rsidP="009A356E">
            <w:pPr>
              <w:rPr>
                <w:sz w:val="18"/>
                <w:szCs w:val="18"/>
                <w:lang w:eastAsia="en-AU"/>
              </w:rPr>
            </w:pPr>
            <w:r w:rsidRPr="00C10545">
              <w:rPr>
                <w:sz w:val="18"/>
                <w:szCs w:val="18"/>
                <w:lang w:eastAsia="en-AU"/>
              </w:rPr>
              <w:t> </w:t>
            </w:r>
          </w:p>
        </w:tc>
        <w:tc>
          <w:tcPr>
            <w:tcW w:w="611" w:type="pct"/>
            <w:tcBorders>
              <w:top w:val="nil"/>
              <w:left w:val="nil"/>
              <w:bottom w:val="single" w:sz="4" w:space="0" w:color="auto"/>
              <w:right w:val="single" w:sz="4" w:space="0" w:color="auto"/>
            </w:tcBorders>
            <w:shd w:val="clear" w:color="000000" w:fill="000000"/>
            <w:noWrap/>
            <w:vAlign w:val="bottom"/>
            <w:hideMark/>
          </w:tcPr>
          <w:p w14:paraId="63EF9759" w14:textId="77777777" w:rsidR="009A356E" w:rsidRPr="00C10545" w:rsidRDefault="009A356E" w:rsidP="009A356E">
            <w:pPr>
              <w:rPr>
                <w:sz w:val="18"/>
                <w:szCs w:val="18"/>
                <w:lang w:eastAsia="en-AU"/>
              </w:rPr>
            </w:pPr>
            <w:r w:rsidRPr="00C10545">
              <w:rPr>
                <w:sz w:val="18"/>
                <w:szCs w:val="18"/>
                <w:lang w:eastAsia="en-AU"/>
              </w:rPr>
              <w:t> </w:t>
            </w:r>
          </w:p>
        </w:tc>
        <w:tc>
          <w:tcPr>
            <w:tcW w:w="611" w:type="pct"/>
            <w:tcBorders>
              <w:top w:val="nil"/>
              <w:left w:val="nil"/>
              <w:bottom w:val="single" w:sz="4" w:space="0" w:color="auto"/>
              <w:right w:val="single" w:sz="4" w:space="0" w:color="auto"/>
            </w:tcBorders>
            <w:shd w:val="clear" w:color="000000" w:fill="000000"/>
            <w:noWrap/>
            <w:vAlign w:val="bottom"/>
            <w:hideMark/>
          </w:tcPr>
          <w:p w14:paraId="798E162F" w14:textId="77777777" w:rsidR="009A356E" w:rsidRPr="00C10545" w:rsidRDefault="009A356E" w:rsidP="009A356E">
            <w:pPr>
              <w:rPr>
                <w:sz w:val="18"/>
                <w:szCs w:val="18"/>
                <w:lang w:eastAsia="en-AU"/>
              </w:rPr>
            </w:pPr>
            <w:r w:rsidRPr="00C10545">
              <w:rPr>
                <w:sz w:val="18"/>
                <w:szCs w:val="18"/>
                <w:lang w:eastAsia="en-AU"/>
              </w:rPr>
              <w:t> </w:t>
            </w:r>
          </w:p>
        </w:tc>
      </w:tr>
      <w:tr w:rsidR="009A356E" w:rsidRPr="00C65C2B" w14:paraId="6945FFF7" w14:textId="77777777" w:rsidTr="009A356E">
        <w:trPr>
          <w:trHeight w:val="240"/>
        </w:trPr>
        <w:tc>
          <w:tcPr>
            <w:tcW w:w="1211" w:type="pct"/>
            <w:tcBorders>
              <w:top w:val="nil"/>
              <w:left w:val="single" w:sz="4" w:space="0" w:color="auto"/>
              <w:bottom w:val="single" w:sz="4" w:space="0" w:color="auto"/>
              <w:right w:val="single" w:sz="4" w:space="0" w:color="auto"/>
            </w:tcBorders>
            <w:shd w:val="clear" w:color="auto" w:fill="auto"/>
            <w:noWrap/>
            <w:vAlign w:val="bottom"/>
            <w:hideMark/>
          </w:tcPr>
          <w:p w14:paraId="28DD9C6D" w14:textId="77777777" w:rsidR="009A356E" w:rsidRPr="00C10545" w:rsidRDefault="009A356E" w:rsidP="009A356E">
            <w:pPr>
              <w:rPr>
                <w:sz w:val="18"/>
                <w:szCs w:val="18"/>
                <w:lang w:eastAsia="en-AU"/>
              </w:rPr>
            </w:pPr>
            <w:r w:rsidRPr="00C10545">
              <w:rPr>
                <w:sz w:val="18"/>
                <w:szCs w:val="18"/>
                <w:lang w:eastAsia="en-AU"/>
              </w:rPr>
              <w:t>Greater Bendigo</w:t>
            </w:r>
          </w:p>
        </w:tc>
        <w:tc>
          <w:tcPr>
            <w:tcW w:w="652" w:type="pct"/>
            <w:tcBorders>
              <w:top w:val="nil"/>
              <w:left w:val="nil"/>
              <w:bottom w:val="single" w:sz="4" w:space="0" w:color="auto"/>
              <w:right w:val="single" w:sz="4" w:space="0" w:color="auto"/>
            </w:tcBorders>
            <w:shd w:val="clear" w:color="auto" w:fill="auto"/>
            <w:noWrap/>
            <w:vAlign w:val="bottom"/>
            <w:hideMark/>
          </w:tcPr>
          <w:p w14:paraId="58C6C123" w14:textId="77777777" w:rsidR="009A356E" w:rsidRPr="00C10545" w:rsidRDefault="009A356E" w:rsidP="009A356E">
            <w:pPr>
              <w:jc w:val="right"/>
              <w:rPr>
                <w:sz w:val="18"/>
                <w:szCs w:val="18"/>
                <w:lang w:eastAsia="en-AU"/>
              </w:rPr>
            </w:pPr>
            <w:r w:rsidRPr="00C10545">
              <w:rPr>
                <w:sz w:val="18"/>
                <w:szCs w:val="18"/>
                <w:lang w:eastAsia="en-AU"/>
              </w:rPr>
              <w:t>-6.1%</w:t>
            </w:r>
          </w:p>
        </w:tc>
        <w:tc>
          <w:tcPr>
            <w:tcW w:w="652" w:type="pct"/>
            <w:tcBorders>
              <w:top w:val="nil"/>
              <w:left w:val="nil"/>
              <w:bottom w:val="single" w:sz="4" w:space="0" w:color="auto"/>
              <w:right w:val="single" w:sz="4" w:space="0" w:color="auto"/>
            </w:tcBorders>
            <w:shd w:val="clear" w:color="auto" w:fill="auto"/>
            <w:noWrap/>
            <w:vAlign w:val="bottom"/>
            <w:hideMark/>
          </w:tcPr>
          <w:p w14:paraId="5BEC36C0" w14:textId="77777777" w:rsidR="009A356E" w:rsidRPr="00C10545" w:rsidRDefault="009A356E" w:rsidP="009A356E">
            <w:pPr>
              <w:jc w:val="right"/>
              <w:rPr>
                <w:sz w:val="18"/>
                <w:szCs w:val="18"/>
                <w:lang w:eastAsia="en-AU"/>
              </w:rPr>
            </w:pPr>
            <w:r w:rsidRPr="00C10545">
              <w:rPr>
                <w:sz w:val="18"/>
                <w:szCs w:val="18"/>
                <w:lang w:eastAsia="en-AU"/>
              </w:rPr>
              <w:t>-0.6%</w:t>
            </w:r>
          </w:p>
        </w:tc>
        <w:tc>
          <w:tcPr>
            <w:tcW w:w="652" w:type="pct"/>
            <w:tcBorders>
              <w:top w:val="nil"/>
              <w:left w:val="nil"/>
              <w:bottom w:val="single" w:sz="4" w:space="0" w:color="auto"/>
              <w:right w:val="single" w:sz="4" w:space="0" w:color="auto"/>
            </w:tcBorders>
            <w:shd w:val="clear" w:color="auto" w:fill="auto"/>
            <w:noWrap/>
            <w:vAlign w:val="bottom"/>
            <w:hideMark/>
          </w:tcPr>
          <w:p w14:paraId="0FFD5831" w14:textId="77777777" w:rsidR="009A356E" w:rsidRPr="00C10545" w:rsidRDefault="009A356E" w:rsidP="009A356E">
            <w:pPr>
              <w:jc w:val="right"/>
              <w:rPr>
                <w:sz w:val="18"/>
                <w:szCs w:val="18"/>
                <w:lang w:eastAsia="en-AU"/>
              </w:rPr>
            </w:pPr>
            <w:r w:rsidRPr="00C10545">
              <w:rPr>
                <w:sz w:val="18"/>
                <w:szCs w:val="18"/>
                <w:lang w:eastAsia="en-AU"/>
              </w:rPr>
              <w:t>-5.6%</w:t>
            </w:r>
          </w:p>
        </w:tc>
        <w:tc>
          <w:tcPr>
            <w:tcW w:w="611" w:type="pct"/>
            <w:tcBorders>
              <w:top w:val="nil"/>
              <w:left w:val="nil"/>
              <w:bottom w:val="single" w:sz="4" w:space="0" w:color="auto"/>
              <w:right w:val="single" w:sz="4" w:space="0" w:color="auto"/>
            </w:tcBorders>
            <w:shd w:val="clear" w:color="auto" w:fill="auto"/>
            <w:noWrap/>
            <w:vAlign w:val="bottom"/>
            <w:hideMark/>
          </w:tcPr>
          <w:p w14:paraId="052D0D9F" w14:textId="77777777" w:rsidR="009A356E" w:rsidRPr="00C10545" w:rsidRDefault="009A356E" w:rsidP="009A356E">
            <w:pPr>
              <w:jc w:val="right"/>
              <w:rPr>
                <w:sz w:val="18"/>
                <w:szCs w:val="18"/>
                <w:lang w:eastAsia="en-AU"/>
              </w:rPr>
            </w:pPr>
            <w:r w:rsidRPr="00C10545">
              <w:rPr>
                <w:sz w:val="18"/>
                <w:szCs w:val="18"/>
                <w:lang w:eastAsia="en-AU"/>
              </w:rPr>
              <w:t>2.4%</w:t>
            </w:r>
          </w:p>
        </w:tc>
        <w:tc>
          <w:tcPr>
            <w:tcW w:w="611" w:type="pct"/>
            <w:tcBorders>
              <w:top w:val="nil"/>
              <w:left w:val="nil"/>
              <w:bottom w:val="single" w:sz="4" w:space="0" w:color="auto"/>
              <w:right w:val="single" w:sz="4" w:space="0" w:color="auto"/>
            </w:tcBorders>
            <w:shd w:val="clear" w:color="auto" w:fill="auto"/>
            <w:noWrap/>
            <w:vAlign w:val="bottom"/>
            <w:hideMark/>
          </w:tcPr>
          <w:p w14:paraId="2C703A9F" w14:textId="77777777" w:rsidR="009A356E" w:rsidRPr="00C10545" w:rsidRDefault="009A356E" w:rsidP="009A356E">
            <w:pPr>
              <w:jc w:val="right"/>
              <w:rPr>
                <w:sz w:val="18"/>
                <w:szCs w:val="18"/>
                <w:lang w:eastAsia="en-AU"/>
              </w:rPr>
            </w:pPr>
            <w:r w:rsidRPr="00C10545">
              <w:rPr>
                <w:sz w:val="18"/>
                <w:szCs w:val="18"/>
                <w:lang w:eastAsia="en-AU"/>
              </w:rPr>
              <w:t>-1.2%</w:t>
            </w:r>
          </w:p>
        </w:tc>
        <w:tc>
          <w:tcPr>
            <w:tcW w:w="611" w:type="pct"/>
            <w:tcBorders>
              <w:top w:val="nil"/>
              <w:left w:val="nil"/>
              <w:bottom w:val="single" w:sz="4" w:space="0" w:color="auto"/>
              <w:right w:val="single" w:sz="4" w:space="0" w:color="auto"/>
            </w:tcBorders>
            <w:shd w:val="clear" w:color="auto" w:fill="auto"/>
            <w:noWrap/>
            <w:vAlign w:val="bottom"/>
            <w:hideMark/>
          </w:tcPr>
          <w:p w14:paraId="68859F87" w14:textId="77777777" w:rsidR="009A356E" w:rsidRPr="00C10545" w:rsidRDefault="009A356E" w:rsidP="009A356E">
            <w:pPr>
              <w:jc w:val="right"/>
              <w:rPr>
                <w:sz w:val="18"/>
                <w:szCs w:val="18"/>
                <w:lang w:eastAsia="en-AU"/>
              </w:rPr>
            </w:pPr>
            <w:r w:rsidRPr="00C10545">
              <w:rPr>
                <w:sz w:val="18"/>
                <w:szCs w:val="18"/>
                <w:lang w:eastAsia="en-AU"/>
              </w:rPr>
              <w:t>-4.9%</w:t>
            </w:r>
          </w:p>
        </w:tc>
      </w:tr>
      <w:tr w:rsidR="009A356E" w:rsidRPr="00C65C2B" w14:paraId="6D754EC3" w14:textId="77777777" w:rsidTr="009A356E">
        <w:trPr>
          <w:trHeight w:val="240"/>
        </w:trPr>
        <w:tc>
          <w:tcPr>
            <w:tcW w:w="1211" w:type="pct"/>
            <w:tcBorders>
              <w:top w:val="nil"/>
              <w:left w:val="single" w:sz="4" w:space="0" w:color="auto"/>
              <w:bottom w:val="single" w:sz="4" w:space="0" w:color="auto"/>
              <w:right w:val="single" w:sz="4" w:space="0" w:color="auto"/>
            </w:tcBorders>
            <w:shd w:val="clear" w:color="auto" w:fill="auto"/>
            <w:noWrap/>
            <w:vAlign w:val="bottom"/>
            <w:hideMark/>
          </w:tcPr>
          <w:p w14:paraId="3D79A596" w14:textId="77777777" w:rsidR="009A356E" w:rsidRPr="00C10545" w:rsidRDefault="009A356E" w:rsidP="009A356E">
            <w:pPr>
              <w:rPr>
                <w:sz w:val="18"/>
                <w:szCs w:val="18"/>
                <w:lang w:eastAsia="en-AU"/>
              </w:rPr>
            </w:pPr>
            <w:r w:rsidRPr="00C10545">
              <w:rPr>
                <w:sz w:val="18"/>
                <w:szCs w:val="18"/>
                <w:lang w:eastAsia="en-AU"/>
              </w:rPr>
              <w:t>Greater Geelong</w:t>
            </w:r>
          </w:p>
        </w:tc>
        <w:tc>
          <w:tcPr>
            <w:tcW w:w="652" w:type="pct"/>
            <w:tcBorders>
              <w:top w:val="nil"/>
              <w:left w:val="nil"/>
              <w:bottom w:val="single" w:sz="4" w:space="0" w:color="auto"/>
              <w:right w:val="single" w:sz="4" w:space="0" w:color="auto"/>
            </w:tcBorders>
            <w:shd w:val="clear" w:color="auto" w:fill="auto"/>
            <w:noWrap/>
            <w:vAlign w:val="bottom"/>
            <w:hideMark/>
          </w:tcPr>
          <w:p w14:paraId="7ED232D2" w14:textId="77777777" w:rsidR="009A356E" w:rsidRPr="00C10545" w:rsidRDefault="009A356E" w:rsidP="009A356E">
            <w:pPr>
              <w:jc w:val="right"/>
              <w:rPr>
                <w:sz w:val="18"/>
                <w:szCs w:val="18"/>
                <w:lang w:eastAsia="en-AU"/>
              </w:rPr>
            </w:pPr>
            <w:r w:rsidRPr="00C10545">
              <w:rPr>
                <w:sz w:val="18"/>
                <w:szCs w:val="18"/>
                <w:lang w:eastAsia="en-AU"/>
              </w:rPr>
              <w:t>-7.4%</w:t>
            </w:r>
          </w:p>
        </w:tc>
        <w:tc>
          <w:tcPr>
            <w:tcW w:w="652" w:type="pct"/>
            <w:tcBorders>
              <w:top w:val="nil"/>
              <w:left w:val="nil"/>
              <w:bottom w:val="single" w:sz="4" w:space="0" w:color="auto"/>
              <w:right w:val="single" w:sz="4" w:space="0" w:color="auto"/>
            </w:tcBorders>
            <w:shd w:val="clear" w:color="auto" w:fill="auto"/>
            <w:noWrap/>
            <w:vAlign w:val="bottom"/>
            <w:hideMark/>
          </w:tcPr>
          <w:p w14:paraId="60F49F7E" w14:textId="77777777" w:rsidR="009A356E" w:rsidRPr="00C10545" w:rsidRDefault="009A356E" w:rsidP="009A356E">
            <w:pPr>
              <w:jc w:val="right"/>
              <w:rPr>
                <w:sz w:val="18"/>
                <w:szCs w:val="18"/>
                <w:lang w:eastAsia="en-AU"/>
              </w:rPr>
            </w:pPr>
            <w:r w:rsidRPr="00C10545">
              <w:rPr>
                <w:sz w:val="18"/>
                <w:szCs w:val="18"/>
                <w:lang w:eastAsia="en-AU"/>
              </w:rPr>
              <w:t>-1.8%</w:t>
            </w:r>
          </w:p>
        </w:tc>
        <w:tc>
          <w:tcPr>
            <w:tcW w:w="652" w:type="pct"/>
            <w:tcBorders>
              <w:top w:val="nil"/>
              <w:left w:val="nil"/>
              <w:bottom w:val="single" w:sz="4" w:space="0" w:color="auto"/>
              <w:right w:val="single" w:sz="4" w:space="0" w:color="auto"/>
            </w:tcBorders>
            <w:shd w:val="clear" w:color="auto" w:fill="auto"/>
            <w:noWrap/>
            <w:vAlign w:val="bottom"/>
            <w:hideMark/>
          </w:tcPr>
          <w:p w14:paraId="239792B2" w14:textId="77777777" w:rsidR="009A356E" w:rsidRPr="00C10545" w:rsidRDefault="009A356E" w:rsidP="009A356E">
            <w:pPr>
              <w:jc w:val="right"/>
              <w:rPr>
                <w:sz w:val="18"/>
                <w:szCs w:val="18"/>
                <w:lang w:eastAsia="en-AU"/>
              </w:rPr>
            </w:pPr>
            <w:r w:rsidRPr="00C10545">
              <w:rPr>
                <w:sz w:val="18"/>
                <w:szCs w:val="18"/>
                <w:lang w:eastAsia="en-AU"/>
              </w:rPr>
              <w:t>-4.6%</w:t>
            </w:r>
          </w:p>
        </w:tc>
        <w:tc>
          <w:tcPr>
            <w:tcW w:w="611" w:type="pct"/>
            <w:tcBorders>
              <w:top w:val="nil"/>
              <w:left w:val="nil"/>
              <w:bottom w:val="single" w:sz="4" w:space="0" w:color="auto"/>
              <w:right w:val="single" w:sz="4" w:space="0" w:color="auto"/>
            </w:tcBorders>
            <w:shd w:val="clear" w:color="auto" w:fill="auto"/>
            <w:noWrap/>
            <w:vAlign w:val="bottom"/>
            <w:hideMark/>
          </w:tcPr>
          <w:p w14:paraId="08E37C0D" w14:textId="77777777" w:rsidR="009A356E" w:rsidRPr="00C10545" w:rsidRDefault="009A356E" w:rsidP="009A356E">
            <w:pPr>
              <w:jc w:val="right"/>
              <w:rPr>
                <w:sz w:val="18"/>
                <w:szCs w:val="18"/>
                <w:lang w:eastAsia="en-AU"/>
              </w:rPr>
            </w:pPr>
            <w:r w:rsidRPr="00C10545">
              <w:rPr>
                <w:sz w:val="18"/>
                <w:szCs w:val="18"/>
                <w:lang w:eastAsia="en-AU"/>
              </w:rPr>
              <w:t>-0.2%</w:t>
            </w:r>
          </w:p>
        </w:tc>
        <w:tc>
          <w:tcPr>
            <w:tcW w:w="611" w:type="pct"/>
            <w:tcBorders>
              <w:top w:val="nil"/>
              <w:left w:val="nil"/>
              <w:bottom w:val="single" w:sz="4" w:space="0" w:color="auto"/>
              <w:right w:val="single" w:sz="4" w:space="0" w:color="auto"/>
            </w:tcBorders>
            <w:shd w:val="clear" w:color="auto" w:fill="auto"/>
            <w:noWrap/>
            <w:vAlign w:val="bottom"/>
            <w:hideMark/>
          </w:tcPr>
          <w:p w14:paraId="1A1AB9D8" w14:textId="77777777" w:rsidR="009A356E" w:rsidRPr="00C10545" w:rsidRDefault="009A356E" w:rsidP="009A356E">
            <w:pPr>
              <w:jc w:val="right"/>
              <w:rPr>
                <w:sz w:val="18"/>
                <w:szCs w:val="18"/>
                <w:lang w:eastAsia="en-AU"/>
              </w:rPr>
            </w:pPr>
            <w:r w:rsidRPr="00C10545">
              <w:rPr>
                <w:sz w:val="18"/>
                <w:szCs w:val="18"/>
                <w:lang w:eastAsia="en-AU"/>
              </w:rPr>
              <w:t>-1.4%</w:t>
            </w:r>
          </w:p>
        </w:tc>
        <w:tc>
          <w:tcPr>
            <w:tcW w:w="611" w:type="pct"/>
            <w:tcBorders>
              <w:top w:val="nil"/>
              <w:left w:val="nil"/>
              <w:bottom w:val="single" w:sz="4" w:space="0" w:color="auto"/>
              <w:right w:val="single" w:sz="4" w:space="0" w:color="auto"/>
            </w:tcBorders>
            <w:shd w:val="clear" w:color="auto" w:fill="auto"/>
            <w:noWrap/>
            <w:vAlign w:val="bottom"/>
            <w:hideMark/>
          </w:tcPr>
          <w:p w14:paraId="0E585303" w14:textId="77777777" w:rsidR="009A356E" w:rsidRPr="00C10545" w:rsidRDefault="009A356E" w:rsidP="009A356E">
            <w:pPr>
              <w:jc w:val="right"/>
              <w:rPr>
                <w:sz w:val="18"/>
                <w:szCs w:val="18"/>
                <w:lang w:eastAsia="en-AU"/>
              </w:rPr>
            </w:pPr>
            <w:r w:rsidRPr="00C10545">
              <w:rPr>
                <w:sz w:val="18"/>
                <w:szCs w:val="18"/>
                <w:lang w:eastAsia="en-AU"/>
              </w:rPr>
              <w:t>-6.0%</w:t>
            </w:r>
          </w:p>
        </w:tc>
      </w:tr>
      <w:tr w:rsidR="009A356E" w:rsidRPr="00C65C2B" w14:paraId="4A7A4161" w14:textId="77777777" w:rsidTr="009A356E">
        <w:trPr>
          <w:trHeight w:val="240"/>
        </w:trPr>
        <w:tc>
          <w:tcPr>
            <w:tcW w:w="1211" w:type="pct"/>
            <w:tcBorders>
              <w:top w:val="nil"/>
              <w:left w:val="single" w:sz="4" w:space="0" w:color="auto"/>
              <w:bottom w:val="single" w:sz="4" w:space="0" w:color="auto"/>
              <w:right w:val="single" w:sz="4" w:space="0" w:color="auto"/>
            </w:tcBorders>
            <w:shd w:val="clear" w:color="auto" w:fill="auto"/>
            <w:noWrap/>
            <w:vAlign w:val="bottom"/>
            <w:hideMark/>
          </w:tcPr>
          <w:p w14:paraId="485B8347" w14:textId="77777777" w:rsidR="009A356E" w:rsidRPr="00C10545" w:rsidRDefault="009A356E" w:rsidP="009A356E">
            <w:pPr>
              <w:rPr>
                <w:sz w:val="18"/>
                <w:szCs w:val="18"/>
                <w:lang w:eastAsia="en-AU"/>
              </w:rPr>
            </w:pPr>
            <w:r w:rsidRPr="00C10545">
              <w:rPr>
                <w:sz w:val="18"/>
                <w:szCs w:val="18"/>
                <w:lang w:eastAsia="en-AU"/>
              </w:rPr>
              <w:t>Greater Shepparton</w:t>
            </w:r>
          </w:p>
        </w:tc>
        <w:tc>
          <w:tcPr>
            <w:tcW w:w="652" w:type="pct"/>
            <w:tcBorders>
              <w:top w:val="nil"/>
              <w:left w:val="nil"/>
              <w:bottom w:val="single" w:sz="4" w:space="0" w:color="auto"/>
              <w:right w:val="single" w:sz="4" w:space="0" w:color="auto"/>
            </w:tcBorders>
            <w:shd w:val="clear" w:color="auto" w:fill="auto"/>
            <w:noWrap/>
            <w:vAlign w:val="bottom"/>
            <w:hideMark/>
          </w:tcPr>
          <w:p w14:paraId="79C81EF8" w14:textId="77777777" w:rsidR="009A356E" w:rsidRPr="00C10545" w:rsidRDefault="009A356E" w:rsidP="009A356E">
            <w:pPr>
              <w:jc w:val="right"/>
              <w:rPr>
                <w:sz w:val="18"/>
                <w:szCs w:val="18"/>
                <w:lang w:eastAsia="en-AU"/>
              </w:rPr>
            </w:pPr>
            <w:r w:rsidRPr="00C10545">
              <w:rPr>
                <w:sz w:val="18"/>
                <w:szCs w:val="18"/>
                <w:lang w:eastAsia="en-AU"/>
              </w:rPr>
              <w:t>-7.1%</w:t>
            </w:r>
          </w:p>
        </w:tc>
        <w:tc>
          <w:tcPr>
            <w:tcW w:w="652" w:type="pct"/>
            <w:tcBorders>
              <w:top w:val="nil"/>
              <w:left w:val="nil"/>
              <w:bottom w:val="single" w:sz="4" w:space="0" w:color="auto"/>
              <w:right w:val="single" w:sz="4" w:space="0" w:color="auto"/>
            </w:tcBorders>
            <w:shd w:val="clear" w:color="auto" w:fill="auto"/>
            <w:noWrap/>
            <w:vAlign w:val="bottom"/>
            <w:hideMark/>
          </w:tcPr>
          <w:p w14:paraId="0D590AAE" w14:textId="77777777" w:rsidR="009A356E" w:rsidRPr="00C10545" w:rsidRDefault="009A356E" w:rsidP="009A356E">
            <w:pPr>
              <w:jc w:val="right"/>
              <w:rPr>
                <w:sz w:val="18"/>
                <w:szCs w:val="18"/>
                <w:lang w:eastAsia="en-AU"/>
              </w:rPr>
            </w:pPr>
            <w:r w:rsidRPr="00C10545">
              <w:rPr>
                <w:sz w:val="18"/>
                <w:szCs w:val="18"/>
                <w:lang w:eastAsia="en-AU"/>
              </w:rPr>
              <w:t>2.4%</w:t>
            </w:r>
          </w:p>
        </w:tc>
        <w:tc>
          <w:tcPr>
            <w:tcW w:w="652" w:type="pct"/>
            <w:tcBorders>
              <w:top w:val="nil"/>
              <w:left w:val="nil"/>
              <w:bottom w:val="single" w:sz="4" w:space="0" w:color="auto"/>
              <w:right w:val="single" w:sz="4" w:space="0" w:color="auto"/>
            </w:tcBorders>
            <w:shd w:val="clear" w:color="auto" w:fill="auto"/>
            <w:noWrap/>
            <w:vAlign w:val="bottom"/>
            <w:hideMark/>
          </w:tcPr>
          <w:p w14:paraId="2BFB6EFB" w14:textId="77777777" w:rsidR="009A356E" w:rsidRPr="00C10545" w:rsidRDefault="009A356E" w:rsidP="009A356E">
            <w:pPr>
              <w:jc w:val="right"/>
              <w:rPr>
                <w:sz w:val="18"/>
                <w:szCs w:val="18"/>
                <w:lang w:eastAsia="en-AU"/>
              </w:rPr>
            </w:pPr>
            <w:r w:rsidRPr="00C10545">
              <w:rPr>
                <w:sz w:val="18"/>
                <w:szCs w:val="18"/>
                <w:lang w:eastAsia="en-AU"/>
              </w:rPr>
              <w:t>-3.2%</w:t>
            </w:r>
          </w:p>
        </w:tc>
        <w:tc>
          <w:tcPr>
            <w:tcW w:w="611" w:type="pct"/>
            <w:tcBorders>
              <w:top w:val="nil"/>
              <w:left w:val="nil"/>
              <w:bottom w:val="single" w:sz="4" w:space="0" w:color="auto"/>
              <w:right w:val="single" w:sz="4" w:space="0" w:color="auto"/>
            </w:tcBorders>
            <w:shd w:val="clear" w:color="auto" w:fill="auto"/>
            <w:noWrap/>
            <w:vAlign w:val="bottom"/>
            <w:hideMark/>
          </w:tcPr>
          <w:p w14:paraId="67DD6EBE" w14:textId="77777777" w:rsidR="009A356E" w:rsidRPr="00C10545" w:rsidRDefault="009A356E" w:rsidP="009A356E">
            <w:pPr>
              <w:jc w:val="right"/>
              <w:rPr>
                <w:sz w:val="18"/>
                <w:szCs w:val="18"/>
                <w:lang w:eastAsia="en-AU"/>
              </w:rPr>
            </w:pPr>
            <w:r w:rsidRPr="00C10545">
              <w:rPr>
                <w:sz w:val="18"/>
                <w:szCs w:val="18"/>
                <w:lang w:eastAsia="en-AU"/>
              </w:rPr>
              <w:t>4.7%</w:t>
            </w:r>
          </w:p>
        </w:tc>
        <w:tc>
          <w:tcPr>
            <w:tcW w:w="611" w:type="pct"/>
            <w:tcBorders>
              <w:top w:val="nil"/>
              <w:left w:val="nil"/>
              <w:bottom w:val="single" w:sz="4" w:space="0" w:color="auto"/>
              <w:right w:val="single" w:sz="4" w:space="0" w:color="auto"/>
            </w:tcBorders>
            <w:shd w:val="clear" w:color="auto" w:fill="auto"/>
            <w:noWrap/>
            <w:vAlign w:val="bottom"/>
            <w:hideMark/>
          </w:tcPr>
          <w:p w14:paraId="34EE6DE1" w14:textId="77777777" w:rsidR="009A356E" w:rsidRPr="00C10545" w:rsidRDefault="009A356E" w:rsidP="009A356E">
            <w:pPr>
              <w:jc w:val="right"/>
              <w:rPr>
                <w:sz w:val="18"/>
                <w:szCs w:val="18"/>
                <w:lang w:eastAsia="en-AU"/>
              </w:rPr>
            </w:pPr>
            <w:r w:rsidRPr="00C10545">
              <w:rPr>
                <w:sz w:val="18"/>
                <w:szCs w:val="18"/>
                <w:lang w:eastAsia="en-AU"/>
              </w:rPr>
              <w:t>1.6%</w:t>
            </w:r>
          </w:p>
        </w:tc>
        <w:tc>
          <w:tcPr>
            <w:tcW w:w="611" w:type="pct"/>
            <w:tcBorders>
              <w:top w:val="nil"/>
              <w:left w:val="nil"/>
              <w:bottom w:val="single" w:sz="4" w:space="0" w:color="auto"/>
              <w:right w:val="single" w:sz="4" w:space="0" w:color="auto"/>
            </w:tcBorders>
            <w:shd w:val="clear" w:color="auto" w:fill="auto"/>
            <w:noWrap/>
            <w:vAlign w:val="bottom"/>
            <w:hideMark/>
          </w:tcPr>
          <w:p w14:paraId="39FA1812" w14:textId="77777777" w:rsidR="009A356E" w:rsidRPr="00C10545" w:rsidRDefault="009A356E" w:rsidP="009A356E">
            <w:pPr>
              <w:jc w:val="right"/>
              <w:rPr>
                <w:sz w:val="18"/>
                <w:szCs w:val="18"/>
                <w:lang w:eastAsia="en-AU"/>
              </w:rPr>
            </w:pPr>
            <w:r w:rsidRPr="00C10545">
              <w:rPr>
                <w:sz w:val="18"/>
                <w:szCs w:val="18"/>
                <w:lang w:eastAsia="en-AU"/>
              </w:rPr>
              <w:t>-4.2%</w:t>
            </w:r>
          </w:p>
        </w:tc>
      </w:tr>
      <w:tr w:rsidR="009A356E" w:rsidRPr="00C65C2B" w14:paraId="24D6B584" w14:textId="77777777" w:rsidTr="009A356E">
        <w:trPr>
          <w:trHeight w:val="240"/>
        </w:trPr>
        <w:tc>
          <w:tcPr>
            <w:tcW w:w="1211" w:type="pct"/>
            <w:tcBorders>
              <w:top w:val="nil"/>
              <w:left w:val="single" w:sz="4" w:space="0" w:color="auto"/>
              <w:bottom w:val="single" w:sz="4" w:space="0" w:color="auto"/>
              <w:right w:val="single" w:sz="4" w:space="0" w:color="auto"/>
            </w:tcBorders>
            <w:shd w:val="clear" w:color="auto" w:fill="auto"/>
            <w:noWrap/>
            <w:vAlign w:val="bottom"/>
            <w:hideMark/>
          </w:tcPr>
          <w:p w14:paraId="4F2B1415" w14:textId="77777777" w:rsidR="009A356E" w:rsidRPr="00C10545" w:rsidRDefault="009A356E" w:rsidP="009A356E">
            <w:pPr>
              <w:rPr>
                <w:sz w:val="18"/>
                <w:szCs w:val="18"/>
                <w:lang w:eastAsia="en-AU"/>
              </w:rPr>
            </w:pPr>
            <w:r w:rsidRPr="00C10545">
              <w:rPr>
                <w:sz w:val="18"/>
                <w:szCs w:val="18"/>
                <w:lang w:eastAsia="en-AU"/>
              </w:rPr>
              <w:t>Mildura</w:t>
            </w:r>
          </w:p>
        </w:tc>
        <w:tc>
          <w:tcPr>
            <w:tcW w:w="652" w:type="pct"/>
            <w:tcBorders>
              <w:top w:val="nil"/>
              <w:left w:val="nil"/>
              <w:bottom w:val="single" w:sz="4" w:space="0" w:color="auto"/>
              <w:right w:val="single" w:sz="4" w:space="0" w:color="auto"/>
            </w:tcBorders>
            <w:shd w:val="clear" w:color="auto" w:fill="auto"/>
            <w:noWrap/>
            <w:vAlign w:val="bottom"/>
            <w:hideMark/>
          </w:tcPr>
          <w:p w14:paraId="42AE4E68" w14:textId="77777777" w:rsidR="009A356E" w:rsidRPr="00C10545" w:rsidRDefault="009A356E" w:rsidP="009A356E">
            <w:pPr>
              <w:jc w:val="right"/>
              <w:rPr>
                <w:sz w:val="18"/>
                <w:szCs w:val="18"/>
                <w:lang w:eastAsia="en-AU"/>
              </w:rPr>
            </w:pPr>
            <w:r w:rsidRPr="00C10545">
              <w:rPr>
                <w:sz w:val="18"/>
                <w:szCs w:val="18"/>
                <w:lang w:eastAsia="en-AU"/>
              </w:rPr>
              <w:t>-1.5%</w:t>
            </w:r>
          </w:p>
        </w:tc>
        <w:tc>
          <w:tcPr>
            <w:tcW w:w="652" w:type="pct"/>
            <w:tcBorders>
              <w:top w:val="nil"/>
              <w:left w:val="nil"/>
              <w:bottom w:val="single" w:sz="4" w:space="0" w:color="auto"/>
              <w:right w:val="single" w:sz="4" w:space="0" w:color="auto"/>
            </w:tcBorders>
            <w:shd w:val="clear" w:color="auto" w:fill="auto"/>
            <w:noWrap/>
            <w:vAlign w:val="bottom"/>
            <w:hideMark/>
          </w:tcPr>
          <w:p w14:paraId="3402D163" w14:textId="77777777" w:rsidR="009A356E" w:rsidRPr="00C10545" w:rsidRDefault="009A356E" w:rsidP="009A356E">
            <w:pPr>
              <w:jc w:val="right"/>
              <w:rPr>
                <w:sz w:val="18"/>
                <w:szCs w:val="18"/>
                <w:lang w:eastAsia="en-AU"/>
              </w:rPr>
            </w:pPr>
            <w:r w:rsidRPr="00C10545">
              <w:rPr>
                <w:sz w:val="18"/>
                <w:szCs w:val="18"/>
                <w:lang w:eastAsia="en-AU"/>
              </w:rPr>
              <w:t>7.3%</w:t>
            </w:r>
          </w:p>
        </w:tc>
        <w:tc>
          <w:tcPr>
            <w:tcW w:w="652" w:type="pct"/>
            <w:tcBorders>
              <w:top w:val="nil"/>
              <w:left w:val="nil"/>
              <w:bottom w:val="single" w:sz="4" w:space="0" w:color="auto"/>
              <w:right w:val="single" w:sz="4" w:space="0" w:color="auto"/>
            </w:tcBorders>
            <w:shd w:val="clear" w:color="auto" w:fill="auto"/>
            <w:noWrap/>
            <w:vAlign w:val="bottom"/>
            <w:hideMark/>
          </w:tcPr>
          <w:p w14:paraId="6B278221" w14:textId="77777777" w:rsidR="009A356E" w:rsidRPr="00C10545" w:rsidRDefault="009A356E" w:rsidP="009A356E">
            <w:pPr>
              <w:jc w:val="right"/>
              <w:rPr>
                <w:sz w:val="18"/>
                <w:szCs w:val="18"/>
                <w:lang w:eastAsia="en-AU"/>
              </w:rPr>
            </w:pPr>
            <w:r w:rsidRPr="00C10545">
              <w:rPr>
                <w:sz w:val="18"/>
                <w:szCs w:val="18"/>
                <w:lang w:eastAsia="en-AU"/>
              </w:rPr>
              <w:t>0.6%</w:t>
            </w:r>
          </w:p>
        </w:tc>
        <w:tc>
          <w:tcPr>
            <w:tcW w:w="611" w:type="pct"/>
            <w:tcBorders>
              <w:top w:val="nil"/>
              <w:left w:val="nil"/>
              <w:bottom w:val="single" w:sz="4" w:space="0" w:color="auto"/>
              <w:right w:val="single" w:sz="4" w:space="0" w:color="auto"/>
            </w:tcBorders>
            <w:shd w:val="clear" w:color="auto" w:fill="auto"/>
            <w:noWrap/>
            <w:vAlign w:val="bottom"/>
            <w:hideMark/>
          </w:tcPr>
          <w:p w14:paraId="65B80A8C" w14:textId="77777777" w:rsidR="009A356E" w:rsidRPr="00C10545" w:rsidRDefault="009A356E" w:rsidP="009A356E">
            <w:pPr>
              <w:jc w:val="right"/>
              <w:rPr>
                <w:sz w:val="18"/>
                <w:szCs w:val="18"/>
                <w:lang w:eastAsia="en-AU"/>
              </w:rPr>
            </w:pPr>
            <w:r w:rsidRPr="00C10545">
              <w:rPr>
                <w:sz w:val="18"/>
                <w:szCs w:val="18"/>
                <w:lang w:eastAsia="en-AU"/>
              </w:rPr>
              <w:t>5.3%</w:t>
            </w:r>
          </w:p>
        </w:tc>
        <w:tc>
          <w:tcPr>
            <w:tcW w:w="611" w:type="pct"/>
            <w:tcBorders>
              <w:top w:val="nil"/>
              <w:left w:val="nil"/>
              <w:bottom w:val="single" w:sz="4" w:space="0" w:color="auto"/>
              <w:right w:val="single" w:sz="4" w:space="0" w:color="auto"/>
            </w:tcBorders>
            <w:shd w:val="clear" w:color="auto" w:fill="auto"/>
            <w:noWrap/>
            <w:vAlign w:val="bottom"/>
            <w:hideMark/>
          </w:tcPr>
          <w:p w14:paraId="60797F8A" w14:textId="77777777" w:rsidR="009A356E" w:rsidRPr="00C10545" w:rsidRDefault="009A356E" w:rsidP="009A356E">
            <w:pPr>
              <w:jc w:val="right"/>
              <w:rPr>
                <w:sz w:val="18"/>
                <w:szCs w:val="18"/>
                <w:lang w:eastAsia="en-AU"/>
              </w:rPr>
            </w:pPr>
            <w:r w:rsidRPr="00C10545">
              <w:rPr>
                <w:sz w:val="18"/>
                <w:szCs w:val="18"/>
                <w:lang w:eastAsia="en-AU"/>
              </w:rPr>
              <w:t>2.5%</w:t>
            </w:r>
          </w:p>
        </w:tc>
        <w:tc>
          <w:tcPr>
            <w:tcW w:w="611" w:type="pct"/>
            <w:tcBorders>
              <w:top w:val="nil"/>
              <w:left w:val="nil"/>
              <w:bottom w:val="single" w:sz="4" w:space="0" w:color="auto"/>
              <w:right w:val="single" w:sz="4" w:space="0" w:color="auto"/>
            </w:tcBorders>
            <w:shd w:val="clear" w:color="auto" w:fill="auto"/>
            <w:noWrap/>
            <w:vAlign w:val="bottom"/>
            <w:hideMark/>
          </w:tcPr>
          <w:p w14:paraId="301EB371" w14:textId="77777777" w:rsidR="009A356E" w:rsidRPr="00C10545" w:rsidRDefault="009A356E" w:rsidP="009A356E">
            <w:pPr>
              <w:jc w:val="right"/>
              <w:rPr>
                <w:sz w:val="18"/>
                <w:szCs w:val="18"/>
                <w:lang w:eastAsia="en-AU"/>
              </w:rPr>
            </w:pPr>
            <w:r w:rsidRPr="00C10545">
              <w:rPr>
                <w:sz w:val="18"/>
                <w:szCs w:val="18"/>
                <w:lang w:eastAsia="en-AU"/>
              </w:rPr>
              <w:t>-2.0%</w:t>
            </w:r>
          </w:p>
        </w:tc>
      </w:tr>
      <w:tr w:rsidR="009A356E" w:rsidRPr="00C65C2B" w14:paraId="3B13E9FB" w14:textId="77777777" w:rsidTr="009A356E">
        <w:trPr>
          <w:trHeight w:val="240"/>
        </w:trPr>
        <w:tc>
          <w:tcPr>
            <w:tcW w:w="1211" w:type="pct"/>
            <w:tcBorders>
              <w:top w:val="nil"/>
              <w:left w:val="single" w:sz="4" w:space="0" w:color="auto"/>
              <w:bottom w:val="single" w:sz="4" w:space="0" w:color="auto"/>
              <w:right w:val="single" w:sz="4" w:space="0" w:color="auto"/>
            </w:tcBorders>
            <w:shd w:val="clear" w:color="auto" w:fill="auto"/>
            <w:noWrap/>
            <w:vAlign w:val="bottom"/>
            <w:hideMark/>
          </w:tcPr>
          <w:p w14:paraId="5BFE5D05" w14:textId="77777777" w:rsidR="009A356E" w:rsidRPr="00C10545" w:rsidRDefault="009A356E" w:rsidP="009A356E">
            <w:pPr>
              <w:rPr>
                <w:sz w:val="18"/>
                <w:szCs w:val="18"/>
                <w:lang w:eastAsia="en-AU"/>
              </w:rPr>
            </w:pPr>
            <w:r w:rsidRPr="00C10545">
              <w:rPr>
                <w:sz w:val="18"/>
                <w:szCs w:val="18"/>
                <w:lang w:eastAsia="en-AU"/>
              </w:rPr>
              <w:t>Warrnambool</w:t>
            </w:r>
          </w:p>
        </w:tc>
        <w:tc>
          <w:tcPr>
            <w:tcW w:w="652" w:type="pct"/>
            <w:tcBorders>
              <w:top w:val="nil"/>
              <w:left w:val="nil"/>
              <w:bottom w:val="single" w:sz="4" w:space="0" w:color="auto"/>
              <w:right w:val="single" w:sz="4" w:space="0" w:color="auto"/>
            </w:tcBorders>
            <w:shd w:val="clear" w:color="auto" w:fill="auto"/>
            <w:noWrap/>
            <w:vAlign w:val="bottom"/>
            <w:hideMark/>
          </w:tcPr>
          <w:p w14:paraId="48438160" w14:textId="77777777" w:rsidR="009A356E" w:rsidRPr="00C10545" w:rsidRDefault="009A356E" w:rsidP="009A356E">
            <w:pPr>
              <w:jc w:val="right"/>
              <w:rPr>
                <w:sz w:val="18"/>
                <w:szCs w:val="18"/>
                <w:lang w:eastAsia="en-AU"/>
              </w:rPr>
            </w:pPr>
            <w:r w:rsidRPr="00C10545">
              <w:rPr>
                <w:sz w:val="18"/>
                <w:szCs w:val="18"/>
                <w:lang w:eastAsia="en-AU"/>
              </w:rPr>
              <w:t>-7.4%</w:t>
            </w:r>
          </w:p>
        </w:tc>
        <w:tc>
          <w:tcPr>
            <w:tcW w:w="652" w:type="pct"/>
            <w:tcBorders>
              <w:top w:val="nil"/>
              <w:left w:val="nil"/>
              <w:bottom w:val="single" w:sz="4" w:space="0" w:color="auto"/>
              <w:right w:val="single" w:sz="4" w:space="0" w:color="auto"/>
            </w:tcBorders>
            <w:shd w:val="clear" w:color="auto" w:fill="auto"/>
            <w:noWrap/>
            <w:vAlign w:val="bottom"/>
            <w:hideMark/>
          </w:tcPr>
          <w:p w14:paraId="60C723AE" w14:textId="77777777" w:rsidR="009A356E" w:rsidRPr="00C10545" w:rsidRDefault="009A356E" w:rsidP="009A356E">
            <w:pPr>
              <w:jc w:val="right"/>
              <w:rPr>
                <w:sz w:val="18"/>
                <w:szCs w:val="18"/>
                <w:lang w:eastAsia="en-AU"/>
              </w:rPr>
            </w:pPr>
            <w:r w:rsidRPr="00C10545">
              <w:rPr>
                <w:sz w:val="18"/>
                <w:szCs w:val="18"/>
                <w:lang w:eastAsia="en-AU"/>
              </w:rPr>
              <w:t>-1.4%</w:t>
            </w:r>
          </w:p>
        </w:tc>
        <w:tc>
          <w:tcPr>
            <w:tcW w:w="652" w:type="pct"/>
            <w:tcBorders>
              <w:top w:val="nil"/>
              <w:left w:val="nil"/>
              <w:bottom w:val="single" w:sz="4" w:space="0" w:color="auto"/>
              <w:right w:val="single" w:sz="4" w:space="0" w:color="auto"/>
            </w:tcBorders>
            <w:shd w:val="clear" w:color="auto" w:fill="auto"/>
            <w:noWrap/>
            <w:vAlign w:val="bottom"/>
            <w:hideMark/>
          </w:tcPr>
          <w:p w14:paraId="52B0A1F3" w14:textId="77777777" w:rsidR="009A356E" w:rsidRPr="00C10545" w:rsidRDefault="009A356E" w:rsidP="009A356E">
            <w:pPr>
              <w:jc w:val="right"/>
              <w:rPr>
                <w:sz w:val="18"/>
                <w:szCs w:val="18"/>
                <w:lang w:eastAsia="en-AU"/>
              </w:rPr>
            </w:pPr>
            <w:r w:rsidRPr="00C10545">
              <w:rPr>
                <w:sz w:val="18"/>
                <w:szCs w:val="18"/>
                <w:lang w:eastAsia="en-AU"/>
              </w:rPr>
              <w:t>-4.0%</w:t>
            </w:r>
          </w:p>
        </w:tc>
        <w:tc>
          <w:tcPr>
            <w:tcW w:w="611" w:type="pct"/>
            <w:tcBorders>
              <w:top w:val="nil"/>
              <w:left w:val="nil"/>
              <w:bottom w:val="single" w:sz="4" w:space="0" w:color="auto"/>
              <w:right w:val="single" w:sz="4" w:space="0" w:color="auto"/>
            </w:tcBorders>
            <w:shd w:val="clear" w:color="auto" w:fill="auto"/>
            <w:noWrap/>
            <w:vAlign w:val="bottom"/>
            <w:hideMark/>
          </w:tcPr>
          <w:p w14:paraId="5D41DC04" w14:textId="77777777" w:rsidR="009A356E" w:rsidRPr="00C10545" w:rsidRDefault="009A356E" w:rsidP="009A356E">
            <w:pPr>
              <w:jc w:val="right"/>
              <w:rPr>
                <w:sz w:val="18"/>
                <w:szCs w:val="18"/>
                <w:lang w:eastAsia="en-AU"/>
              </w:rPr>
            </w:pPr>
            <w:r w:rsidRPr="00C10545">
              <w:rPr>
                <w:sz w:val="18"/>
                <w:szCs w:val="18"/>
                <w:lang w:eastAsia="en-AU"/>
              </w:rPr>
              <w:t>1.1%</w:t>
            </w:r>
          </w:p>
        </w:tc>
        <w:tc>
          <w:tcPr>
            <w:tcW w:w="611" w:type="pct"/>
            <w:tcBorders>
              <w:top w:val="nil"/>
              <w:left w:val="nil"/>
              <w:bottom w:val="single" w:sz="4" w:space="0" w:color="auto"/>
              <w:right w:val="single" w:sz="4" w:space="0" w:color="auto"/>
            </w:tcBorders>
            <w:shd w:val="clear" w:color="auto" w:fill="auto"/>
            <w:noWrap/>
            <w:vAlign w:val="bottom"/>
            <w:hideMark/>
          </w:tcPr>
          <w:p w14:paraId="42A25F24" w14:textId="77777777" w:rsidR="009A356E" w:rsidRPr="00C10545" w:rsidRDefault="009A356E" w:rsidP="009A356E">
            <w:pPr>
              <w:jc w:val="right"/>
              <w:rPr>
                <w:sz w:val="18"/>
                <w:szCs w:val="18"/>
                <w:lang w:eastAsia="en-AU"/>
              </w:rPr>
            </w:pPr>
            <w:r w:rsidRPr="00C10545">
              <w:rPr>
                <w:sz w:val="18"/>
                <w:szCs w:val="18"/>
                <w:lang w:eastAsia="en-AU"/>
              </w:rPr>
              <w:t>-0.6%</w:t>
            </w:r>
          </w:p>
        </w:tc>
        <w:tc>
          <w:tcPr>
            <w:tcW w:w="611" w:type="pct"/>
            <w:tcBorders>
              <w:top w:val="nil"/>
              <w:left w:val="nil"/>
              <w:bottom w:val="single" w:sz="4" w:space="0" w:color="auto"/>
              <w:right w:val="single" w:sz="4" w:space="0" w:color="auto"/>
            </w:tcBorders>
            <w:shd w:val="clear" w:color="auto" w:fill="auto"/>
            <w:noWrap/>
            <w:vAlign w:val="bottom"/>
            <w:hideMark/>
          </w:tcPr>
          <w:p w14:paraId="6A28D22D" w14:textId="77777777" w:rsidR="009A356E" w:rsidRPr="00C10545" w:rsidRDefault="009A356E" w:rsidP="009A356E">
            <w:pPr>
              <w:jc w:val="right"/>
              <w:rPr>
                <w:sz w:val="18"/>
                <w:szCs w:val="18"/>
                <w:lang w:eastAsia="en-AU"/>
              </w:rPr>
            </w:pPr>
            <w:r w:rsidRPr="00C10545">
              <w:rPr>
                <w:sz w:val="18"/>
                <w:szCs w:val="18"/>
                <w:lang w:eastAsia="en-AU"/>
              </w:rPr>
              <w:t>-5.0%</w:t>
            </w:r>
          </w:p>
        </w:tc>
      </w:tr>
    </w:tbl>
    <w:p w14:paraId="0AD6BBA1" w14:textId="1D8A5244" w:rsidR="009A356E" w:rsidRDefault="009A356E" w:rsidP="009A356E"/>
    <w:p w14:paraId="6AE8C642" w14:textId="77777777" w:rsidR="009A356E" w:rsidRDefault="009A356E" w:rsidP="009A356E">
      <w:r>
        <w:t xml:space="preserve">It is interesting to look at differences in total FAGs received compared with what they would have been were actual receipts indexed by CPI over the past five years and it highlights the differing experience of rural and regional councils. </w:t>
      </w:r>
    </w:p>
    <w:p w14:paraId="48B13A38" w14:textId="77777777" w:rsidR="00370D38" w:rsidRDefault="00370D38" w:rsidP="009A356E"/>
    <w:p w14:paraId="7F0AC9B5" w14:textId="77777777" w:rsidR="009A356E" w:rsidRPr="00536F48" w:rsidRDefault="009A356E" w:rsidP="009A356E">
      <w:pPr>
        <w:rPr>
          <w:b/>
          <w:sz w:val="20"/>
        </w:rPr>
      </w:pPr>
      <w:r>
        <w:rPr>
          <w:b/>
          <w:sz w:val="20"/>
        </w:rPr>
        <w:t>Table 7</w:t>
      </w:r>
      <w:r w:rsidRPr="00536F48">
        <w:rPr>
          <w:b/>
          <w:sz w:val="20"/>
        </w:rPr>
        <w:t>:</w:t>
      </w:r>
      <w:r>
        <w:rPr>
          <w:b/>
          <w:sz w:val="20"/>
        </w:rPr>
        <w:t xml:space="preserve"> Difference in Actual and Real FAGs Allocations </w:t>
      </w:r>
      <w:r w:rsidRPr="00536F48">
        <w:rPr>
          <w:b/>
          <w:sz w:val="20"/>
        </w:rPr>
        <w:t xml:space="preserve">– </w:t>
      </w:r>
      <w:r>
        <w:rPr>
          <w:b/>
          <w:sz w:val="20"/>
        </w:rPr>
        <w:t>2012 to 2016</w:t>
      </w:r>
    </w:p>
    <w:tbl>
      <w:tblPr>
        <w:tblW w:w="5000" w:type="pct"/>
        <w:tblLook w:val="04A0" w:firstRow="1" w:lastRow="0" w:firstColumn="1" w:lastColumn="0" w:noHBand="0" w:noVBand="1"/>
      </w:tblPr>
      <w:tblGrid>
        <w:gridCol w:w="1720"/>
        <w:gridCol w:w="17"/>
        <w:gridCol w:w="1120"/>
        <w:gridCol w:w="18"/>
        <w:gridCol w:w="1120"/>
        <w:gridCol w:w="18"/>
        <w:gridCol w:w="1120"/>
        <w:gridCol w:w="18"/>
        <w:gridCol w:w="1120"/>
        <w:gridCol w:w="18"/>
        <w:gridCol w:w="1120"/>
        <w:gridCol w:w="1120"/>
      </w:tblGrid>
      <w:tr w:rsidR="009A356E" w:rsidRPr="003B5E14" w14:paraId="34D4BF75" w14:textId="77777777" w:rsidTr="00370D38">
        <w:trPr>
          <w:trHeight w:val="255"/>
          <w:tblHeader/>
        </w:trPr>
        <w:tc>
          <w:tcPr>
            <w:tcW w:w="920" w:type="pct"/>
            <w:gridSpan w:val="2"/>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5BE92EFF" w14:textId="77777777" w:rsidR="009A356E" w:rsidRPr="00C10545" w:rsidRDefault="009A356E" w:rsidP="009A356E">
            <w:pPr>
              <w:rPr>
                <w:sz w:val="18"/>
                <w:szCs w:val="18"/>
                <w:lang w:eastAsia="en-AU"/>
              </w:rPr>
            </w:pPr>
            <w:r w:rsidRPr="00C10545">
              <w:rPr>
                <w:sz w:val="18"/>
                <w:szCs w:val="18"/>
                <w:lang w:eastAsia="en-AU"/>
              </w:rPr>
              <w:t> </w:t>
            </w:r>
          </w:p>
        </w:tc>
        <w:tc>
          <w:tcPr>
            <w:tcW w:w="4080" w:type="pct"/>
            <w:gridSpan w:val="10"/>
            <w:tcBorders>
              <w:top w:val="single" w:sz="4" w:space="0" w:color="auto"/>
              <w:left w:val="nil"/>
              <w:bottom w:val="single" w:sz="4" w:space="0" w:color="auto"/>
              <w:right w:val="single" w:sz="4" w:space="0" w:color="auto"/>
            </w:tcBorders>
            <w:shd w:val="clear" w:color="auto" w:fill="auto"/>
            <w:noWrap/>
            <w:vAlign w:val="bottom"/>
            <w:hideMark/>
          </w:tcPr>
          <w:p w14:paraId="1BBCCB6C" w14:textId="6BBE16C1" w:rsidR="009A356E" w:rsidRPr="00C10545" w:rsidRDefault="009A356E" w:rsidP="009A356E">
            <w:pPr>
              <w:jc w:val="center"/>
              <w:rPr>
                <w:b/>
                <w:bCs/>
                <w:sz w:val="18"/>
                <w:szCs w:val="18"/>
                <w:lang w:eastAsia="en-AU"/>
              </w:rPr>
            </w:pPr>
            <w:r w:rsidRPr="00C10545">
              <w:rPr>
                <w:b/>
                <w:bCs/>
                <w:sz w:val="18"/>
                <w:szCs w:val="18"/>
                <w:lang w:eastAsia="en-AU"/>
              </w:rPr>
              <w:t>Total FAGs- Nominal FAGs per Head less CP Indexed FAGs per Head (Base 2011)</w:t>
            </w:r>
          </w:p>
        </w:tc>
      </w:tr>
      <w:tr w:rsidR="009A356E" w:rsidRPr="003B5E14" w14:paraId="1A8C65A1" w14:textId="77777777" w:rsidTr="00370D38">
        <w:trPr>
          <w:trHeight w:val="255"/>
          <w:tblHeader/>
        </w:trPr>
        <w:tc>
          <w:tcPr>
            <w:tcW w:w="920" w:type="pct"/>
            <w:gridSpan w:val="2"/>
            <w:tcBorders>
              <w:top w:val="nil"/>
              <w:left w:val="single" w:sz="4" w:space="0" w:color="auto"/>
              <w:bottom w:val="single" w:sz="4" w:space="0" w:color="auto"/>
              <w:right w:val="single" w:sz="4" w:space="0" w:color="auto"/>
            </w:tcBorders>
            <w:shd w:val="clear" w:color="000000" w:fill="000000"/>
            <w:noWrap/>
            <w:vAlign w:val="bottom"/>
            <w:hideMark/>
          </w:tcPr>
          <w:p w14:paraId="60C1C172" w14:textId="77777777" w:rsidR="009A356E" w:rsidRPr="00C10545" w:rsidRDefault="009A356E" w:rsidP="009A356E">
            <w:pPr>
              <w:rPr>
                <w:sz w:val="18"/>
                <w:szCs w:val="18"/>
                <w:lang w:eastAsia="en-AU"/>
              </w:rPr>
            </w:pPr>
            <w:r w:rsidRPr="00C10545">
              <w:rPr>
                <w:sz w:val="18"/>
                <w:szCs w:val="18"/>
                <w:lang w:eastAsia="en-AU"/>
              </w:rPr>
              <w:t> </w:t>
            </w:r>
          </w:p>
        </w:tc>
        <w:tc>
          <w:tcPr>
            <w:tcW w:w="680" w:type="pct"/>
            <w:gridSpan w:val="2"/>
            <w:tcBorders>
              <w:top w:val="nil"/>
              <w:left w:val="nil"/>
              <w:bottom w:val="single" w:sz="4" w:space="0" w:color="auto"/>
              <w:right w:val="single" w:sz="4" w:space="0" w:color="auto"/>
            </w:tcBorders>
            <w:shd w:val="clear" w:color="auto" w:fill="auto"/>
            <w:noWrap/>
            <w:vAlign w:val="bottom"/>
            <w:hideMark/>
          </w:tcPr>
          <w:p w14:paraId="0427195F" w14:textId="77777777" w:rsidR="009A356E" w:rsidRPr="00C10545" w:rsidRDefault="009A356E" w:rsidP="009A356E">
            <w:pPr>
              <w:jc w:val="center"/>
              <w:rPr>
                <w:b/>
                <w:bCs/>
                <w:sz w:val="18"/>
                <w:szCs w:val="18"/>
                <w:lang w:eastAsia="en-AU"/>
              </w:rPr>
            </w:pPr>
            <w:r w:rsidRPr="00C10545">
              <w:rPr>
                <w:b/>
                <w:bCs/>
                <w:sz w:val="18"/>
                <w:szCs w:val="18"/>
                <w:lang w:eastAsia="en-AU"/>
              </w:rPr>
              <w:t>2012</w:t>
            </w:r>
          </w:p>
        </w:tc>
        <w:tc>
          <w:tcPr>
            <w:tcW w:w="680" w:type="pct"/>
            <w:gridSpan w:val="2"/>
            <w:tcBorders>
              <w:top w:val="nil"/>
              <w:left w:val="nil"/>
              <w:bottom w:val="single" w:sz="4" w:space="0" w:color="auto"/>
              <w:right w:val="single" w:sz="4" w:space="0" w:color="auto"/>
            </w:tcBorders>
            <w:shd w:val="clear" w:color="auto" w:fill="auto"/>
            <w:noWrap/>
            <w:vAlign w:val="bottom"/>
            <w:hideMark/>
          </w:tcPr>
          <w:p w14:paraId="6B04F4A7" w14:textId="77777777" w:rsidR="009A356E" w:rsidRPr="00C10545" w:rsidRDefault="009A356E" w:rsidP="009A356E">
            <w:pPr>
              <w:jc w:val="center"/>
              <w:rPr>
                <w:b/>
                <w:bCs/>
                <w:sz w:val="18"/>
                <w:szCs w:val="18"/>
                <w:lang w:eastAsia="en-AU"/>
              </w:rPr>
            </w:pPr>
            <w:r w:rsidRPr="00C10545">
              <w:rPr>
                <w:b/>
                <w:bCs/>
                <w:sz w:val="18"/>
                <w:szCs w:val="18"/>
                <w:lang w:eastAsia="en-AU"/>
              </w:rPr>
              <w:t>2013</w:t>
            </w:r>
          </w:p>
        </w:tc>
        <w:tc>
          <w:tcPr>
            <w:tcW w:w="680" w:type="pct"/>
            <w:gridSpan w:val="2"/>
            <w:tcBorders>
              <w:top w:val="nil"/>
              <w:left w:val="nil"/>
              <w:bottom w:val="single" w:sz="4" w:space="0" w:color="auto"/>
              <w:right w:val="single" w:sz="4" w:space="0" w:color="auto"/>
            </w:tcBorders>
            <w:shd w:val="clear" w:color="auto" w:fill="auto"/>
            <w:noWrap/>
            <w:vAlign w:val="bottom"/>
            <w:hideMark/>
          </w:tcPr>
          <w:p w14:paraId="382A8BC7" w14:textId="77777777" w:rsidR="009A356E" w:rsidRPr="00C10545" w:rsidRDefault="009A356E" w:rsidP="009A356E">
            <w:pPr>
              <w:jc w:val="center"/>
              <w:rPr>
                <w:b/>
                <w:bCs/>
                <w:sz w:val="18"/>
                <w:szCs w:val="18"/>
                <w:lang w:eastAsia="en-AU"/>
              </w:rPr>
            </w:pPr>
            <w:r w:rsidRPr="00C10545">
              <w:rPr>
                <w:b/>
                <w:bCs/>
                <w:sz w:val="18"/>
                <w:szCs w:val="18"/>
                <w:lang w:eastAsia="en-AU"/>
              </w:rPr>
              <w:t>2014</w:t>
            </w:r>
          </w:p>
        </w:tc>
        <w:tc>
          <w:tcPr>
            <w:tcW w:w="680" w:type="pct"/>
            <w:gridSpan w:val="2"/>
            <w:tcBorders>
              <w:top w:val="nil"/>
              <w:left w:val="nil"/>
              <w:bottom w:val="single" w:sz="4" w:space="0" w:color="auto"/>
              <w:right w:val="single" w:sz="4" w:space="0" w:color="auto"/>
            </w:tcBorders>
            <w:shd w:val="clear" w:color="auto" w:fill="auto"/>
            <w:noWrap/>
            <w:vAlign w:val="bottom"/>
            <w:hideMark/>
          </w:tcPr>
          <w:p w14:paraId="5341145A" w14:textId="77777777" w:rsidR="009A356E" w:rsidRPr="00C10545" w:rsidRDefault="009A356E" w:rsidP="009A356E">
            <w:pPr>
              <w:jc w:val="center"/>
              <w:rPr>
                <w:b/>
                <w:bCs/>
                <w:sz w:val="18"/>
                <w:szCs w:val="18"/>
                <w:lang w:eastAsia="en-AU"/>
              </w:rPr>
            </w:pPr>
            <w:r w:rsidRPr="00C10545">
              <w:rPr>
                <w:b/>
                <w:bCs/>
                <w:sz w:val="18"/>
                <w:szCs w:val="18"/>
                <w:lang w:eastAsia="en-AU"/>
              </w:rPr>
              <w:t>2015</w:t>
            </w:r>
          </w:p>
        </w:tc>
        <w:tc>
          <w:tcPr>
            <w:tcW w:w="680" w:type="pct"/>
            <w:tcBorders>
              <w:top w:val="nil"/>
              <w:left w:val="nil"/>
              <w:bottom w:val="single" w:sz="4" w:space="0" w:color="auto"/>
              <w:right w:val="single" w:sz="4" w:space="0" w:color="auto"/>
            </w:tcBorders>
            <w:shd w:val="clear" w:color="auto" w:fill="auto"/>
            <w:noWrap/>
            <w:vAlign w:val="bottom"/>
            <w:hideMark/>
          </w:tcPr>
          <w:p w14:paraId="02B6B058" w14:textId="77777777" w:rsidR="009A356E" w:rsidRPr="00C10545" w:rsidRDefault="009A356E" w:rsidP="009A356E">
            <w:pPr>
              <w:jc w:val="center"/>
              <w:rPr>
                <w:b/>
                <w:bCs/>
                <w:sz w:val="18"/>
                <w:szCs w:val="18"/>
                <w:lang w:eastAsia="en-AU"/>
              </w:rPr>
            </w:pPr>
            <w:r w:rsidRPr="00C10545">
              <w:rPr>
                <w:b/>
                <w:bCs/>
                <w:sz w:val="18"/>
                <w:szCs w:val="18"/>
                <w:lang w:eastAsia="en-AU"/>
              </w:rPr>
              <w:t>2016</w:t>
            </w:r>
          </w:p>
        </w:tc>
        <w:tc>
          <w:tcPr>
            <w:tcW w:w="680" w:type="pct"/>
            <w:tcBorders>
              <w:top w:val="nil"/>
              <w:left w:val="nil"/>
              <w:bottom w:val="single" w:sz="4" w:space="0" w:color="auto"/>
              <w:right w:val="single" w:sz="4" w:space="0" w:color="auto"/>
            </w:tcBorders>
            <w:vAlign w:val="bottom"/>
          </w:tcPr>
          <w:p w14:paraId="3597C5CF" w14:textId="767BCAFE" w:rsidR="009A356E" w:rsidRPr="00C10545" w:rsidRDefault="009A356E" w:rsidP="009A356E">
            <w:pPr>
              <w:jc w:val="center"/>
              <w:rPr>
                <w:b/>
                <w:bCs/>
                <w:sz w:val="18"/>
                <w:szCs w:val="18"/>
                <w:lang w:eastAsia="en-AU"/>
              </w:rPr>
            </w:pPr>
            <w:r w:rsidRPr="00C10545">
              <w:rPr>
                <w:b/>
                <w:bCs/>
                <w:sz w:val="18"/>
                <w:szCs w:val="18"/>
                <w:lang w:eastAsia="en-AU"/>
              </w:rPr>
              <w:t>5 Year Difference ($ 2016)</w:t>
            </w:r>
          </w:p>
        </w:tc>
      </w:tr>
      <w:tr w:rsidR="009A356E" w:rsidRPr="003B5E14" w14:paraId="11BB4436" w14:textId="77777777" w:rsidTr="009A356E">
        <w:trPr>
          <w:trHeight w:val="255"/>
        </w:trPr>
        <w:tc>
          <w:tcPr>
            <w:tcW w:w="920" w:type="pct"/>
            <w:tcBorders>
              <w:top w:val="nil"/>
              <w:left w:val="single" w:sz="4" w:space="0" w:color="auto"/>
              <w:bottom w:val="single" w:sz="4" w:space="0" w:color="auto"/>
              <w:right w:val="single" w:sz="4" w:space="0" w:color="auto"/>
            </w:tcBorders>
            <w:shd w:val="clear" w:color="auto" w:fill="auto"/>
            <w:noWrap/>
            <w:vAlign w:val="bottom"/>
            <w:hideMark/>
          </w:tcPr>
          <w:p w14:paraId="17238A49" w14:textId="77777777" w:rsidR="009A356E" w:rsidRPr="00C10545" w:rsidRDefault="009A356E" w:rsidP="009A356E">
            <w:pPr>
              <w:rPr>
                <w:b/>
                <w:bCs/>
                <w:sz w:val="18"/>
                <w:szCs w:val="18"/>
                <w:lang w:eastAsia="en-AU"/>
              </w:rPr>
            </w:pPr>
            <w:r w:rsidRPr="00C10545">
              <w:rPr>
                <w:b/>
                <w:bCs/>
                <w:sz w:val="18"/>
                <w:szCs w:val="18"/>
                <w:lang w:eastAsia="en-AU"/>
              </w:rPr>
              <w:t>Small Shires</w:t>
            </w:r>
          </w:p>
        </w:tc>
        <w:tc>
          <w:tcPr>
            <w:tcW w:w="680" w:type="pct"/>
            <w:gridSpan w:val="2"/>
            <w:tcBorders>
              <w:top w:val="nil"/>
              <w:left w:val="nil"/>
              <w:bottom w:val="single" w:sz="4" w:space="0" w:color="auto"/>
              <w:right w:val="single" w:sz="4" w:space="0" w:color="auto"/>
            </w:tcBorders>
            <w:shd w:val="clear" w:color="000000" w:fill="000000"/>
            <w:noWrap/>
            <w:vAlign w:val="bottom"/>
            <w:hideMark/>
          </w:tcPr>
          <w:p w14:paraId="497CE038" w14:textId="77777777" w:rsidR="009A356E" w:rsidRPr="00C10545" w:rsidRDefault="009A356E" w:rsidP="009A356E">
            <w:pPr>
              <w:rPr>
                <w:sz w:val="18"/>
                <w:szCs w:val="18"/>
                <w:lang w:eastAsia="en-AU"/>
              </w:rPr>
            </w:pPr>
            <w:r w:rsidRPr="00C10545">
              <w:rPr>
                <w:sz w:val="18"/>
                <w:szCs w:val="18"/>
                <w:lang w:eastAsia="en-AU"/>
              </w:rPr>
              <w:t> </w:t>
            </w:r>
          </w:p>
        </w:tc>
        <w:tc>
          <w:tcPr>
            <w:tcW w:w="680" w:type="pct"/>
            <w:gridSpan w:val="2"/>
            <w:tcBorders>
              <w:top w:val="nil"/>
              <w:left w:val="nil"/>
              <w:bottom w:val="single" w:sz="4" w:space="0" w:color="auto"/>
              <w:right w:val="single" w:sz="4" w:space="0" w:color="auto"/>
            </w:tcBorders>
            <w:shd w:val="clear" w:color="000000" w:fill="000000"/>
            <w:noWrap/>
            <w:vAlign w:val="bottom"/>
            <w:hideMark/>
          </w:tcPr>
          <w:p w14:paraId="56B2AC0B" w14:textId="77777777" w:rsidR="009A356E" w:rsidRPr="00C10545" w:rsidRDefault="009A356E" w:rsidP="009A356E">
            <w:pPr>
              <w:rPr>
                <w:sz w:val="18"/>
                <w:szCs w:val="18"/>
                <w:lang w:eastAsia="en-AU"/>
              </w:rPr>
            </w:pPr>
            <w:r w:rsidRPr="00C10545">
              <w:rPr>
                <w:sz w:val="18"/>
                <w:szCs w:val="18"/>
                <w:lang w:eastAsia="en-AU"/>
              </w:rPr>
              <w:t> </w:t>
            </w:r>
          </w:p>
        </w:tc>
        <w:tc>
          <w:tcPr>
            <w:tcW w:w="680" w:type="pct"/>
            <w:gridSpan w:val="2"/>
            <w:tcBorders>
              <w:top w:val="nil"/>
              <w:left w:val="nil"/>
              <w:bottom w:val="single" w:sz="4" w:space="0" w:color="auto"/>
              <w:right w:val="single" w:sz="4" w:space="0" w:color="auto"/>
            </w:tcBorders>
            <w:shd w:val="clear" w:color="000000" w:fill="000000"/>
            <w:noWrap/>
            <w:vAlign w:val="bottom"/>
            <w:hideMark/>
          </w:tcPr>
          <w:p w14:paraId="1F7F0AD3" w14:textId="77777777" w:rsidR="009A356E" w:rsidRPr="00C10545" w:rsidRDefault="009A356E" w:rsidP="009A356E">
            <w:pPr>
              <w:rPr>
                <w:sz w:val="18"/>
                <w:szCs w:val="18"/>
                <w:lang w:eastAsia="en-AU"/>
              </w:rPr>
            </w:pPr>
            <w:r w:rsidRPr="00C10545">
              <w:rPr>
                <w:sz w:val="18"/>
                <w:szCs w:val="18"/>
                <w:lang w:eastAsia="en-AU"/>
              </w:rPr>
              <w:t> </w:t>
            </w:r>
          </w:p>
        </w:tc>
        <w:tc>
          <w:tcPr>
            <w:tcW w:w="680" w:type="pct"/>
            <w:gridSpan w:val="2"/>
            <w:tcBorders>
              <w:top w:val="nil"/>
              <w:left w:val="nil"/>
              <w:bottom w:val="single" w:sz="4" w:space="0" w:color="auto"/>
              <w:right w:val="single" w:sz="4" w:space="0" w:color="auto"/>
            </w:tcBorders>
            <w:shd w:val="clear" w:color="000000" w:fill="000000"/>
            <w:noWrap/>
            <w:vAlign w:val="bottom"/>
            <w:hideMark/>
          </w:tcPr>
          <w:p w14:paraId="67CEF88C" w14:textId="77777777" w:rsidR="009A356E" w:rsidRPr="00C10545" w:rsidRDefault="009A356E" w:rsidP="009A356E">
            <w:pPr>
              <w:rPr>
                <w:sz w:val="18"/>
                <w:szCs w:val="18"/>
                <w:lang w:eastAsia="en-AU"/>
              </w:rPr>
            </w:pPr>
            <w:r w:rsidRPr="00C10545">
              <w:rPr>
                <w:sz w:val="18"/>
                <w:szCs w:val="18"/>
                <w:lang w:eastAsia="en-AU"/>
              </w:rPr>
              <w:t> </w:t>
            </w:r>
          </w:p>
        </w:tc>
        <w:tc>
          <w:tcPr>
            <w:tcW w:w="680" w:type="pct"/>
            <w:gridSpan w:val="2"/>
            <w:tcBorders>
              <w:top w:val="nil"/>
              <w:left w:val="nil"/>
              <w:bottom w:val="single" w:sz="4" w:space="0" w:color="auto"/>
              <w:right w:val="single" w:sz="4" w:space="0" w:color="auto"/>
            </w:tcBorders>
            <w:shd w:val="clear" w:color="000000" w:fill="000000"/>
            <w:noWrap/>
            <w:vAlign w:val="bottom"/>
            <w:hideMark/>
          </w:tcPr>
          <w:p w14:paraId="0A220009" w14:textId="77777777" w:rsidR="009A356E" w:rsidRPr="00C10545" w:rsidRDefault="009A356E" w:rsidP="009A356E">
            <w:pPr>
              <w:rPr>
                <w:sz w:val="18"/>
                <w:szCs w:val="18"/>
                <w:lang w:eastAsia="en-AU"/>
              </w:rPr>
            </w:pPr>
            <w:r w:rsidRPr="00C10545">
              <w:rPr>
                <w:sz w:val="18"/>
                <w:szCs w:val="18"/>
                <w:lang w:eastAsia="en-AU"/>
              </w:rPr>
              <w:t> </w:t>
            </w:r>
          </w:p>
        </w:tc>
        <w:tc>
          <w:tcPr>
            <w:tcW w:w="680" w:type="pct"/>
            <w:tcBorders>
              <w:top w:val="nil"/>
              <w:left w:val="nil"/>
              <w:bottom w:val="single" w:sz="4" w:space="0" w:color="auto"/>
              <w:right w:val="single" w:sz="4" w:space="0" w:color="auto"/>
            </w:tcBorders>
            <w:shd w:val="clear" w:color="000000" w:fill="000000"/>
          </w:tcPr>
          <w:p w14:paraId="5567FF55" w14:textId="77777777" w:rsidR="009A356E" w:rsidRPr="00C10545" w:rsidRDefault="009A356E" w:rsidP="009A356E">
            <w:pPr>
              <w:rPr>
                <w:sz w:val="18"/>
                <w:szCs w:val="18"/>
                <w:lang w:eastAsia="en-AU"/>
              </w:rPr>
            </w:pPr>
          </w:p>
        </w:tc>
      </w:tr>
      <w:tr w:rsidR="009A356E" w:rsidRPr="003B5E14" w14:paraId="3C8F4D1E" w14:textId="77777777" w:rsidTr="009A356E">
        <w:trPr>
          <w:trHeight w:val="255"/>
        </w:trPr>
        <w:tc>
          <w:tcPr>
            <w:tcW w:w="920" w:type="pct"/>
            <w:tcBorders>
              <w:top w:val="nil"/>
              <w:left w:val="single" w:sz="4" w:space="0" w:color="auto"/>
              <w:bottom w:val="single" w:sz="4" w:space="0" w:color="auto"/>
              <w:right w:val="single" w:sz="4" w:space="0" w:color="auto"/>
            </w:tcBorders>
            <w:shd w:val="clear" w:color="auto" w:fill="auto"/>
            <w:noWrap/>
            <w:vAlign w:val="bottom"/>
            <w:hideMark/>
          </w:tcPr>
          <w:p w14:paraId="58348769" w14:textId="77777777" w:rsidR="009A356E" w:rsidRPr="00C10545" w:rsidRDefault="009A356E" w:rsidP="009A356E">
            <w:pPr>
              <w:rPr>
                <w:sz w:val="18"/>
                <w:szCs w:val="18"/>
                <w:lang w:eastAsia="en-AU"/>
              </w:rPr>
            </w:pPr>
            <w:r>
              <w:rPr>
                <w:sz w:val="18"/>
                <w:szCs w:val="18"/>
                <w:lang w:eastAsia="en-AU"/>
              </w:rPr>
              <w:t xml:space="preserve"> </w:t>
            </w:r>
            <w:r w:rsidRPr="00C10545">
              <w:rPr>
                <w:sz w:val="18"/>
                <w:szCs w:val="18"/>
                <w:lang w:eastAsia="en-AU"/>
              </w:rPr>
              <w:t>Alpine</w:t>
            </w:r>
          </w:p>
        </w:tc>
        <w:tc>
          <w:tcPr>
            <w:tcW w:w="680" w:type="pct"/>
            <w:gridSpan w:val="2"/>
            <w:tcBorders>
              <w:top w:val="nil"/>
              <w:left w:val="nil"/>
              <w:bottom w:val="single" w:sz="4" w:space="0" w:color="auto"/>
              <w:right w:val="single" w:sz="4" w:space="0" w:color="auto"/>
            </w:tcBorders>
            <w:shd w:val="clear" w:color="auto" w:fill="auto"/>
            <w:noWrap/>
            <w:vAlign w:val="bottom"/>
            <w:hideMark/>
          </w:tcPr>
          <w:p w14:paraId="723B9F08" w14:textId="77777777" w:rsidR="009A356E" w:rsidRPr="00C10545" w:rsidRDefault="009A356E" w:rsidP="009A356E">
            <w:pPr>
              <w:jc w:val="right"/>
              <w:rPr>
                <w:sz w:val="18"/>
                <w:szCs w:val="18"/>
                <w:lang w:eastAsia="en-AU"/>
              </w:rPr>
            </w:pPr>
            <w:r w:rsidRPr="00C10545">
              <w:rPr>
                <w:sz w:val="18"/>
                <w:szCs w:val="18"/>
                <w:lang w:eastAsia="en-AU"/>
              </w:rPr>
              <w:t>13,358</w:t>
            </w:r>
          </w:p>
        </w:tc>
        <w:tc>
          <w:tcPr>
            <w:tcW w:w="680" w:type="pct"/>
            <w:gridSpan w:val="2"/>
            <w:tcBorders>
              <w:top w:val="nil"/>
              <w:left w:val="nil"/>
              <w:bottom w:val="single" w:sz="4" w:space="0" w:color="auto"/>
              <w:right w:val="single" w:sz="4" w:space="0" w:color="auto"/>
            </w:tcBorders>
            <w:shd w:val="clear" w:color="auto" w:fill="auto"/>
            <w:noWrap/>
            <w:vAlign w:val="bottom"/>
            <w:hideMark/>
          </w:tcPr>
          <w:p w14:paraId="7450F894" w14:textId="77777777" w:rsidR="009A356E" w:rsidRPr="00C10545" w:rsidRDefault="009A356E" w:rsidP="009A356E">
            <w:pPr>
              <w:jc w:val="right"/>
              <w:rPr>
                <w:sz w:val="18"/>
                <w:szCs w:val="18"/>
                <w:lang w:eastAsia="en-AU"/>
              </w:rPr>
            </w:pPr>
            <w:r w:rsidRPr="00C10545">
              <w:rPr>
                <w:sz w:val="18"/>
                <w:szCs w:val="18"/>
                <w:lang w:eastAsia="en-AU"/>
              </w:rPr>
              <w:t>-69,138</w:t>
            </w:r>
          </w:p>
        </w:tc>
        <w:tc>
          <w:tcPr>
            <w:tcW w:w="680" w:type="pct"/>
            <w:gridSpan w:val="2"/>
            <w:tcBorders>
              <w:top w:val="nil"/>
              <w:left w:val="nil"/>
              <w:bottom w:val="single" w:sz="4" w:space="0" w:color="auto"/>
              <w:right w:val="single" w:sz="4" w:space="0" w:color="auto"/>
            </w:tcBorders>
            <w:shd w:val="clear" w:color="auto" w:fill="auto"/>
            <w:noWrap/>
            <w:vAlign w:val="bottom"/>
            <w:hideMark/>
          </w:tcPr>
          <w:p w14:paraId="615D3D93" w14:textId="77777777" w:rsidR="009A356E" w:rsidRPr="00C10545" w:rsidRDefault="009A356E" w:rsidP="009A356E">
            <w:pPr>
              <w:jc w:val="right"/>
              <w:rPr>
                <w:sz w:val="18"/>
                <w:szCs w:val="18"/>
                <w:lang w:eastAsia="en-AU"/>
              </w:rPr>
            </w:pPr>
            <w:r w:rsidRPr="00C10545">
              <w:rPr>
                <w:sz w:val="18"/>
                <w:szCs w:val="18"/>
                <w:lang w:eastAsia="en-AU"/>
              </w:rPr>
              <w:t>-68,886</w:t>
            </w:r>
          </w:p>
        </w:tc>
        <w:tc>
          <w:tcPr>
            <w:tcW w:w="680" w:type="pct"/>
            <w:gridSpan w:val="2"/>
            <w:tcBorders>
              <w:top w:val="nil"/>
              <w:left w:val="nil"/>
              <w:bottom w:val="single" w:sz="4" w:space="0" w:color="auto"/>
              <w:right w:val="single" w:sz="4" w:space="0" w:color="auto"/>
            </w:tcBorders>
            <w:shd w:val="clear" w:color="auto" w:fill="auto"/>
            <w:noWrap/>
            <w:vAlign w:val="bottom"/>
            <w:hideMark/>
          </w:tcPr>
          <w:p w14:paraId="51101B53" w14:textId="77777777" w:rsidR="009A356E" w:rsidRPr="00C10545" w:rsidRDefault="009A356E" w:rsidP="009A356E">
            <w:pPr>
              <w:jc w:val="right"/>
              <w:rPr>
                <w:sz w:val="18"/>
                <w:szCs w:val="18"/>
                <w:lang w:eastAsia="en-AU"/>
              </w:rPr>
            </w:pPr>
            <w:r w:rsidRPr="00C10545">
              <w:rPr>
                <w:sz w:val="18"/>
                <w:szCs w:val="18"/>
                <w:lang w:eastAsia="en-AU"/>
              </w:rPr>
              <w:t>-89,878</w:t>
            </w:r>
          </w:p>
        </w:tc>
        <w:tc>
          <w:tcPr>
            <w:tcW w:w="680" w:type="pct"/>
            <w:gridSpan w:val="2"/>
            <w:tcBorders>
              <w:top w:val="nil"/>
              <w:left w:val="nil"/>
              <w:bottom w:val="single" w:sz="4" w:space="0" w:color="auto"/>
              <w:right w:val="single" w:sz="4" w:space="0" w:color="auto"/>
            </w:tcBorders>
            <w:shd w:val="clear" w:color="auto" w:fill="auto"/>
            <w:noWrap/>
            <w:vAlign w:val="bottom"/>
            <w:hideMark/>
          </w:tcPr>
          <w:p w14:paraId="71F520B5" w14:textId="77777777" w:rsidR="009A356E" w:rsidRPr="00C10545" w:rsidRDefault="009A356E" w:rsidP="009A356E">
            <w:pPr>
              <w:jc w:val="right"/>
              <w:rPr>
                <w:sz w:val="18"/>
                <w:szCs w:val="18"/>
                <w:lang w:eastAsia="en-AU"/>
              </w:rPr>
            </w:pPr>
            <w:r w:rsidRPr="00C10545">
              <w:rPr>
                <w:sz w:val="18"/>
                <w:szCs w:val="18"/>
                <w:lang w:eastAsia="en-AU"/>
              </w:rPr>
              <w:t>-212,202</w:t>
            </w:r>
          </w:p>
        </w:tc>
        <w:tc>
          <w:tcPr>
            <w:tcW w:w="680" w:type="pct"/>
            <w:tcBorders>
              <w:top w:val="nil"/>
              <w:left w:val="nil"/>
              <w:bottom w:val="single" w:sz="4" w:space="0" w:color="auto"/>
              <w:right w:val="single" w:sz="4" w:space="0" w:color="auto"/>
            </w:tcBorders>
            <w:vAlign w:val="bottom"/>
          </w:tcPr>
          <w:p w14:paraId="63F4AC9F" w14:textId="77777777" w:rsidR="009A356E" w:rsidRPr="00C10545" w:rsidRDefault="009A356E" w:rsidP="009A356E">
            <w:pPr>
              <w:jc w:val="right"/>
              <w:rPr>
                <w:sz w:val="18"/>
                <w:szCs w:val="18"/>
                <w:lang w:eastAsia="en-AU"/>
              </w:rPr>
            </w:pPr>
            <w:r w:rsidRPr="00C10545">
              <w:rPr>
                <w:sz w:val="18"/>
                <w:szCs w:val="18"/>
                <w:lang w:eastAsia="en-AU"/>
              </w:rPr>
              <w:t>-433,195</w:t>
            </w:r>
          </w:p>
        </w:tc>
      </w:tr>
      <w:tr w:rsidR="009A356E" w:rsidRPr="003B5E14" w14:paraId="0B05AAA7" w14:textId="77777777" w:rsidTr="009A356E">
        <w:trPr>
          <w:trHeight w:val="255"/>
        </w:trPr>
        <w:tc>
          <w:tcPr>
            <w:tcW w:w="920" w:type="pct"/>
            <w:tcBorders>
              <w:top w:val="nil"/>
              <w:left w:val="single" w:sz="4" w:space="0" w:color="auto"/>
              <w:bottom w:val="single" w:sz="4" w:space="0" w:color="auto"/>
              <w:right w:val="single" w:sz="4" w:space="0" w:color="auto"/>
            </w:tcBorders>
            <w:shd w:val="clear" w:color="auto" w:fill="auto"/>
            <w:noWrap/>
            <w:vAlign w:val="bottom"/>
            <w:hideMark/>
          </w:tcPr>
          <w:p w14:paraId="608E4D51" w14:textId="77777777" w:rsidR="009A356E" w:rsidRPr="00C10545" w:rsidRDefault="009A356E" w:rsidP="009A356E">
            <w:pPr>
              <w:rPr>
                <w:sz w:val="18"/>
                <w:szCs w:val="18"/>
                <w:lang w:eastAsia="en-AU"/>
              </w:rPr>
            </w:pPr>
            <w:r w:rsidRPr="00C10545">
              <w:rPr>
                <w:sz w:val="18"/>
                <w:szCs w:val="18"/>
                <w:lang w:eastAsia="en-AU"/>
              </w:rPr>
              <w:t>Bass Coast</w:t>
            </w:r>
          </w:p>
        </w:tc>
        <w:tc>
          <w:tcPr>
            <w:tcW w:w="680" w:type="pct"/>
            <w:gridSpan w:val="2"/>
            <w:tcBorders>
              <w:top w:val="nil"/>
              <w:left w:val="nil"/>
              <w:bottom w:val="single" w:sz="4" w:space="0" w:color="auto"/>
              <w:right w:val="single" w:sz="4" w:space="0" w:color="auto"/>
            </w:tcBorders>
            <w:shd w:val="clear" w:color="auto" w:fill="auto"/>
            <w:noWrap/>
            <w:vAlign w:val="bottom"/>
            <w:hideMark/>
          </w:tcPr>
          <w:p w14:paraId="4E38F8F6" w14:textId="77777777" w:rsidR="009A356E" w:rsidRPr="00C10545" w:rsidRDefault="009A356E" w:rsidP="009A356E">
            <w:pPr>
              <w:jc w:val="right"/>
              <w:rPr>
                <w:sz w:val="18"/>
                <w:szCs w:val="18"/>
                <w:lang w:eastAsia="en-AU"/>
              </w:rPr>
            </w:pPr>
            <w:r w:rsidRPr="00C10545">
              <w:rPr>
                <w:sz w:val="18"/>
                <w:szCs w:val="18"/>
                <w:lang w:eastAsia="en-AU"/>
              </w:rPr>
              <w:t>133,378</w:t>
            </w:r>
          </w:p>
        </w:tc>
        <w:tc>
          <w:tcPr>
            <w:tcW w:w="680" w:type="pct"/>
            <w:gridSpan w:val="2"/>
            <w:tcBorders>
              <w:top w:val="nil"/>
              <w:left w:val="nil"/>
              <w:bottom w:val="single" w:sz="4" w:space="0" w:color="auto"/>
              <w:right w:val="single" w:sz="4" w:space="0" w:color="auto"/>
            </w:tcBorders>
            <w:shd w:val="clear" w:color="auto" w:fill="auto"/>
            <w:noWrap/>
            <w:vAlign w:val="bottom"/>
            <w:hideMark/>
          </w:tcPr>
          <w:p w14:paraId="7AB3DBB7" w14:textId="77777777" w:rsidR="009A356E" w:rsidRPr="00C10545" w:rsidRDefault="009A356E" w:rsidP="009A356E">
            <w:pPr>
              <w:jc w:val="right"/>
              <w:rPr>
                <w:sz w:val="18"/>
                <w:szCs w:val="18"/>
                <w:lang w:eastAsia="en-AU"/>
              </w:rPr>
            </w:pPr>
            <w:r w:rsidRPr="00C10545">
              <w:rPr>
                <w:sz w:val="18"/>
                <w:szCs w:val="18"/>
                <w:lang w:eastAsia="en-AU"/>
              </w:rPr>
              <w:t>-84,938</w:t>
            </w:r>
          </w:p>
        </w:tc>
        <w:tc>
          <w:tcPr>
            <w:tcW w:w="680" w:type="pct"/>
            <w:gridSpan w:val="2"/>
            <w:tcBorders>
              <w:top w:val="nil"/>
              <w:left w:val="nil"/>
              <w:bottom w:val="single" w:sz="4" w:space="0" w:color="auto"/>
              <w:right w:val="single" w:sz="4" w:space="0" w:color="auto"/>
            </w:tcBorders>
            <w:shd w:val="clear" w:color="auto" w:fill="auto"/>
            <w:noWrap/>
            <w:vAlign w:val="bottom"/>
            <w:hideMark/>
          </w:tcPr>
          <w:p w14:paraId="61010054" w14:textId="77777777" w:rsidR="009A356E" w:rsidRPr="00C10545" w:rsidRDefault="009A356E" w:rsidP="009A356E">
            <w:pPr>
              <w:jc w:val="right"/>
              <w:rPr>
                <w:sz w:val="18"/>
                <w:szCs w:val="18"/>
                <w:lang w:eastAsia="en-AU"/>
              </w:rPr>
            </w:pPr>
            <w:r w:rsidRPr="00C10545">
              <w:rPr>
                <w:sz w:val="18"/>
                <w:szCs w:val="18"/>
                <w:lang w:eastAsia="en-AU"/>
              </w:rPr>
              <w:t>-271,062</w:t>
            </w:r>
          </w:p>
        </w:tc>
        <w:tc>
          <w:tcPr>
            <w:tcW w:w="680" w:type="pct"/>
            <w:gridSpan w:val="2"/>
            <w:tcBorders>
              <w:top w:val="nil"/>
              <w:left w:val="nil"/>
              <w:bottom w:val="single" w:sz="4" w:space="0" w:color="auto"/>
              <w:right w:val="single" w:sz="4" w:space="0" w:color="auto"/>
            </w:tcBorders>
            <w:shd w:val="clear" w:color="auto" w:fill="auto"/>
            <w:noWrap/>
            <w:vAlign w:val="bottom"/>
            <w:hideMark/>
          </w:tcPr>
          <w:p w14:paraId="7E76724D" w14:textId="77777777" w:rsidR="009A356E" w:rsidRPr="00C10545" w:rsidRDefault="009A356E" w:rsidP="009A356E">
            <w:pPr>
              <w:jc w:val="right"/>
              <w:rPr>
                <w:sz w:val="18"/>
                <w:szCs w:val="18"/>
                <w:lang w:eastAsia="en-AU"/>
              </w:rPr>
            </w:pPr>
            <w:r w:rsidRPr="00C10545">
              <w:rPr>
                <w:sz w:val="18"/>
                <w:szCs w:val="18"/>
                <w:lang w:eastAsia="en-AU"/>
              </w:rPr>
              <w:t>-424,327</w:t>
            </w:r>
          </w:p>
        </w:tc>
        <w:tc>
          <w:tcPr>
            <w:tcW w:w="680" w:type="pct"/>
            <w:gridSpan w:val="2"/>
            <w:tcBorders>
              <w:top w:val="nil"/>
              <w:left w:val="nil"/>
              <w:bottom w:val="single" w:sz="4" w:space="0" w:color="auto"/>
              <w:right w:val="single" w:sz="4" w:space="0" w:color="auto"/>
            </w:tcBorders>
            <w:shd w:val="clear" w:color="auto" w:fill="auto"/>
            <w:noWrap/>
            <w:vAlign w:val="bottom"/>
            <w:hideMark/>
          </w:tcPr>
          <w:p w14:paraId="210BE15F" w14:textId="77777777" w:rsidR="009A356E" w:rsidRPr="00C10545" w:rsidRDefault="009A356E" w:rsidP="009A356E">
            <w:pPr>
              <w:jc w:val="right"/>
              <w:rPr>
                <w:sz w:val="18"/>
                <w:szCs w:val="18"/>
                <w:lang w:eastAsia="en-AU"/>
              </w:rPr>
            </w:pPr>
            <w:r w:rsidRPr="00C10545">
              <w:rPr>
                <w:sz w:val="18"/>
                <w:szCs w:val="18"/>
                <w:lang w:eastAsia="en-AU"/>
              </w:rPr>
              <w:t>-704,620</w:t>
            </w:r>
          </w:p>
        </w:tc>
        <w:tc>
          <w:tcPr>
            <w:tcW w:w="680" w:type="pct"/>
            <w:tcBorders>
              <w:top w:val="nil"/>
              <w:left w:val="nil"/>
              <w:bottom w:val="single" w:sz="4" w:space="0" w:color="auto"/>
              <w:right w:val="single" w:sz="4" w:space="0" w:color="auto"/>
            </w:tcBorders>
            <w:vAlign w:val="bottom"/>
          </w:tcPr>
          <w:p w14:paraId="5FD1B47B" w14:textId="77777777" w:rsidR="009A356E" w:rsidRPr="00C10545" w:rsidRDefault="009A356E" w:rsidP="009A356E">
            <w:pPr>
              <w:jc w:val="right"/>
              <w:rPr>
                <w:sz w:val="18"/>
                <w:szCs w:val="18"/>
                <w:lang w:eastAsia="en-AU"/>
              </w:rPr>
            </w:pPr>
            <w:r w:rsidRPr="00C10545">
              <w:rPr>
                <w:sz w:val="18"/>
                <w:szCs w:val="18"/>
                <w:lang w:eastAsia="en-AU"/>
              </w:rPr>
              <w:t>-1,360,373</w:t>
            </w:r>
          </w:p>
        </w:tc>
      </w:tr>
      <w:tr w:rsidR="009A356E" w:rsidRPr="003B5E14" w14:paraId="79B0E3C0" w14:textId="77777777" w:rsidTr="009A356E">
        <w:trPr>
          <w:trHeight w:val="255"/>
        </w:trPr>
        <w:tc>
          <w:tcPr>
            <w:tcW w:w="920" w:type="pct"/>
            <w:tcBorders>
              <w:top w:val="nil"/>
              <w:left w:val="single" w:sz="4" w:space="0" w:color="auto"/>
              <w:bottom w:val="single" w:sz="4" w:space="0" w:color="auto"/>
              <w:right w:val="single" w:sz="4" w:space="0" w:color="auto"/>
            </w:tcBorders>
            <w:shd w:val="clear" w:color="auto" w:fill="auto"/>
            <w:noWrap/>
            <w:vAlign w:val="bottom"/>
            <w:hideMark/>
          </w:tcPr>
          <w:p w14:paraId="73708595" w14:textId="77777777" w:rsidR="009A356E" w:rsidRPr="00C10545" w:rsidRDefault="009A356E" w:rsidP="009A356E">
            <w:pPr>
              <w:rPr>
                <w:sz w:val="18"/>
                <w:szCs w:val="18"/>
                <w:lang w:eastAsia="en-AU"/>
              </w:rPr>
            </w:pPr>
            <w:proofErr w:type="spellStart"/>
            <w:r w:rsidRPr="00C10545">
              <w:rPr>
                <w:sz w:val="18"/>
                <w:szCs w:val="18"/>
                <w:lang w:eastAsia="en-AU"/>
              </w:rPr>
              <w:t>Buloke</w:t>
            </w:r>
            <w:proofErr w:type="spellEnd"/>
          </w:p>
        </w:tc>
        <w:tc>
          <w:tcPr>
            <w:tcW w:w="680" w:type="pct"/>
            <w:gridSpan w:val="2"/>
            <w:tcBorders>
              <w:top w:val="nil"/>
              <w:left w:val="nil"/>
              <w:bottom w:val="single" w:sz="4" w:space="0" w:color="auto"/>
              <w:right w:val="single" w:sz="4" w:space="0" w:color="auto"/>
            </w:tcBorders>
            <w:shd w:val="clear" w:color="auto" w:fill="auto"/>
            <w:noWrap/>
            <w:vAlign w:val="bottom"/>
            <w:hideMark/>
          </w:tcPr>
          <w:p w14:paraId="3EC198D2" w14:textId="77777777" w:rsidR="009A356E" w:rsidRPr="00C10545" w:rsidRDefault="009A356E" w:rsidP="009A356E">
            <w:pPr>
              <w:jc w:val="right"/>
              <w:rPr>
                <w:sz w:val="18"/>
                <w:szCs w:val="18"/>
                <w:lang w:eastAsia="en-AU"/>
              </w:rPr>
            </w:pPr>
            <w:r w:rsidRPr="00C10545">
              <w:rPr>
                <w:sz w:val="18"/>
                <w:szCs w:val="18"/>
                <w:lang w:eastAsia="en-AU"/>
              </w:rPr>
              <w:t>93,595</w:t>
            </w:r>
          </w:p>
        </w:tc>
        <w:tc>
          <w:tcPr>
            <w:tcW w:w="680" w:type="pct"/>
            <w:gridSpan w:val="2"/>
            <w:tcBorders>
              <w:top w:val="nil"/>
              <w:left w:val="nil"/>
              <w:bottom w:val="single" w:sz="4" w:space="0" w:color="auto"/>
              <w:right w:val="single" w:sz="4" w:space="0" w:color="auto"/>
            </w:tcBorders>
            <w:shd w:val="clear" w:color="auto" w:fill="auto"/>
            <w:noWrap/>
            <w:vAlign w:val="bottom"/>
            <w:hideMark/>
          </w:tcPr>
          <w:p w14:paraId="24107526" w14:textId="77777777" w:rsidR="009A356E" w:rsidRPr="00C10545" w:rsidRDefault="009A356E" w:rsidP="009A356E">
            <w:pPr>
              <w:jc w:val="right"/>
              <w:rPr>
                <w:sz w:val="18"/>
                <w:szCs w:val="18"/>
                <w:lang w:eastAsia="en-AU"/>
              </w:rPr>
            </w:pPr>
            <w:r w:rsidRPr="00C10545">
              <w:rPr>
                <w:sz w:val="18"/>
                <w:szCs w:val="18"/>
                <w:lang w:eastAsia="en-AU"/>
              </w:rPr>
              <w:t>165,857</w:t>
            </w:r>
          </w:p>
        </w:tc>
        <w:tc>
          <w:tcPr>
            <w:tcW w:w="680" w:type="pct"/>
            <w:gridSpan w:val="2"/>
            <w:tcBorders>
              <w:top w:val="nil"/>
              <w:left w:val="nil"/>
              <w:bottom w:val="single" w:sz="4" w:space="0" w:color="auto"/>
              <w:right w:val="single" w:sz="4" w:space="0" w:color="auto"/>
            </w:tcBorders>
            <w:shd w:val="clear" w:color="auto" w:fill="auto"/>
            <w:noWrap/>
            <w:vAlign w:val="bottom"/>
            <w:hideMark/>
          </w:tcPr>
          <w:p w14:paraId="266B09E0" w14:textId="77777777" w:rsidR="009A356E" w:rsidRPr="00C10545" w:rsidRDefault="009A356E" w:rsidP="009A356E">
            <w:pPr>
              <w:jc w:val="right"/>
              <w:rPr>
                <w:sz w:val="18"/>
                <w:szCs w:val="18"/>
                <w:lang w:eastAsia="en-AU"/>
              </w:rPr>
            </w:pPr>
            <w:r w:rsidRPr="00C10545">
              <w:rPr>
                <w:sz w:val="18"/>
                <w:szCs w:val="18"/>
                <w:lang w:eastAsia="en-AU"/>
              </w:rPr>
              <w:t>409,675</w:t>
            </w:r>
          </w:p>
        </w:tc>
        <w:tc>
          <w:tcPr>
            <w:tcW w:w="680" w:type="pct"/>
            <w:gridSpan w:val="2"/>
            <w:tcBorders>
              <w:top w:val="nil"/>
              <w:left w:val="nil"/>
              <w:bottom w:val="single" w:sz="4" w:space="0" w:color="auto"/>
              <w:right w:val="single" w:sz="4" w:space="0" w:color="auto"/>
            </w:tcBorders>
            <w:shd w:val="clear" w:color="auto" w:fill="auto"/>
            <w:noWrap/>
            <w:vAlign w:val="bottom"/>
            <w:hideMark/>
          </w:tcPr>
          <w:p w14:paraId="73668C65" w14:textId="77777777" w:rsidR="009A356E" w:rsidRPr="00C10545" w:rsidRDefault="009A356E" w:rsidP="009A356E">
            <w:pPr>
              <w:jc w:val="right"/>
              <w:rPr>
                <w:sz w:val="18"/>
                <w:szCs w:val="18"/>
                <w:lang w:eastAsia="en-AU"/>
              </w:rPr>
            </w:pPr>
            <w:r w:rsidRPr="00C10545">
              <w:rPr>
                <w:sz w:val="18"/>
                <w:szCs w:val="18"/>
                <w:lang w:eastAsia="en-AU"/>
              </w:rPr>
              <w:t>632,589</w:t>
            </w:r>
          </w:p>
        </w:tc>
        <w:tc>
          <w:tcPr>
            <w:tcW w:w="680" w:type="pct"/>
            <w:gridSpan w:val="2"/>
            <w:tcBorders>
              <w:top w:val="nil"/>
              <w:left w:val="nil"/>
              <w:bottom w:val="single" w:sz="4" w:space="0" w:color="auto"/>
              <w:right w:val="single" w:sz="4" w:space="0" w:color="auto"/>
            </w:tcBorders>
            <w:shd w:val="clear" w:color="auto" w:fill="auto"/>
            <w:noWrap/>
            <w:vAlign w:val="bottom"/>
            <w:hideMark/>
          </w:tcPr>
          <w:p w14:paraId="4024FD78" w14:textId="77777777" w:rsidR="009A356E" w:rsidRPr="00C10545" w:rsidRDefault="009A356E" w:rsidP="009A356E">
            <w:pPr>
              <w:jc w:val="right"/>
              <w:rPr>
                <w:sz w:val="18"/>
                <w:szCs w:val="18"/>
                <w:lang w:eastAsia="en-AU"/>
              </w:rPr>
            </w:pPr>
            <w:r w:rsidRPr="00C10545">
              <w:rPr>
                <w:sz w:val="18"/>
                <w:szCs w:val="18"/>
                <w:lang w:eastAsia="en-AU"/>
              </w:rPr>
              <w:t>760,511</w:t>
            </w:r>
          </w:p>
        </w:tc>
        <w:tc>
          <w:tcPr>
            <w:tcW w:w="680" w:type="pct"/>
            <w:tcBorders>
              <w:top w:val="nil"/>
              <w:left w:val="nil"/>
              <w:bottom w:val="single" w:sz="4" w:space="0" w:color="auto"/>
              <w:right w:val="single" w:sz="4" w:space="0" w:color="auto"/>
            </w:tcBorders>
            <w:vAlign w:val="bottom"/>
          </w:tcPr>
          <w:p w14:paraId="661CCB52" w14:textId="77777777" w:rsidR="009A356E" w:rsidRPr="00C10545" w:rsidRDefault="009A356E" w:rsidP="009A356E">
            <w:pPr>
              <w:jc w:val="right"/>
              <w:rPr>
                <w:sz w:val="18"/>
                <w:szCs w:val="18"/>
                <w:lang w:eastAsia="en-AU"/>
              </w:rPr>
            </w:pPr>
            <w:r w:rsidRPr="00C10545">
              <w:rPr>
                <w:sz w:val="18"/>
                <w:szCs w:val="18"/>
                <w:lang w:eastAsia="en-AU"/>
              </w:rPr>
              <w:t>2,101,757</w:t>
            </w:r>
          </w:p>
        </w:tc>
      </w:tr>
      <w:tr w:rsidR="009A356E" w:rsidRPr="003B5E14" w14:paraId="6A4CAB00" w14:textId="77777777" w:rsidTr="009A356E">
        <w:trPr>
          <w:trHeight w:val="255"/>
        </w:trPr>
        <w:tc>
          <w:tcPr>
            <w:tcW w:w="920" w:type="pct"/>
            <w:tcBorders>
              <w:top w:val="nil"/>
              <w:left w:val="single" w:sz="4" w:space="0" w:color="auto"/>
              <w:bottom w:val="single" w:sz="4" w:space="0" w:color="auto"/>
              <w:right w:val="single" w:sz="4" w:space="0" w:color="auto"/>
            </w:tcBorders>
            <w:shd w:val="clear" w:color="auto" w:fill="auto"/>
            <w:noWrap/>
            <w:vAlign w:val="bottom"/>
            <w:hideMark/>
          </w:tcPr>
          <w:p w14:paraId="121E2A39" w14:textId="77777777" w:rsidR="009A356E" w:rsidRPr="00C10545" w:rsidRDefault="009A356E" w:rsidP="009A356E">
            <w:pPr>
              <w:rPr>
                <w:sz w:val="18"/>
                <w:szCs w:val="18"/>
                <w:lang w:eastAsia="en-AU"/>
              </w:rPr>
            </w:pPr>
            <w:r w:rsidRPr="00C10545">
              <w:rPr>
                <w:sz w:val="18"/>
                <w:szCs w:val="18"/>
                <w:lang w:eastAsia="en-AU"/>
              </w:rPr>
              <w:t>Golden Plains</w:t>
            </w:r>
          </w:p>
        </w:tc>
        <w:tc>
          <w:tcPr>
            <w:tcW w:w="680" w:type="pct"/>
            <w:gridSpan w:val="2"/>
            <w:tcBorders>
              <w:top w:val="nil"/>
              <w:left w:val="nil"/>
              <w:bottom w:val="single" w:sz="4" w:space="0" w:color="auto"/>
              <w:right w:val="single" w:sz="4" w:space="0" w:color="auto"/>
            </w:tcBorders>
            <w:shd w:val="clear" w:color="auto" w:fill="auto"/>
            <w:noWrap/>
            <w:vAlign w:val="bottom"/>
            <w:hideMark/>
          </w:tcPr>
          <w:p w14:paraId="2A468EB8" w14:textId="77777777" w:rsidR="009A356E" w:rsidRPr="00C10545" w:rsidRDefault="009A356E" w:rsidP="009A356E">
            <w:pPr>
              <w:jc w:val="right"/>
              <w:rPr>
                <w:sz w:val="18"/>
                <w:szCs w:val="18"/>
                <w:lang w:eastAsia="en-AU"/>
              </w:rPr>
            </w:pPr>
            <w:r w:rsidRPr="00C10545">
              <w:rPr>
                <w:sz w:val="18"/>
                <w:szCs w:val="18"/>
                <w:lang w:eastAsia="en-AU"/>
              </w:rPr>
              <w:t>-102,351</w:t>
            </w:r>
          </w:p>
        </w:tc>
        <w:tc>
          <w:tcPr>
            <w:tcW w:w="680" w:type="pct"/>
            <w:gridSpan w:val="2"/>
            <w:tcBorders>
              <w:top w:val="nil"/>
              <w:left w:val="nil"/>
              <w:bottom w:val="single" w:sz="4" w:space="0" w:color="auto"/>
              <w:right w:val="single" w:sz="4" w:space="0" w:color="auto"/>
            </w:tcBorders>
            <w:shd w:val="clear" w:color="auto" w:fill="auto"/>
            <w:noWrap/>
            <w:vAlign w:val="bottom"/>
            <w:hideMark/>
          </w:tcPr>
          <w:p w14:paraId="6FDE03A7" w14:textId="77777777" w:rsidR="009A356E" w:rsidRPr="00C10545" w:rsidRDefault="009A356E" w:rsidP="009A356E">
            <w:pPr>
              <w:jc w:val="right"/>
              <w:rPr>
                <w:sz w:val="18"/>
                <w:szCs w:val="18"/>
                <w:lang w:eastAsia="en-AU"/>
              </w:rPr>
            </w:pPr>
            <w:r w:rsidRPr="00C10545">
              <w:rPr>
                <w:sz w:val="18"/>
                <w:szCs w:val="18"/>
                <w:lang w:eastAsia="en-AU"/>
              </w:rPr>
              <w:t>-180,687</w:t>
            </w:r>
          </w:p>
        </w:tc>
        <w:tc>
          <w:tcPr>
            <w:tcW w:w="680" w:type="pct"/>
            <w:gridSpan w:val="2"/>
            <w:tcBorders>
              <w:top w:val="nil"/>
              <w:left w:val="nil"/>
              <w:bottom w:val="single" w:sz="4" w:space="0" w:color="auto"/>
              <w:right w:val="single" w:sz="4" w:space="0" w:color="auto"/>
            </w:tcBorders>
            <w:shd w:val="clear" w:color="auto" w:fill="auto"/>
            <w:noWrap/>
            <w:vAlign w:val="bottom"/>
            <w:hideMark/>
          </w:tcPr>
          <w:p w14:paraId="333F2391" w14:textId="77777777" w:rsidR="009A356E" w:rsidRPr="00C10545" w:rsidRDefault="009A356E" w:rsidP="009A356E">
            <w:pPr>
              <w:jc w:val="right"/>
              <w:rPr>
                <w:sz w:val="18"/>
                <w:szCs w:val="18"/>
                <w:lang w:eastAsia="en-AU"/>
              </w:rPr>
            </w:pPr>
            <w:r w:rsidRPr="00C10545">
              <w:rPr>
                <w:sz w:val="18"/>
                <w:szCs w:val="18"/>
                <w:lang w:eastAsia="en-AU"/>
              </w:rPr>
              <w:t>-383,448</w:t>
            </w:r>
          </w:p>
        </w:tc>
        <w:tc>
          <w:tcPr>
            <w:tcW w:w="680" w:type="pct"/>
            <w:gridSpan w:val="2"/>
            <w:tcBorders>
              <w:top w:val="nil"/>
              <w:left w:val="nil"/>
              <w:bottom w:val="single" w:sz="4" w:space="0" w:color="auto"/>
              <w:right w:val="single" w:sz="4" w:space="0" w:color="auto"/>
            </w:tcBorders>
            <w:shd w:val="clear" w:color="auto" w:fill="auto"/>
            <w:noWrap/>
            <w:vAlign w:val="bottom"/>
            <w:hideMark/>
          </w:tcPr>
          <w:p w14:paraId="18443BEF" w14:textId="77777777" w:rsidR="009A356E" w:rsidRPr="00C10545" w:rsidRDefault="009A356E" w:rsidP="009A356E">
            <w:pPr>
              <w:jc w:val="right"/>
              <w:rPr>
                <w:sz w:val="18"/>
                <w:szCs w:val="18"/>
                <w:lang w:eastAsia="en-AU"/>
              </w:rPr>
            </w:pPr>
            <w:r w:rsidRPr="00C10545">
              <w:rPr>
                <w:sz w:val="18"/>
                <w:szCs w:val="18"/>
                <w:lang w:eastAsia="en-AU"/>
              </w:rPr>
              <w:t>-482,899</w:t>
            </w:r>
          </w:p>
        </w:tc>
        <w:tc>
          <w:tcPr>
            <w:tcW w:w="680" w:type="pct"/>
            <w:gridSpan w:val="2"/>
            <w:tcBorders>
              <w:top w:val="nil"/>
              <w:left w:val="nil"/>
              <w:bottom w:val="single" w:sz="4" w:space="0" w:color="auto"/>
              <w:right w:val="single" w:sz="4" w:space="0" w:color="auto"/>
            </w:tcBorders>
            <w:shd w:val="clear" w:color="auto" w:fill="auto"/>
            <w:noWrap/>
            <w:vAlign w:val="bottom"/>
            <w:hideMark/>
          </w:tcPr>
          <w:p w14:paraId="0CBBF387" w14:textId="77777777" w:rsidR="009A356E" w:rsidRPr="00C10545" w:rsidRDefault="009A356E" w:rsidP="009A356E">
            <w:pPr>
              <w:jc w:val="right"/>
              <w:rPr>
                <w:sz w:val="18"/>
                <w:szCs w:val="18"/>
                <w:lang w:eastAsia="en-AU"/>
              </w:rPr>
            </w:pPr>
            <w:r w:rsidRPr="00C10545">
              <w:rPr>
                <w:sz w:val="18"/>
                <w:szCs w:val="18"/>
                <w:lang w:eastAsia="en-AU"/>
              </w:rPr>
              <w:t>-751,924</w:t>
            </w:r>
          </w:p>
        </w:tc>
        <w:tc>
          <w:tcPr>
            <w:tcW w:w="680" w:type="pct"/>
            <w:tcBorders>
              <w:top w:val="nil"/>
              <w:left w:val="nil"/>
              <w:bottom w:val="single" w:sz="4" w:space="0" w:color="auto"/>
              <w:right w:val="single" w:sz="4" w:space="0" w:color="auto"/>
            </w:tcBorders>
            <w:vAlign w:val="bottom"/>
          </w:tcPr>
          <w:p w14:paraId="217A4242" w14:textId="77777777" w:rsidR="009A356E" w:rsidRPr="00C10545" w:rsidRDefault="009A356E" w:rsidP="009A356E">
            <w:pPr>
              <w:jc w:val="right"/>
              <w:rPr>
                <w:sz w:val="18"/>
                <w:szCs w:val="18"/>
                <w:lang w:eastAsia="en-AU"/>
              </w:rPr>
            </w:pPr>
            <w:r w:rsidRPr="00C10545">
              <w:rPr>
                <w:sz w:val="18"/>
                <w:szCs w:val="18"/>
                <w:lang w:eastAsia="en-AU"/>
              </w:rPr>
              <w:t>-1,939,341</w:t>
            </w:r>
          </w:p>
        </w:tc>
      </w:tr>
      <w:tr w:rsidR="009A356E" w:rsidRPr="003B5E14" w14:paraId="6FE676A9" w14:textId="77777777" w:rsidTr="009A356E">
        <w:trPr>
          <w:trHeight w:val="255"/>
        </w:trPr>
        <w:tc>
          <w:tcPr>
            <w:tcW w:w="920" w:type="pct"/>
            <w:tcBorders>
              <w:top w:val="nil"/>
              <w:left w:val="single" w:sz="4" w:space="0" w:color="auto"/>
              <w:bottom w:val="single" w:sz="4" w:space="0" w:color="auto"/>
              <w:right w:val="single" w:sz="4" w:space="0" w:color="auto"/>
            </w:tcBorders>
            <w:shd w:val="clear" w:color="auto" w:fill="auto"/>
            <w:noWrap/>
            <w:vAlign w:val="bottom"/>
            <w:hideMark/>
          </w:tcPr>
          <w:p w14:paraId="1A4914B7" w14:textId="77777777" w:rsidR="009A356E" w:rsidRPr="00C10545" w:rsidRDefault="009A356E" w:rsidP="009A356E">
            <w:pPr>
              <w:rPr>
                <w:sz w:val="18"/>
                <w:szCs w:val="18"/>
                <w:lang w:eastAsia="en-AU"/>
              </w:rPr>
            </w:pPr>
            <w:r w:rsidRPr="00C10545">
              <w:rPr>
                <w:sz w:val="18"/>
                <w:szCs w:val="18"/>
                <w:lang w:eastAsia="en-AU"/>
              </w:rPr>
              <w:t>Indigo</w:t>
            </w:r>
          </w:p>
        </w:tc>
        <w:tc>
          <w:tcPr>
            <w:tcW w:w="680" w:type="pct"/>
            <w:gridSpan w:val="2"/>
            <w:tcBorders>
              <w:top w:val="nil"/>
              <w:left w:val="nil"/>
              <w:bottom w:val="single" w:sz="4" w:space="0" w:color="auto"/>
              <w:right w:val="single" w:sz="4" w:space="0" w:color="auto"/>
            </w:tcBorders>
            <w:shd w:val="clear" w:color="auto" w:fill="auto"/>
            <w:noWrap/>
            <w:vAlign w:val="bottom"/>
            <w:hideMark/>
          </w:tcPr>
          <w:p w14:paraId="00AC71AC" w14:textId="77777777" w:rsidR="009A356E" w:rsidRPr="00C10545" w:rsidRDefault="009A356E" w:rsidP="009A356E">
            <w:pPr>
              <w:jc w:val="right"/>
              <w:rPr>
                <w:sz w:val="18"/>
                <w:szCs w:val="18"/>
                <w:lang w:eastAsia="en-AU"/>
              </w:rPr>
            </w:pPr>
            <w:r w:rsidRPr="00C10545">
              <w:rPr>
                <w:sz w:val="18"/>
                <w:szCs w:val="18"/>
                <w:lang w:eastAsia="en-AU"/>
              </w:rPr>
              <w:t>-16,919</w:t>
            </w:r>
          </w:p>
        </w:tc>
        <w:tc>
          <w:tcPr>
            <w:tcW w:w="680" w:type="pct"/>
            <w:gridSpan w:val="2"/>
            <w:tcBorders>
              <w:top w:val="nil"/>
              <w:left w:val="nil"/>
              <w:bottom w:val="single" w:sz="4" w:space="0" w:color="auto"/>
              <w:right w:val="single" w:sz="4" w:space="0" w:color="auto"/>
            </w:tcBorders>
            <w:shd w:val="clear" w:color="auto" w:fill="auto"/>
            <w:noWrap/>
            <w:vAlign w:val="bottom"/>
            <w:hideMark/>
          </w:tcPr>
          <w:p w14:paraId="72918802" w14:textId="77777777" w:rsidR="009A356E" w:rsidRPr="00C10545" w:rsidRDefault="009A356E" w:rsidP="009A356E">
            <w:pPr>
              <w:jc w:val="right"/>
              <w:rPr>
                <w:sz w:val="18"/>
                <w:szCs w:val="18"/>
                <w:lang w:eastAsia="en-AU"/>
              </w:rPr>
            </w:pPr>
            <w:r w:rsidRPr="00C10545">
              <w:rPr>
                <w:sz w:val="18"/>
                <w:szCs w:val="18"/>
                <w:lang w:eastAsia="en-AU"/>
              </w:rPr>
              <w:t>2,379</w:t>
            </w:r>
          </w:p>
        </w:tc>
        <w:tc>
          <w:tcPr>
            <w:tcW w:w="680" w:type="pct"/>
            <w:gridSpan w:val="2"/>
            <w:tcBorders>
              <w:top w:val="nil"/>
              <w:left w:val="nil"/>
              <w:bottom w:val="single" w:sz="4" w:space="0" w:color="auto"/>
              <w:right w:val="single" w:sz="4" w:space="0" w:color="auto"/>
            </w:tcBorders>
            <w:shd w:val="clear" w:color="auto" w:fill="auto"/>
            <w:noWrap/>
            <w:vAlign w:val="bottom"/>
            <w:hideMark/>
          </w:tcPr>
          <w:p w14:paraId="541B9B3B" w14:textId="77777777" w:rsidR="009A356E" w:rsidRPr="00C10545" w:rsidRDefault="009A356E" w:rsidP="009A356E">
            <w:pPr>
              <w:jc w:val="right"/>
              <w:rPr>
                <w:sz w:val="18"/>
                <w:szCs w:val="18"/>
                <w:lang w:eastAsia="en-AU"/>
              </w:rPr>
            </w:pPr>
            <w:r w:rsidRPr="00C10545">
              <w:rPr>
                <w:sz w:val="18"/>
                <w:szCs w:val="18"/>
                <w:lang w:eastAsia="en-AU"/>
              </w:rPr>
              <w:t>2,759</w:t>
            </w:r>
          </w:p>
        </w:tc>
        <w:tc>
          <w:tcPr>
            <w:tcW w:w="680" w:type="pct"/>
            <w:gridSpan w:val="2"/>
            <w:tcBorders>
              <w:top w:val="nil"/>
              <w:left w:val="nil"/>
              <w:bottom w:val="single" w:sz="4" w:space="0" w:color="auto"/>
              <w:right w:val="single" w:sz="4" w:space="0" w:color="auto"/>
            </w:tcBorders>
            <w:shd w:val="clear" w:color="auto" w:fill="auto"/>
            <w:noWrap/>
            <w:vAlign w:val="bottom"/>
            <w:hideMark/>
          </w:tcPr>
          <w:p w14:paraId="421EF808" w14:textId="77777777" w:rsidR="009A356E" w:rsidRPr="00C10545" w:rsidRDefault="009A356E" w:rsidP="009A356E">
            <w:pPr>
              <w:jc w:val="right"/>
              <w:rPr>
                <w:sz w:val="18"/>
                <w:szCs w:val="18"/>
                <w:lang w:eastAsia="en-AU"/>
              </w:rPr>
            </w:pPr>
            <w:r w:rsidRPr="00C10545">
              <w:rPr>
                <w:sz w:val="18"/>
                <w:szCs w:val="18"/>
                <w:lang w:eastAsia="en-AU"/>
              </w:rPr>
              <w:t>-48,828</w:t>
            </w:r>
          </w:p>
        </w:tc>
        <w:tc>
          <w:tcPr>
            <w:tcW w:w="680" w:type="pct"/>
            <w:gridSpan w:val="2"/>
            <w:tcBorders>
              <w:top w:val="nil"/>
              <w:left w:val="nil"/>
              <w:bottom w:val="single" w:sz="4" w:space="0" w:color="auto"/>
              <w:right w:val="single" w:sz="4" w:space="0" w:color="auto"/>
            </w:tcBorders>
            <w:shd w:val="clear" w:color="auto" w:fill="auto"/>
            <w:noWrap/>
            <w:vAlign w:val="bottom"/>
            <w:hideMark/>
          </w:tcPr>
          <w:p w14:paraId="391E1D54" w14:textId="77777777" w:rsidR="009A356E" w:rsidRPr="00C10545" w:rsidRDefault="009A356E" w:rsidP="009A356E">
            <w:pPr>
              <w:jc w:val="right"/>
              <w:rPr>
                <w:sz w:val="18"/>
                <w:szCs w:val="18"/>
                <w:lang w:eastAsia="en-AU"/>
              </w:rPr>
            </w:pPr>
            <w:r w:rsidRPr="00C10545">
              <w:rPr>
                <w:sz w:val="18"/>
                <w:szCs w:val="18"/>
                <w:lang w:eastAsia="en-AU"/>
              </w:rPr>
              <w:t>-245,738</w:t>
            </w:r>
          </w:p>
        </w:tc>
        <w:tc>
          <w:tcPr>
            <w:tcW w:w="680" w:type="pct"/>
            <w:tcBorders>
              <w:top w:val="nil"/>
              <w:left w:val="nil"/>
              <w:bottom w:val="single" w:sz="4" w:space="0" w:color="auto"/>
              <w:right w:val="single" w:sz="4" w:space="0" w:color="auto"/>
            </w:tcBorders>
            <w:vAlign w:val="bottom"/>
          </w:tcPr>
          <w:p w14:paraId="5357F1DC" w14:textId="77777777" w:rsidR="009A356E" w:rsidRPr="00C10545" w:rsidRDefault="009A356E" w:rsidP="009A356E">
            <w:pPr>
              <w:jc w:val="right"/>
              <w:rPr>
                <w:sz w:val="18"/>
                <w:szCs w:val="18"/>
                <w:lang w:eastAsia="en-AU"/>
              </w:rPr>
            </w:pPr>
            <w:r w:rsidRPr="00C10545">
              <w:rPr>
                <w:sz w:val="18"/>
                <w:szCs w:val="18"/>
                <w:lang w:eastAsia="en-AU"/>
              </w:rPr>
              <w:t>-308,256</w:t>
            </w:r>
          </w:p>
        </w:tc>
      </w:tr>
      <w:tr w:rsidR="009A356E" w:rsidRPr="003B5E14" w14:paraId="5BE941A1" w14:textId="77777777" w:rsidTr="009A356E">
        <w:trPr>
          <w:trHeight w:val="255"/>
        </w:trPr>
        <w:tc>
          <w:tcPr>
            <w:tcW w:w="920" w:type="pct"/>
            <w:tcBorders>
              <w:top w:val="nil"/>
              <w:left w:val="single" w:sz="4" w:space="0" w:color="auto"/>
              <w:bottom w:val="single" w:sz="4" w:space="0" w:color="auto"/>
              <w:right w:val="single" w:sz="4" w:space="0" w:color="auto"/>
            </w:tcBorders>
            <w:shd w:val="clear" w:color="auto" w:fill="auto"/>
            <w:noWrap/>
            <w:vAlign w:val="bottom"/>
            <w:hideMark/>
          </w:tcPr>
          <w:p w14:paraId="77632741" w14:textId="77777777" w:rsidR="009A356E" w:rsidRPr="00C10545" w:rsidRDefault="009A356E" w:rsidP="009A356E">
            <w:pPr>
              <w:rPr>
                <w:sz w:val="18"/>
                <w:szCs w:val="18"/>
                <w:lang w:eastAsia="en-AU"/>
              </w:rPr>
            </w:pPr>
            <w:r w:rsidRPr="00C10545">
              <w:rPr>
                <w:sz w:val="18"/>
                <w:szCs w:val="18"/>
                <w:lang w:eastAsia="en-AU"/>
              </w:rPr>
              <w:t>Loddon</w:t>
            </w:r>
          </w:p>
        </w:tc>
        <w:tc>
          <w:tcPr>
            <w:tcW w:w="680" w:type="pct"/>
            <w:gridSpan w:val="2"/>
            <w:tcBorders>
              <w:top w:val="nil"/>
              <w:left w:val="nil"/>
              <w:bottom w:val="single" w:sz="4" w:space="0" w:color="auto"/>
              <w:right w:val="single" w:sz="4" w:space="0" w:color="auto"/>
            </w:tcBorders>
            <w:shd w:val="clear" w:color="auto" w:fill="auto"/>
            <w:noWrap/>
            <w:vAlign w:val="bottom"/>
            <w:hideMark/>
          </w:tcPr>
          <w:p w14:paraId="31E5DE2D" w14:textId="77777777" w:rsidR="009A356E" w:rsidRPr="00C10545" w:rsidRDefault="009A356E" w:rsidP="009A356E">
            <w:pPr>
              <w:jc w:val="right"/>
              <w:rPr>
                <w:sz w:val="18"/>
                <w:szCs w:val="18"/>
                <w:lang w:eastAsia="en-AU"/>
              </w:rPr>
            </w:pPr>
            <w:r w:rsidRPr="00C10545">
              <w:rPr>
                <w:sz w:val="18"/>
                <w:szCs w:val="18"/>
                <w:lang w:eastAsia="en-AU"/>
              </w:rPr>
              <w:t>38,383</w:t>
            </w:r>
          </w:p>
        </w:tc>
        <w:tc>
          <w:tcPr>
            <w:tcW w:w="680" w:type="pct"/>
            <w:gridSpan w:val="2"/>
            <w:tcBorders>
              <w:top w:val="nil"/>
              <w:left w:val="nil"/>
              <w:bottom w:val="single" w:sz="4" w:space="0" w:color="auto"/>
              <w:right w:val="single" w:sz="4" w:space="0" w:color="auto"/>
            </w:tcBorders>
            <w:shd w:val="clear" w:color="auto" w:fill="auto"/>
            <w:noWrap/>
            <w:vAlign w:val="bottom"/>
            <w:hideMark/>
          </w:tcPr>
          <w:p w14:paraId="5A893E09" w14:textId="77777777" w:rsidR="009A356E" w:rsidRPr="00C10545" w:rsidRDefault="009A356E" w:rsidP="009A356E">
            <w:pPr>
              <w:jc w:val="right"/>
              <w:rPr>
                <w:sz w:val="18"/>
                <w:szCs w:val="18"/>
                <w:lang w:eastAsia="en-AU"/>
              </w:rPr>
            </w:pPr>
            <w:r w:rsidRPr="00C10545">
              <w:rPr>
                <w:sz w:val="18"/>
                <w:szCs w:val="18"/>
                <w:lang w:eastAsia="en-AU"/>
              </w:rPr>
              <w:t>119,588</w:t>
            </w:r>
          </w:p>
        </w:tc>
        <w:tc>
          <w:tcPr>
            <w:tcW w:w="680" w:type="pct"/>
            <w:gridSpan w:val="2"/>
            <w:tcBorders>
              <w:top w:val="nil"/>
              <w:left w:val="nil"/>
              <w:bottom w:val="single" w:sz="4" w:space="0" w:color="auto"/>
              <w:right w:val="single" w:sz="4" w:space="0" w:color="auto"/>
            </w:tcBorders>
            <w:shd w:val="clear" w:color="auto" w:fill="auto"/>
            <w:noWrap/>
            <w:vAlign w:val="bottom"/>
            <w:hideMark/>
          </w:tcPr>
          <w:p w14:paraId="5E1DC95E" w14:textId="77777777" w:rsidR="009A356E" w:rsidRPr="00C10545" w:rsidRDefault="009A356E" w:rsidP="009A356E">
            <w:pPr>
              <w:jc w:val="right"/>
              <w:rPr>
                <w:sz w:val="18"/>
                <w:szCs w:val="18"/>
                <w:lang w:eastAsia="en-AU"/>
              </w:rPr>
            </w:pPr>
            <w:r w:rsidRPr="00C10545">
              <w:rPr>
                <w:sz w:val="18"/>
                <w:szCs w:val="18"/>
                <w:lang w:eastAsia="en-AU"/>
              </w:rPr>
              <w:t>535,832</w:t>
            </w:r>
          </w:p>
        </w:tc>
        <w:tc>
          <w:tcPr>
            <w:tcW w:w="680" w:type="pct"/>
            <w:gridSpan w:val="2"/>
            <w:tcBorders>
              <w:top w:val="nil"/>
              <w:left w:val="nil"/>
              <w:bottom w:val="single" w:sz="4" w:space="0" w:color="auto"/>
              <w:right w:val="single" w:sz="4" w:space="0" w:color="auto"/>
            </w:tcBorders>
            <w:shd w:val="clear" w:color="auto" w:fill="auto"/>
            <w:noWrap/>
            <w:vAlign w:val="bottom"/>
            <w:hideMark/>
          </w:tcPr>
          <w:p w14:paraId="37C2FCC8" w14:textId="77777777" w:rsidR="009A356E" w:rsidRPr="00C10545" w:rsidRDefault="009A356E" w:rsidP="009A356E">
            <w:pPr>
              <w:jc w:val="right"/>
              <w:rPr>
                <w:sz w:val="18"/>
                <w:szCs w:val="18"/>
                <w:lang w:eastAsia="en-AU"/>
              </w:rPr>
            </w:pPr>
            <w:r w:rsidRPr="00C10545">
              <w:rPr>
                <w:sz w:val="18"/>
                <w:szCs w:val="18"/>
                <w:lang w:eastAsia="en-AU"/>
              </w:rPr>
              <w:t>729,252</w:t>
            </w:r>
          </w:p>
        </w:tc>
        <w:tc>
          <w:tcPr>
            <w:tcW w:w="680" w:type="pct"/>
            <w:gridSpan w:val="2"/>
            <w:tcBorders>
              <w:top w:val="nil"/>
              <w:left w:val="nil"/>
              <w:bottom w:val="single" w:sz="4" w:space="0" w:color="auto"/>
              <w:right w:val="single" w:sz="4" w:space="0" w:color="auto"/>
            </w:tcBorders>
            <w:shd w:val="clear" w:color="auto" w:fill="auto"/>
            <w:noWrap/>
            <w:vAlign w:val="bottom"/>
            <w:hideMark/>
          </w:tcPr>
          <w:p w14:paraId="4E685222" w14:textId="77777777" w:rsidR="009A356E" w:rsidRPr="00C10545" w:rsidRDefault="009A356E" w:rsidP="009A356E">
            <w:pPr>
              <w:jc w:val="right"/>
              <w:rPr>
                <w:sz w:val="18"/>
                <w:szCs w:val="18"/>
                <w:lang w:eastAsia="en-AU"/>
              </w:rPr>
            </w:pPr>
            <w:r w:rsidRPr="00C10545">
              <w:rPr>
                <w:sz w:val="18"/>
                <w:szCs w:val="18"/>
                <w:lang w:eastAsia="en-AU"/>
              </w:rPr>
              <w:t>815,738</w:t>
            </w:r>
          </w:p>
        </w:tc>
        <w:tc>
          <w:tcPr>
            <w:tcW w:w="680" w:type="pct"/>
            <w:tcBorders>
              <w:top w:val="nil"/>
              <w:left w:val="nil"/>
              <w:bottom w:val="single" w:sz="4" w:space="0" w:color="auto"/>
              <w:right w:val="single" w:sz="4" w:space="0" w:color="auto"/>
            </w:tcBorders>
            <w:vAlign w:val="bottom"/>
          </w:tcPr>
          <w:p w14:paraId="1323B526" w14:textId="77777777" w:rsidR="009A356E" w:rsidRPr="00C10545" w:rsidRDefault="009A356E" w:rsidP="009A356E">
            <w:pPr>
              <w:jc w:val="right"/>
              <w:rPr>
                <w:sz w:val="18"/>
                <w:szCs w:val="18"/>
                <w:lang w:eastAsia="en-AU"/>
              </w:rPr>
            </w:pPr>
            <w:r w:rsidRPr="00C10545">
              <w:rPr>
                <w:sz w:val="18"/>
                <w:szCs w:val="18"/>
                <w:lang w:eastAsia="en-AU"/>
              </w:rPr>
              <w:t>2,276,368</w:t>
            </w:r>
          </w:p>
        </w:tc>
      </w:tr>
      <w:tr w:rsidR="009A356E" w:rsidRPr="003B5E14" w14:paraId="37743BEA" w14:textId="77777777" w:rsidTr="009A356E">
        <w:trPr>
          <w:trHeight w:val="255"/>
        </w:trPr>
        <w:tc>
          <w:tcPr>
            <w:tcW w:w="920" w:type="pct"/>
            <w:tcBorders>
              <w:top w:val="nil"/>
              <w:left w:val="single" w:sz="4" w:space="0" w:color="auto"/>
              <w:bottom w:val="single" w:sz="4" w:space="0" w:color="auto"/>
              <w:right w:val="single" w:sz="4" w:space="0" w:color="auto"/>
            </w:tcBorders>
            <w:shd w:val="clear" w:color="auto" w:fill="auto"/>
            <w:noWrap/>
            <w:vAlign w:val="bottom"/>
            <w:hideMark/>
          </w:tcPr>
          <w:p w14:paraId="1E879AA0" w14:textId="77777777" w:rsidR="009A356E" w:rsidRPr="00C10545" w:rsidRDefault="009A356E" w:rsidP="009A356E">
            <w:pPr>
              <w:rPr>
                <w:sz w:val="18"/>
                <w:szCs w:val="18"/>
                <w:lang w:eastAsia="en-AU"/>
              </w:rPr>
            </w:pPr>
            <w:r w:rsidRPr="00C10545">
              <w:rPr>
                <w:sz w:val="18"/>
                <w:szCs w:val="18"/>
                <w:lang w:eastAsia="en-AU"/>
              </w:rPr>
              <w:t>Northern Grampians</w:t>
            </w:r>
          </w:p>
        </w:tc>
        <w:tc>
          <w:tcPr>
            <w:tcW w:w="680" w:type="pct"/>
            <w:gridSpan w:val="2"/>
            <w:tcBorders>
              <w:top w:val="nil"/>
              <w:left w:val="nil"/>
              <w:bottom w:val="single" w:sz="4" w:space="0" w:color="auto"/>
              <w:right w:val="single" w:sz="4" w:space="0" w:color="auto"/>
            </w:tcBorders>
            <w:shd w:val="clear" w:color="auto" w:fill="auto"/>
            <w:noWrap/>
            <w:vAlign w:val="bottom"/>
            <w:hideMark/>
          </w:tcPr>
          <w:p w14:paraId="5343BD7F" w14:textId="77777777" w:rsidR="009A356E" w:rsidRPr="00C10545" w:rsidRDefault="009A356E" w:rsidP="009A356E">
            <w:pPr>
              <w:jc w:val="right"/>
              <w:rPr>
                <w:sz w:val="18"/>
                <w:szCs w:val="18"/>
                <w:lang w:eastAsia="en-AU"/>
              </w:rPr>
            </w:pPr>
            <w:r w:rsidRPr="00C10545">
              <w:rPr>
                <w:sz w:val="18"/>
                <w:szCs w:val="18"/>
                <w:lang w:eastAsia="en-AU"/>
              </w:rPr>
              <w:t>-15,809</w:t>
            </w:r>
          </w:p>
        </w:tc>
        <w:tc>
          <w:tcPr>
            <w:tcW w:w="680" w:type="pct"/>
            <w:gridSpan w:val="2"/>
            <w:tcBorders>
              <w:top w:val="nil"/>
              <w:left w:val="nil"/>
              <w:bottom w:val="single" w:sz="4" w:space="0" w:color="auto"/>
              <w:right w:val="single" w:sz="4" w:space="0" w:color="auto"/>
            </w:tcBorders>
            <w:shd w:val="clear" w:color="auto" w:fill="auto"/>
            <w:noWrap/>
            <w:vAlign w:val="bottom"/>
            <w:hideMark/>
          </w:tcPr>
          <w:p w14:paraId="68C99504" w14:textId="77777777" w:rsidR="009A356E" w:rsidRPr="00C10545" w:rsidRDefault="009A356E" w:rsidP="009A356E">
            <w:pPr>
              <w:jc w:val="right"/>
              <w:rPr>
                <w:sz w:val="18"/>
                <w:szCs w:val="18"/>
                <w:lang w:eastAsia="en-AU"/>
              </w:rPr>
            </w:pPr>
            <w:r w:rsidRPr="00C10545">
              <w:rPr>
                <w:sz w:val="18"/>
                <w:szCs w:val="18"/>
                <w:lang w:eastAsia="en-AU"/>
              </w:rPr>
              <w:t>56,428</w:t>
            </w:r>
          </w:p>
        </w:tc>
        <w:tc>
          <w:tcPr>
            <w:tcW w:w="680" w:type="pct"/>
            <w:gridSpan w:val="2"/>
            <w:tcBorders>
              <w:top w:val="nil"/>
              <w:left w:val="nil"/>
              <w:bottom w:val="single" w:sz="4" w:space="0" w:color="auto"/>
              <w:right w:val="single" w:sz="4" w:space="0" w:color="auto"/>
            </w:tcBorders>
            <w:shd w:val="clear" w:color="auto" w:fill="auto"/>
            <w:noWrap/>
            <w:vAlign w:val="bottom"/>
            <w:hideMark/>
          </w:tcPr>
          <w:p w14:paraId="1866992A" w14:textId="77777777" w:rsidR="009A356E" w:rsidRPr="00C10545" w:rsidRDefault="009A356E" w:rsidP="009A356E">
            <w:pPr>
              <w:jc w:val="right"/>
              <w:rPr>
                <w:sz w:val="18"/>
                <w:szCs w:val="18"/>
                <w:lang w:eastAsia="en-AU"/>
              </w:rPr>
            </w:pPr>
            <w:r w:rsidRPr="00C10545">
              <w:rPr>
                <w:sz w:val="18"/>
                <w:szCs w:val="18"/>
                <w:lang w:eastAsia="en-AU"/>
              </w:rPr>
              <w:t>279,556</w:t>
            </w:r>
          </w:p>
        </w:tc>
        <w:tc>
          <w:tcPr>
            <w:tcW w:w="680" w:type="pct"/>
            <w:gridSpan w:val="2"/>
            <w:tcBorders>
              <w:top w:val="nil"/>
              <w:left w:val="nil"/>
              <w:bottom w:val="single" w:sz="4" w:space="0" w:color="auto"/>
              <w:right w:val="single" w:sz="4" w:space="0" w:color="auto"/>
            </w:tcBorders>
            <w:shd w:val="clear" w:color="auto" w:fill="auto"/>
            <w:noWrap/>
            <w:vAlign w:val="bottom"/>
            <w:hideMark/>
          </w:tcPr>
          <w:p w14:paraId="330EAA83" w14:textId="77777777" w:rsidR="009A356E" w:rsidRPr="00C10545" w:rsidRDefault="009A356E" w:rsidP="009A356E">
            <w:pPr>
              <w:jc w:val="right"/>
              <w:rPr>
                <w:sz w:val="18"/>
                <w:szCs w:val="18"/>
                <w:lang w:eastAsia="en-AU"/>
              </w:rPr>
            </w:pPr>
            <w:r w:rsidRPr="00C10545">
              <w:rPr>
                <w:sz w:val="18"/>
                <w:szCs w:val="18"/>
                <w:lang w:eastAsia="en-AU"/>
              </w:rPr>
              <w:t>450,875</w:t>
            </w:r>
          </w:p>
        </w:tc>
        <w:tc>
          <w:tcPr>
            <w:tcW w:w="680" w:type="pct"/>
            <w:gridSpan w:val="2"/>
            <w:tcBorders>
              <w:top w:val="nil"/>
              <w:left w:val="nil"/>
              <w:bottom w:val="single" w:sz="4" w:space="0" w:color="auto"/>
              <w:right w:val="single" w:sz="4" w:space="0" w:color="auto"/>
            </w:tcBorders>
            <w:shd w:val="clear" w:color="auto" w:fill="auto"/>
            <w:noWrap/>
            <w:vAlign w:val="bottom"/>
            <w:hideMark/>
          </w:tcPr>
          <w:p w14:paraId="54B03DA7" w14:textId="77777777" w:rsidR="009A356E" w:rsidRPr="00C10545" w:rsidRDefault="009A356E" w:rsidP="009A356E">
            <w:pPr>
              <w:jc w:val="right"/>
              <w:rPr>
                <w:sz w:val="18"/>
                <w:szCs w:val="18"/>
                <w:lang w:eastAsia="en-AU"/>
              </w:rPr>
            </w:pPr>
            <w:r w:rsidRPr="00C10545">
              <w:rPr>
                <w:sz w:val="18"/>
                <w:szCs w:val="18"/>
                <w:lang w:eastAsia="en-AU"/>
              </w:rPr>
              <w:t>506,653</w:t>
            </w:r>
          </w:p>
        </w:tc>
        <w:tc>
          <w:tcPr>
            <w:tcW w:w="680" w:type="pct"/>
            <w:tcBorders>
              <w:top w:val="nil"/>
              <w:left w:val="nil"/>
              <w:bottom w:val="single" w:sz="4" w:space="0" w:color="auto"/>
              <w:right w:val="single" w:sz="4" w:space="0" w:color="auto"/>
            </w:tcBorders>
            <w:vAlign w:val="bottom"/>
          </w:tcPr>
          <w:p w14:paraId="083A1640" w14:textId="77777777" w:rsidR="009A356E" w:rsidRPr="00C10545" w:rsidRDefault="009A356E" w:rsidP="009A356E">
            <w:pPr>
              <w:jc w:val="right"/>
              <w:rPr>
                <w:sz w:val="18"/>
                <w:szCs w:val="18"/>
                <w:lang w:eastAsia="en-AU"/>
              </w:rPr>
            </w:pPr>
            <w:r w:rsidRPr="00C10545">
              <w:rPr>
                <w:sz w:val="18"/>
                <w:szCs w:val="18"/>
                <w:lang w:eastAsia="en-AU"/>
              </w:rPr>
              <w:t>1,295,104</w:t>
            </w:r>
          </w:p>
        </w:tc>
      </w:tr>
      <w:tr w:rsidR="009A356E" w:rsidRPr="003B5E14" w14:paraId="6A46A96D" w14:textId="77777777" w:rsidTr="009A356E">
        <w:trPr>
          <w:trHeight w:val="255"/>
        </w:trPr>
        <w:tc>
          <w:tcPr>
            <w:tcW w:w="920" w:type="pct"/>
            <w:tcBorders>
              <w:top w:val="nil"/>
              <w:left w:val="single" w:sz="4" w:space="0" w:color="auto"/>
              <w:bottom w:val="single" w:sz="4" w:space="0" w:color="auto"/>
              <w:right w:val="single" w:sz="4" w:space="0" w:color="auto"/>
            </w:tcBorders>
            <w:shd w:val="clear" w:color="auto" w:fill="auto"/>
            <w:noWrap/>
            <w:vAlign w:val="bottom"/>
            <w:hideMark/>
          </w:tcPr>
          <w:p w14:paraId="012B4F5C" w14:textId="77777777" w:rsidR="009A356E" w:rsidRPr="00C10545" w:rsidRDefault="009A356E" w:rsidP="009A356E">
            <w:pPr>
              <w:rPr>
                <w:sz w:val="18"/>
                <w:szCs w:val="18"/>
                <w:lang w:eastAsia="en-AU"/>
              </w:rPr>
            </w:pPr>
            <w:proofErr w:type="spellStart"/>
            <w:r w:rsidRPr="00C10545">
              <w:rPr>
                <w:sz w:val="18"/>
                <w:szCs w:val="18"/>
                <w:lang w:eastAsia="en-AU"/>
              </w:rPr>
              <w:t>Yarriambiack</w:t>
            </w:r>
            <w:proofErr w:type="spellEnd"/>
          </w:p>
        </w:tc>
        <w:tc>
          <w:tcPr>
            <w:tcW w:w="680" w:type="pct"/>
            <w:gridSpan w:val="2"/>
            <w:tcBorders>
              <w:top w:val="nil"/>
              <w:left w:val="nil"/>
              <w:bottom w:val="single" w:sz="4" w:space="0" w:color="auto"/>
              <w:right w:val="single" w:sz="4" w:space="0" w:color="auto"/>
            </w:tcBorders>
            <w:shd w:val="clear" w:color="auto" w:fill="auto"/>
            <w:noWrap/>
            <w:vAlign w:val="bottom"/>
            <w:hideMark/>
          </w:tcPr>
          <w:p w14:paraId="75903D9B" w14:textId="77777777" w:rsidR="009A356E" w:rsidRPr="00C10545" w:rsidRDefault="009A356E" w:rsidP="009A356E">
            <w:pPr>
              <w:jc w:val="right"/>
              <w:rPr>
                <w:sz w:val="18"/>
                <w:szCs w:val="18"/>
                <w:lang w:eastAsia="en-AU"/>
              </w:rPr>
            </w:pPr>
            <w:r w:rsidRPr="00C10545">
              <w:rPr>
                <w:sz w:val="18"/>
                <w:szCs w:val="18"/>
                <w:lang w:eastAsia="en-AU"/>
              </w:rPr>
              <w:t>125,042</w:t>
            </w:r>
          </w:p>
        </w:tc>
        <w:tc>
          <w:tcPr>
            <w:tcW w:w="680" w:type="pct"/>
            <w:gridSpan w:val="2"/>
            <w:tcBorders>
              <w:top w:val="nil"/>
              <w:left w:val="nil"/>
              <w:bottom w:val="single" w:sz="4" w:space="0" w:color="auto"/>
              <w:right w:val="single" w:sz="4" w:space="0" w:color="auto"/>
            </w:tcBorders>
            <w:shd w:val="clear" w:color="auto" w:fill="auto"/>
            <w:noWrap/>
            <w:vAlign w:val="bottom"/>
            <w:hideMark/>
          </w:tcPr>
          <w:p w14:paraId="39986490" w14:textId="77777777" w:rsidR="009A356E" w:rsidRPr="00C10545" w:rsidRDefault="009A356E" w:rsidP="009A356E">
            <w:pPr>
              <w:jc w:val="right"/>
              <w:rPr>
                <w:sz w:val="18"/>
                <w:szCs w:val="18"/>
                <w:lang w:eastAsia="en-AU"/>
              </w:rPr>
            </w:pPr>
            <w:r w:rsidRPr="00C10545">
              <w:rPr>
                <w:sz w:val="18"/>
                <w:szCs w:val="18"/>
                <w:lang w:eastAsia="en-AU"/>
              </w:rPr>
              <w:t>112,129</w:t>
            </w:r>
          </w:p>
        </w:tc>
        <w:tc>
          <w:tcPr>
            <w:tcW w:w="680" w:type="pct"/>
            <w:gridSpan w:val="2"/>
            <w:tcBorders>
              <w:top w:val="nil"/>
              <w:left w:val="nil"/>
              <w:bottom w:val="single" w:sz="4" w:space="0" w:color="auto"/>
              <w:right w:val="single" w:sz="4" w:space="0" w:color="auto"/>
            </w:tcBorders>
            <w:shd w:val="clear" w:color="auto" w:fill="auto"/>
            <w:noWrap/>
            <w:vAlign w:val="bottom"/>
            <w:hideMark/>
          </w:tcPr>
          <w:p w14:paraId="2656B3EB" w14:textId="77777777" w:rsidR="009A356E" w:rsidRPr="00C10545" w:rsidRDefault="009A356E" w:rsidP="009A356E">
            <w:pPr>
              <w:jc w:val="right"/>
              <w:rPr>
                <w:sz w:val="18"/>
                <w:szCs w:val="18"/>
                <w:lang w:eastAsia="en-AU"/>
              </w:rPr>
            </w:pPr>
            <w:r w:rsidRPr="00C10545">
              <w:rPr>
                <w:sz w:val="18"/>
                <w:szCs w:val="18"/>
                <w:lang w:eastAsia="en-AU"/>
              </w:rPr>
              <w:t>283,876</w:t>
            </w:r>
          </w:p>
        </w:tc>
        <w:tc>
          <w:tcPr>
            <w:tcW w:w="680" w:type="pct"/>
            <w:gridSpan w:val="2"/>
            <w:tcBorders>
              <w:top w:val="nil"/>
              <w:left w:val="nil"/>
              <w:bottom w:val="single" w:sz="4" w:space="0" w:color="auto"/>
              <w:right w:val="single" w:sz="4" w:space="0" w:color="auto"/>
            </w:tcBorders>
            <w:shd w:val="clear" w:color="auto" w:fill="auto"/>
            <w:noWrap/>
            <w:vAlign w:val="bottom"/>
            <w:hideMark/>
          </w:tcPr>
          <w:p w14:paraId="6740FC69" w14:textId="77777777" w:rsidR="009A356E" w:rsidRPr="00C10545" w:rsidRDefault="009A356E" w:rsidP="009A356E">
            <w:pPr>
              <w:jc w:val="right"/>
              <w:rPr>
                <w:sz w:val="18"/>
                <w:szCs w:val="18"/>
                <w:lang w:eastAsia="en-AU"/>
              </w:rPr>
            </w:pPr>
            <w:r w:rsidRPr="00C10545">
              <w:rPr>
                <w:sz w:val="18"/>
                <w:szCs w:val="18"/>
                <w:lang w:eastAsia="en-AU"/>
              </w:rPr>
              <w:t>394,641</w:t>
            </w:r>
          </w:p>
        </w:tc>
        <w:tc>
          <w:tcPr>
            <w:tcW w:w="680" w:type="pct"/>
            <w:gridSpan w:val="2"/>
            <w:tcBorders>
              <w:top w:val="nil"/>
              <w:left w:val="nil"/>
              <w:bottom w:val="single" w:sz="4" w:space="0" w:color="auto"/>
              <w:right w:val="single" w:sz="4" w:space="0" w:color="auto"/>
            </w:tcBorders>
            <w:shd w:val="clear" w:color="auto" w:fill="auto"/>
            <w:noWrap/>
            <w:vAlign w:val="bottom"/>
            <w:hideMark/>
          </w:tcPr>
          <w:p w14:paraId="43203145" w14:textId="77777777" w:rsidR="009A356E" w:rsidRPr="00C10545" w:rsidRDefault="009A356E" w:rsidP="009A356E">
            <w:pPr>
              <w:jc w:val="right"/>
              <w:rPr>
                <w:sz w:val="18"/>
                <w:szCs w:val="18"/>
                <w:lang w:eastAsia="en-AU"/>
              </w:rPr>
            </w:pPr>
            <w:r w:rsidRPr="00C10545">
              <w:rPr>
                <w:sz w:val="18"/>
                <w:szCs w:val="18"/>
                <w:lang w:eastAsia="en-AU"/>
              </w:rPr>
              <w:t>357,379</w:t>
            </w:r>
          </w:p>
        </w:tc>
        <w:tc>
          <w:tcPr>
            <w:tcW w:w="680" w:type="pct"/>
            <w:tcBorders>
              <w:top w:val="nil"/>
              <w:left w:val="nil"/>
              <w:bottom w:val="single" w:sz="4" w:space="0" w:color="auto"/>
              <w:right w:val="single" w:sz="4" w:space="0" w:color="auto"/>
            </w:tcBorders>
            <w:vAlign w:val="bottom"/>
          </w:tcPr>
          <w:p w14:paraId="450EF7D6" w14:textId="77777777" w:rsidR="009A356E" w:rsidRPr="00C10545" w:rsidRDefault="009A356E" w:rsidP="009A356E">
            <w:pPr>
              <w:jc w:val="right"/>
              <w:rPr>
                <w:sz w:val="18"/>
                <w:szCs w:val="18"/>
                <w:lang w:eastAsia="en-AU"/>
              </w:rPr>
            </w:pPr>
            <w:r w:rsidRPr="00C10545">
              <w:rPr>
                <w:sz w:val="18"/>
                <w:szCs w:val="18"/>
                <w:lang w:eastAsia="en-AU"/>
              </w:rPr>
              <w:t>1,304,546</w:t>
            </w:r>
          </w:p>
        </w:tc>
      </w:tr>
      <w:tr w:rsidR="009A356E" w:rsidRPr="003B5E14" w14:paraId="6C3A4B79" w14:textId="77777777" w:rsidTr="009A356E">
        <w:trPr>
          <w:trHeight w:val="255"/>
        </w:trPr>
        <w:tc>
          <w:tcPr>
            <w:tcW w:w="920" w:type="pct"/>
            <w:tcBorders>
              <w:top w:val="nil"/>
              <w:left w:val="single" w:sz="4" w:space="0" w:color="auto"/>
              <w:bottom w:val="single" w:sz="4" w:space="0" w:color="auto"/>
              <w:right w:val="single" w:sz="4" w:space="0" w:color="auto"/>
            </w:tcBorders>
            <w:shd w:val="clear" w:color="000000" w:fill="000000"/>
            <w:noWrap/>
            <w:vAlign w:val="bottom"/>
            <w:hideMark/>
          </w:tcPr>
          <w:p w14:paraId="33DEAEE3" w14:textId="77777777" w:rsidR="009A356E" w:rsidRPr="00C10545" w:rsidRDefault="009A356E" w:rsidP="009A356E">
            <w:pPr>
              <w:rPr>
                <w:sz w:val="18"/>
                <w:szCs w:val="18"/>
                <w:lang w:eastAsia="en-AU"/>
              </w:rPr>
            </w:pPr>
            <w:r w:rsidRPr="00C10545">
              <w:rPr>
                <w:sz w:val="18"/>
                <w:szCs w:val="18"/>
                <w:lang w:eastAsia="en-AU"/>
              </w:rPr>
              <w:t> </w:t>
            </w:r>
          </w:p>
        </w:tc>
        <w:tc>
          <w:tcPr>
            <w:tcW w:w="680" w:type="pct"/>
            <w:gridSpan w:val="2"/>
            <w:tcBorders>
              <w:top w:val="nil"/>
              <w:left w:val="nil"/>
              <w:bottom w:val="single" w:sz="4" w:space="0" w:color="auto"/>
              <w:right w:val="single" w:sz="4" w:space="0" w:color="auto"/>
            </w:tcBorders>
            <w:shd w:val="clear" w:color="000000" w:fill="000000"/>
            <w:noWrap/>
            <w:vAlign w:val="bottom"/>
            <w:hideMark/>
          </w:tcPr>
          <w:p w14:paraId="00E810B6" w14:textId="77777777" w:rsidR="009A356E" w:rsidRPr="00C10545" w:rsidRDefault="009A356E" w:rsidP="009A356E">
            <w:pPr>
              <w:rPr>
                <w:b/>
                <w:bCs/>
                <w:sz w:val="18"/>
                <w:szCs w:val="18"/>
                <w:lang w:eastAsia="en-AU"/>
              </w:rPr>
            </w:pPr>
            <w:r w:rsidRPr="00C10545">
              <w:rPr>
                <w:b/>
                <w:bCs/>
                <w:sz w:val="18"/>
                <w:szCs w:val="18"/>
                <w:lang w:eastAsia="en-AU"/>
              </w:rPr>
              <w:t> </w:t>
            </w:r>
          </w:p>
        </w:tc>
        <w:tc>
          <w:tcPr>
            <w:tcW w:w="680" w:type="pct"/>
            <w:gridSpan w:val="2"/>
            <w:tcBorders>
              <w:top w:val="nil"/>
              <w:left w:val="nil"/>
              <w:bottom w:val="single" w:sz="4" w:space="0" w:color="auto"/>
              <w:right w:val="single" w:sz="4" w:space="0" w:color="auto"/>
            </w:tcBorders>
            <w:shd w:val="clear" w:color="000000" w:fill="000000"/>
            <w:noWrap/>
            <w:vAlign w:val="bottom"/>
            <w:hideMark/>
          </w:tcPr>
          <w:p w14:paraId="61D5CC37" w14:textId="77777777" w:rsidR="009A356E" w:rsidRPr="00C10545" w:rsidRDefault="009A356E" w:rsidP="009A356E">
            <w:pPr>
              <w:rPr>
                <w:b/>
                <w:bCs/>
                <w:sz w:val="18"/>
                <w:szCs w:val="18"/>
                <w:lang w:eastAsia="en-AU"/>
              </w:rPr>
            </w:pPr>
            <w:r w:rsidRPr="00C10545">
              <w:rPr>
                <w:b/>
                <w:bCs/>
                <w:sz w:val="18"/>
                <w:szCs w:val="18"/>
                <w:lang w:eastAsia="en-AU"/>
              </w:rPr>
              <w:t> </w:t>
            </w:r>
          </w:p>
        </w:tc>
        <w:tc>
          <w:tcPr>
            <w:tcW w:w="680" w:type="pct"/>
            <w:gridSpan w:val="2"/>
            <w:tcBorders>
              <w:top w:val="nil"/>
              <w:left w:val="nil"/>
              <w:bottom w:val="single" w:sz="4" w:space="0" w:color="auto"/>
              <w:right w:val="single" w:sz="4" w:space="0" w:color="auto"/>
            </w:tcBorders>
            <w:shd w:val="clear" w:color="000000" w:fill="000000"/>
            <w:noWrap/>
            <w:vAlign w:val="bottom"/>
            <w:hideMark/>
          </w:tcPr>
          <w:p w14:paraId="6208395D" w14:textId="77777777" w:rsidR="009A356E" w:rsidRPr="00C10545" w:rsidRDefault="009A356E" w:rsidP="009A356E">
            <w:pPr>
              <w:rPr>
                <w:b/>
                <w:bCs/>
                <w:sz w:val="18"/>
                <w:szCs w:val="18"/>
                <w:lang w:eastAsia="en-AU"/>
              </w:rPr>
            </w:pPr>
            <w:r w:rsidRPr="00C10545">
              <w:rPr>
                <w:b/>
                <w:bCs/>
                <w:sz w:val="18"/>
                <w:szCs w:val="18"/>
                <w:lang w:eastAsia="en-AU"/>
              </w:rPr>
              <w:t> </w:t>
            </w:r>
          </w:p>
        </w:tc>
        <w:tc>
          <w:tcPr>
            <w:tcW w:w="680" w:type="pct"/>
            <w:gridSpan w:val="2"/>
            <w:tcBorders>
              <w:top w:val="nil"/>
              <w:left w:val="nil"/>
              <w:bottom w:val="single" w:sz="4" w:space="0" w:color="auto"/>
              <w:right w:val="single" w:sz="4" w:space="0" w:color="auto"/>
            </w:tcBorders>
            <w:shd w:val="clear" w:color="000000" w:fill="000000"/>
            <w:noWrap/>
            <w:vAlign w:val="bottom"/>
            <w:hideMark/>
          </w:tcPr>
          <w:p w14:paraId="708D92DA" w14:textId="77777777" w:rsidR="009A356E" w:rsidRPr="00C10545" w:rsidRDefault="009A356E" w:rsidP="009A356E">
            <w:pPr>
              <w:rPr>
                <w:b/>
                <w:bCs/>
                <w:sz w:val="18"/>
                <w:szCs w:val="18"/>
                <w:lang w:eastAsia="en-AU"/>
              </w:rPr>
            </w:pPr>
            <w:r w:rsidRPr="00C10545">
              <w:rPr>
                <w:b/>
                <w:bCs/>
                <w:sz w:val="18"/>
                <w:szCs w:val="18"/>
                <w:lang w:eastAsia="en-AU"/>
              </w:rPr>
              <w:t> </w:t>
            </w:r>
          </w:p>
        </w:tc>
        <w:tc>
          <w:tcPr>
            <w:tcW w:w="680" w:type="pct"/>
            <w:gridSpan w:val="2"/>
            <w:tcBorders>
              <w:top w:val="nil"/>
              <w:left w:val="nil"/>
              <w:bottom w:val="single" w:sz="4" w:space="0" w:color="auto"/>
              <w:right w:val="single" w:sz="4" w:space="0" w:color="auto"/>
            </w:tcBorders>
            <w:shd w:val="clear" w:color="000000" w:fill="000000"/>
            <w:noWrap/>
            <w:vAlign w:val="bottom"/>
            <w:hideMark/>
          </w:tcPr>
          <w:p w14:paraId="0247AEE2" w14:textId="77777777" w:rsidR="009A356E" w:rsidRPr="00C10545" w:rsidRDefault="009A356E" w:rsidP="009A356E">
            <w:pPr>
              <w:rPr>
                <w:b/>
                <w:bCs/>
                <w:sz w:val="18"/>
                <w:szCs w:val="18"/>
                <w:lang w:eastAsia="en-AU"/>
              </w:rPr>
            </w:pPr>
            <w:r w:rsidRPr="00C10545">
              <w:rPr>
                <w:b/>
                <w:bCs/>
                <w:sz w:val="18"/>
                <w:szCs w:val="18"/>
                <w:lang w:eastAsia="en-AU"/>
              </w:rPr>
              <w:t> </w:t>
            </w:r>
          </w:p>
        </w:tc>
        <w:tc>
          <w:tcPr>
            <w:tcW w:w="680" w:type="pct"/>
            <w:tcBorders>
              <w:top w:val="nil"/>
              <w:left w:val="nil"/>
              <w:bottom w:val="single" w:sz="4" w:space="0" w:color="auto"/>
              <w:right w:val="single" w:sz="4" w:space="0" w:color="auto"/>
            </w:tcBorders>
            <w:shd w:val="clear" w:color="000000" w:fill="000000"/>
            <w:vAlign w:val="bottom"/>
          </w:tcPr>
          <w:p w14:paraId="130CC6FB" w14:textId="77777777" w:rsidR="009A356E" w:rsidRPr="00C10545" w:rsidRDefault="009A356E" w:rsidP="009A356E">
            <w:pPr>
              <w:jc w:val="right"/>
              <w:rPr>
                <w:b/>
                <w:bCs/>
                <w:sz w:val="18"/>
                <w:szCs w:val="18"/>
                <w:lang w:eastAsia="en-AU"/>
              </w:rPr>
            </w:pPr>
          </w:p>
        </w:tc>
      </w:tr>
      <w:tr w:rsidR="009A356E" w:rsidRPr="003B5E14" w14:paraId="3071F3BC" w14:textId="77777777" w:rsidTr="009A356E">
        <w:trPr>
          <w:trHeight w:val="255"/>
        </w:trPr>
        <w:tc>
          <w:tcPr>
            <w:tcW w:w="920" w:type="pct"/>
            <w:tcBorders>
              <w:top w:val="nil"/>
              <w:left w:val="single" w:sz="4" w:space="0" w:color="auto"/>
              <w:bottom w:val="single" w:sz="4" w:space="0" w:color="auto"/>
              <w:right w:val="single" w:sz="4" w:space="0" w:color="auto"/>
            </w:tcBorders>
            <w:shd w:val="clear" w:color="auto" w:fill="auto"/>
            <w:noWrap/>
            <w:vAlign w:val="bottom"/>
            <w:hideMark/>
          </w:tcPr>
          <w:p w14:paraId="136E4BF5" w14:textId="77777777" w:rsidR="009A356E" w:rsidRPr="00C10545" w:rsidRDefault="009A356E" w:rsidP="009A356E">
            <w:pPr>
              <w:rPr>
                <w:b/>
                <w:bCs/>
                <w:sz w:val="18"/>
                <w:szCs w:val="18"/>
                <w:lang w:eastAsia="en-AU"/>
              </w:rPr>
            </w:pPr>
            <w:r w:rsidRPr="00C10545">
              <w:rPr>
                <w:b/>
                <w:bCs/>
                <w:sz w:val="18"/>
                <w:szCs w:val="18"/>
                <w:lang w:eastAsia="en-AU"/>
              </w:rPr>
              <w:t>Large Shires</w:t>
            </w:r>
          </w:p>
        </w:tc>
        <w:tc>
          <w:tcPr>
            <w:tcW w:w="680" w:type="pct"/>
            <w:gridSpan w:val="2"/>
            <w:tcBorders>
              <w:top w:val="nil"/>
              <w:left w:val="nil"/>
              <w:bottom w:val="single" w:sz="4" w:space="0" w:color="auto"/>
              <w:right w:val="single" w:sz="4" w:space="0" w:color="auto"/>
            </w:tcBorders>
            <w:shd w:val="clear" w:color="000000" w:fill="000000"/>
            <w:noWrap/>
            <w:vAlign w:val="bottom"/>
            <w:hideMark/>
          </w:tcPr>
          <w:p w14:paraId="0964B82B" w14:textId="77777777" w:rsidR="009A356E" w:rsidRPr="00C10545" w:rsidRDefault="009A356E" w:rsidP="009A356E">
            <w:pPr>
              <w:rPr>
                <w:sz w:val="18"/>
                <w:szCs w:val="18"/>
                <w:lang w:eastAsia="en-AU"/>
              </w:rPr>
            </w:pPr>
            <w:r w:rsidRPr="00C10545">
              <w:rPr>
                <w:sz w:val="18"/>
                <w:szCs w:val="18"/>
                <w:lang w:eastAsia="en-AU"/>
              </w:rPr>
              <w:t> </w:t>
            </w:r>
          </w:p>
        </w:tc>
        <w:tc>
          <w:tcPr>
            <w:tcW w:w="680" w:type="pct"/>
            <w:gridSpan w:val="2"/>
            <w:tcBorders>
              <w:top w:val="nil"/>
              <w:left w:val="nil"/>
              <w:bottom w:val="single" w:sz="4" w:space="0" w:color="auto"/>
              <w:right w:val="single" w:sz="4" w:space="0" w:color="auto"/>
            </w:tcBorders>
            <w:shd w:val="clear" w:color="000000" w:fill="000000"/>
            <w:noWrap/>
            <w:vAlign w:val="bottom"/>
            <w:hideMark/>
          </w:tcPr>
          <w:p w14:paraId="77FA0C01" w14:textId="77777777" w:rsidR="009A356E" w:rsidRPr="00C10545" w:rsidRDefault="009A356E" w:rsidP="009A356E">
            <w:pPr>
              <w:rPr>
                <w:sz w:val="18"/>
                <w:szCs w:val="18"/>
                <w:lang w:eastAsia="en-AU"/>
              </w:rPr>
            </w:pPr>
            <w:r w:rsidRPr="00C10545">
              <w:rPr>
                <w:sz w:val="18"/>
                <w:szCs w:val="18"/>
                <w:lang w:eastAsia="en-AU"/>
              </w:rPr>
              <w:t> </w:t>
            </w:r>
          </w:p>
        </w:tc>
        <w:tc>
          <w:tcPr>
            <w:tcW w:w="680" w:type="pct"/>
            <w:gridSpan w:val="2"/>
            <w:tcBorders>
              <w:top w:val="nil"/>
              <w:left w:val="nil"/>
              <w:bottom w:val="single" w:sz="4" w:space="0" w:color="auto"/>
              <w:right w:val="single" w:sz="4" w:space="0" w:color="auto"/>
            </w:tcBorders>
            <w:shd w:val="clear" w:color="000000" w:fill="000000"/>
            <w:noWrap/>
            <w:vAlign w:val="bottom"/>
            <w:hideMark/>
          </w:tcPr>
          <w:p w14:paraId="4EAB8004" w14:textId="77777777" w:rsidR="009A356E" w:rsidRPr="00C10545" w:rsidRDefault="009A356E" w:rsidP="009A356E">
            <w:pPr>
              <w:rPr>
                <w:sz w:val="18"/>
                <w:szCs w:val="18"/>
                <w:lang w:eastAsia="en-AU"/>
              </w:rPr>
            </w:pPr>
            <w:r w:rsidRPr="00C10545">
              <w:rPr>
                <w:sz w:val="18"/>
                <w:szCs w:val="18"/>
                <w:lang w:eastAsia="en-AU"/>
              </w:rPr>
              <w:t> </w:t>
            </w:r>
          </w:p>
        </w:tc>
        <w:tc>
          <w:tcPr>
            <w:tcW w:w="680" w:type="pct"/>
            <w:gridSpan w:val="2"/>
            <w:tcBorders>
              <w:top w:val="nil"/>
              <w:left w:val="nil"/>
              <w:bottom w:val="single" w:sz="4" w:space="0" w:color="auto"/>
              <w:right w:val="single" w:sz="4" w:space="0" w:color="auto"/>
            </w:tcBorders>
            <w:shd w:val="clear" w:color="000000" w:fill="000000"/>
            <w:noWrap/>
            <w:vAlign w:val="bottom"/>
            <w:hideMark/>
          </w:tcPr>
          <w:p w14:paraId="245B0AD2" w14:textId="77777777" w:rsidR="009A356E" w:rsidRPr="00C10545" w:rsidRDefault="009A356E" w:rsidP="009A356E">
            <w:pPr>
              <w:rPr>
                <w:sz w:val="18"/>
                <w:szCs w:val="18"/>
                <w:lang w:eastAsia="en-AU"/>
              </w:rPr>
            </w:pPr>
            <w:r w:rsidRPr="00C10545">
              <w:rPr>
                <w:sz w:val="18"/>
                <w:szCs w:val="18"/>
                <w:lang w:eastAsia="en-AU"/>
              </w:rPr>
              <w:t> </w:t>
            </w:r>
          </w:p>
        </w:tc>
        <w:tc>
          <w:tcPr>
            <w:tcW w:w="680" w:type="pct"/>
            <w:gridSpan w:val="2"/>
            <w:tcBorders>
              <w:top w:val="nil"/>
              <w:left w:val="nil"/>
              <w:bottom w:val="single" w:sz="4" w:space="0" w:color="auto"/>
              <w:right w:val="single" w:sz="4" w:space="0" w:color="auto"/>
            </w:tcBorders>
            <w:shd w:val="clear" w:color="000000" w:fill="000000"/>
            <w:noWrap/>
            <w:vAlign w:val="bottom"/>
            <w:hideMark/>
          </w:tcPr>
          <w:p w14:paraId="53BAED4F" w14:textId="77777777" w:rsidR="009A356E" w:rsidRPr="00C10545" w:rsidRDefault="009A356E" w:rsidP="009A356E">
            <w:pPr>
              <w:rPr>
                <w:sz w:val="18"/>
                <w:szCs w:val="18"/>
                <w:lang w:eastAsia="en-AU"/>
              </w:rPr>
            </w:pPr>
            <w:r w:rsidRPr="00C10545">
              <w:rPr>
                <w:sz w:val="18"/>
                <w:szCs w:val="18"/>
                <w:lang w:eastAsia="en-AU"/>
              </w:rPr>
              <w:t> </w:t>
            </w:r>
          </w:p>
        </w:tc>
        <w:tc>
          <w:tcPr>
            <w:tcW w:w="680" w:type="pct"/>
            <w:tcBorders>
              <w:top w:val="nil"/>
              <w:left w:val="nil"/>
              <w:bottom w:val="single" w:sz="4" w:space="0" w:color="auto"/>
              <w:right w:val="single" w:sz="4" w:space="0" w:color="auto"/>
            </w:tcBorders>
            <w:shd w:val="clear" w:color="000000" w:fill="000000"/>
            <w:vAlign w:val="bottom"/>
          </w:tcPr>
          <w:p w14:paraId="452ED36E" w14:textId="77777777" w:rsidR="009A356E" w:rsidRPr="00C10545" w:rsidRDefault="009A356E" w:rsidP="009A356E">
            <w:pPr>
              <w:jc w:val="right"/>
              <w:rPr>
                <w:sz w:val="18"/>
                <w:szCs w:val="18"/>
                <w:lang w:eastAsia="en-AU"/>
              </w:rPr>
            </w:pPr>
          </w:p>
        </w:tc>
      </w:tr>
      <w:tr w:rsidR="009A356E" w:rsidRPr="003B5E14" w14:paraId="45641BD0" w14:textId="77777777" w:rsidTr="009A356E">
        <w:trPr>
          <w:trHeight w:val="255"/>
        </w:trPr>
        <w:tc>
          <w:tcPr>
            <w:tcW w:w="920" w:type="pct"/>
            <w:tcBorders>
              <w:top w:val="nil"/>
              <w:left w:val="single" w:sz="4" w:space="0" w:color="auto"/>
              <w:bottom w:val="single" w:sz="4" w:space="0" w:color="auto"/>
              <w:right w:val="single" w:sz="4" w:space="0" w:color="auto"/>
            </w:tcBorders>
            <w:shd w:val="clear" w:color="auto" w:fill="auto"/>
            <w:noWrap/>
            <w:vAlign w:val="bottom"/>
            <w:hideMark/>
          </w:tcPr>
          <w:p w14:paraId="1EA045CC" w14:textId="77777777" w:rsidR="009A356E" w:rsidRPr="00C10545" w:rsidRDefault="009A356E" w:rsidP="009A356E">
            <w:pPr>
              <w:rPr>
                <w:sz w:val="18"/>
                <w:szCs w:val="18"/>
                <w:lang w:eastAsia="en-AU"/>
              </w:rPr>
            </w:pPr>
            <w:r w:rsidRPr="00C10545">
              <w:rPr>
                <w:sz w:val="18"/>
                <w:szCs w:val="18"/>
                <w:lang w:eastAsia="en-AU"/>
              </w:rPr>
              <w:t>Campaspe</w:t>
            </w:r>
          </w:p>
        </w:tc>
        <w:tc>
          <w:tcPr>
            <w:tcW w:w="680" w:type="pct"/>
            <w:gridSpan w:val="2"/>
            <w:tcBorders>
              <w:top w:val="nil"/>
              <w:left w:val="nil"/>
              <w:bottom w:val="single" w:sz="4" w:space="0" w:color="auto"/>
              <w:right w:val="single" w:sz="4" w:space="0" w:color="auto"/>
            </w:tcBorders>
            <w:shd w:val="clear" w:color="auto" w:fill="auto"/>
            <w:noWrap/>
            <w:vAlign w:val="bottom"/>
            <w:hideMark/>
          </w:tcPr>
          <w:p w14:paraId="05A25611" w14:textId="77777777" w:rsidR="009A356E" w:rsidRPr="00C10545" w:rsidRDefault="009A356E" w:rsidP="009A356E">
            <w:pPr>
              <w:jc w:val="right"/>
              <w:rPr>
                <w:sz w:val="18"/>
                <w:szCs w:val="18"/>
                <w:lang w:eastAsia="en-AU"/>
              </w:rPr>
            </w:pPr>
            <w:r w:rsidRPr="00C10545">
              <w:rPr>
                <w:sz w:val="18"/>
                <w:szCs w:val="18"/>
                <w:lang w:eastAsia="en-AU"/>
              </w:rPr>
              <w:t>705,330</w:t>
            </w:r>
          </w:p>
        </w:tc>
        <w:tc>
          <w:tcPr>
            <w:tcW w:w="680" w:type="pct"/>
            <w:gridSpan w:val="2"/>
            <w:tcBorders>
              <w:top w:val="nil"/>
              <w:left w:val="nil"/>
              <w:bottom w:val="single" w:sz="4" w:space="0" w:color="auto"/>
              <w:right w:val="single" w:sz="4" w:space="0" w:color="auto"/>
            </w:tcBorders>
            <w:shd w:val="clear" w:color="auto" w:fill="auto"/>
            <w:noWrap/>
            <w:vAlign w:val="bottom"/>
            <w:hideMark/>
          </w:tcPr>
          <w:p w14:paraId="3FCC6B12" w14:textId="77777777" w:rsidR="009A356E" w:rsidRPr="00C10545" w:rsidRDefault="009A356E" w:rsidP="009A356E">
            <w:pPr>
              <w:jc w:val="right"/>
              <w:rPr>
                <w:sz w:val="18"/>
                <w:szCs w:val="18"/>
                <w:lang w:eastAsia="en-AU"/>
              </w:rPr>
            </w:pPr>
            <w:r w:rsidRPr="00C10545">
              <w:rPr>
                <w:sz w:val="18"/>
                <w:szCs w:val="18"/>
                <w:lang w:eastAsia="en-AU"/>
              </w:rPr>
              <w:t>543,557</w:t>
            </w:r>
          </w:p>
        </w:tc>
        <w:tc>
          <w:tcPr>
            <w:tcW w:w="680" w:type="pct"/>
            <w:gridSpan w:val="2"/>
            <w:tcBorders>
              <w:top w:val="nil"/>
              <w:left w:val="nil"/>
              <w:bottom w:val="single" w:sz="4" w:space="0" w:color="auto"/>
              <w:right w:val="single" w:sz="4" w:space="0" w:color="auto"/>
            </w:tcBorders>
            <w:shd w:val="clear" w:color="auto" w:fill="auto"/>
            <w:noWrap/>
            <w:vAlign w:val="bottom"/>
            <w:hideMark/>
          </w:tcPr>
          <w:p w14:paraId="2034616A" w14:textId="77777777" w:rsidR="009A356E" w:rsidRPr="00C10545" w:rsidRDefault="009A356E" w:rsidP="009A356E">
            <w:pPr>
              <w:jc w:val="right"/>
              <w:rPr>
                <w:sz w:val="18"/>
                <w:szCs w:val="18"/>
                <w:lang w:eastAsia="en-AU"/>
              </w:rPr>
            </w:pPr>
            <w:r w:rsidRPr="00C10545">
              <w:rPr>
                <w:sz w:val="18"/>
                <w:szCs w:val="18"/>
                <w:lang w:eastAsia="en-AU"/>
              </w:rPr>
              <w:t>732,311</w:t>
            </w:r>
          </w:p>
        </w:tc>
        <w:tc>
          <w:tcPr>
            <w:tcW w:w="680" w:type="pct"/>
            <w:gridSpan w:val="2"/>
            <w:tcBorders>
              <w:top w:val="nil"/>
              <w:left w:val="nil"/>
              <w:bottom w:val="single" w:sz="4" w:space="0" w:color="auto"/>
              <w:right w:val="single" w:sz="4" w:space="0" w:color="auto"/>
            </w:tcBorders>
            <w:shd w:val="clear" w:color="auto" w:fill="auto"/>
            <w:noWrap/>
            <w:vAlign w:val="bottom"/>
            <w:hideMark/>
          </w:tcPr>
          <w:p w14:paraId="1489EB1D" w14:textId="77777777" w:rsidR="009A356E" w:rsidRPr="00C10545" w:rsidRDefault="009A356E" w:rsidP="009A356E">
            <w:pPr>
              <w:jc w:val="right"/>
              <w:rPr>
                <w:sz w:val="18"/>
                <w:szCs w:val="18"/>
                <w:lang w:eastAsia="en-AU"/>
              </w:rPr>
            </w:pPr>
            <w:r w:rsidRPr="00C10545">
              <w:rPr>
                <w:sz w:val="18"/>
                <w:szCs w:val="18"/>
                <w:lang w:eastAsia="en-AU"/>
              </w:rPr>
              <w:t>659,915</w:t>
            </w:r>
          </w:p>
        </w:tc>
        <w:tc>
          <w:tcPr>
            <w:tcW w:w="680" w:type="pct"/>
            <w:gridSpan w:val="2"/>
            <w:tcBorders>
              <w:top w:val="nil"/>
              <w:left w:val="nil"/>
              <w:bottom w:val="single" w:sz="4" w:space="0" w:color="auto"/>
              <w:right w:val="single" w:sz="4" w:space="0" w:color="auto"/>
            </w:tcBorders>
            <w:shd w:val="clear" w:color="auto" w:fill="auto"/>
            <w:noWrap/>
            <w:vAlign w:val="bottom"/>
            <w:hideMark/>
          </w:tcPr>
          <w:p w14:paraId="0A0D7594" w14:textId="77777777" w:rsidR="009A356E" w:rsidRPr="00C10545" w:rsidRDefault="009A356E" w:rsidP="009A356E">
            <w:pPr>
              <w:jc w:val="right"/>
              <w:rPr>
                <w:sz w:val="18"/>
                <w:szCs w:val="18"/>
                <w:lang w:eastAsia="en-AU"/>
              </w:rPr>
            </w:pPr>
            <w:r w:rsidRPr="00C10545">
              <w:rPr>
                <w:sz w:val="18"/>
                <w:szCs w:val="18"/>
                <w:lang w:eastAsia="en-AU"/>
              </w:rPr>
              <w:t>331,402</w:t>
            </w:r>
          </w:p>
        </w:tc>
        <w:tc>
          <w:tcPr>
            <w:tcW w:w="680" w:type="pct"/>
            <w:tcBorders>
              <w:top w:val="nil"/>
              <w:left w:val="nil"/>
              <w:bottom w:val="single" w:sz="4" w:space="0" w:color="auto"/>
              <w:right w:val="single" w:sz="4" w:space="0" w:color="auto"/>
            </w:tcBorders>
            <w:vAlign w:val="bottom"/>
          </w:tcPr>
          <w:p w14:paraId="41647187" w14:textId="77777777" w:rsidR="009A356E" w:rsidRPr="00C10545" w:rsidRDefault="009A356E" w:rsidP="009A356E">
            <w:pPr>
              <w:jc w:val="right"/>
              <w:rPr>
                <w:sz w:val="18"/>
                <w:szCs w:val="18"/>
                <w:lang w:eastAsia="en-AU"/>
              </w:rPr>
            </w:pPr>
            <w:r w:rsidRPr="00C10545">
              <w:rPr>
                <w:sz w:val="18"/>
                <w:szCs w:val="18"/>
                <w:lang w:eastAsia="en-AU"/>
              </w:rPr>
              <w:t>3,094,549</w:t>
            </w:r>
          </w:p>
        </w:tc>
      </w:tr>
      <w:tr w:rsidR="009A356E" w:rsidRPr="003B5E14" w14:paraId="7EC80DEE" w14:textId="77777777" w:rsidTr="009A356E">
        <w:trPr>
          <w:trHeight w:val="255"/>
        </w:trPr>
        <w:tc>
          <w:tcPr>
            <w:tcW w:w="920" w:type="pct"/>
            <w:tcBorders>
              <w:top w:val="nil"/>
              <w:left w:val="single" w:sz="4" w:space="0" w:color="auto"/>
              <w:bottom w:val="single" w:sz="4" w:space="0" w:color="auto"/>
              <w:right w:val="single" w:sz="4" w:space="0" w:color="auto"/>
            </w:tcBorders>
            <w:shd w:val="clear" w:color="auto" w:fill="auto"/>
            <w:noWrap/>
            <w:vAlign w:val="bottom"/>
            <w:hideMark/>
          </w:tcPr>
          <w:p w14:paraId="2C8BD740" w14:textId="77777777" w:rsidR="009A356E" w:rsidRPr="00C10545" w:rsidRDefault="009A356E" w:rsidP="009A356E">
            <w:pPr>
              <w:rPr>
                <w:sz w:val="18"/>
                <w:szCs w:val="18"/>
                <w:lang w:eastAsia="en-AU"/>
              </w:rPr>
            </w:pPr>
            <w:r w:rsidRPr="00C10545">
              <w:rPr>
                <w:sz w:val="18"/>
                <w:szCs w:val="18"/>
                <w:lang w:eastAsia="en-AU"/>
              </w:rPr>
              <w:t>Corangamite</w:t>
            </w:r>
          </w:p>
        </w:tc>
        <w:tc>
          <w:tcPr>
            <w:tcW w:w="680" w:type="pct"/>
            <w:gridSpan w:val="2"/>
            <w:tcBorders>
              <w:top w:val="nil"/>
              <w:left w:val="nil"/>
              <w:bottom w:val="single" w:sz="4" w:space="0" w:color="auto"/>
              <w:right w:val="single" w:sz="4" w:space="0" w:color="auto"/>
            </w:tcBorders>
            <w:shd w:val="clear" w:color="auto" w:fill="auto"/>
            <w:noWrap/>
            <w:vAlign w:val="bottom"/>
            <w:hideMark/>
          </w:tcPr>
          <w:p w14:paraId="0BCD802E" w14:textId="77777777" w:rsidR="009A356E" w:rsidRPr="00C10545" w:rsidRDefault="009A356E" w:rsidP="009A356E">
            <w:pPr>
              <w:jc w:val="right"/>
              <w:rPr>
                <w:sz w:val="18"/>
                <w:szCs w:val="18"/>
                <w:lang w:eastAsia="en-AU"/>
              </w:rPr>
            </w:pPr>
            <w:r w:rsidRPr="00C10545">
              <w:rPr>
                <w:sz w:val="18"/>
                <w:szCs w:val="18"/>
                <w:lang w:eastAsia="en-AU"/>
              </w:rPr>
              <w:t>106,052</w:t>
            </w:r>
          </w:p>
        </w:tc>
        <w:tc>
          <w:tcPr>
            <w:tcW w:w="680" w:type="pct"/>
            <w:gridSpan w:val="2"/>
            <w:tcBorders>
              <w:top w:val="nil"/>
              <w:left w:val="nil"/>
              <w:bottom w:val="single" w:sz="4" w:space="0" w:color="auto"/>
              <w:right w:val="single" w:sz="4" w:space="0" w:color="auto"/>
            </w:tcBorders>
            <w:shd w:val="clear" w:color="auto" w:fill="auto"/>
            <w:noWrap/>
            <w:vAlign w:val="bottom"/>
            <w:hideMark/>
          </w:tcPr>
          <w:p w14:paraId="65BB1497" w14:textId="77777777" w:rsidR="009A356E" w:rsidRPr="00C10545" w:rsidRDefault="009A356E" w:rsidP="009A356E">
            <w:pPr>
              <w:jc w:val="right"/>
              <w:rPr>
                <w:sz w:val="18"/>
                <w:szCs w:val="18"/>
                <w:lang w:eastAsia="en-AU"/>
              </w:rPr>
            </w:pPr>
            <w:r w:rsidRPr="00C10545">
              <w:rPr>
                <w:sz w:val="18"/>
                <w:szCs w:val="18"/>
                <w:lang w:eastAsia="en-AU"/>
              </w:rPr>
              <w:t>98,594</w:t>
            </w:r>
          </w:p>
        </w:tc>
        <w:tc>
          <w:tcPr>
            <w:tcW w:w="680" w:type="pct"/>
            <w:gridSpan w:val="2"/>
            <w:tcBorders>
              <w:top w:val="nil"/>
              <w:left w:val="nil"/>
              <w:bottom w:val="single" w:sz="4" w:space="0" w:color="auto"/>
              <w:right w:val="single" w:sz="4" w:space="0" w:color="auto"/>
            </w:tcBorders>
            <w:shd w:val="clear" w:color="auto" w:fill="auto"/>
            <w:noWrap/>
            <w:vAlign w:val="bottom"/>
            <w:hideMark/>
          </w:tcPr>
          <w:p w14:paraId="5511C151" w14:textId="77777777" w:rsidR="009A356E" w:rsidRPr="00C10545" w:rsidRDefault="009A356E" w:rsidP="009A356E">
            <w:pPr>
              <w:jc w:val="right"/>
              <w:rPr>
                <w:sz w:val="18"/>
                <w:szCs w:val="18"/>
                <w:lang w:eastAsia="en-AU"/>
              </w:rPr>
            </w:pPr>
            <w:r w:rsidRPr="00C10545">
              <w:rPr>
                <w:sz w:val="18"/>
                <w:szCs w:val="18"/>
                <w:lang w:eastAsia="en-AU"/>
              </w:rPr>
              <w:t>81,513</w:t>
            </w:r>
          </w:p>
        </w:tc>
        <w:tc>
          <w:tcPr>
            <w:tcW w:w="680" w:type="pct"/>
            <w:gridSpan w:val="2"/>
            <w:tcBorders>
              <w:top w:val="nil"/>
              <w:left w:val="nil"/>
              <w:bottom w:val="single" w:sz="4" w:space="0" w:color="auto"/>
              <w:right w:val="single" w:sz="4" w:space="0" w:color="auto"/>
            </w:tcBorders>
            <w:shd w:val="clear" w:color="auto" w:fill="auto"/>
            <w:noWrap/>
            <w:vAlign w:val="bottom"/>
            <w:hideMark/>
          </w:tcPr>
          <w:p w14:paraId="25321FD0" w14:textId="77777777" w:rsidR="009A356E" w:rsidRPr="00C10545" w:rsidRDefault="009A356E" w:rsidP="009A356E">
            <w:pPr>
              <w:jc w:val="right"/>
              <w:rPr>
                <w:sz w:val="18"/>
                <w:szCs w:val="18"/>
                <w:lang w:eastAsia="en-AU"/>
              </w:rPr>
            </w:pPr>
            <w:r w:rsidRPr="00C10545">
              <w:rPr>
                <w:sz w:val="18"/>
                <w:szCs w:val="18"/>
                <w:lang w:eastAsia="en-AU"/>
              </w:rPr>
              <w:t>281,086</w:t>
            </w:r>
          </w:p>
        </w:tc>
        <w:tc>
          <w:tcPr>
            <w:tcW w:w="680" w:type="pct"/>
            <w:gridSpan w:val="2"/>
            <w:tcBorders>
              <w:top w:val="nil"/>
              <w:left w:val="nil"/>
              <w:bottom w:val="single" w:sz="4" w:space="0" w:color="auto"/>
              <w:right w:val="single" w:sz="4" w:space="0" w:color="auto"/>
            </w:tcBorders>
            <w:shd w:val="clear" w:color="auto" w:fill="auto"/>
            <w:noWrap/>
            <w:vAlign w:val="bottom"/>
            <w:hideMark/>
          </w:tcPr>
          <w:p w14:paraId="0EFB2ACF" w14:textId="77777777" w:rsidR="009A356E" w:rsidRPr="00C10545" w:rsidRDefault="009A356E" w:rsidP="009A356E">
            <w:pPr>
              <w:jc w:val="right"/>
              <w:rPr>
                <w:sz w:val="18"/>
                <w:szCs w:val="18"/>
                <w:lang w:eastAsia="en-AU"/>
              </w:rPr>
            </w:pPr>
            <w:r w:rsidRPr="00C10545">
              <w:rPr>
                <w:sz w:val="18"/>
                <w:szCs w:val="18"/>
                <w:lang w:eastAsia="en-AU"/>
              </w:rPr>
              <w:t>272,948</w:t>
            </w:r>
          </w:p>
        </w:tc>
        <w:tc>
          <w:tcPr>
            <w:tcW w:w="680" w:type="pct"/>
            <w:tcBorders>
              <w:top w:val="nil"/>
              <w:left w:val="nil"/>
              <w:bottom w:val="single" w:sz="4" w:space="0" w:color="auto"/>
              <w:right w:val="single" w:sz="4" w:space="0" w:color="auto"/>
            </w:tcBorders>
            <w:vAlign w:val="bottom"/>
          </w:tcPr>
          <w:p w14:paraId="54A5FC2C" w14:textId="77777777" w:rsidR="009A356E" w:rsidRPr="00C10545" w:rsidRDefault="009A356E" w:rsidP="009A356E">
            <w:pPr>
              <w:jc w:val="right"/>
              <w:rPr>
                <w:sz w:val="18"/>
                <w:szCs w:val="18"/>
                <w:lang w:eastAsia="en-AU"/>
              </w:rPr>
            </w:pPr>
            <w:r w:rsidRPr="00C10545">
              <w:rPr>
                <w:sz w:val="18"/>
                <w:szCs w:val="18"/>
                <w:lang w:eastAsia="en-AU"/>
              </w:rPr>
              <w:t>861,468</w:t>
            </w:r>
          </w:p>
        </w:tc>
      </w:tr>
      <w:tr w:rsidR="009A356E" w:rsidRPr="003B5E14" w14:paraId="27BC7D17" w14:textId="77777777" w:rsidTr="009A356E">
        <w:trPr>
          <w:trHeight w:val="255"/>
        </w:trPr>
        <w:tc>
          <w:tcPr>
            <w:tcW w:w="920" w:type="pct"/>
            <w:tcBorders>
              <w:top w:val="nil"/>
              <w:left w:val="single" w:sz="4" w:space="0" w:color="auto"/>
              <w:bottom w:val="single" w:sz="4" w:space="0" w:color="auto"/>
              <w:right w:val="single" w:sz="4" w:space="0" w:color="auto"/>
            </w:tcBorders>
            <w:shd w:val="clear" w:color="auto" w:fill="auto"/>
            <w:noWrap/>
            <w:vAlign w:val="bottom"/>
            <w:hideMark/>
          </w:tcPr>
          <w:p w14:paraId="5BCB5D85" w14:textId="77777777" w:rsidR="009A356E" w:rsidRPr="00C10545" w:rsidRDefault="009A356E" w:rsidP="009A356E">
            <w:pPr>
              <w:rPr>
                <w:sz w:val="18"/>
                <w:szCs w:val="18"/>
                <w:lang w:eastAsia="en-AU"/>
              </w:rPr>
            </w:pPr>
            <w:r w:rsidRPr="00C10545">
              <w:rPr>
                <w:sz w:val="18"/>
                <w:szCs w:val="18"/>
                <w:lang w:eastAsia="en-AU"/>
              </w:rPr>
              <w:t>Mitchell</w:t>
            </w:r>
          </w:p>
        </w:tc>
        <w:tc>
          <w:tcPr>
            <w:tcW w:w="680" w:type="pct"/>
            <w:gridSpan w:val="2"/>
            <w:tcBorders>
              <w:top w:val="nil"/>
              <w:left w:val="nil"/>
              <w:bottom w:val="single" w:sz="4" w:space="0" w:color="auto"/>
              <w:right w:val="single" w:sz="4" w:space="0" w:color="auto"/>
            </w:tcBorders>
            <w:shd w:val="clear" w:color="auto" w:fill="auto"/>
            <w:noWrap/>
            <w:vAlign w:val="bottom"/>
            <w:hideMark/>
          </w:tcPr>
          <w:p w14:paraId="23CF8D1D" w14:textId="77777777" w:rsidR="009A356E" w:rsidRPr="00C10545" w:rsidRDefault="009A356E" w:rsidP="009A356E">
            <w:pPr>
              <w:jc w:val="right"/>
              <w:rPr>
                <w:sz w:val="18"/>
                <w:szCs w:val="18"/>
                <w:lang w:eastAsia="en-AU"/>
              </w:rPr>
            </w:pPr>
            <w:r w:rsidRPr="00C10545">
              <w:rPr>
                <w:sz w:val="18"/>
                <w:szCs w:val="18"/>
                <w:lang w:eastAsia="en-AU"/>
              </w:rPr>
              <w:t>-84,617</w:t>
            </w:r>
          </w:p>
        </w:tc>
        <w:tc>
          <w:tcPr>
            <w:tcW w:w="680" w:type="pct"/>
            <w:gridSpan w:val="2"/>
            <w:tcBorders>
              <w:top w:val="nil"/>
              <w:left w:val="nil"/>
              <w:bottom w:val="single" w:sz="4" w:space="0" w:color="auto"/>
              <w:right w:val="single" w:sz="4" w:space="0" w:color="auto"/>
            </w:tcBorders>
            <w:shd w:val="clear" w:color="auto" w:fill="auto"/>
            <w:noWrap/>
            <w:vAlign w:val="bottom"/>
            <w:hideMark/>
          </w:tcPr>
          <w:p w14:paraId="6C65442F" w14:textId="77777777" w:rsidR="009A356E" w:rsidRPr="00C10545" w:rsidRDefault="009A356E" w:rsidP="009A356E">
            <w:pPr>
              <w:jc w:val="right"/>
              <w:rPr>
                <w:sz w:val="18"/>
                <w:szCs w:val="18"/>
                <w:lang w:eastAsia="en-AU"/>
              </w:rPr>
            </w:pPr>
            <w:r w:rsidRPr="00C10545">
              <w:rPr>
                <w:sz w:val="18"/>
                <w:szCs w:val="18"/>
                <w:lang w:eastAsia="en-AU"/>
              </w:rPr>
              <w:t>-364,232</w:t>
            </w:r>
          </w:p>
        </w:tc>
        <w:tc>
          <w:tcPr>
            <w:tcW w:w="680" w:type="pct"/>
            <w:gridSpan w:val="2"/>
            <w:tcBorders>
              <w:top w:val="nil"/>
              <w:left w:val="nil"/>
              <w:bottom w:val="single" w:sz="4" w:space="0" w:color="auto"/>
              <w:right w:val="single" w:sz="4" w:space="0" w:color="auto"/>
            </w:tcBorders>
            <w:shd w:val="clear" w:color="auto" w:fill="auto"/>
            <w:noWrap/>
            <w:vAlign w:val="bottom"/>
            <w:hideMark/>
          </w:tcPr>
          <w:p w14:paraId="03F5B730" w14:textId="77777777" w:rsidR="009A356E" w:rsidRPr="00C10545" w:rsidRDefault="009A356E" w:rsidP="009A356E">
            <w:pPr>
              <w:jc w:val="right"/>
              <w:rPr>
                <w:sz w:val="18"/>
                <w:szCs w:val="18"/>
                <w:lang w:eastAsia="en-AU"/>
              </w:rPr>
            </w:pPr>
            <w:r w:rsidRPr="00C10545">
              <w:rPr>
                <w:sz w:val="18"/>
                <w:szCs w:val="18"/>
                <w:lang w:eastAsia="en-AU"/>
              </w:rPr>
              <w:t>-595,740</w:t>
            </w:r>
          </w:p>
        </w:tc>
        <w:tc>
          <w:tcPr>
            <w:tcW w:w="680" w:type="pct"/>
            <w:gridSpan w:val="2"/>
            <w:tcBorders>
              <w:top w:val="nil"/>
              <w:left w:val="nil"/>
              <w:bottom w:val="single" w:sz="4" w:space="0" w:color="auto"/>
              <w:right w:val="single" w:sz="4" w:space="0" w:color="auto"/>
            </w:tcBorders>
            <w:shd w:val="clear" w:color="auto" w:fill="auto"/>
            <w:noWrap/>
            <w:vAlign w:val="bottom"/>
            <w:hideMark/>
          </w:tcPr>
          <w:p w14:paraId="04816683" w14:textId="77777777" w:rsidR="009A356E" w:rsidRPr="00C10545" w:rsidRDefault="009A356E" w:rsidP="009A356E">
            <w:pPr>
              <w:jc w:val="right"/>
              <w:rPr>
                <w:sz w:val="18"/>
                <w:szCs w:val="18"/>
                <w:lang w:eastAsia="en-AU"/>
              </w:rPr>
            </w:pPr>
            <w:r w:rsidRPr="00C10545">
              <w:rPr>
                <w:sz w:val="18"/>
                <w:szCs w:val="18"/>
                <w:lang w:eastAsia="en-AU"/>
              </w:rPr>
              <w:t>-714,761</w:t>
            </w:r>
          </w:p>
        </w:tc>
        <w:tc>
          <w:tcPr>
            <w:tcW w:w="680" w:type="pct"/>
            <w:gridSpan w:val="2"/>
            <w:tcBorders>
              <w:top w:val="nil"/>
              <w:left w:val="nil"/>
              <w:bottom w:val="single" w:sz="4" w:space="0" w:color="auto"/>
              <w:right w:val="single" w:sz="4" w:space="0" w:color="auto"/>
            </w:tcBorders>
            <w:shd w:val="clear" w:color="auto" w:fill="auto"/>
            <w:noWrap/>
            <w:vAlign w:val="bottom"/>
            <w:hideMark/>
          </w:tcPr>
          <w:p w14:paraId="73465A4C" w14:textId="77777777" w:rsidR="009A356E" w:rsidRPr="00C10545" w:rsidRDefault="009A356E" w:rsidP="009A356E">
            <w:pPr>
              <w:jc w:val="right"/>
              <w:rPr>
                <w:sz w:val="18"/>
                <w:szCs w:val="18"/>
                <w:lang w:eastAsia="en-AU"/>
              </w:rPr>
            </w:pPr>
            <w:r w:rsidRPr="00C10545">
              <w:rPr>
                <w:sz w:val="18"/>
                <w:szCs w:val="18"/>
                <w:lang w:eastAsia="en-AU"/>
              </w:rPr>
              <w:t>-849,223</w:t>
            </w:r>
          </w:p>
        </w:tc>
        <w:tc>
          <w:tcPr>
            <w:tcW w:w="680" w:type="pct"/>
            <w:tcBorders>
              <w:top w:val="nil"/>
              <w:left w:val="nil"/>
              <w:bottom w:val="single" w:sz="4" w:space="0" w:color="auto"/>
              <w:right w:val="single" w:sz="4" w:space="0" w:color="auto"/>
            </w:tcBorders>
            <w:vAlign w:val="bottom"/>
          </w:tcPr>
          <w:p w14:paraId="6D0303FA" w14:textId="77777777" w:rsidR="009A356E" w:rsidRPr="00C10545" w:rsidRDefault="009A356E" w:rsidP="009A356E">
            <w:pPr>
              <w:jc w:val="right"/>
              <w:rPr>
                <w:sz w:val="18"/>
                <w:szCs w:val="18"/>
                <w:lang w:eastAsia="en-AU"/>
              </w:rPr>
            </w:pPr>
            <w:r w:rsidRPr="00C10545">
              <w:rPr>
                <w:sz w:val="18"/>
                <w:szCs w:val="18"/>
                <w:lang w:eastAsia="en-AU"/>
              </w:rPr>
              <w:t>-2,665,964</w:t>
            </w:r>
          </w:p>
        </w:tc>
      </w:tr>
      <w:tr w:rsidR="009A356E" w:rsidRPr="003B5E14" w14:paraId="6D38CC2E" w14:textId="77777777" w:rsidTr="009A356E">
        <w:trPr>
          <w:trHeight w:val="255"/>
        </w:trPr>
        <w:tc>
          <w:tcPr>
            <w:tcW w:w="920" w:type="pct"/>
            <w:tcBorders>
              <w:top w:val="nil"/>
              <w:left w:val="single" w:sz="4" w:space="0" w:color="auto"/>
              <w:bottom w:val="single" w:sz="4" w:space="0" w:color="auto"/>
              <w:right w:val="single" w:sz="4" w:space="0" w:color="auto"/>
            </w:tcBorders>
            <w:shd w:val="clear" w:color="auto" w:fill="auto"/>
            <w:noWrap/>
            <w:vAlign w:val="bottom"/>
            <w:hideMark/>
          </w:tcPr>
          <w:p w14:paraId="0517AB28" w14:textId="77777777" w:rsidR="009A356E" w:rsidRPr="00C10545" w:rsidRDefault="009A356E" w:rsidP="009A356E">
            <w:pPr>
              <w:rPr>
                <w:sz w:val="18"/>
                <w:szCs w:val="18"/>
                <w:lang w:eastAsia="en-AU"/>
              </w:rPr>
            </w:pPr>
            <w:r w:rsidRPr="00C10545">
              <w:rPr>
                <w:sz w:val="18"/>
                <w:szCs w:val="18"/>
                <w:lang w:eastAsia="en-AU"/>
              </w:rPr>
              <w:t>Moira</w:t>
            </w:r>
          </w:p>
        </w:tc>
        <w:tc>
          <w:tcPr>
            <w:tcW w:w="680" w:type="pct"/>
            <w:gridSpan w:val="2"/>
            <w:tcBorders>
              <w:top w:val="nil"/>
              <w:left w:val="nil"/>
              <w:bottom w:val="single" w:sz="4" w:space="0" w:color="auto"/>
              <w:right w:val="single" w:sz="4" w:space="0" w:color="auto"/>
            </w:tcBorders>
            <w:shd w:val="clear" w:color="auto" w:fill="auto"/>
            <w:noWrap/>
            <w:vAlign w:val="bottom"/>
            <w:hideMark/>
          </w:tcPr>
          <w:p w14:paraId="780DE22A" w14:textId="77777777" w:rsidR="009A356E" w:rsidRPr="00C10545" w:rsidRDefault="009A356E" w:rsidP="009A356E">
            <w:pPr>
              <w:jc w:val="right"/>
              <w:rPr>
                <w:sz w:val="18"/>
                <w:szCs w:val="18"/>
                <w:lang w:eastAsia="en-AU"/>
              </w:rPr>
            </w:pPr>
            <w:r w:rsidRPr="00C10545">
              <w:rPr>
                <w:sz w:val="18"/>
                <w:szCs w:val="18"/>
                <w:lang w:eastAsia="en-AU"/>
              </w:rPr>
              <w:t>-180,481</w:t>
            </w:r>
          </w:p>
        </w:tc>
        <w:tc>
          <w:tcPr>
            <w:tcW w:w="680" w:type="pct"/>
            <w:gridSpan w:val="2"/>
            <w:tcBorders>
              <w:top w:val="nil"/>
              <w:left w:val="nil"/>
              <w:bottom w:val="single" w:sz="4" w:space="0" w:color="auto"/>
              <w:right w:val="single" w:sz="4" w:space="0" w:color="auto"/>
            </w:tcBorders>
            <w:shd w:val="clear" w:color="auto" w:fill="auto"/>
            <w:noWrap/>
            <w:vAlign w:val="bottom"/>
            <w:hideMark/>
          </w:tcPr>
          <w:p w14:paraId="47AA4DC8" w14:textId="77777777" w:rsidR="009A356E" w:rsidRPr="00C10545" w:rsidRDefault="009A356E" w:rsidP="009A356E">
            <w:pPr>
              <w:jc w:val="right"/>
              <w:rPr>
                <w:sz w:val="18"/>
                <w:szCs w:val="18"/>
                <w:lang w:eastAsia="en-AU"/>
              </w:rPr>
            </w:pPr>
            <w:r w:rsidRPr="00C10545">
              <w:rPr>
                <w:sz w:val="18"/>
                <w:szCs w:val="18"/>
                <w:lang w:eastAsia="en-AU"/>
              </w:rPr>
              <w:t>23,096</w:t>
            </w:r>
          </w:p>
        </w:tc>
        <w:tc>
          <w:tcPr>
            <w:tcW w:w="680" w:type="pct"/>
            <w:gridSpan w:val="2"/>
            <w:tcBorders>
              <w:top w:val="nil"/>
              <w:left w:val="nil"/>
              <w:bottom w:val="single" w:sz="4" w:space="0" w:color="auto"/>
              <w:right w:val="single" w:sz="4" w:space="0" w:color="auto"/>
            </w:tcBorders>
            <w:shd w:val="clear" w:color="auto" w:fill="auto"/>
            <w:noWrap/>
            <w:vAlign w:val="bottom"/>
            <w:hideMark/>
          </w:tcPr>
          <w:p w14:paraId="6B76DA7B" w14:textId="77777777" w:rsidR="009A356E" w:rsidRPr="00C10545" w:rsidRDefault="009A356E" w:rsidP="009A356E">
            <w:pPr>
              <w:jc w:val="right"/>
              <w:rPr>
                <w:sz w:val="18"/>
                <w:szCs w:val="18"/>
                <w:lang w:eastAsia="en-AU"/>
              </w:rPr>
            </w:pPr>
            <w:r w:rsidRPr="00C10545">
              <w:rPr>
                <w:sz w:val="18"/>
                <w:szCs w:val="18"/>
                <w:lang w:eastAsia="en-AU"/>
              </w:rPr>
              <w:t>419,571</w:t>
            </w:r>
          </w:p>
        </w:tc>
        <w:tc>
          <w:tcPr>
            <w:tcW w:w="680" w:type="pct"/>
            <w:gridSpan w:val="2"/>
            <w:tcBorders>
              <w:top w:val="nil"/>
              <w:left w:val="nil"/>
              <w:bottom w:val="single" w:sz="4" w:space="0" w:color="auto"/>
              <w:right w:val="single" w:sz="4" w:space="0" w:color="auto"/>
            </w:tcBorders>
            <w:shd w:val="clear" w:color="auto" w:fill="auto"/>
            <w:noWrap/>
            <w:vAlign w:val="bottom"/>
            <w:hideMark/>
          </w:tcPr>
          <w:p w14:paraId="49A87EF1" w14:textId="77777777" w:rsidR="009A356E" w:rsidRPr="00C10545" w:rsidRDefault="009A356E" w:rsidP="009A356E">
            <w:pPr>
              <w:jc w:val="right"/>
              <w:rPr>
                <w:sz w:val="18"/>
                <w:szCs w:val="18"/>
                <w:lang w:eastAsia="en-AU"/>
              </w:rPr>
            </w:pPr>
            <w:r w:rsidRPr="00C10545">
              <w:rPr>
                <w:sz w:val="18"/>
                <w:szCs w:val="18"/>
                <w:lang w:eastAsia="en-AU"/>
              </w:rPr>
              <w:t>513,176</w:t>
            </w:r>
          </w:p>
        </w:tc>
        <w:tc>
          <w:tcPr>
            <w:tcW w:w="680" w:type="pct"/>
            <w:gridSpan w:val="2"/>
            <w:tcBorders>
              <w:top w:val="nil"/>
              <w:left w:val="nil"/>
              <w:bottom w:val="single" w:sz="4" w:space="0" w:color="auto"/>
              <w:right w:val="single" w:sz="4" w:space="0" w:color="auto"/>
            </w:tcBorders>
            <w:shd w:val="clear" w:color="auto" w:fill="auto"/>
            <w:noWrap/>
            <w:vAlign w:val="bottom"/>
            <w:hideMark/>
          </w:tcPr>
          <w:p w14:paraId="601AD0B8" w14:textId="77777777" w:rsidR="009A356E" w:rsidRPr="00C10545" w:rsidRDefault="009A356E" w:rsidP="009A356E">
            <w:pPr>
              <w:jc w:val="right"/>
              <w:rPr>
                <w:sz w:val="18"/>
                <w:szCs w:val="18"/>
                <w:lang w:eastAsia="en-AU"/>
              </w:rPr>
            </w:pPr>
            <w:r w:rsidRPr="00C10545">
              <w:rPr>
                <w:sz w:val="18"/>
                <w:szCs w:val="18"/>
                <w:lang w:eastAsia="en-AU"/>
              </w:rPr>
              <w:t>359,329</w:t>
            </w:r>
          </w:p>
        </w:tc>
        <w:tc>
          <w:tcPr>
            <w:tcW w:w="680" w:type="pct"/>
            <w:tcBorders>
              <w:top w:val="nil"/>
              <w:left w:val="nil"/>
              <w:bottom w:val="single" w:sz="4" w:space="0" w:color="auto"/>
              <w:right w:val="single" w:sz="4" w:space="0" w:color="auto"/>
            </w:tcBorders>
            <w:vAlign w:val="bottom"/>
          </w:tcPr>
          <w:p w14:paraId="7FC615A1" w14:textId="77777777" w:rsidR="009A356E" w:rsidRPr="00C10545" w:rsidRDefault="009A356E" w:rsidP="009A356E">
            <w:pPr>
              <w:jc w:val="right"/>
              <w:rPr>
                <w:sz w:val="18"/>
                <w:szCs w:val="18"/>
                <w:lang w:eastAsia="en-AU"/>
              </w:rPr>
            </w:pPr>
            <w:r w:rsidRPr="00C10545">
              <w:rPr>
                <w:sz w:val="18"/>
                <w:szCs w:val="18"/>
                <w:lang w:eastAsia="en-AU"/>
              </w:rPr>
              <w:t>1,141,837</w:t>
            </w:r>
          </w:p>
        </w:tc>
      </w:tr>
      <w:tr w:rsidR="009A356E" w:rsidRPr="003B5E14" w14:paraId="63F155B7" w14:textId="77777777" w:rsidTr="009A356E">
        <w:trPr>
          <w:trHeight w:val="255"/>
        </w:trPr>
        <w:tc>
          <w:tcPr>
            <w:tcW w:w="920" w:type="pct"/>
            <w:tcBorders>
              <w:top w:val="nil"/>
              <w:left w:val="single" w:sz="4" w:space="0" w:color="auto"/>
              <w:bottom w:val="single" w:sz="4" w:space="0" w:color="auto"/>
              <w:right w:val="single" w:sz="4" w:space="0" w:color="auto"/>
            </w:tcBorders>
            <w:shd w:val="clear" w:color="auto" w:fill="auto"/>
            <w:noWrap/>
            <w:vAlign w:val="bottom"/>
            <w:hideMark/>
          </w:tcPr>
          <w:p w14:paraId="36FDE2F1" w14:textId="77777777" w:rsidR="009A356E" w:rsidRPr="00C10545" w:rsidRDefault="009A356E" w:rsidP="009A356E">
            <w:pPr>
              <w:rPr>
                <w:sz w:val="18"/>
                <w:szCs w:val="18"/>
                <w:lang w:eastAsia="en-AU"/>
              </w:rPr>
            </w:pPr>
            <w:r w:rsidRPr="00C10545">
              <w:rPr>
                <w:sz w:val="18"/>
                <w:szCs w:val="18"/>
                <w:lang w:eastAsia="en-AU"/>
              </w:rPr>
              <w:t>Moorabool</w:t>
            </w:r>
          </w:p>
        </w:tc>
        <w:tc>
          <w:tcPr>
            <w:tcW w:w="680" w:type="pct"/>
            <w:gridSpan w:val="2"/>
            <w:tcBorders>
              <w:top w:val="nil"/>
              <w:left w:val="nil"/>
              <w:bottom w:val="single" w:sz="4" w:space="0" w:color="auto"/>
              <w:right w:val="single" w:sz="4" w:space="0" w:color="auto"/>
            </w:tcBorders>
            <w:shd w:val="clear" w:color="auto" w:fill="auto"/>
            <w:noWrap/>
            <w:vAlign w:val="bottom"/>
            <w:hideMark/>
          </w:tcPr>
          <w:p w14:paraId="44F8167C" w14:textId="77777777" w:rsidR="009A356E" w:rsidRPr="00C10545" w:rsidRDefault="009A356E" w:rsidP="009A356E">
            <w:pPr>
              <w:jc w:val="right"/>
              <w:rPr>
                <w:sz w:val="18"/>
                <w:szCs w:val="18"/>
                <w:lang w:eastAsia="en-AU"/>
              </w:rPr>
            </w:pPr>
            <w:r w:rsidRPr="00C10545">
              <w:rPr>
                <w:sz w:val="18"/>
                <w:szCs w:val="18"/>
                <w:lang w:eastAsia="en-AU"/>
              </w:rPr>
              <w:t>-5,639</w:t>
            </w:r>
          </w:p>
        </w:tc>
        <w:tc>
          <w:tcPr>
            <w:tcW w:w="680" w:type="pct"/>
            <w:gridSpan w:val="2"/>
            <w:tcBorders>
              <w:top w:val="nil"/>
              <w:left w:val="nil"/>
              <w:bottom w:val="single" w:sz="4" w:space="0" w:color="auto"/>
              <w:right w:val="single" w:sz="4" w:space="0" w:color="auto"/>
            </w:tcBorders>
            <w:shd w:val="clear" w:color="auto" w:fill="auto"/>
            <w:noWrap/>
            <w:vAlign w:val="bottom"/>
            <w:hideMark/>
          </w:tcPr>
          <w:p w14:paraId="7C837234" w14:textId="77777777" w:rsidR="009A356E" w:rsidRPr="00C10545" w:rsidRDefault="009A356E" w:rsidP="009A356E">
            <w:pPr>
              <w:jc w:val="right"/>
              <w:rPr>
                <w:sz w:val="18"/>
                <w:szCs w:val="18"/>
                <w:lang w:eastAsia="en-AU"/>
              </w:rPr>
            </w:pPr>
            <w:r w:rsidRPr="00C10545">
              <w:rPr>
                <w:sz w:val="18"/>
                <w:szCs w:val="18"/>
                <w:lang w:eastAsia="en-AU"/>
              </w:rPr>
              <w:t>-279,621</w:t>
            </w:r>
          </w:p>
        </w:tc>
        <w:tc>
          <w:tcPr>
            <w:tcW w:w="680" w:type="pct"/>
            <w:gridSpan w:val="2"/>
            <w:tcBorders>
              <w:top w:val="nil"/>
              <w:left w:val="nil"/>
              <w:bottom w:val="single" w:sz="4" w:space="0" w:color="auto"/>
              <w:right w:val="single" w:sz="4" w:space="0" w:color="auto"/>
            </w:tcBorders>
            <w:shd w:val="clear" w:color="auto" w:fill="auto"/>
            <w:noWrap/>
            <w:vAlign w:val="bottom"/>
            <w:hideMark/>
          </w:tcPr>
          <w:p w14:paraId="59C128F4" w14:textId="77777777" w:rsidR="009A356E" w:rsidRPr="00C10545" w:rsidRDefault="009A356E" w:rsidP="009A356E">
            <w:pPr>
              <w:jc w:val="right"/>
              <w:rPr>
                <w:sz w:val="18"/>
                <w:szCs w:val="18"/>
                <w:lang w:eastAsia="en-AU"/>
              </w:rPr>
            </w:pPr>
            <w:r w:rsidRPr="00C10545">
              <w:rPr>
                <w:sz w:val="18"/>
                <w:szCs w:val="18"/>
                <w:lang w:eastAsia="en-AU"/>
              </w:rPr>
              <w:t>-506,601</w:t>
            </w:r>
          </w:p>
        </w:tc>
        <w:tc>
          <w:tcPr>
            <w:tcW w:w="680" w:type="pct"/>
            <w:gridSpan w:val="2"/>
            <w:tcBorders>
              <w:top w:val="nil"/>
              <w:left w:val="nil"/>
              <w:bottom w:val="single" w:sz="4" w:space="0" w:color="auto"/>
              <w:right w:val="single" w:sz="4" w:space="0" w:color="auto"/>
            </w:tcBorders>
            <w:shd w:val="clear" w:color="auto" w:fill="auto"/>
            <w:noWrap/>
            <w:vAlign w:val="bottom"/>
            <w:hideMark/>
          </w:tcPr>
          <w:p w14:paraId="624D006A" w14:textId="77777777" w:rsidR="009A356E" w:rsidRPr="00C10545" w:rsidRDefault="009A356E" w:rsidP="009A356E">
            <w:pPr>
              <w:jc w:val="right"/>
              <w:rPr>
                <w:sz w:val="18"/>
                <w:szCs w:val="18"/>
                <w:lang w:eastAsia="en-AU"/>
              </w:rPr>
            </w:pPr>
            <w:r w:rsidRPr="00C10545">
              <w:rPr>
                <w:sz w:val="18"/>
                <w:szCs w:val="18"/>
                <w:lang w:eastAsia="en-AU"/>
              </w:rPr>
              <w:t>-630,246</w:t>
            </w:r>
          </w:p>
        </w:tc>
        <w:tc>
          <w:tcPr>
            <w:tcW w:w="680" w:type="pct"/>
            <w:gridSpan w:val="2"/>
            <w:tcBorders>
              <w:top w:val="nil"/>
              <w:left w:val="nil"/>
              <w:bottom w:val="single" w:sz="4" w:space="0" w:color="auto"/>
              <w:right w:val="single" w:sz="4" w:space="0" w:color="auto"/>
            </w:tcBorders>
            <w:shd w:val="clear" w:color="auto" w:fill="auto"/>
            <w:noWrap/>
            <w:vAlign w:val="bottom"/>
            <w:hideMark/>
          </w:tcPr>
          <w:p w14:paraId="3F15D24D" w14:textId="77777777" w:rsidR="009A356E" w:rsidRPr="00C10545" w:rsidRDefault="009A356E" w:rsidP="009A356E">
            <w:pPr>
              <w:jc w:val="right"/>
              <w:rPr>
                <w:sz w:val="18"/>
                <w:szCs w:val="18"/>
                <w:lang w:eastAsia="en-AU"/>
              </w:rPr>
            </w:pPr>
            <w:r w:rsidRPr="00C10545">
              <w:rPr>
                <w:sz w:val="18"/>
                <w:szCs w:val="18"/>
                <w:lang w:eastAsia="en-AU"/>
              </w:rPr>
              <w:t>-803,506</w:t>
            </w:r>
          </w:p>
        </w:tc>
        <w:tc>
          <w:tcPr>
            <w:tcW w:w="680" w:type="pct"/>
            <w:tcBorders>
              <w:top w:val="nil"/>
              <w:left w:val="nil"/>
              <w:bottom w:val="single" w:sz="4" w:space="0" w:color="auto"/>
              <w:right w:val="single" w:sz="4" w:space="0" w:color="auto"/>
            </w:tcBorders>
            <w:vAlign w:val="bottom"/>
          </w:tcPr>
          <w:p w14:paraId="4331AE1D" w14:textId="77777777" w:rsidR="009A356E" w:rsidRPr="00C10545" w:rsidRDefault="009A356E" w:rsidP="009A356E">
            <w:pPr>
              <w:jc w:val="right"/>
              <w:rPr>
                <w:sz w:val="18"/>
                <w:szCs w:val="18"/>
                <w:lang w:eastAsia="en-AU"/>
              </w:rPr>
            </w:pPr>
            <w:r w:rsidRPr="00C10545">
              <w:rPr>
                <w:sz w:val="18"/>
                <w:szCs w:val="18"/>
                <w:lang w:eastAsia="en-AU"/>
              </w:rPr>
              <w:t>-2,267,557</w:t>
            </w:r>
          </w:p>
        </w:tc>
      </w:tr>
      <w:tr w:rsidR="009A356E" w:rsidRPr="003B5E14" w14:paraId="2FF2E524" w14:textId="77777777" w:rsidTr="009A356E">
        <w:trPr>
          <w:trHeight w:val="255"/>
        </w:trPr>
        <w:tc>
          <w:tcPr>
            <w:tcW w:w="920" w:type="pct"/>
            <w:tcBorders>
              <w:top w:val="nil"/>
              <w:left w:val="single" w:sz="4" w:space="0" w:color="auto"/>
              <w:bottom w:val="single" w:sz="4" w:space="0" w:color="auto"/>
              <w:right w:val="single" w:sz="4" w:space="0" w:color="auto"/>
            </w:tcBorders>
            <w:shd w:val="clear" w:color="auto" w:fill="auto"/>
            <w:noWrap/>
            <w:vAlign w:val="bottom"/>
            <w:hideMark/>
          </w:tcPr>
          <w:p w14:paraId="3C723CC0" w14:textId="77777777" w:rsidR="009A356E" w:rsidRPr="00C10545" w:rsidRDefault="009A356E" w:rsidP="009A356E">
            <w:pPr>
              <w:rPr>
                <w:sz w:val="18"/>
                <w:szCs w:val="18"/>
                <w:lang w:eastAsia="en-AU"/>
              </w:rPr>
            </w:pPr>
            <w:r w:rsidRPr="00C10545">
              <w:rPr>
                <w:sz w:val="18"/>
                <w:szCs w:val="18"/>
                <w:lang w:eastAsia="en-AU"/>
              </w:rPr>
              <w:t>Murrindindi</w:t>
            </w:r>
          </w:p>
        </w:tc>
        <w:tc>
          <w:tcPr>
            <w:tcW w:w="680" w:type="pct"/>
            <w:gridSpan w:val="2"/>
            <w:tcBorders>
              <w:top w:val="nil"/>
              <w:left w:val="nil"/>
              <w:bottom w:val="single" w:sz="4" w:space="0" w:color="auto"/>
              <w:right w:val="single" w:sz="4" w:space="0" w:color="auto"/>
            </w:tcBorders>
            <w:shd w:val="clear" w:color="auto" w:fill="auto"/>
            <w:noWrap/>
            <w:vAlign w:val="bottom"/>
            <w:hideMark/>
          </w:tcPr>
          <w:p w14:paraId="0591617A" w14:textId="77777777" w:rsidR="009A356E" w:rsidRPr="00C10545" w:rsidRDefault="009A356E" w:rsidP="009A356E">
            <w:pPr>
              <w:jc w:val="right"/>
              <w:rPr>
                <w:sz w:val="18"/>
                <w:szCs w:val="18"/>
                <w:lang w:eastAsia="en-AU"/>
              </w:rPr>
            </w:pPr>
            <w:r w:rsidRPr="00C10545">
              <w:rPr>
                <w:sz w:val="18"/>
                <w:szCs w:val="18"/>
                <w:lang w:eastAsia="en-AU"/>
              </w:rPr>
              <w:t>40,681</w:t>
            </w:r>
          </w:p>
        </w:tc>
        <w:tc>
          <w:tcPr>
            <w:tcW w:w="680" w:type="pct"/>
            <w:gridSpan w:val="2"/>
            <w:tcBorders>
              <w:top w:val="nil"/>
              <w:left w:val="nil"/>
              <w:bottom w:val="single" w:sz="4" w:space="0" w:color="auto"/>
              <w:right w:val="single" w:sz="4" w:space="0" w:color="auto"/>
            </w:tcBorders>
            <w:shd w:val="clear" w:color="auto" w:fill="auto"/>
            <w:noWrap/>
            <w:vAlign w:val="bottom"/>
            <w:hideMark/>
          </w:tcPr>
          <w:p w14:paraId="355542FD" w14:textId="77777777" w:rsidR="009A356E" w:rsidRPr="00C10545" w:rsidRDefault="009A356E" w:rsidP="009A356E">
            <w:pPr>
              <w:jc w:val="right"/>
              <w:rPr>
                <w:sz w:val="18"/>
                <w:szCs w:val="18"/>
                <w:lang w:eastAsia="en-AU"/>
              </w:rPr>
            </w:pPr>
            <w:r w:rsidRPr="00C10545">
              <w:rPr>
                <w:sz w:val="18"/>
                <w:szCs w:val="18"/>
                <w:lang w:eastAsia="en-AU"/>
              </w:rPr>
              <w:t>-14,871</w:t>
            </w:r>
          </w:p>
        </w:tc>
        <w:tc>
          <w:tcPr>
            <w:tcW w:w="680" w:type="pct"/>
            <w:gridSpan w:val="2"/>
            <w:tcBorders>
              <w:top w:val="nil"/>
              <w:left w:val="nil"/>
              <w:bottom w:val="single" w:sz="4" w:space="0" w:color="auto"/>
              <w:right w:val="single" w:sz="4" w:space="0" w:color="auto"/>
            </w:tcBorders>
            <w:shd w:val="clear" w:color="auto" w:fill="auto"/>
            <w:noWrap/>
            <w:vAlign w:val="bottom"/>
            <w:hideMark/>
          </w:tcPr>
          <w:p w14:paraId="22F7AA32" w14:textId="77777777" w:rsidR="009A356E" w:rsidRPr="00C10545" w:rsidRDefault="009A356E" w:rsidP="009A356E">
            <w:pPr>
              <w:jc w:val="right"/>
              <w:rPr>
                <w:sz w:val="18"/>
                <w:szCs w:val="18"/>
                <w:lang w:eastAsia="en-AU"/>
              </w:rPr>
            </w:pPr>
            <w:r w:rsidRPr="00C10545">
              <w:rPr>
                <w:sz w:val="18"/>
                <w:szCs w:val="18"/>
                <w:lang w:eastAsia="en-AU"/>
              </w:rPr>
              <w:t>-219,883</w:t>
            </w:r>
          </w:p>
        </w:tc>
        <w:tc>
          <w:tcPr>
            <w:tcW w:w="680" w:type="pct"/>
            <w:gridSpan w:val="2"/>
            <w:tcBorders>
              <w:top w:val="nil"/>
              <w:left w:val="nil"/>
              <w:bottom w:val="single" w:sz="4" w:space="0" w:color="auto"/>
              <w:right w:val="single" w:sz="4" w:space="0" w:color="auto"/>
            </w:tcBorders>
            <w:shd w:val="clear" w:color="auto" w:fill="auto"/>
            <w:noWrap/>
            <w:vAlign w:val="bottom"/>
            <w:hideMark/>
          </w:tcPr>
          <w:p w14:paraId="1249022E" w14:textId="77777777" w:rsidR="009A356E" w:rsidRPr="00C10545" w:rsidRDefault="009A356E" w:rsidP="009A356E">
            <w:pPr>
              <w:jc w:val="right"/>
              <w:rPr>
                <w:sz w:val="18"/>
                <w:szCs w:val="18"/>
                <w:lang w:eastAsia="en-AU"/>
              </w:rPr>
            </w:pPr>
            <w:r w:rsidRPr="00C10545">
              <w:rPr>
                <w:sz w:val="18"/>
                <w:szCs w:val="18"/>
                <w:lang w:eastAsia="en-AU"/>
              </w:rPr>
              <w:t>-342,576</w:t>
            </w:r>
          </w:p>
        </w:tc>
        <w:tc>
          <w:tcPr>
            <w:tcW w:w="680" w:type="pct"/>
            <w:gridSpan w:val="2"/>
            <w:tcBorders>
              <w:top w:val="nil"/>
              <w:left w:val="nil"/>
              <w:bottom w:val="single" w:sz="4" w:space="0" w:color="auto"/>
              <w:right w:val="single" w:sz="4" w:space="0" w:color="auto"/>
            </w:tcBorders>
            <w:shd w:val="clear" w:color="auto" w:fill="auto"/>
            <w:noWrap/>
            <w:vAlign w:val="bottom"/>
            <w:hideMark/>
          </w:tcPr>
          <w:p w14:paraId="15E5532A" w14:textId="77777777" w:rsidR="009A356E" w:rsidRPr="00C10545" w:rsidRDefault="009A356E" w:rsidP="009A356E">
            <w:pPr>
              <w:jc w:val="right"/>
              <w:rPr>
                <w:sz w:val="18"/>
                <w:szCs w:val="18"/>
                <w:lang w:eastAsia="en-AU"/>
              </w:rPr>
            </w:pPr>
            <w:r w:rsidRPr="00C10545">
              <w:rPr>
                <w:sz w:val="18"/>
                <w:szCs w:val="18"/>
                <w:lang w:eastAsia="en-AU"/>
              </w:rPr>
              <w:t>-523,624</w:t>
            </w:r>
          </w:p>
        </w:tc>
        <w:tc>
          <w:tcPr>
            <w:tcW w:w="680" w:type="pct"/>
            <w:tcBorders>
              <w:top w:val="nil"/>
              <w:left w:val="nil"/>
              <w:bottom w:val="single" w:sz="4" w:space="0" w:color="auto"/>
              <w:right w:val="single" w:sz="4" w:space="0" w:color="auto"/>
            </w:tcBorders>
            <w:vAlign w:val="bottom"/>
          </w:tcPr>
          <w:p w14:paraId="19B42B6E" w14:textId="77777777" w:rsidR="009A356E" w:rsidRPr="00C10545" w:rsidRDefault="009A356E" w:rsidP="009A356E">
            <w:pPr>
              <w:jc w:val="right"/>
              <w:rPr>
                <w:sz w:val="18"/>
                <w:szCs w:val="18"/>
                <w:lang w:eastAsia="en-AU"/>
              </w:rPr>
            </w:pPr>
            <w:r w:rsidRPr="00C10545">
              <w:rPr>
                <w:sz w:val="18"/>
                <w:szCs w:val="18"/>
                <w:lang w:eastAsia="en-AU"/>
              </w:rPr>
              <w:t>-1,069,721</w:t>
            </w:r>
          </w:p>
        </w:tc>
      </w:tr>
      <w:tr w:rsidR="009A356E" w:rsidRPr="003B5E14" w14:paraId="257203FA" w14:textId="77777777" w:rsidTr="009A356E">
        <w:trPr>
          <w:trHeight w:val="255"/>
        </w:trPr>
        <w:tc>
          <w:tcPr>
            <w:tcW w:w="920" w:type="pct"/>
            <w:tcBorders>
              <w:top w:val="nil"/>
              <w:left w:val="single" w:sz="4" w:space="0" w:color="auto"/>
              <w:bottom w:val="single" w:sz="4" w:space="0" w:color="auto"/>
              <w:right w:val="single" w:sz="4" w:space="0" w:color="auto"/>
            </w:tcBorders>
            <w:shd w:val="clear" w:color="auto" w:fill="auto"/>
            <w:noWrap/>
            <w:vAlign w:val="bottom"/>
            <w:hideMark/>
          </w:tcPr>
          <w:p w14:paraId="144D692D" w14:textId="77777777" w:rsidR="009A356E" w:rsidRPr="00C10545" w:rsidRDefault="009A356E" w:rsidP="009A356E">
            <w:pPr>
              <w:rPr>
                <w:sz w:val="18"/>
                <w:szCs w:val="18"/>
                <w:lang w:eastAsia="en-AU"/>
              </w:rPr>
            </w:pPr>
            <w:r w:rsidRPr="00C10545">
              <w:rPr>
                <w:sz w:val="18"/>
                <w:szCs w:val="18"/>
                <w:lang w:eastAsia="en-AU"/>
              </w:rPr>
              <w:t>South Gippsland</w:t>
            </w:r>
          </w:p>
        </w:tc>
        <w:tc>
          <w:tcPr>
            <w:tcW w:w="680" w:type="pct"/>
            <w:gridSpan w:val="2"/>
            <w:tcBorders>
              <w:top w:val="nil"/>
              <w:left w:val="nil"/>
              <w:bottom w:val="single" w:sz="4" w:space="0" w:color="auto"/>
              <w:right w:val="single" w:sz="4" w:space="0" w:color="auto"/>
            </w:tcBorders>
            <w:shd w:val="clear" w:color="auto" w:fill="auto"/>
            <w:noWrap/>
            <w:vAlign w:val="bottom"/>
            <w:hideMark/>
          </w:tcPr>
          <w:p w14:paraId="78C8A7AE" w14:textId="77777777" w:rsidR="009A356E" w:rsidRPr="00C10545" w:rsidRDefault="009A356E" w:rsidP="009A356E">
            <w:pPr>
              <w:jc w:val="right"/>
              <w:rPr>
                <w:sz w:val="18"/>
                <w:szCs w:val="18"/>
                <w:lang w:eastAsia="en-AU"/>
              </w:rPr>
            </w:pPr>
            <w:r w:rsidRPr="00C10545">
              <w:rPr>
                <w:sz w:val="18"/>
                <w:szCs w:val="18"/>
                <w:lang w:eastAsia="en-AU"/>
              </w:rPr>
              <w:t>-91,112</w:t>
            </w:r>
          </w:p>
        </w:tc>
        <w:tc>
          <w:tcPr>
            <w:tcW w:w="680" w:type="pct"/>
            <w:gridSpan w:val="2"/>
            <w:tcBorders>
              <w:top w:val="nil"/>
              <w:left w:val="nil"/>
              <w:bottom w:val="single" w:sz="4" w:space="0" w:color="auto"/>
              <w:right w:val="single" w:sz="4" w:space="0" w:color="auto"/>
            </w:tcBorders>
            <w:shd w:val="clear" w:color="auto" w:fill="auto"/>
            <w:noWrap/>
            <w:vAlign w:val="bottom"/>
            <w:hideMark/>
          </w:tcPr>
          <w:p w14:paraId="44D5B13A" w14:textId="77777777" w:rsidR="009A356E" w:rsidRPr="00C10545" w:rsidRDefault="009A356E" w:rsidP="009A356E">
            <w:pPr>
              <w:jc w:val="right"/>
              <w:rPr>
                <w:sz w:val="18"/>
                <w:szCs w:val="18"/>
                <w:lang w:eastAsia="en-AU"/>
              </w:rPr>
            </w:pPr>
            <w:r w:rsidRPr="00C10545">
              <w:rPr>
                <w:sz w:val="18"/>
                <w:szCs w:val="18"/>
                <w:lang w:eastAsia="en-AU"/>
              </w:rPr>
              <w:t>-261,760</w:t>
            </w:r>
          </w:p>
        </w:tc>
        <w:tc>
          <w:tcPr>
            <w:tcW w:w="680" w:type="pct"/>
            <w:gridSpan w:val="2"/>
            <w:tcBorders>
              <w:top w:val="nil"/>
              <w:left w:val="nil"/>
              <w:bottom w:val="single" w:sz="4" w:space="0" w:color="auto"/>
              <w:right w:val="single" w:sz="4" w:space="0" w:color="auto"/>
            </w:tcBorders>
            <w:shd w:val="clear" w:color="auto" w:fill="auto"/>
            <w:noWrap/>
            <w:vAlign w:val="bottom"/>
            <w:hideMark/>
          </w:tcPr>
          <w:p w14:paraId="54FCD104" w14:textId="77777777" w:rsidR="009A356E" w:rsidRPr="00C10545" w:rsidRDefault="009A356E" w:rsidP="009A356E">
            <w:pPr>
              <w:jc w:val="right"/>
              <w:rPr>
                <w:sz w:val="18"/>
                <w:szCs w:val="18"/>
                <w:lang w:eastAsia="en-AU"/>
              </w:rPr>
            </w:pPr>
            <w:r w:rsidRPr="00C10545">
              <w:rPr>
                <w:sz w:val="18"/>
                <w:szCs w:val="18"/>
                <w:lang w:eastAsia="en-AU"/>
              </w:rPr>
              <w:t>-73,368</w:t>
            </w:r>
          </w:p>
        </w:tc>
        <w:tc>
          <w:tcPr>
            <w:tcW w:w="680" w:type="pct"/>
            <w:gridSpan w:val="2"/>
            <w:tcBorders>
              <w:top w:val="nil"/>
              <w:left w:val="nil"/>
              <w:bottom w:val="single" w:sz="4" w:space="0" w:color="auto"/>
              <w:right w:val="single" w:sz="4" w:space="0" w:color="auto"/>
            </w:tcBorders>
            <w:shd w:val="clear" w:color="auto" w:fill="auto"/>
            <w:noWrap/>
            <w:vAlign w:val="bottom"/>
            <w:hideMark/>
          </w:tcPr>
          <w:p w14:paraId="01EB6338" w14:textId="77777777" w:rsidR="009A356E" w:rsidRPr="00C10545" w:rsidRDefault="009A356E" w:rsidP="009A356E">
            <w:pPr>
              <w:jc w:val="right"/>
              <w:rPr>
                <w:sz w:val="18"/>
                <w:szCs w:val="18"/>
                <w:lang w:eastAsia="en-AU"/>
              </w:rPr>
            </w:pPr>
            <w:r w:rsidRPr="00C10545">
              <w:rPr>
                <w:sz w:val="18"/>
                <w:szCs w:val="18"/>
                <w:lang w:eastAsia="en-AU"/>
              </w:rPr>
              <w:t>70,305</w:t>
            </w:r>
          </w:p>
        </w:tc>
        <w:tc>
          <w:tcPr>
            <w:tcW w:w="680" w:type="pct"/>
            <w:gridSpan w:val="2"/>
            <w:tcBorders>
              <w:top w:val="nil"/>
              <w:left w:val="nil"/>
              <w:bottom w:val="single" w:sz="4" w:space="0" w:color="auto"/>
              <w:right w:val="single" w:sz="4" w:space="0" w:color="auto"/>
            </w:tcBorders>
            <w:shd w:val="clear" w:color="auto" w:fill="auto"/>
            <w:noWrap/>
            <w:vAlign w:val="bottom"/>
            <w:hideMark/>
          </w:tcPr>
          <w:p w14:paraId="3E4A09E0" w14:textId="77777777" w:rsidR="009A356E" w:rsidRPr="00C10545" w:rsidRDefault="009A356E" w:rsidP="009A356E">
            <w:pPr>
              <w:jc w:val="right"/>
              <w:rPr>
                <w:sz w:val="18"/>
                <w:szCs w:val="18"/>
                <w:lang w:eastAsia="en-AU"/>
              </w:rPr>
            </w:pPr>
            <w:r w:rsidRPr="00C10545">
              <w:rPr>
                <w:sz w:val="18"/>
                <w:szCs w:val="18"/>
                <w:lang w:eastAsia="en-AU"/>
              </w:rPr>
              <w:t>263,483</w:t>
            </w:r>
          </w:p>
        </w:tc>
        <w:tc>
          <w:tcPr>
            <w:tcW w:w="680" w:type="pct"/>
            <w:tcBorders>
              <w:top w:val="nil"/>
              <w:left w:val="nil"/>
              <w:bottom w:val="single" w:sz="4" w:space="0" w:color="auto"/>
              <w:right w:val="single" w:sz="4" w:space="0" w:color="auto"/>
            </w:tcBorders>
            <w:vAlign w:val="bottom"/>
          </w:tcPr>
          <w:p w14:paraId="3969A880" w14:textId="77777777" w:rsidR="009A356E" w:rsidRPr="00C10545" w:rsidRDefault="009A356E" w:rsidP="009A356E">
            <w:pPr>
              <w:jc w:val="right"/>
              <w:rPr>
                <w:sz w:val="18"/>
                <w:szCs w:val="18"/>
                <w:lang w:eastAsia="en-AU"/>
              </w:rPr>
            </w:pPr>
            <w:r w:rsidRPr="00C10545">
              <w:rPr>
                <w:sz w:val="18"/>
                <w:szCs w:val="18"/>
                <w:lang w:eastAsia="en-AU"/>
              </w:rPr>
              <w:t>-116,499</w:t>
            </w:r>
          </w:p>
        </w:tc>
      </w:tr>
      <w:tr w:rsidR="009A356E" w:rsidRPr="003B5E14" w14:paraId="3BEF5693" w14:textId="77777777" w:rsidTr="009A356E">
        <w:trPr>
          <w:trHeight w:val="255"/>
        </w:trPr>
        <w:tc>
          <w:tcPr>
            <w:tcW w:w="920" w:type="pct"/>
            <w:tcBorders>
              <w:top w:val="nil"/>
              <w:left w:val="single" w:sz="4" w:space="0" w:color="auto"/>
              <w:bottom w:val="single" w:sz="4" w:space="0" w:color="auto"/>
              <w:right w:val="single" w:sz="4" w:space="0" w:color="auto"/>
            </w:tcBorders>
            <w:shd w:val="clear" w:color="000000" w:fill="000000"/>
            <w:noWrap/>
            <w:vAlign w:val="bottom"/>
            <w:hideMark/>
          </w:tcPr>
          <w:p w14:paraId="220F609E" w14:textId="77777777" w:rsidR="009A356E" w:rsidRPr="00C10545" w:rsidRDefault="009A356E" w:rsidP="009A356E">
            <w:pPr>
              <w:rPr>
                <w:sz w:val="18"/>
                <w:szCs w:val="18"/>
                <w:lang w:eastAsia="en-AU"/>
              </w:rPr>
            </w:pPr>
            <w:r w:rsidRPr="00C10545">
              <w:rPr>
                <w:sz w:val="18"/>
                <w:szCs w:val="18"/>
                <w:lang w:eastAsia="en-AU"/>
              </w:rPr>
              <w:t> </w:t>
            </w:r>
          </w:p>
        </w:tc>
        <w:tc>
          <w:tcPr>
            <w:tcW w:w="680" w:type="pct"/>
            <w:gridSpan w:val="2"/>
            <w:tcBorders>
              <w:top w:val="nil"/>
              <w:left w:val="nil"/>
              <w:bottom w:val="single" w:sz="4" w:space="0" w:color="auto"/>
              <w:right w:val="single" w:sz="4" w:space="0" w:color="auto"/>
            </w:tcBorders>
            <w:shd w:val="clear" w:color="000000" w:fill="000000"/>
            <w:noWrap/>
            <w:vAlign w:val="bottom"/>
            <w:hideMark/>
          </w:tcPr>
          <w:p w14:paraId="42FA5C39" w14:textId="77777777" w:rsidR="009A356E" w:rsidRPr="00C10545" w:rsidRDefault="009A356E" w:rsidP="009A356E">
            <w:pPr>
              <w:rPr>
                <w:sz w:val="18"/>
                <w:szCs w:val="18"/>
                <w:lang w:eastAsia="en-AU"/>
              </w:rPr>
            </w:pPr>
            <w:r w:rsidRPr="00C10545">
              <w:rPr>
                <w:sz w:val="18"/>
                <w:szCs w:val="18"/>
                <w:lang w:eastAsia="en-AU"/>
              </w:rPr>
              <w:t> </w:t>
            </w:r>
          </w:p>
        </w:tc>
        <w:tc>
          <w:tcPr>
            <w:tcW w:w="680" w:type="pct"/>
            <w:gridSpan w:val="2"/>
            <w:tcBorders>
              <w:top w:val="nil"/>
              <w:left w:val="nil"/>
              <w:bottom w:val="single" w:sz="4" w:space="0" w:color="auto"/>
              <w:right w:val="single" w:sz="4" w:space="0" w:color="auto"/>
            </w:tcBorders>
            <w:shd w:val="clear" w:color="000000" w:fill="000000"/>
            <w:noWrap/>
            <w:vAlign w:val="bottom"/>
            <w:hideMark/>
          </w:tcPr>
          <w:p w14:paraId="19B0D3D8" w14:textId="77777777" w:rsidR="009A356E" w:rsidRPr="00C10545" w:rsidRDefault="009A356E" w:rsidP="009A356E">
            <w:pPr>
              <w:rPr>
                <w:sz w:val="18"/>
                <w:szCs w:val="18"/>
                <w:lang w:eastAsia="en-AU"/>
              </w:rPr>
            </w:pPr>
            <w:r w:rsidRPr="00C10545">
              <w:rPr>
                <w:sz w:val="18"/>
                <w:szCs w:val="18"/>
                <w:lang w:eastAsia="en-AU"/>
              </w:rPr>
              <w:t> </w:t>
            </w:r>
          </w:p>
        </w:tc>
        <w:tc>
          <w:tcPr>
            <w:tcW w:w="680" w:type="pct"/>
            <w:gridSpan w:val="2"/>
            <w:tcBorders>
              <w:top w:val="nil"/>
              <w:left w:val="nil"/>
              <w:bottom w:val="single" w:sz="4" w:space="0" w:color="auto"/>
              <w:right w:val="single" w:sz="4" w:space="0" w:color="auto"/>
            </w:tcBorders>
            <w:shd w:val="clear" w:color="000000" w:fill="000000"/>
            <w:noWrap/>
            <w:vAlign w:val="bottom"/>
            <w:hideMark/>
          </w:tcPr>
          <w:p w14:paraId="2FBBD6D8" w14:textId="77777777" w:rsidR="009A356E" w:rsidRPr="00C10545" w:rsidRDefault="009A356E" w:rsidP="009A356E">
            <w:pPr>
              <w:rPr>
                <w:sz w:val="18"/>
                <w:szCs w:val="18"/>
                <w:lang w:eastAsia="en-AU"/>
              </w:rPr>
            </w:pPr>
            <w:r w:rsidRPr="00C10545">
              <w:rPr>
                <w:sz w:val="18"/>
                <w:szCs w:val="18"/>
                <w:lang w:eastAsia="en-AU"/>
              </w:rPr>
              <w:t> </w:t>
            </w:r>
          </w:p>
        </w:tc>
        <w:tc>
          <w:tcPr>
            <w:tcW w:w="680" w:type="pct"/>
            <w:gridSpan w:val="2"/>
            <w:tcBorders>
              <w:top w:val="nil"/>
              <w:left w:val="nil"/>
              <w:bottom w:val="single" w:sz="4" w:space="0" w:color="auto"/>
              <w:right w:val="single" w:sz="4" w:space="0" w:color="auto"/>
            </w:tcBorders>
            <w:shd w:val="clear" w:color="000000" w:fill="000000"/>
            <w:noWrap/>
            <w:vAlign w:val="bottom"/>
            <w:hideMark/>
          </w:tcPr>
          <w:p w14:paraId="542DD9FC" w14:textId="77777777" w:rsidR="009A356E" w:rsidRPr="00C10545" w:rsidRDefault="009A356E" w:rsidP="009A356E">
            <w:pPr>
              <w:rPr>
                <w:sz w:val="18"/>
                <w:szCs w:val="18"/>
                <w:lang w:eastAsia="en-AU"/>
              </w:rPr>
            </w:pPr>
            <w:r w:rsidRPr="00C10545">
              <w:rPr>
                <w:sz w:val="18"/>
                <w:szCs w:val="18"/>
                <w:lang w:eastAsia="en-AU"/>
              </w:rPr>
              <w:t> </w:t>
            </w:r>
          </w:p>
        </w:tc>
        <w:tc>
          <w:tcPr>
            <w:tcW w:w="680" w:type="pct"/>
            <w:gridSpan w:val="2"/>
            <w:tcBorders>
              <w:top w:val="nil"/>
              <w:left w:val="nil"/>
              <w:bottom w:val="single" w:sz="4" w:space="0" w:color="auto"/>
              <w:right w:val="single" w:sz="4" w:space="0" w:color="auto"/>
            </w:tcBorders>
            <w:shd w:val="clear" w:color="000000" w:fill="000000"/>
            <w:noWrap/>
            <w:vAlign w:val="bottom"/>
            <w:hideMark/>
          </w:tcPr>
          <w:p w14:paraId="7E107741" w14:textId="77777777" w:rsidR="009A356E" w:rsidRPr="00C10545" w:rsidRDefault="009A356E" w:rsidP="009A356E">
            <w:pPr>
              <w:rPr>
                <w:sz w:val="18"/>
                <w:szCs w:val="18"/>
                <w:lang w:eastAsia="en-AU"/>
              </w:rPr>
            </w:pPr>
            <w:r w:rsidRPr="00C10545">
              <w:rPr>
                <w:sz w:val="18"/>
                <w:szCs w:val="18"/>
                <w:lang w:eastAsia="en-AU"/>
              </w:rPr>
              <w:t> </w:t>
            </w:r>
          </w:p>
        </w:tc>
        <w:tc>
          <w:tcPr>
            <w:tcW w:w="680" w:type="pct"/>
            <w:tcBorders>
              <w:top w:val="nil"/>
              <w:left w:val="nil"/>
              <w:bottom w:val="single" w:sz="4" w:space="0" w:color="auto"/>
              <w:right w:val="single" w:sz="4" w:space="0" w:color="auto"/>
            </w:tcBorders>
            <w:shd w:val="clear" w:color="000000" w:fill="000000"/>
            <w:vAlign w:val="bottom"/>
          </w:tcPr>
          <w:p w14:paraId="58BBE93B" w14:textId="77777777" w:rsidR="009A356E" w:rsidRPr="00C10545" w:rsidRDefault="009A356E" w:rsidP="009A356E">
            <w:pPr>
              <w:jc w:val="right"/>
              <w:rPr>
                <w:sz w:val="18"/>
                <w:szCs w:val="18"/>
                <w:lang w:eastAsia="en-AU"/>
              </w:rPr>
            </w:pPr>
          </w:p>
        </w:tc>
      </w:tr>
      <w:tr w:rsidR="009A356E" w:rsidRPr="003B5E14" w14:paraId="5BB767BC" w14:textId="77777777" w:rsidTr="009A356E">
        <w:trPr>
          <w:trHeight w:val="255"/>
        </w:trPr>
        <w:tc>
          <w:tcPr>
            <w:tcW w:w="920" w:type="pct"/>
            <w:tcBorders>
              <w:top w:val="nil"/>
              <w:left w:val="single" w:sz="4" w:space="0" w:color="auto"/>
              <w:bottom w:val="single" w:sz="4" w:space="0" w:color="auto"/>
              <w:right w:val="single" w:sz="4" w:space="0" w:color="auto"/>
            </w:tcBorders>
            <w:shd w:val="clear" w:color="auto" w:fill="auto"/>
            <w:noWrap/>
            <w:vAlign w:val="bottom"/>
            <w:hideMark/>
          </w:tcPr>
          <w:p w14:paraId="67D90C95" w14:textId="77777777" w:rsidR="009A356E" w:rsidRPr="00C10545" w:rsidRDefault="009A356E" w:rsidP="009A356E">
            <w:pPr>
              <w:rPr>
                <w:b/>
                <w:bCs/>
                <w:sz w:val="18"/>
                <w:szCs w:val="18"/>
                <w:lang w:eastAsia="en-AU"/>
              </w:rPr>
            </w:pPr>
            <w:r w:rsidRPr="00C10545">
              <w:rPr>
                <w:b/>
                <w:bCs/>
                <w:sz w:val="18"/>
                <w:szCs w:val="18"/>
                <w:lang w:eastAsia="en-AU"/>
              </w:rPr>
              <w:t>Regional Cities</w:t>
            </w:r>
          </w:p>
        </w:tc>
        <w:tc>
          <w:tcPr>
            <w:tcW w:w="680" w:type="pct"/>
            <w:gridSpan w:val="2"/>
            <w:tcBorders>
              <w:top w:val="nil"/>
              <w:left w:val="nil"/>
              <w:bottom w:val="single" w:sz="4" w:space="0" w:color="auto"/>
              <w:right w:val="single" w:sz="4" w:space="0" w:color="auto"/>
            </w:tcBorders>
            <w:shd w:val="clear" w:color="000000" w:fill="000000"/>
            <w:noWrap/>
            <w:vAlign w:val="bottom"/>
            <w:hideMark/>
          </w:tcPr>
          <w:p w14:paraId="0CC49F67" w14:textId="77777777" w:rsidR="009A356E" w:rsidRPr="00C10545" w:rsidRDefault="009A356E" w:rsidP="009A356E">
            <w:pPr>
              <w:rPr>
                <w:sz w:val="18"/>
                <w:szCs w:val="18"/>
                <w:lang w:eastAsia="en-AU"/>
              </w:rPr>
            </w:pPr>
            <w:r w:rsidRPr="00C10545">
              <w:rPr>
                <w:sz w:val="18"/>
                <w:szCs w:val="18"/>
                <w:lang w:eastAsia="en-AU"/>
              </w:rPr>
              <w:t> </w:t>
            </w:r>
          </w:p>
        </w:tc>
        <w:tc>
          <w:tcPr>
            <w:tcW w:w="680" w:type="pct"/>
            <w:gridSpan w:val="2"/>
            <w:tcBorders>
              <w:top w:val="nil"/>
              <w:left w:val="nil"/>
              <w:bottom w:val="single" w:sz="4" w:space="0" w:color="auto"/>
              <w:right w:val="single" w:sz="4" w:space="0" w:color="auto"/>
            </w:tcBorders>
            <w:shd w:val="clear" w:color="000000" w:fill="000000"/>
            <w:noWrap/>
            <w:vAlign w:val="bottom"/>
            <w:hideMark/>
          </w:tcPr>
          <w:p w14:paraId="6E23DBC7" w14:textId="77777777" w:rsidR="009A356E" w:rsidRPr="00C10545" w:rsidRDefault="009A356E" w:rsidP="009A356E">
            <w:pPr>
              <w:rPr>
                <w:sz w:val="18"/>
                <w:szCs w:val="18"/>
                <w:lang w:eastAsia="en-AU"/>
              </w:rPr>
            </w:pPr>
            <w:r w:rsidRPr="00C10545">
              <w:rPr>
                <w:sz w:val="18"/>
                <w:szCs w:val="18"/>
                <w:lang w:eastAsia="en-AU"/>
              </w:rPr>
              <w:t> </w:t>
            </w:r>
          </w:p>
        </w:tc>
        <w:tc>
          <w:tcPr>
            <w:tcW w:w="680" w:type="pct"/>
            <w:gridSpan w:val="2"/>
            <w:tcBorders>
              <w:top w:val="nil"/>
              <w:left w:val="nil"/>
              <w:bottom w:val="single" w:sz="4" w:space="0" w:color="auto"/>
              <w:right w:val="single" w:sz="4" w:space="0" w:color="auto"/>
            </w:tcBorders>
            <w:shd w:val="clear" w:color="000000" w:fill="000000"/>
            <w:noWrap/>
            <w:vAlign w:val="bottom"/>
            <w:hideMark/>
          </w:tcPr>
          <w:p w14:paraId="70B34552" w14:textId="77777777" w:rsidR="009A356E" w:rsidRPr="00C10545" w:rsidRDefault="009A356E" w:rsidP="009A356E">
            <w:pPr>
              <w:rPr>
                <w:sz w:val="18"/>
                <w:szCs w:val="18"/>
                <w:lang w:eastAsia="en-AU"/>
              </w:rPr>
            </w:pPr>
            <w:r w:rsidRPr="00C10545">
              <w:rPr>
                <w:sz w:val="18"/>
                <w:szCs w:val="18"/>
                <w:lang w:eastAsia="en-AU"/>
              </w:rPr>
              <w:t> </w:t>
            </w:r>
          </w:p>
        </w:tc>
        <w:tc>
          <w:tcPr>
            <w:tcW w:w="680" w:type="pct"/>
            <w:gridSpan w:val="2"/>
            <w:tcBorders>
              <w:top w:val="nil"/>
              <w:left w:val="nil"/>
              <w:bottom w:val="single" w:sz="4" w:space="0" w:color="auto"/>
              <w:right w:val="single" w:sz="4" w:space="0" w:color="auto"/>
            </w:tcBorders>
            <w:shd w:val="clear" w:color="000000" w:fill="000000"/>
            <w:noWrap/>
            <w:vAlign w:val="bottom"/>
            <w:hideMark/>
          </w:tcPr>
          <w:p w14:paraId="28774783" w14:textId="77777777" w:rsidR="009A356E" w:rsidRPr="00C10545" w:rsidRDefault="009A356E" w:rsidP="009A356E">
            <w:pPr>
              <w:rPr>
                <w:sz w:val="18"/>
                <w:szCs w:val="18"/>
                <w:lang w:eastAsia="en-AU"/>
              </w:rPr>
            </w:pPr>
            <w:r w:rsidRPr="00C10545">
              <w:rPr>
                <w:sz w:val="18"/>
                <w:szCs w:val="18"/>
                <w:lang w:eastAsia="en-AU"/>
              </w:rPr>
              <w:t> </w:t>
            </w:r>
          </w:p>
        </w:tc>
        <w:tc>
          <w:tcPr>
            <w:tcW w:w="680" w:type="pct"/>
            <w:gridSpan w:val="2"/>
            <w:tcBorders>
              <w:top w:val="nil"/>
              <w:left w:val="nil"/>
              <w:bottom w:val="single" w:sz="4" w:space="0" w:color="auto"/>
              <w:right w:val="single" w:sz="4" w:space="0" w:color="auto"/>
            </w:tcBorders>
            <w:shd w:val="clear" w:color="000000" w:fill="000000"/>
            <w:noWrap/>
            <w:vAlign w:val="bottom"/>
            <w:hideMark/>
          </w:tcPr>
          <w:p w14:paraId="02FF35A6" w14:textId="77777777" w:rsidR="009A356E" w:rsidRPr="00C10545" w:rsidRDefault="009A356E" w:rsidP="009A356E">
            <w:pPr>
              <w:rPr>
                <w:sz w:val="18"/>
                <w:szCs w:val="18"/>
                <w:lang w:eastAsia="en-AU"/>
              </w:rPr>
            </w:pPr>
            <w:r w:rsidRPr="00C10545">
              <w:rPr>
                <w:sz w:val="18"/>
                <w:szCs w:val="18"/>
                <w:lang w:eastAsia="en-AU"/>
              </w:rPr>
              <w:t> </w:t>
            </w:r>
          </w:p>
        </w:tc>
        <w:tc>
          <w:tcPr>
            <w:tcW w:w="680" w:type="pct"/>
            <w:tcBorders>
              <w:top w:val="nil"/>
              <w:left w:val="nil"/>
              <w:bottom w:val="single" w:sz="4" w:space="0" w:color="auto"/>
              <w:right w:val="single" w:sz="4" w:space="0" w:color="auto"/>
            </w:tcBorders>
            <w:shd w:val="clear" w:color="000000" w:fill="000000"/>
            <w:vAlign w:val="bottom"/>
          </w:tcPr>
          <w:p w14:paraId="13B9D89B" w14:textId="77777777" w:rsidR="009A356E" w:rsidRPr="00C10545" w:rsidRDefault="009A356E" w:rsidP="009A356E">
            <w:pPr>
              <w:jc w:val="right"/>
              <w:rPr>
                <w:sz w:val="18"/>
                <w:szCs w:val="18"/>
                <w:lang w:eastAsia="en-AU"/>
              </w:rPr>
            </w:pPr>
          </w:p>
        </w:tc>
      </w:tr>
      <w:tr w:rsidR="009A356E" w:rsidRPr="003B5E14" w14:paraId="116015F9" w14:textId="77777777" w:rsidTr="009A356E">
        <w:trPr>
          <w:trHeight w:val="255"/>
        </w:trPr>
        <w:tc>
          <w:tcPr>
            <w:tcW w:w="920" w:type="pct"/>
            <w:tcBorders>
              <w:top w:val="nil"/>
              <w:left w:val="single" w:sz="4" w:space="0" w:color="auto"/>
              <w:bottom w:val="single" w:sz="4" w:space="0" w:color="auto"/>
              <w:right w:val="single" w:sz="4" w:space="0" w:color="auto"/>
            </w:tcBorders>
            <w:shd w:val="clear" w:color="auto" w:fill="auto"/>
            <w:noWrap/>
            <w:vAlign w:val="bottom"/>
            <w:hideMark/>
          </w:tcPr>
          <w:p w14:paraId="26137555" w14:textId="77777777" w:rsidR="009A356E" w:rsidRPr="00C10545" w:rsidRDefault="009A356E" w:rsidP="009A356E">
            <w:pPr>
              <w:rPr>
                <w:sz w:val="18"/>
                <w:szCs w:val="18"/>
                <w:lang w:eastAsia="en-AU"/>
              </w:rPr>
            </w:pPr>
            <w:r w:rsidRPr="00C10545">
              <w:rPr>
                <w:sz w:val="18"/>
                <w:szCs w:val="18"/>
                <w:lang w:eastAsia="en-AU"/>
              </w:rPr>
              <w:t>Greater Bendigo</w:t>
            </w:r>
          </w:p>
        </w:tc>
        <w:tc>
          <w:tcPr>
            <w:tcW w:w="680" w:type="pct"/>
            <w:gridSpan w:val="2"/>
            <w:tcBorders>
              <w:top w:val="nil"/>
              <w:left w:val="nil"/>
              <w:bottom w:val="single" w:sz="4" w:space="0" w:color="auto"/>
              <w:right w:val="single" w:sz="4" w:space="0" w:color="auto"/>
            </w:tcBorders>
            <w:shd w:val="clear" w:color="auto" w:fill="auto"/>
            <w:noWrap/>
            <w:vAlign w:val="bottom"/>
            <w:hideMark/>
          </w:tcPr>
          <w:p w14:paraId="53891625" w14:textId="77777777" w:rsidR="009A356E" w:rsidRPr="00C10545" w:rsidRDefault="009A356E" w:rsidP="009A356E">
            <w:pPr>
              <w:jc w:val="right"/>
              <w:rPr>
                <w:sz w:val="18"/>
                <w:szCs w:val="18"/>
                <w:lang w:eastAsia="en-AU"/>
              </w:rPr>
            </w:pPr>
            <w:r w:rsidRPr="00C10545">
              <w:rPr>
                <w:sz w:val="18"/>
                <w:szCs w:val="18"/>
                <w:lang w:eastAsia="en-AU"/>
              </w:rPr>
              <w:t>-292,606</w:t>
            </w:r>
          </w:p>
        </w:tc>
        <w:tc>
          <w:tcPr>
            <w:tcW w:w="680" w:type="pct"/>
            <w:gridSpan w:val="2"/>
            <w:tcBorders>
              <w:top w:val="nil"/>
              <w:left w:val="nil"/>
              <w:bottom w:val="single" w:sz="4" w:space="0" w:color="auto"/>
              <w:right w:val="single" w:sz="4" w:space="0" w:color="auto"/>
            </w:tcBorders>
            <w:shd w:val="clear" w:color="auto" w:fill="auto"/>
            <w:noWrap/>
            <w:vAlign w:val="bottom"/>
            <w:hideMark/>
          </w:tcPr>
          <w:p w14:paraId="4D23623B" w14:textId="77777777" w:rsidR="009A356E" w:rsidRPr="00C10545" w:rsidRDefault="009A356E" w:rsidP="009A356E">
            <w:pPr>
              <w:jc w:val="right"/>
              <w:rPr>
                <w:sz w:val="18"/>
                <w:szCs w:val="18"/>
                <w:lang w:eastAsia="en-AU"/>
              </w:rPr>
            </w:pPr>
            <w:r w:rsidRPr="00C10545">
              <w:rPr>
                <w:sz w:val="18"/>
                <w:szCs w:val="18"/>
                <w:lang w:eastAsia="en-AU"/>
              </w:rPr>
              <w:t>-720,471</w:t>
            </w:r>
          </w:p>
        </w:tc>
        <w:tc>
          <w:tcPr>
            <w:tcW w:w="680" w:type="pct"/>
            <w:gridSpan w:val="2"/>
            <w:tcBorders>
              <w:top w:val="nil"/>
              <w:left w:val="nil"/>
              <w:bottom w:val="single" w:sz="4" w:space="0" w:color="auto"/>
              <w:right w:val="single" w:sz="4" w:space="0" w:color="auto"/>
            </w:tcBorders>
            <w:shd w:val="clear" w:color="auto" w:fill="auto"/>
            <w:noWrap/>
            <w:vAlign w:val="bottom"/>
            <w:hideMark/>
          </w:tcPr>
          <w:p w14:paraId="617C54A3" w14:textId="77777777" w:rsidR="009A356E" w:rsidRPr="00C10545" w:rsidRDefault="009A356E" w:rsidP="009A356E">
            <w:pPr>
              <w:jc w:val="right"/>
              <w:rPr>
                <w:sz w:val="18"/>
                <w:szCs w:val="18"/>
                <w:lang w:eastAsia="en-AU"/>
              </w:rPr>
            </w:pPr>
            <w:r w:rsidRPr="00C10545">
              <w:rPr>
                <w:sz w:val="18"/>
                <w:szCs w:val="18"/>
                <w:lang w:eastAsia="en-AU"/>
              </w:rPr>
              <w:t>-886,087</w:t>
            </w:r>
          </w:p>
        </w:tc>
        <w:tc>
          <w:tcPr>
            <w:tcW w:w="680" w:type="pct"/>
            <w:gridSpan w:val="2"/>
            <w:tcBorders>
              <w:top w:val="nil"/>
              <w:left w:val="nil"/>
              <w:bottom w:val="single" w:sz="4" w:space="0" w:color="auto"/>
              <w:right w:val="single" w:sz="4" w:space="0" w:color="auto"/>
            </w:tcBorders>
            <w:shd w:val="clear" w:color="auto" w:fill="auto"/>
            <w:noWrap/>
            <w:vAlign w:val="bottom"/>
            <w:hideMark/>
          </w:tcPr>
          <w:p w14:paraId="79C7DDEF" w14:textId="77777777" w:rsidR="009A356E" w:rsidRPr="00C10545" w:rsidRDefault="009A356E" w:rsidP="009A356E">
            <w:pPr>
              <w:jc w:val="right"/>
              <w:rPr>
                <w:sz w:val="18"/>
                <w:szCs w:val="18"/>
                <w:lang w:eastAsia="en-AU"/>
              </w:rPr>
            </w:pPr>
            <w:r w:rsidRPr="00C10545">
              <w:rPr>
                <w:sz w:val="18"/>
                <w:szCs w:val="18"/>
                <w:lang w:eastAsia="en-AU"/>
              </w:rPr>
              <w:t>-1,180,485</w:t>
            </w:r>
          </w:p>
        </w:tc>
        <w:tc>
          <w:tcPr>
            <w:tcW w:w="680" w:type="pct"/>
            <w:gridSpan w:val="2"/>
            <w:tcBorders>
              <w:top w:val="nil"/>
              <w:left w:val="nil"/>
              <w:bottom w:val="single" w:sz="4" w:space="0" w:color="auto"/>
              <w:right w:val="single" w:sz="4" w:space="0" w:color="auto"/>
            </w:tcBorders>
            <w:shd w:val="clear" w:color="auto" w:fill="auto"/>
            <w:noWrap/>
            <w:vAlign w:val="bottom"/>
            <w:hideMark/>
          </w:tcPr>
          <w:p w14:paraId="039A092C" w14:textId="77777777" w:rsidR="009A356E" w:rsidRPr="00C10545" w:rsidRDefault="009A356E" w:rsidP="009A356E">
            <w:pPr>
              <w:jc w:val="right"/>
              <w:rPr>
                <w:sz w:val="18"/>
                <w:szCs w:val="18"/>
                <w:lang w:eastAsia="en-AU"/>
              </w:rPr>
            </w:pPr>
            <w:r w:rsidRPr="00C10545">
              <w:rPr>
                <w:sz w:val="18"/>
                <w:szCs w:val="18"/>
                <w:lang w:eastAsia="en-AU"/>
              </w:rPr>
              <w:t>-1,744,248</w:t>
            </w:r>
          </w:p>
        </w:tc>
        <w:tc>
          <w:tcPr>
            <w:tcW w:w="680" w:type="pct"/>
            <w:tcBorders>
              <w:top w:val="nil"/>
              <w:left w:val="nil"/>
              <w:bottom w:val="single" w:sz="4" w:space="0" w:color="auto"/>
              <w:right w:val="single" w:sz="4" w:space="0" w:color="auto"/>
            </w:tcBorders>
            <w:vAlign w:val="bottom"/>
          </w:tcPr>
          <w:p w14:paraId="475E8D50" w14:textId="77777777" w:rsidR="009A356E" w:rsidRPr="00C10545" w:rsidRDefault="009A356E" w:rsidP="009A356E">
            <w:pPr>
              <w:jc w:val="right"/>
              <w:rPr>
                <w:sz w:val="18"/>
                <w:szCs w:val="18"/>
                <w:lang w:eastAsia="en-AU"/>
              </w:rPr>
            </w:pPr>
            <w:r w:rsidRPr="00C10545">
              <w:rPr>
                <w:sz w:val="18"/>
                <w:szCs w:val="18"/>
                <w:lang w:eastAsia="en-AU"/>
              </w:rPr>
              <w:t>-4,935,254</w:t>
            </w:r>
          </w:p>
        </w:tc>
      </w:tr>
      <w:tr w:rsidR="009A356E" w:rsidRPr="003B5E14" w14:paraId="1E936254" w14:textId="77777777" w:rsidTr="009A356E">
        <w:trPr>
          <w:trHeight w:val="255"/>
        </w:trPr>
        <w:tc>
          <w:tcPr>
            <w:tcW w:w="920" w:type="pct"/>
            <w:tcBorders>
              <w:top w:val="nil"/>
              <w:left w:val="single" w:sz="4" w:space="0" w:color="auto"/>
              <w:bottom w:val="single" w:sz="4" w:space="0" w:color="auto"/>
              <w:right w:val="single" w:sz="4" w:space="0" w:color="auto"/>
            </w:tcBorders>
            <w:shd w:val="clear" w:color="auto" w:fill="auto"/>
            <w:noWrap/>
            <w:vAlign w:val="bottom"/>
            <w:hideMark/>
          </w:tcPr>
          <w:p w14:paraId="2E37B81E" w14:textId="77777777" w:rsidR="009A356E" w:rsidRPr="00C10545" w:rsidRDefault="009A356E" w:rsidP="009A356E">
            <w:pPr>
              <w:rPr>
                <w:sz w:val="18"/>
                <w:szCs w:val="18"/>
                <w:lang w:eastAsia="en-AU"/>
              </w:rPr>
            </w:pPr>
            <w:r w:rsidRPr="00C10545">
              <w:rPr>
                <w:sz w:val="18"/>
                <w:szCs w:val="18"/>
                <w:lang w:eastAsia="en-AU"/>
              </w:rPr>
              <w:t>Greater Geelong</w:t>
            </w:r>
          </w:p>
        </w:tc>
        <w:tc>
          <w:tcPr>
            <w:tcW w:w="680" w:type="pct"/>
            <w:gridSpan w:val="2"/>
            <w:tcBorders>
              <w:top w:val="nil"/>
              <w:left w:val="nil"/>
              <w:bottom w:val="single" w:sz="4" w:space="0" w:color="auto"/>
              <w:right w:val="single" w:sz="4" w:space="0" w:color="auto"/>
            </w:tcBorders>
            <w:shd w:val="clear" w:color="auto" w:fill="auto"/>
            <w:noWrap/>
            <w:vAlign w:val="bottom"/>
            <w:hideMark/>
          </w:tcPr>
          <w:p w14:paraId="2A9F1564" w14:textId="77777777" w:rsidR="009A356E" w:rsidRPr="00C10545" w:rsidRDefault="009A356E" w:rsidP="009A356E">
            <w:pPr>
              <w:jc w:val="right"/>
              <w:rPr>
                <w:sz w:val="18"/>
                <w:szCs w:val="18"/>
                <w:lang w:eastAsia="en-AU"/>
              </w:rPr>
            </w:pPr>
            <w:r w:rsidRPr="00C10545">
              <w:rPr>
                <w:sz w:val="18"/>
                <w:szCs w:val="18"/>
                <w:lang w:eastAsia="en-AU"/>
              </w:rPr>
              <w:t>-283,555</w:t>
            </w:r>
          </w:p>
        </w:tc>
        <w:tc>
          <w:tcPr>
            <w:tcW w:w="680" w:type="pct"/>
            <w:gridSpan w:val="2"/>
            <w:tcBorders>
              <w:top w:val="nil"/>
              <w:left w:val="nil"/>
              <w:bottom w:val="single" w:sz="4" w:space="0" w:color="auto"/>
              <w:right w:val="single" w:sz="4" w:space="0" w:color="auto"/>
            </w:tcBorders>
            <w:shd w:val="clear" w:color="auto" w:fill="auto"/>
            <w:noWrap/>
            <w:vAlign w:val="bottom"/>
            <w:hideMark/>
          </w:tcPr>
          <w:p w14:paraId="34046389" w14:textId="77777777" w:rsidR="009A356E" w:rsidRPr="00C10545" w:rsidRDefault="009A356E" w:rsidP="009A356E">
            <w:pPr>
              <w:jc w:val="right"/>
              <w:rPr>
                <w:sz w:val="18"/>
                <w:szCs w:val="18"/>
                <w:lang w:eastAsia="en-AU"/>
              </w:rPr>
            </w:pPr>
            <w:r w:rsidRPr="00C10545">
              <w:rPr>
                <w:sz w:val="18"/>
                <w:szCs w:val="18"/>
                <w:lang w:eastAsia="en-AU"/>
              </w:rPr>
              <w:t>-930,494</w:t>
            </w:r>
          </w:p>
        </w:tc>
        <w:tc>
          <w:tcPr>
            <w:tcW w:w="680" w:type="pct"/>
            <w:gridSpan w:val="2"/>
            <w:tcBorders>
              <w:top w:val="nil"/>
              <w:left w:val="nil"/>
              <w:bottom w:val="single" w:sz="4" w:space="0" w:color="auto"/>
              <w:right w:val="single" w:sz="4" w:space="0" w:color="auto"/>
            </w:tcBorders>
            <w:shd w:val="clear" w:color="auto" w:fill="auto"/>
            <w:noWrap/>
            <w:vAlign w:val="bottom"/>
            <w:hideMark/>
          </w:tcPr>
          <w:p w14:paraId="276B602E" w14:textId="77777777" w:rsidR="009A356E" w:rsidRPr="00C10545" w:rsidRDefault="009A356E" w:rsidP="009A356E">
            <w:pPr>
              <w:jc w:val="right"/>
              <w:rPr>
                <w:sz w:val="18"/>
                <w:szCs w:val="18"/>
                <w:lang w:eastAsia="en-AU"/>
              </w:rPr>
            </w:pPr>
            <w:r w:rsidRPr="00C10545">
              <w:rPr>
                <w:sz w:val="18"/>
                <w:szCs w:val="18"/>
                <w:lang w:eastAsia="en-AU"/>
              </w:rPr>
              <w:t>-1,682,386</w:t>
            </w:r>
          </w:p>
        </w:tc>
        <w:tc>
          <w:tcPr>
            <w:tcW w:w="680" w:type="pct"/>
            <w:gridSpan w:val="2"/>
            <w:tcBorders>
              <w:top w:val="nil"/>
              <w:left w:val="nil"/>
              <w:bottom w:val="single" w:sz="4" w:space="0" w:color="auto"/>
              <w:right w:val="single" w:sz="4" w:space="0" w:color="auto"/>
            </w:tcBorders>
            <w:shd w:val="clear" w:color="auto" w:fill="auto"/>
            <w:noWrap/>
            <w:vAlign w:val="bottom"/>
            <w:hideMark/>
          </w:tcPr>
          <w:p w14:paraId="5D557D48" w14:textId="77777777" w:rsidR="009A356E" w:rsidRPr="00C10545" w:rsidRDefault="009A356E" w:rsidP="009A356E">
            <w:pPr>
              <w:jc w:val="right"/>
              <w:rPr>
                <w:sz w:val="18"/>
                <w:szCs w:val="18"/>
                <w:lang w:eastAsia="en-AU"/>
              </w:rPr>
            </w:pPr>
            <w:r w:rsidRPr="00C10545">
              <w:rPr>
                <w:sz w:val="18"/>
                <w:szCs w:val="18"/>
                <w:lang w:eastAsia="en-AU"/>
              </w:rPr>
              <w:t>-2,126,474</w:t>
            </w:r>
          </w:p>
        </w:tc>
        <w:tc>
          <w:tcPr>
            <w:tcW w:w="680" w:type="pct"/>
            <w:gridSpan w:val="2"/>
            <w:tcBorders>
              <w:top w:val="nil"/>
              <w:left w:val="nil"/>
              <w:bottom w:val="single" w:sz="4" w:space="0" w:color="auto"/>
              <w:right w:val="single" w:sz="4" w:space="0" w:color="auto"/>
            </w:tcBorders>
            <w:shd w:val="clear" w:color="auto" w:fill="auto"/>
            <w:noWrap/>
            <w:vAlign w:val="bottom"/>
            <w:hideMark/>
          </w:tcPr>
          <w:p w14:paraId="33B41251" w14:textId="77777777" w:rsidR="009A356E" w:rsidRPr="00C10545" w:rsidRDefault="009A356E" w:rsidP="009A356E">
            <w:pPr>
              <w:jc w:val="right"/>
              <w:rPr>
                <w:sz w:val="18"/>
                <w:szCs w:val="18"/>
                <w:lang w:eastAsia="en-AU"/>
              </w:rPr>
            </w:pPr>
            <w:r w:rsidRPr="00C10545">
              <w:rPr>
                <w:sz w:val="18"/>
                <w:szCs w:val="18"/>
                <w:lang w:eastAsia="en-AU"/>
              </w:rPr>
              <w:t>-3,114,390</w:t>
            </w:r>
          </w:p>
        </w:tc>
        <w:tc>
          <w:tcPr>
            <w:tcW w:w="680" w:type="pct"/>
            <w:tcBorders>
              <w:top w:val="nil"/>
              <w:left w:val="nil"/>
              <w:bottom w:val="single" w:sz="4" w:space="0" w:color="auto"/>
              <w:right w:val="single" w:sz="4" w:space="0" w:color="auto"/>
            </w:tcBorders>
            <w:vAlign w:val="bottom"/>
          </w:tcPr>
          <w:p w14:paraId="1E2F7B21" w14:textId="77777777" w:rsidR="009A356E" w:rsidRPr="00C10545" w:rsidRDefault="009A356E" w:rsidP="009A356E">
            <w:pPr>
              <w:jc w:val="right"/>
              <w:rPr>
                <w:sz w:val="18"/>
                <w:szCs w:val="18"/>
                <w:lang w:eastAsia="en-AU"/>
              </w:rPr>
            </w:pPr>
            <w:r w:rsidRPr="00C10545">
              <w:rPr>
                <w:sz w:val="18"/>
                <w:szCs w:val="18"/>
                <w:lang w:eastAsia="en-AU"/>
              </w:rPr>
              <w:t>-8,298,884</w:t>
            </w:r>
          </w:p>
        </w:tc>
      </w:tr>
      <w:tr w:rsidR="009A356E" w:rsidRPr="003B5E14" w14:paraId="59785BDC" w14:textId="77777777" w:rsidTr="009A356E">
        <w:trPr>
          <w:trHeight w:val="255"/>
        </w:trPr>
        <w:tc>
          <w:tcPr>
            <w:tcW w:w="920" w:type="pct"/>
            <w:tcBorders>
              <w:top w:val="nil"/>
              <w:left w:val="single" w:sz="4" w:space="0" w:color="auto"/>
              <w:bottom w:val="single" w:sz="4" w:space="0" w:color="auto"/>
              <w:right w:val="single" w:sz="4" w:space="0" w:color="auto"/>
            </w:tcBorders>
            <w:shd w:val="clear" w:color="auto" w:fill="auto"/>
            <w:noWrap/>
            <w:vAlign w:val="bottom"/>
            <w:hideMark/>
          </w:tcPr>
          <w:p w14:paraId="172FF2FB" w14:textId="77777777" w:rsidR="009A356E" w:rsidRPr="00C10545" w:rsidRDefault="009A356E" w:rsidP="009A356E">
            <w:pPr>
              <w:rPr>
                <w:sz w:val="18"/>
                <w:szCs w:val="18"/>
                <w:lang w:eastAsia="en-AU"/>
              </w:rPr>
            </w:pPr>
            <w:r w:rsidRPr="00C10545">
              <w:rPr>
                <w:sz w:val="18"/>
                <w:szCs w:val="18"/>
                <w:lang w:eastAsia="en-AU"/>
              </w:rPr>
              <w:t>Greater Shepparton</w:t>
            </w:r>
          </w:p>
        </w:tc>
        <w:tc>
          <w:tcPr>
            <w:tcW w:w="680" w:type="pct"/>
            <w:gridSpan w:val="2"/>
            <w:tcBorders>
              <w:top w:val="nil"/>
              <w:left w:val="nil"/>
              <w:bottom w:val="single" w:sz="4" w:space="0" w:color="auto"/>
              <w:right w:val="single" w:sz="4" w:space="0" w:color="auto"/>
            </w:tcBorders>
            <w:shd w:val="clear" w:color="auto" w:fill="auto"/>
            <w:noWrap/>
            <w:vAlign w:val="bottom"/>
            <w:hideMark/>
          </w:tcPr>
          <w:p w14:paraId="25893F15" w14:textId="77777777" w:rsidR="009A356E" w:rsidRPr="00C10545" w:rsidRDefault="009A356E" w:rsidP="009A356E">
            <w:pPr>
              <w:jc w:val="right"/>
              <w:rPr>
                <w:sz w:val="18"/>
                <w:szCs w:val="18"/>
                <w:lang w:eastAsia="en-AU"/>
              </w:rPr>
            </w:pPr>
            <w:r w:rsidRPr="00C10545">
              <w:rPr>
                <w:sz w:val="18"/>
                <w:szCs w:val="18"/>
                <w:lang w:eastAsia="en-AU"/>
              </w:rPr>
              <w:t>66,241</w:t>
            </w:r>
          </w:p>
        </w:tc>
        <w:tc>
          <w:tcPr>
            <w:tcW w:w="680" w:type="pct"/>
            <w:gridSpan w:val="2"/>
            <w:tcBorders>
              <w:top w:val="nil"/>
              <w:left w:val="nil"/>
              <w:bottom w:val="single" w:sz="4" w:space="0" w:color="auto"/>
              <w:right w:val="single" w:sz="4" w:space="0" w:color="auto"/>
            </w:tcBorders>
            <w:shd w:val="clear" w:color="auto" w:fill="auto"/>
            <w:noWrap/>
            <w:vAlign w:val="bottom"/>
            <w:hideMark/>
          </w:tcPr>
          <w:p w14:paraId="1D45CF70" w14:textId="77777777" w:rsidR="009A356E" w:rsidRPr="00C10545" w:rsidRDefault="009A356E" w:rsidP="009A356E">
            <w:pPr>
              <w:jc w:val="right"/>
              <w:rPr>
                <w:sz w:val="18"/>
                <w:szCs w:val="18"/>
                <w:lang w:eastAsia="en-AU"/>
              </w:rPr>
            </w:pPr>
            <w:r w:rsidRPr="00C10545">
              <w:rPr>
                <w:sz w:val="18"/>
                <w:szCs w:val="18"/>
                <w:lang w:eastAsia="en-AU"/>
              </w:rPr>
              <w:t>134,523</w:t>
            </w:r>
          </w:p>
        </w:tc>
        <w:tc>
          <w:tcPr>
            <w:tcW w:w="680" w:type="pct"/>
            <w:gridSpan w:val="2"/>
            <w:tcBorders>
              <w:top w:val="nil"/>
              <w:left w:val="nil"/>
              <w:bottom w:val="single" w:sz="4" w:space="0" w:color="auto"/>
              <w:right w:val="single" w:sz="4" w:space="0" w:color="auto"/>
            </w:tcBorders>
            <w:shd w:val="clear" w:color="auto" w:fill="auto"/>
            <w:noWrap/>
            <w:vAlign w:val="bottom"/>
            <w:hideMark/>
          </w:tcPr>
          <w:p w14:paraId="1A33C81E" w14:textId="77777777" w:rsidR="009A356E" w:rsidRPr="00C10545" w:rsidRDefault="009A356E" w:rsidP="009A356E">
            <w:pPr>
              <w:jc w:val="right"/>
              <w:rPr>
                <w:sz w:val="18"/>
                <w:szCs w:val="18"/>
                <w:lang w:eastAsia="en-AU"/>
              </w:rPr>
            </w:pPr>
            <w:r w:rsidRPr="00C10545">
              <w:rPr>
                <w:sz w:val="18"/>
                <w:szCs w:val="18"/>
                <w:lang w:eastAsia="en-AU"/>
              </w:rPr>
              <w:t>319,556</w:t>
            </w:r>
          </w:p>
        </w:tc>
        <w:tc>
          <w:tcPr>
            <w:tcW w:w="680" w:type="pct"/>
            <w:gridSpan w:val="2"/>
            <w:tcBorders>
              <w:top w:val="nil"/>
              <w:left w:val="nil"/>
              <w:bottom w:val="single" w:sz="4" w:space="0" w:color="auto"/>
              <w:right w:val="single" w:sz="4" w:space="0" w:color="auto"/>
            </w:tcBorders>
            <w:shd w:val="clear" w:color="auto" w:fill="auto"/>
            <w:noWrap/>
            <w:vAlign w:val="bottom"/>
            <w:hideMark/>
          </w:tcPr>
          <w:p w14:paraId="4F90E4DD" w14:textId="77777777" w:rsidR="009A356E" w:rsidRPr="00C10545" w:rsidRDefault="009A356E" w:rsidP="009A356E">
            <w:pPr>
              <w:jc w:val="right"/>
              <w:rPr>
                <w:sz w:val="18"/>
                <w:szCs w:val="18"/>
                <w:lang w:eastAsia="en-AU"/>
              </w:rPr>
            </w:pPr>
            <w:r w:rsidRPr="00C10545">
              <w:rPr>
                <w:sz w:val="18"/>
                <w:szCs w:val="18"/>
                <w:lang w:eastAsia="en-AU"/>
              </w:rPr>
              <w:t>439,372</w:t>
            </w:r>
          </w:p>
        </w:tc>
        <w:tc>
          <w:tcPr>
            <w:tcW w:w="680" w:type="pct"/>
            <w:gridSpan w:val="2"/>
            <w:tcBorders>
              <w:top w:val="nil"/>
              <w:left w:val="nil"/>
              <w:bottom w:val="single" w:sz="4" w:space="0" w:color="auto"/>
              <w:right w:val="single" w:sz="4" w:space="0" w:color="auto"/>
            </w:tcBorders>
            <w:shd w:val="clear" w:color="auto" w:fill="auto"/>
            <w:noWrap/>
            <w:vAlign w:val="bottom"/>
            <w:hideMark/>
          </w:tcPr>
          <w:p w14:paraId="04A8D472" w14:textId="77777777" w:rsidR="009A356E" w:rsidRPr="00C10545" w:rsidRDefault="009A356E" w:rsidP="009A356E">
            <w:pPr>
              <w:jc w:val="right"/>
              <w:rPr>
                <w:sz w:val="18"/>
                <w:szCs w:val="18"/>
                <w:lang w:eastAsia="en-AU"/>
              </w:rPr>
            </w:pPr>
            <w:r w:rsidRPr="00C10545">
              <w:rPr>
                <w:sz w:val="18"/>
                <w:szCs w:val="18"/>
                <w:lang w:eastAsia="en-AU"/>
              </w:rPr>
              <w:t>128,658</w:t>
            </w:r>
          </w:p>
        </w:tc>
        <w:tc>
          <w:tcPr>
            <w:tcW w:w="680" w:type="pct"/>
            <w:tcBorders>
              <w:top w:val="nil"/>
              <w:left w:val="nil"/>
              <w:bottom w:val="single" w:sz="4" w:space="0" w:color="auto"/>
              <w:right w:val="single" w:sz="4" w:space="0" w:color="auto"/>
            </w:tcBorders>
            <w:vAlign w:val="bottom"/>
          </w:tcPr>
          <w:p w14:paraId="5BEACAF1" w14:textId="77777777" w:rsidR="009A356E" w:rsidRPr="00C10545" w:rsidRDefault="009A356E" w:rsidP="009A356E">
            <w:pPr>
              <w:jc w:val="right"/>
              <w:rPr>
                <w:sz w:val="18"/>
                <w:szCs w:val="18"/>
                <w:lang w:eastAsia="en-AU"/>
              </w:rPr>
            </w:pPr>
            <w:r w:rsidRPr="00C10545">
              <w:rPr>
                <w:sz w:val="18"/>
                <w:szCs w:val="18"/>
                <w:lang w:eastAsia="en-AU"/>
              </w:rPr>
              <w:t>1,118,105</w:t>
            </w:r>
          </w:p>
        </w:tc>
      </w:tr>
      <w:tr w:rsidR="009A356E" w:rsidRPr="003B5E14" w14:paraId="11E4FBA5" w14:textId="77777777" w:rsidTr="009A356E">
        <w:trPr>
          <w:trHeight w:val="255"/>
        </w:trPr>
        <w:tc>
          <w:tcPr>
            <w:tcW w:w="920" w:type="pct"/>
            <w:tcBorders>
              <w:top w:val="nil"/>
              <w:left w:val="single" w:sz="4" w:space="0" w:color="auto"/>
              <w:bottom w:val="single" w:sz="4" w:space="0" w:color="auto"/>
              <w:right w:val="single" w:sz="4" w:space="0" w:color="auto"/>
            </w:tcBorders>
            <w:shd w:val="clear" w:color="auto" w:fill="auto"/>
            <w:noWrap/>
            <w:vAlign w:val="bottom"/>
            <w:hideMark/>
          </w:tcPr>
          <w:p w14:paraId="7968FEBB" w14:textId="77777777" w:rsidR="009A356E" w:rsidRPr="00C10545" w:rsidRDefault="009A356E" w:rsidP="009A356E">
            <w:pPr>
              <w:rPr>
                <w:sz w:val="18"/>
                <w:szCs w:val="18"/>
                <w:lang w:eastAsia="en-AU"/>
              </w:rPr>
            </w:pPr>
            <w:r w:rsidRPr="00C10545">
              <w:rPr>
                <w:sz w:val="18"/>
                <w:szCs w:val="18"/>
                <w:lang w:eastAsia="en-AU"/>
              </w:rPr>
              <w:t>Mildura</w:t>
            </w:r>
          </w:p>
        </w:tc>
        <w:tc>
          <w:tcPr>
            <w:tcW w:w="680" w:type="pct"/>
            <w:gridSpan w:val="2"/>
            <w:tcBorders>
              <w:top w:val="nil"/>
              <w:left w:val="nil"/>
              <w:bottom w:val="single" w:sz="4" w:space="0" w:color="auto"/>
              <w:right w:val="single" w:sz="4" w:space="0" w:color="auto"/>
            </w:tcBorders>
            <w:shd w:val="clear" w:color="auto" w:fill="auto"/>
            <w:noWrap/>
            <w:vAlign w:val="bottom"/>
            <w:hideMark/>
          </w:tcPr>
          <w:p w14:paraId="4C0136C8" w14:textId="77777777" w:rsidR="009A356E" w:rsidRPr="00C10545" w:rsidRDefault="009A356E" w:rsidP="009A356E">
            <w:pPr>
              <w:jc w:val="right"/>
              <w:rPr>
                <w:sz w:val="18"/>
                <w:szCs w:val="18"/>
                <w:lang w:eastAsia="en-AU"/>
              </w:rPr>
            </w:pPr>
            <w:r w:rsidRPr="00C10545">
              <w:rPr>
                <w:sz w:val="18"/>
                <w:szCs w:val="18"/>
                <w:lang w:eastAsia="en-AU"/>
              </w:rPr>
              <w:t>60,959</w:t>
            </w:r>
          </w:p>
        </w:tc>
        <w:tc>
          <w:tcPr>
            <w:tcW w:w="680" w:type="pct"/>
            <w:gridSpan w:val="2"/>
            <w:tcBorders>
              <w:top w:val="nil"/>
              <w:left w:val="nil"/>
              <w:bottom w:val="single" w:sz="4" w:space="0" w:color="auto"/>
              <w:right w:val="single" w:sz="4" w:space="0" w:color="auto"/>
            </w:tcBorders>
            <w:shd w:val="clear" w:color="auto" w:fill="auto"/>
            <w:noWrap/>
            <w:vAlign w:val="bottom"/>
            <w:hideMark/>
          </w:tcPr>
          <w:p w14:paraId="659F713E" w14:textId="77777777" w:rsidR="009A356E" w:rsidRPr="00C10545" w:rsidRDefault="009A356E" w:rsidP="009A356E">
            <w:pPr>
              <w:jc w:val="right"/>
              <w:rPr>
                <w:sz w:val="18"/>
                <w:szCs w:val="18"/>
                <w:lang w:eastAsia="en-AU"/>
              </w:rPr>
            </w:pPr>
            <w:r w:rsidRPr="00C10545">
              <w:rPr>
                <w:sz w:val="18"/>
                <w:szCs w:val="18"/>
                <w:lang w:eastAsia="en-AU"/>
              </w:rPr>
              <w:t>39,886</w:t>
            </w:r>
          </w:p>
        </w:tc>
        <w:tc>
          <w:tcPr>
            <w:tcW w:w="680" w:type="pct"/>
            <w:gridSpan w:val="2"/>
            <w:tcBorders>
              <w:top w:val="nil"/>
              <w:left w:val="nil"/>
              <w:bottom w:val="single" w:sz="4" w:space="0" w:color="auto"/>
              <w:right w:val="single" w:sz="4" w:space="0" w:color="auto"/>
            </w:tcBorders>
            <w:shd w:val="clear" w:color="auto" w:fill="auto"/>
            <w:noWrap/>
            <w:vAlign w:val="bottom"/>
            <w:hideMark/>
          </w:tcPr>
          <w:p w14:paraId="30C84884" w14:textId="77777777" w:rsidR="009A356E" w:rsidRPr="00C10545" w:rsidRDefault="009A356E" w:rsidP="009A356E">
            <w:pPr>
              <w:jc w:val="right"/>
              <w:rPr>
                <w:sz w:val="18"/>
                <w:szCs w:val="18"/>
                <w:lang w:eastAsia="en-AU"/>
              </w:rPr>
            </w:pPr>
            <w:r w:rsidRPr="00C10545">
              <w:rPr>
                <w:sz w:val="18"/>
                <w:szCs w:val="18"/>
                <w:lang w:eastAsia="en-AU"/>
              </w:rPr>
              <w:t>206,168</w:t>
            </w:r>
          </w:p>
        </w:tc>
        <w:tc>
          <w:tcPr>
            <w:tcW w:w="680" w:type="pct"/>
            <w:gridSpan w:val="2"/>
            <w:tcBorders>
              <w:top w:val="nil"/>
              <w:left w:val="nil"/>
              <w:bottom w:val="single" w:sz="4" w:space="0" w:color="auto"/>
              <w:right w:val="single" w:sz="4" w:space="0" w:color="auto"/>
            </w:tcBorders>
            <w:shd w:val="clear" w:color="auto" w:fill="auto"/>
            <w:noWrap/>
            <w:vAlign w:val="bottom"/>
            <w:hideMark/>
          </w:tcPr>
          <w:p w14:paraId="0E92C680" w14:textId="77777777" w:rsidR="009A356E" w:rsidRPr="00C10545" w:rsidRDefault="009A356E" w:rsidP="009A356E">
            <w:pPr>
              <w:jc w:val="right"/>
              <w:rPr>
                <w:sz w:val="18"/>
                <w:szCs w:val="18"/>
                <w:lang w:eastAsia="en-AU"/>
              </w:rPr>
            </w:pPr>
            <w:r w:rsidRPr="00C10545">
              <w:rPr>
                <w:sz w:val="18"/>
                <w:szCs w:val="18"/>
                <w:lang w:eastAsia="en-AU"/>
              </w:rPr>
              <w:t>460,546</w:t>
            </w:r>
          </w:p>
        </w:tc>
        <w:tc>
          <w:tcPr>
            <w:tcW w:w="680" w:type="pct"/>
            <w:gridSpan w:val="2"/>
            <w:tcBorders>
              <w:top w:val="nil"/>
              <w:left w:val="nil"/>
              <w:bottom w:val="single" w:sz="4" w:space="0" w:color="auto"/>
              <w:right w:val="single" w:sz="4" w:space="0" w:color="auto"/>
            </w:tcBorders>
            <w:shd w:val="clear" w:color="auto" w:fill="auto"/>
            <w:noWrap/>
            <w:vAlign w:val="bottom"/>
            <w:hideMark/>
          </w:tcPr>
          <w:p w14:paraId="2FD5C81C" w14:textId="77777777" w:rsidR="009A356E" w:rsidRPr="00C10545" w:rsidRDefault="009A356E" w:rsidP="009A356E">
            <w:pPr>
              <w:jc w:val="right"/>
              <w:rPr>
                <w:sz w:val="18"/>
                <w:szCs w:val="18"/>
                <w:lang w:eastAsia="en-AU"/>
              </w:rPr>
            </w:pPr>
            <w:r w:rsidRPr="00C10545">
              <w:rPr>
                <w:sz w:val="18"/>
                <w:szCs w:val="18"/>
                <w:lang w:eastAsia="en-AU"/>
              </w:rPr>
              <w:t>400,958</w:t>
            </w:r>
          </w:p>
        </w:tc>
        <w:tc>
          <w:tcPr>
            <w:tcW w:w="680" w:type="pct"/>
            <w:tcBorders>
              <w:top w:val="nil"/>
              <w:left w:val="nil"/>
              <w:bottom w:val="single" w:sz="4" w:space="0" w:color="auto"/>
              <w:right w:val="single" w:sz="4" w:space="0" w:color="auto"/>
            </w:tcBorders>
            <w:vAlign w:val="bottom"/>
          </w:tcPr>
          <w:p w14:paraId="376AA912" w14:textId="77777777" w:rsidR="009A356E" w:rsidRPr="00C10545" w:rsidRDefault="009A356E" w:rsidP="009A356E">
            <w:pPr>
              <w:jc w:val="right"/>
              <w:rPr>
                <w:sz w:val="18"/>
                <w:szCs w:val="18"/>
                <w:lang w:eastAsia="en-AU"/>
              </w:rPr>
            </w:pPr>
            <w:r w:rsidRPr="00C10545">
              <w:rPr>
                <w:sz w:val="18"/>
                <w:szCs w:val="18"/>
                <w:lang w:eastAsia="en-AU"/>
              </w:rPr>
              <w:t>1,189,155</w:t>
            </w:r>
          </w:p>
        </w:tc>
      </w:tr>
      <w:tr w:rsidR="009A356E" w:rsidRPr="003B5E14" w14:paraId="0E2064BC" w14:textId="77777777" w:rsidTr="009A356E">
        <w:trPr>
          <w:trHeight w:val="255"/>
        </w:trPr>
        <w:tc>
          <w:tcPr>
            <w:tcW w:w="920" w:type="pct"/>
            <w:tcBorders>
              <w:top w:val="nil"/>
              <w:left w:val="single" w:sz="4" w:space="0" w:color="auto"/>
              <w:bottom w:val="single" w:sz="4" w:space="0" w:color="auto"/>
              <w:right w:val="single" w:sz="4" w:space="0" w:color="auto"/>
            </w:tcBorders>
            <w:shd w:val="clear" w:color="auto" w:fill="auto"/>
            <w:noWrap/>
            <w:vAlign w:val="bottom"/>
            <w:hideMark/>
          </w:tcPr>
          <w:p w14:paraId="1896B632" w14:textId="77777777" w:rsidR="009A356E" w:rsidRPr="00C10545" w:rsidRDefault="009A356E" w:rsidP="009A356E">
            <w:pPr>
              <w:rPr>
                <w:sz w:val="18"/>
                <w:szCs w:val="18"/>
                <w:lang w:eastAsia="en-AU"/>
              </w:rPr>
            </w:pPr>
            <w:r w:rsidRPr="00C10545">
              <w:rPr>
                <w:sz w:val="18"/>
                <w:szCs w:val="18"/>
                <w:lang w:eastAsia="en-AU"/>
              </w:rPr>
              <w:t>Warrnambool</w:t>
            </w:r>
          </w:p>
        </w:tc>
        <w:tc>
          <w:tcPr>
            <w:tcW w:w="680" w:type="pct"/>
            <w:gridSpan w:val="2"/>
            <w:tcBorders>
              <w:top w:val="nil"/>
              <w:left w:val="nil"/>
              <w:bottom w:val="single" w:sz="4" w:space="0" w:color="auto"/>
              <w:right w:val="single" w:sz="4" w:space="0" w:color="auto"/>
            </w:tcBorders>
            <w:shd w:val="clear" w:color="auto" w:fill="auto"/>
            <w:noWrap/>
            <w:vAlign w:val="bottom"/>
            <w:hideMark/>
          </w:tcPr>
          <w:p w14:paraId="68D85A0D" w14:textId="77777777" w:rsidR="009A356E" w:rsidRPr="00C10545" w:rsidRDefault="009A356E" w:rsidP="009A356E">
            <w:pPr>
              <w:jc w:val="right"/>
              <w:rPr>
                <w:sz w:val="18"/>
                <w:szCs w:val="18"/>
                <w:lang w:eastAsia="en-AU"/>
              </w:rPr>
            </w:pPr>
            <w:r w:rsidRPr="00C10545">
              <w:rPr>
                <w:sz w:val="18"/>
                <w:szCs w:val="18"/>
                <w:lang w:eastAsia="en-AU"/>
              </w:rPr>
              <w:t>-58,263</w:t>
            </w:r>
          </w:p>
        </w:tc>
        <w:tc>
          <w:tcPr>
            <w:tcW w:w="680" w:type="pct"/>
            <w:gridSpan w:val="2"/>
            <w:tcBorders>
              <w:top w:val="nil"/>
              <w:left w:val="nil"/>
              <w:bottom w:val="single" w:sz="4" w:space="0" w:color="auto"/>
              <w:right w:val="single" w:sz="4" w:space="0" w:color="auto"/>
            </w:tcBorders>
            <w:shd w:val="clear" w:color="auto" w:fill="auto"/>
            <w:noWrap/>
            <w:vAlign w:val="bottom"/>
            <w:hideMark/>
          </w:tcPr>
          <w:p w14:paraId="4F03A646" w14:textId="77777777" w:rsidR="009A356E" w:rsidRPr="00C10545" w:rsidRDefault="009A356E" w:rsidP="009A356E">
            <w:pPr>
              <w:jc w:val="right"/>
              <w:rPr>
                <w:sz w:val="18"/>
                <w:szCs w:val="18"/>
                <w:lang w:eastAsia="en-AU"/>
              </w:rPr>
            </w:pPr>
            <w:r w:rsidRPr="00C10545">
              <w:rPr>
                <w:sz w:val="18"/>
                <w:szCs w:val="18"/>
                <w:lang w:eastAsia="en-AU"/>
              </w:rPr>
              <w:t>-127,159</w:t>
            </w:r>
          </w:p>
        </w:tc>
        <w:tc>
          <w:tcPr>
            <w:tcW w:w="680" w:type="pct"/>
            <w:gridSpan w:val="2"/>
            <w:tcBorders>
              <w:top w:val="nil"/>
              <w:left w:val="nil"/>
              <w:bottom w:val="single" w:sz="4" w:space="0" w:color="auto"/>
              <w:right w:val="single" w:sz="4" w:space="0" w:color="auto"/>
            </w:tcBorders>
            <w:shd w:val="clear" w:color="auto" w:fill="auto"/>
            <w:noWrap/>
            <w:vAlign w:val="bottom"/>
            <w:hideMark/>
          </w:tcPr>
          <w:p w14:paraId="5A0EA771" w14:textId="77777777" w:rsidR="009A356E" w:rsidRPr="00C10545" w:rsidRDefault="009A356E" w:rsidP="009A356E">
            <w:pPr>
              <w:jc w:val="right"/>
              <w:rPr>
                <w:sz w:val="18"/>
                <w:szCs w:val="18"/>
                <w:lang w:eastAsia="en-AU"/>
              </w:rPr>
            </w:pPr>
            <w:r w:rsidRPr="00C10545">
              <w:rPr>
                <w:sz w:val="18"/>
                <w:szCs w:val="18"/>
                <w:lang w:eastAsia="en-AU"/>
              </w:rPr>
              <w:t>-258,324</w:t>
            </w:r>
          </w:p>
        </w:tc>
        <w:tc>
          <w:tcPr>
            <w:tcW w:w="680" w:type="pct"/>
            <w:gridSpan w:val="2"/>
            <w:tcBorders>
              <w:top w:val="nil"/>
              <w:left w:val="nil"/>
              <w:bottom w:val="single" w:sz="4" w:space="0" w:color="auto"/>
              <w:right w:val="single" w:sz="4" w:space="0" w:color="auto"/>
            </w:tcBorders>
            <w:shd w:val="clear" w:color="auto" w:fill="auto"/>
            <w:noWrap/>
            <w:vAlign w:val="bottom"/>
            <w:hideMark/>
          </w:tcPr>
          <w:p w14:paraId="7F3A75FC" w14:textId="77777777" w:rsidR="009A356E" w:rsidRPr="00C10545" w:rsidRDefault="009A356E" w:rsidP="009A356E">
            <w:pPr>
              <w:jc w:val="right"/>
              <w:rPr>
                <w:sz w:val="18"/>
                <w:szCs w:val="18"/>
                <w:lang w:eastAsia="en-AU"/>
              </w:rPr>
            </w:pPr>
            <w:r w:rsidRPr="00C10545">
              <w:rPr>
                <w:sz w:val="18"/>
                <w:szCs w:val="18"/>
                <w:lang w:eastAsia="en-AU"/>
              </w:rPr>
              <w:t>-306,003</w:t>
            </w:r>
          </w:p>
        </w:tc>
        <w:tc>
          <w:tcPr>
            <w:tcW w:w="680" w:type="pct"/>
            <w:gridSpan w:val="2"/>
            <w:tcBorders>
              <w:top w:val="nil"/>
              <w:left w:val="nil"/>
              <w:bottom w:val="single" w:sz="4" w:space="0" w:color="auto"/>
              <w:right w:val="single" w:sz="4" w:space="0" w:color="auto"/>
            </w:tcBorders>
            <w:shd w:val="clear" w:color="auto" w:fill="auto"/>
            <w:noWrap/>
            <w:vAlign w:val="bottom"/>
            <w:hideMark/>
          </w:tcPr>
          <w:p w14:paraId="00CD3FE2" w14:textId="77777777" w:rsidR="009A356E" w:rsidRPr="00C10545" w:rsidRDefault="009A356E" w:rsidP="009A356E">
            <w:pPr>
              <w:jc w:val="right"/>
              <w:rPr>
                <w:sz w:val="18"/>
                <w:szCs w:val="18"/>
                <w:lang w:eastAsia="en-AU"/>
              </w:rPr>
            </w:pPr>
            <w:r w:rsidRPr="00C10545">
              <w:rPr>
                <w:sz w:val="18"/>
                <w:szCs w:val="18"/>
                <w:lang w:eastAsia="en-AU"/>
              </w:rPr>
              <w:t>-441,960</w:t>
            </w:r>
          </w:p>
        </w:tc>
        <w:tc>
          <w:tcPr>
            <w:tcW w:w="680" w:type="pct"/>
            <w:tcBorders>
              <w:top w:val="nil"/>
              <w:left w:val="nil"/>
              <w:bottom w:val="single" w:sz="4" w:space="0" w:color="auto"/>
              <w:right w:val="single" w:sz="4" w:space="0" w:color="auto"/>
            </w:tcBorders>
            <w:vAlign w:val="bottom"/>
          </w:tcPr>
          <w:p w14:paraId="5D1873D4" w14:textId="77777777" w:rsidR="009A356E" w:rsidRPr="00C10545" w:rsidRDefault="009A356E" w:rsidP="009A356E">
            <w:pPr>
              <w:jc w:val="right"/>
              <w:rPr>
                <w:sz w:val="18"/>
                <w:szCs w:val="18"/>
                <w:lang w:eastAsia="en-AU"/>
              </w:rPr>
            </w:pPr>
            <w:r w:rsidRPr="00C10545">
              <w:rPr>
                <w:sz w:val="18"/>
                <w:szCs w:val="18"/>
                <w:lang w:eastAsia="en-AU"/>
              </w:rPr>
              <w:t>-1,216,481</w:t>
            </w:r>
          </w:p>
        </w:tc>
      </w:tr>
      <w:tr w:rsidR="009A356E" w:rsidRPr="003B5E14" w14:paraId="036B7D6D" w14:textId="77777777" w:rsidTr="009A356E">
        <w:trPr>
          <w:trHeight w:val="255"/>
        </w:trPr>
        <w:tc>
          <w:tcPr>
            <w:tcW w:w="920" w:type="pct"/>
            <w:tcBorders>
              <w:top w:val="nil"/>
              <w:left w:val="single" w:sz="4" w:space="0" w:color="auto"/>
              <w:bottom w:val="single" w:sz="4" w:space="0" w:color="auto"/>
              <w:right w:val="single" w:sz="4" w:space="0" w:color="auto"/>
            </w:tcBorders>
            <w:shd w:val="clear" w:color="000000" w:fill="000000"/>
            <w:noWrap/>
            <w:vAlign w:val="bottom"/>
            <w:hideMark/>
          </w:tcPr>
          <w:p w14:paraId="0BC541A3" w14:textId="77777777" w:rsidR="009A356E" w:rsidRPr="00C10545" w:rsidRDefault="009A356E" w:rsidP="009A356E">
            <w:pPr>
              <w:rPr>
                <w:sz w:val="18"/>
                <w:szCs w:val="18"/>
                <w:lang w:eastAsia="en-AU"/>
              </w:rPr>
            </w:pPr>
            <w:r w:rsidRPr="00C10545">
              <w:rPr>
                <w:sz w:val="18"/>
                <w:szCs w:val="18"/>
                <w:lang w:eastAsia="en-AU"/>
              </w:rPr>
              <w:t> </w:t>
            </w:r>
          </w:p>
        </w:tc>
        <w:tc>
          <w:tcPr>
            <w:tcW w:w="680" w:type="pct"/>
            <w:gridSpan w:val="2"/>
            <w:tcBorders>
              <w:top w:val="nil"/>
              <w:left w:val="nil"/>
              <w:bottom w:val="single" w:sz="4" w:space="0" w:color="auto"/>
              <w:right w:val="single" w:sz="4" w:space="0" w:color="auto"/>
            </w:tcBorders>
            <w:shd w:val="clear" w:color="000000" w:fill="000000"/>
            <w:noWrap/>
            <w:vAlign w:val="bottom"/>
            <w:hideMark/>
          </w:tcPr>
          <w:p w14:paraId="2973CCAE" w14:textId="77777777" w:rsidR="009A356E" w:rsidRPr="00C10545" w:rsidRDefault="009A356E" w:rsidP="009A356E">
            <w:pPr>
              <w:rPr>
                <w:sz w:val="18"/>
                <w:szCs w:val="18"/>
                <w:lang w:eastAsia="en-AU"/>
              </w:rPr>
            </w:pPr>
            <w:r w:rsidRPr="00C10545">
              <w:rPr>
                <w:sz w:val="18"/>
                <w:szCs w:val="18"/>
                <w:lang w:eastAsia="en-AU"/>
              </w:rPr>
              <w:t> </w:t>
            </w:r>
          </w:p>
        </w:tc>
        <w:tc>
          <w:tcPr>
            <w:tcW w:w="680" w:type="pct"/>
            <w:gridSpan w:val="2"/>
            <w:tcBorders>
              <w:top w:val="nil"/>
              <w:left w:val="nil"/>
              <w:bottom w:val="single" w:sz="4" w:space="0" w:color="auto"/>
              <w:right w:val="single" w:sz="4" w:space="0" w:color="auto"/>
            </w:tcBorders>
            <w:shd w:val="clear" w:color="000000" w:fill="000000"/>
            <w:noWrap/>
            <w:vAlign w:val="bottom"/>
            <w:hideMark/>
          </w:tcPr>
          <w:p w14:paraId="5A7FE71B" w14:textId="77777777" w:rsidR="009A356E" w:rsidRPr="00C10545" w:rsidRDefault="009A356E" w:rsidP="009A356E">
            <w:pPr>
              <w:rPr>
                <w:sz w:val="18"/>
                <w:szCs w:val="18"/>
                <w:lang w:eastAsia="en-AU"/>
              </w:rPr>
            </w:pPr>
            <w:r w:rsidRPr="00C10545">
              <w:rPr>
                <w:sz w:val="18"/>
                <w:szCs w:val="18"/>
                <w:lang w:eastAsia="en-AU"/>
              </w:rPr>
              <w:t> </w:t>
            </w:r>
          </w:p>
        </w:tc>
        <w:tc>
          <w:tcPr>
            <w:tcW w:w="680" w:type="pct"/>
            <w:gridSpan w:val="2"/>
            <w:tcBorders>
              <w:top w:val="nil"/>
              <w:left w:val="nil"/>
              <w:bottom w:val="single" w:sz="4" w:space="0" w:color="auto"/>
              <w:right w:val="single" w:sz="4" w:space="0" w:color="auto"/>
            </w:tcBorders>
            <w:shd w:val="clear" w:color="000000" w:fill="000000"/>
            <w:noWrap/>
            <w:vAlign w:val="bottom"/>
            <w:hideMark/>
          </w:tcPr>
          <w:p w14:paraId="77D1E3FA" w14:textId="77777777" w:rsidR="009A356E" w:rsidRPr="00C10545" w:rsidRDefault="009A356E" w:rsidP="009A356E">
            <w:pPr>
              <w:rPr>
                <w:sz w:val="18"/>
                <w:szCs w:val="18"/>
                <w:lang w:eastAsia="en-AU"/>
              </w:rPr>
            </w:pPr>
            <w:r w:rsidRPr="00C10545">
              <w:rPr>
                <w:sz w:val="18"/>
                <w:szCs w:val="18"/>
                <w:lang w:eastAsia="en-AU"/>
              </w:rPr>
              <w:t> </w:t>
            </w:r>
          </w:p>
        </w:tc>
        <w:tc>
          <w:tcPr>
            <w:tcW w:w="680" w:type="pct"/>
            <w:gridSpan w:val="2"/>
            <w:tcBorders>
              <w:top w:val="nil"/>
              <w:left w:val="nil"/>
              <w:bottom w:val="single" w:sz="4" w:space="0" w:color="auto"/>
              <w:right w:val="single" w:sz="4" w:space="0" w:color="auto"/>
            </w:tcBorders>
            <w:shd w:val="clear" w:color="000000" w:fill="000000"/>
            <w:noWrap/>
            <w:vAlign w:val="bottom"/>
            <w:hideMark/>
          </w:tcPr>
          <w:p w14:paraId="4A23E09C" w14:textId="77777777" w:rsidR="009A356E" w:rsidRPr="00C10545" w:rsidRDefault="009A356E" w:rsidP="009A356E">
            <w:pPr>
              <w:rPr>
                <w:sz w:val="18"/>
                <w:szCs w:val="18"/>
                <w:lang w:eastAsia="en-AU"/>
              </w:rPr>
            </w:pPr>
            <w:r w:rsidRPr="00C10545">
              <w:rPr>
                <w:sz w:val="18"/>
                <w:szCs w:val="18"/>
                <w:lang w:eastAsia="en-AU"/>
              </w:rPr>
              <w:t> </w:t>
            </w:r>
          </w:p>
        </w:tc>
        <w:tc>
          <w:tcPr>
            <w:tcW w:w="680" w:type="pct"/>
            <w:gridSpan w:val="2"/>
            <w:tcBorders>
              <w:top w:val="nil"/>
              <w:left w:val="nil"/>
              <w:bottom w:val="single" w:sz="4" w:space="0" w:color="auto"/>
              <w:right w:val="single" w:sz="4" w:space="0" w:color="auto"/>
            </w:tcBorders>
            <w:shd w:val="clear" w:color="000000" w:fill="000000"/>
            <w:noWrap/>
            <w:vAlign w:val="bottom"/>
            <w:hideMark/>
          </w:tcPr>
          <w:p w14:paraId="5D6CA500" w14:textId="77777777" w:rsidR="009A356E" w:rsidRPr="00C10545" w:rsidRDefault="009A356E" w:rsidP="009A356E">
            <w:pPr>
              <w:rPr>
                <w:sz w:val="18"/>
                <w:szCs w:val="18"/>
                <w:lang w:eastAsia="en-AU"/>
              </w:rPr>
            </w:pPr>
            <w:r w:rsidRPr="00C10545">
              <w:rPr>
                <w:sz w:val="18"/>
                <w:szCs w:val="18"/>
                <w:lang w:eastAsia="en-AU"/>
              </w:rPr>
              <w:t> </w:t>
            </w:r>
          </w:p>
        </w:tc>
        <w:tc>
          <w:tcPr>
            <w:tcW w:w="680" w:type="pct"/>
            <w:tcBorders>
              <w:top w:val="nil"/>
              <w:left w:val="nil"/>
              <w:bottom w:val="single" w:sz="4" w:space="0" w:color="auto"/>
              <w:right w:val="single" w:sz="4" w:space="0" w:color="auto"/>
            </w:tcBorders>
            <w:shd w:val="clear" w:color="000000" w:fill="000000"/>
            <w:vAlign w:val="bottom"/>
          </w:tcPr>
          <w:p w14:paraId="2C02D328" w14:textId="77777777" w:rsidR="009A356E" w:rsidRPr="00C10545" w:rsidRDefault="009A356E" w:rsidP="009A356E">
            <w:pPr>
              <w:jc w:val="right"/>
              <w:rPr>
                <w:sz w:val="18"/>
                <w:szCs w:val="18"/>
                <w:lang w:eastAsia="en-AU"/>
              </w:rPr>
            </w:pPr>
          </w:p>
        </w:tc>
      </w:tr>
      <w:tr w:rsidR="009A356E" w:rsidRPr="003B5E14" w14:paraId="1E7478EE" w14:textId="77777777" w:rsidTr="009A356E">
        <w:trPr>
          <w:trHeight w:val="255"/>
        </w:trPr>
        <w:tc>
          <w:tcPr>
            <w:tcW w:w="920" w:type="pct"/>
            <w:tcBorders>
              <w:top w:val="nil"/>
              <w:left w:val="single" w:sz="4" w:space="0" w:color="auto"/>
              <w:bottom w:val="single" w:sz="4" w:space="0" w:color="auto"/>
              <w:right w:val="single" w:sz="4" w:space="0" w:color="auto"/>
            </w:tcBorders>
            <w:shd w:val="clear" w:color="auto" w:fill="auto"/>
            <w:noWrap/>
            <w:vAlign w:val="bottom"/>
            <w:hideMark/>
          </w:tcPr>
          <w:p w14:paraId="4DB7748C" w14:textId="77777777" w:rsidR="009A356E" w:rsidRPr="00C10545" w:rsidRDefault="009A356E" w:rsidP="009A356E">
            <w:pPr>
              <w:rPr>
                <w:sz w:val="18"/>
                <w:szCs w:val="18"/>
                <w:lang w:eastAsia="en-AU"/>
              </w:rPr>
            </w:pPr>
            <w:r w:rsidRPr="00C10545">
              <w:rPr>
                <w:sz w:val="18"/>
                <w:szCs w:val="18"/>
                <w:lang w:eastAsia="en-AU"/>
              </w:rPr>
              <w:t>Inner Metro</w:t>
            </w:r>
          </w:p>
        </w:tc>
        <w:tc>
          <w:tcPr>
            <w:tcW w:w="680" w:type="pct"/>
            <w:gridSpan w:val="2"/>
            <w:tcBorders>
              <w:top w:val="nil"/>
              <w:left w:val="nil"/>
              <w:bottom w:val="single" w:sz="4" w:space="0" w:color="auto"/>
              <w:right w:val="single" w:sz="4" w:space="0" w:color="auto"/>
            </w:tcBorders>
            <w:shd w:val="clear" w:color="auto" w:fill="auto"/>
            <w:noWrap/>
            <w:vAlign w:val="bottom"/>
            <w:hideMark/>
          </w:tcPr>
          <w:p w14:paraId="11FEF04F" w14:textId="77777777" w:rsidR="009A356E" w:rsidRPr="00C10545" w:rsidRDefault="009A356E" w:rsidP="009A356E">
            <w:pPr>
              <w:jc w:val="right"/>
              <w:rPr>
                <w:sz w:val="18"/>
                <w:szCs w:val="18"/>
                <w:lang w:eastAsia="en-AU"/>
              </w:rPr>
            </w:pPr>
            <w:r w:rsidRPr="00C10545">
              <w:rPr>
                <w:sz w:val="18"/>
                <w:szCs w:val="18"/>
                <w:lang w:eastAsia="en-AU"/>
              </w:rPr>
              <w:t>-758,119</w:t>
            </w:r>
          </w:p>
        </w:tc>
        <w:tc>
          <w:tcPr>
            <w:tcW w:w="680" w:type="pct"/>
            <w:gridSpan w:val="2"/>
            <w:tcBorders>
              <w:top w:val="nil"/>
              <w:left w:val="nil"/>
              <w:bottom w:val="single" w:sz="4" w:space="0" w:color="auto"/>
              <w:right w:val="single" w:sz="4" w:space="0" w:color="auto"/>
            </w:tcBorders>
            <w:shd w:val="clear" w:color="auto" w:fill="auto"/>
            <w:noWrap/>
            <w:vAlign w:val="bottom"/>
            <w:hideMark/>
          </w:tcPr>
          <w:p w14:paraId="7C55CB2E" w14:textId="77777777" w:rsidR="009A356E" w:rsidRPr="00C10545" w:rsidRDefault="009A356E" w:rsidP="009A356E">
            <w:pPr>
              <w:jc w:val="right"/>
              <w:rPr>
                <w:sz w:val="18"/>
                <w:szCs w:val="18"/>
                <w:lang w:eastAsia="en-AU"/>
              </w:rPr>
            </w:pPr>
            <w:r w:rsidRPr="00C10545">
              <w:rPr>
                <w:sz w:val="18"/>
                <w:szCs w:val="18"/>
                <w:lang w:eastAsia="en-AU"/>
              </w:rPr>
              <w:t>-2,213,165</w:t>
            </w:r>
          </w:p>
        </w:tc>
        <w:tc>
          <w:tcPr>
            <w:tcW w:w="680" w:type="pct"/>
            <w:gridSpan w:val="2"/>
            <w:tcBorders>
              <w:top w:val="nil"/>
              <w:left w:val="nil"/>
              <w:bottom w:val="single" w:sz="4" w:space="0" w:color="auto"/>
              <w:right w:val="single" w:sz="4" w:space="0" w:color="auto"/>
            </w:tcBorders>
            <w:shd w:val="clear" w:color="auto" w:fill="auto"/>
            <w:noWrap/>
            <w:vAlign w:val="bottom"/>
            <w:hideMark/>
          </w:tcPr>
          <w:p w14:paraId="0260A4AB" w14:textId="77777777" w:rsidR="009A356E" w:rsidRPr="00C10545" w:rsidRDefault="009A356E" w:rsidP="009A356E">
            <w:pPr>
              <w:jc w:val="right"/>
              <w:rPr>
                <w:sz w:val="18"/>
                <w:szCs w:val="18"/>
                <w:lang w:eastAsia="en-AU"/>
              </w:rPr>
            </w:pPr>
            <w:r w:rsidRPr="00C10545">
              <w:rPr>
                <w:sz w:val="18"/>
                <w:szCs w:val="18"/>
                <w:lang w:eastAsia="en-AU"/>
              </w:rPr>
              <w:t>-2,259,249</w:t>
            </w:r>
          </w:p>
        </w:tc>
        <w:tc>
          <w:tcPr>
            <w:tcW w:w="680" w:type="pct"/>
            <w:gridSpan w:val="2"/>
            <w:tcBorders>
              <w:top w:val="nil"/>
              <w:left w:val="nil"/>
              <w:bottom w:val="single" w:sz="4" w:space="0" w:color="auto"/>
              <w:right w:val="single" w:sz="4" w:space="0" w:color="auto"/>
            </w:tcBorders>
            <w:shd w:val="clear" w:color="auto" w:fill="auto"/>
            <w:noWrap/>
            <w:vAlign w:val="bottom"/>
            <w:hideMark/>
          </w:tcPr>
          <w:p w14:paraId="5099D876" w14:textId="77777777" w:rsidR="009A356E" w:rsidRPr="00C10545" w:rsidRDefault="009A356E" w:rsidP="009A356E">
            <w:pPr>
              <w:jc w:val="right"/>
              <w:rPr>
                <w:sz w:val="18"/>
                <w:szCs w:val="18"/>
                <w:lang w:eastAsia="en-AU"/>
              </w:rPr>
            </w:pPr>
            <w:r w:rsidRPr="00C10545">
              <w:rPr>
                <w:sz w:val="18"/>
                <w:szCs w:val="18"/>
                <w:lang w:eastAsia="en-AU"/>
              </w:rPr>
              <w:t>-4,183,101</w:t>
            </w:r>
          </w:p>
        </w:tc>
        <w:tc>
          <w:tcPr>
            <w:tcW w:w="680" w:type="pct"/>
            <w:gridSpan w:val="2"/>
            <w:tcBorders>
              <w:top w:val="nil"/>
              <w:left w:val="nil"/>
              <w:bottom w:val="single" w:sz="4" w:space="0" w:color="auto"/>
              <w:right w:val="single" w:sz="4" w:space="0" w:color="auto"/>
            </w:tcBorders>
            <w:shd w:val="clear" w:color="auto" w:fill="auto"/>
            <w:noWrap/>
            <w:vAlign w:val="bottom"/>
            <w:hideMark/>
          </w:tcPr>
          <w:p w14:paraId="39120461" w14:textId="77777777" w:rsidR="009A356E" w:rsidRPr="00C10545" w:rsidRDefault="009A356E" w:rsidP="009A356E">
            <w:pPr>
              <w:jc w:val="right"/>
              <w:rPr>
                <w:sz w:val="18"/>
                <w:szCs w:val="18"/>
                <w:lang w:eastAsia="en-AU"/>
              </w:rPr>
            </w:pPr>
            <w:r w:rsidRPr="00C10545">
              <w:rPr>
                <w:sz w:val="18"/>
                <w:szCs w:val="18"/>
                <w:lang w:eastAsia="en-AU"/>
              </w:rPr>
              <w:t>-7,541,296</w:t>
            </w:r>
          </w:p>
        </w:tc>
        <w:tc>
          <w:tcPr>
            <w:tcW w:w="680" w:type="pct"/>
            <w:tcBorders>
              <w:top w:val="nil"/>
              <w:left w:val="nil"/>
              <w:bottom w:val="single" w:sz="4" w:space="0" w:color="auto"/>
              <w:right w:val="single" w:sz="4" w:space="0" w:color="auto"/>
            </w:tcBorders>
            <w:vAlign w:val="bottom"/>
          </w:tcPr>
          <w:p w14:paraId="033EE219" w14:textId="77777777" w:rsidR="009A356E" w:rsidRPr="00C10545" w:rsidRDefault="009A356E" w:rsidP="009A356E">
            <w:pPr>
              <w:jc w:val="right"/>
              <w:rPr>
                <w:sz w:val="18"/>
                <w:szCs w:val="18"/>
                <w:lang w:eastAsia="en-AU"/>
              </w:rPr>
            </w:pPr>
            <w:r w:rsidRPr="00C10545">
              <w:rPr>
                <w:sz w:val="18"/>
                <w:szCs w:val="18"/>
                <w:lang w:eastAsia="en-AU"/>
              </w:rPr>
              <w:t>-17,280,078</w:t>
            </w:r>
          </w:p>
        </w:tc>
      </w:tr>
      <w:tr w:rsidR="009A356E" w:rsidRPr="003B5E14" w14:paraId="457612BF" w14:textId="77777777" w:rsidTr="009A356E">
        <w:trPr>
          <w:trHeight w:val="255"/>
        </w:trPr>
        <w:tc>
          <w:tcPr>
            <w:tcW w:w="920" w:type="pct"/>
            <w:tcBorders>
              <w:top w:val="nil"/>
              <w:left w:val="single" w:sz="4" w:space="0" w:color="auto"/>
              <w:bottom w:val="single" w:sz="4" w:space="0" w:color="auto"/>
              <w:right w:val="single" w:sz="4" w:space="0" w:color="auto"/>
            </w:tcBorders>
            <w:shd w:val="clear" w:color="auto" w:fill="auto"/>
            <w:noWrap/>
            <w:vAlign w:val="bottom"/>
            <w:hideMark/>
          </w:tcPr>
          <w:p w14:paraId="754FFD81" w14:textId="77777777" w:rsidR="009A356E" w:rsidRPr="00C10545" w:rsidRDefault="009A356E" w:rsidP="009A356E">
            <w:pPr>
              <w:rPr>
                <w:sz w:val="18"/>
                <w:szCs w:val="18"/>
                <w:lang w:eastAsia="en-AU"/>
              </w:rPr>
            </w:pPr>
            <w:r w:rsidRPr="00C10545">
              <w:rPr>
                <w:sz w:val="18"/>
                <w:szCs w:val="18"/>
                <w:lang w:eastAsia="en-AU"/>
              </w:rPr>
              <w:t>Large Shires</w:t>
            </w:r>
          </w:p>
        </w:tc>
        <w:tc>
          <w:tcPr>
            <w:tcW w:w="680" w:type="pct"/>
            <w:gridSpan w:val="2"/>
            <w:tcBorders>
              <w:top w:val="nil"/>
              <w:left w:val="nil"/>
              <w:bottom w:val="single" w:sz="4" w:space="0" w:color="auto"/>
              <w:right w:val="single" w:sz="4" w:space="0" w:color="auto"/>
            </w:tcBorders>
            <w:shd w:val="clear" w:color="auto" w:fill="auto"/>
            <w:noWrap/>
            <w:vAlign w:val="bottom"/>
            <w:hideMark/>
          </w:tcPr>
          <w:p w14:paraId="18BD33CE" w14:textId="77777777" w:rsidR="009A356E" w:rsidRPr="00C10545" w:rsidRDefault="009A356E" w:rsidP="009A356E">
            <w:pPr>
              <w:jc w:val="right"/>
              <w:rPr>
                <w:sz w:val="18"/>
                <w:szCs w:val="18"/>
                <w:lang w:eastAsia="en-AU"/>
              </w:rPr>
            </w:pPr>
            <w:r w:rsidRPr="00C10545">
              <w:rPr>
                <w:sz w:val="18"/>
                <w:szCs w:val="18"/>
                <w:lang w:eastAsia="en-AU"/>
              </w:rPr>
              <w:t>721,423</w:t>
            </w:r>
          </w:p>
        </w:tc>
        <w:tc>
          <w:tcPr>
            <w:tcW w:w="680" w:type="pct"/>
            <w:gridSpan w:val="2"/>
            <w:tcBorders>
              <w:top w:val="nil"/>
              <w:left w:val="nil"/>
              <w:bottom w:val="single" w:sz="4" w:space="0" w:color="auto"/>
              <w:right w:val="single" w:sz="4" w:space="0" w:color="auto"/>
            </w:tcBorders>
            <w:shd w:val="clear" w:color="auto" w:fill="auto"/>
            <w:noWrap/>
            <w:vAlign w:val="bottom"/>
            <w:hideMark/>
          </w:tcPr>
          <w:p w14:paraId="2D791591" w14:textId="77777777" w:rsidR="009A356E" w:rsidRPr="00C10545" w:rsidRDefault="009A356E" w:rsidP="009A356E">
            <w:pPr>
              <w:jc w:val="right"/>
              <w:rPr>
                <w:sz w:val="18"/>
                <w:szCs w:val="18"/>
                <w:lang w:eastAsia="en-AU"/>
              </w:rPr>
            </w:pPr>
            <w:r w:rsidRPr="00C10545">
              <w:rPr>
                <w:sz w:val="18"/>
                <w:szCs w:val="18"/>
                <w:lang w:eastAsia="en-AU"/>
              </w:rPr>
              <w:t>-590,790</w:t>
            </w:r>
          </w:p>
        </w:tc>
        <w:tc>
          <w:tcPr>
            <w:tcW w:w="680" w:type="pct"/>
            <w:gridSpan w:val="2"/>
            <w:tcBorders>
              <w:top w:val="nil"/>
              <w:left w:val="nil"/>
              <w:bottom w:val="single" w:sz="4" w:space="0" w:color="auto"/>
              <w:right w:val="single" w:sz="4" w:space="0" w:color="auto"/>
            </w:tcBorders>
            <w:shd w:val="clear" w:color="auto" w:fill="auto"/>
            <w:noWrap/>
            <w:vAlign w:val="bottom"/>
            <w:hideMark/>
          </w:tcPr>
          <w:p w14:paraId="193D2A34" w14:textId="77777777" w:rsidR="009A356E" w:rsidRPr="00C10545" w:rsidRDefault="009A356E" w:rsidP="009A356E">
            <w:pPr>
              <w:jc w:val="right"/>
              <w:rPr>
                <w:sz w:val="18"/>
                <w:szCs w:val="18"/>
                <w:lang w:eastAsia="en-AU"/>
              </w:rPr>
            </w:pPr>
            <w:r w:rsidRPr="00C10545">
              <w:rPr>
                <w:sz w:val="18"/>
                <w:szCs w:val="18"/>
                <w:lang w:eastAsia="en-AU"/>
              </w:rPr>
              <w:t>-976,000</w:t>
            </w:r>
          </w:p>
        </w:tc>
        <w:tc>
          <w:tcPr>
            <w:tcW w:w="680" w:type="pct"/>
            <w:gridSpan w:val="2"/>
            <w:tcBorders>
              <w:top w:val="nil"/>
              <w:left w:val="nil"/>
              <w:bottom w:val="single" w:sz="4" w:space="0" w:color="auto"/>
              <w:right w:val="single" w:sz="4" w:space="0" w:color="auto"/>
            </w:tcBorders>
            <w:shd w:val="clear" w:color="auto" w:fill="auto"/>
            <w:noWrap/>
            <w:vAlign w:val="bottom"/>
            <w:hideMark/>
          </w:tcPr>
          <w:p w14:paraId="5A88CE27" w14:textId="77777777" w:rsidR="009A356E" w:rsidRPr="00C10545" w:rsidRDefault="009A356E" w:rsidP="009A356E">
            <w:pPr>
              <w:jc w:val="right"/>
              <w:rPr>
                <w:sz w:val="18"/>
                <w:szCs w:val="18"/>
                <w:lang w:eastAsia="en-AU"/>
              </w:rPr>
            </w:pPr>
            <w:r w:rsidRPr="00C10545">
              <w:rPr>
                <w:sz w:val="18"/>
                <w:szCs w:val="18"/>
                <w:lang w:eastAsia="en-AU"/>
              </w:rPr>
              <w:t>-2,136,930</w:t>
            </w:r>
          </w:p>
        </w:tc>
        <w:tc>
          <w:tcPr>
            <w:tcW w:w="680" w:type="pct"/>
            <w:gridSpan w:val="2"/>
            <w:tcBorders>
              <w:top w:val="nil"/>
              <w:left w:val="nil"/>
              <w:bottom w:val="single" w:sz="4" w:space="0" w:color="auto"/>
              <w:right w:val="single" w:sz="4" w:space="0" w:color="auto"/>
            </w:tcBorders>
            <w:shd w:val="clear" w:color="auto" w:fill="auto"/>
            <w:noWrap/>
            <w:vAlign w:val="bottom"/>
            <w:hideMark/>
          </w:tcPr>
          <w:p w14:paraId="4D599006" w14:textId="77777777" w:rsidR="009A356E" w:rsidRPr="00C10545" w:rsidRDefault="009A356E" w:rsidP="009A356E">
            <w:pPr>
              <w:jc w:val="right"/>
              <w:rPr>
                <w:sz w:val="18"/>
                <w:szCs w:val="18"/>
                <w:lang w:eastAsia="en-AU"/>
              </w:rPr>
            </w:pPr>
            <w:r w:rsidRPr="00C10545">
              <w:rPr>
                <w:sz w:val="18"/>
                <w:szCs w:val="18"/>
                <w:lang w:eastAsia="en-AU"/>
              </w:rPr>
              <w:t>-4,152,711</w:t>
            </w:r>
          </w:p>
        </w:tc>
        <w:tc>
          <w:tcPr>
            <w:tcW w:w="680" w:type="pct"/>
            <w:tcBorders>
              <w:top w:val="nil"/>
              <w:left w:val="nil"/>
              <w:bottom w:val="single" w:sz="4" w:space="0" w:color="auto"/>
              <w:right w:val="single" w:sz="4" w:space="0" w:color="auto"/>
            </w:tcBorders>
            <w:vAlign w:val="bottom"/>
          </w:tcPr>
          <w:p w14:paraId="7FF7188F" w14:textId="77777777" w:rsidR="009A356E" w:rsidRPr="00C10545" w:rsidRDefault="009A356E" w:rsidP="009A356E">
            <w:pPr>
              <w:jc w:val="right"/>
              <w:rPr>
                <w:sz w:val="18"/>
                <w:szCs w:val="18"/>
                <w:lang w:eastAsia="en-AU"/>
              </w:rPr>
            </w:pPr>
            <w:r w:rsidRPr="00C10545">
              <w:rPr>
                <w:sz w:val="18"/>
                <w:szCs w:val="18"/>
                <w:lang w:eastAsia="en-AU"/>
              </w:rPr>
              <w:t>-7,173,161</w:t>
            </w:r>
          </w:p>
        </w:tc>
      </w:tr>
      <w:tr w:rsidR="009A356E" w:rsidRPr="003B5E14" w14:paraId="241C2D51" w14:textId="77777777" w:rsidTr="009A356E">
        <w:trPr>
          <w:trHeight w:val="255"/>
        </w:trPr>
        <w:tc>
          <w:tcPr>
            <w:tcW w:w="920" w:type="pct"/>
            <w:tcBorders>
              <w:top w:val="nil"/>
              <w:left w:val="single" w:sz="4" w:space="0" w:color="auto"/>
              <w:bottom w:val="single" w:sz="4" w:space="0" w:color="auto"/>
              <w:right w:val="single" w:sz="4" w:space="0" w:color="auto"/>
            </w:tcBorders>
            <w:shd w:val="clear" w:color="auto" w:fill="auto"/>
            <w:noWrap/>
            <w:vAlign w:val="bottom"/>
            <w:hideMark/>
          </w:tcPr>
          <w:p w14:paraId="5DB9F955" w14:textId="77777777" w:rsidR="009A356E" w:rsidRPr="00C10545" w:rsidRDefault="009A356E" w:rsidP="009A356E">
            <w:pPr>
              <w:rPr>
                <w:sz w:val="18"/>
                <w:szCs w:val="18"/>
                <w:lang w:eastAsia="en-AU"/>
              </w:rPr>
            </w:pPr>
            <w:r w:rsidRPr="00C10545">
              <w:rPr>
                <w:sz w:val="18"/>
                <w:szCs w:val="18"/>
                <w:lang w:eastAsia="en-AU"/>
              </w:rPr>
              <w:lastRenderedPageBreak/>
              <w:t>Outer Metro</w:t>
            </w:r>
          </w:p>
        </w:tc>
        <w:tc>
          <w:tcPr>
            <w:tcW w:w="680" w:type="pct"/>
            <w:gridSpan w:val="2"/>
            <w:tcBorders>
              <w:top w:val="nil"/>
              <w:left w:val="nil"/>
              <w:bottom w:val="single" w:sz="4" w:space="0" w:color="auto"/>
              <w:right w:val="single" w:sz="4" w:space="0" w:color="auto"/>
            </w:tcBorders>
            <w:shd w:val="clear" w:color="auto" w:fill="auto"/>
            <w:noWrap/>
            <w:vAlign w:val="bottom"/>
            <w:hideMark/>
          </w:tcPr>
          <w:p w14:paraId="429F2AD0" w14:textId="77777777" w:rsidR="009A356E" w:rsidRPr="00C10545" w:rsidRDefault="009A356E" w:rsidP="009A356E">
            <w:pPr>
              <w:jc w:val="right"/>
              <w:rPr>
                <w:sz w:val="18"/>
                <w:szCs w:val="18"/>
                <w:lang w:eastAsia="en-AU"/>
              </w:rPr>
            </w:pPr>
            <w:r w:rsidRPr="00C10545">
              <w:rPr>
                <w:sz w:val="18"/>
                <w:szCs w:val="18"/>
                <w:lang w:eastAsia="en-AU"/>
              </w:rPr>
              <w:t>249,122</w:t>
            </w:r>
          </w:p>
        </w:tc>
        <w:tc>
          <w:tcPr>
            <w:tcW w:w="680" w:type="pct"/>
            <w:gridSpan w:val="2"/>
            <w:tcBorders>
              <w:top w:val="nil"/>
              <w:left w:val="nil"/>
              <w:bottom w:val="single" w:sz="4" w:space="0" w:color="auto"/>
              <w:right w:val="single" w:sz="4" w:space="0" w:color="auto"/>
            </w:tcBorders>
            <w:shd w:val="clear" w:color="auto" w:fill="auto"/>
            <w:noWrap/>
            <w:vAlign w:val="bottom"/>
            <w:hideMark/>
          </w:tcPr>
          <w:p w14:paraId="6F3A4DD8" w14:textId="77777777" w:rsidR="009A356E" w:rsidRPr="00C10545" w:rsidRDefault="009A356E" w:rsidP="009A356E">
            <w:pPr>
              <w:jc w:val="right"/>
              <w:rPr>
                <w:sz w:val="18"/>
                <w:szCs w:val="18"/>
                <w:lang w:eastAsia="en-AU"/>
              </w:rPr>
            </w:pPr>
            <w:r w:rsidRPr="00C10545">
              <w:rPr>
                <w:sz w:val="18"/>
                <w:szCs w:val="18"/>
                <w:lang w:eastAsia="en-AU"/>
              </w:rPr>
              <w:t>-3,241,598</w:t>
            </w:r>
          </w:p>
        </w:tc>
        <w:tc>
          <w:tcPr>
            <w:tcW w:w="680" w:type="pct"/>
            <w:gridSpan w:val="2"/>
            <w:tcBorders>
              <w:top w:val="nil"/>
              <w:left w:val="nil"/>
              <w:bottom w:val="single" w:sz="4" w:space="0" w:color="auto"/>
              <w:right w:val="single" w:sz="4" w:space="0" w:color="auto"/>
            </w:tcBorders>
            <w:shd w:val="clear" w:color="auto" w:fill="auto"/>
            <w:noWrap/>
            <w:vAlign w:val="bottom"/>
            <w:hideMark/>
          </w:tcPr>
          <w:p w14:paraId="2AC940F8" w14:textId="77777777" w:rsidR="009A356E" w:rsidRPr="00C10545" w:rsidRDefault="009A356E" w:rsidP="009A356E">
            <w:pPr>
              <w:jc w:val="right"/>
              <w:rPr>
                <w:sz w:val="18"/>
                <w:szCs w:val="18"/>
                <w:lang w:eastAsia="en-AU"/>
              </w:rPr>
            </w:pPr>
            <w:r w:rsidRPr="00C10545">
              <w:rPr>
                <w:sz w:val="18"/>
                <w:szCs w:val="18"/>
                <w:lang w:eastAsia="en-AU"/>
              </w:rPr>
              <w:t>-4,557,420</w:t>
            </w:r>
          </w:p>
        </w:tc>
        <w:tc>
          <w:tcPr>
            <w:tcW w:w="680" w:type="pct"/>
            <w:gridSpan w:val="2"/>
            <w:tcBorders>
              <w:top w:val="nil"/>
              <w:left w:val="nil"/>
              <w:bottom w:val="single" w:sz="4" w:space="0" w:color="auto"/>
              <w:right w:val="single" w:sz="4" w:space="0" w:color="auto"/>
            </w:tcBorders>
            <w:shd w:val="clear" w:color="auto" w:fill="auto"/>
            <w:noWrap/>
            <w:vAlign w:val="bottom"/>
            <w:hideMark/>
          </w:tcPr>
          <w:p w14:paraId="05CE3A59" w14:textId="77777777" w:rsidR="009A356E" w:rsidRPr="00C10545" w:rsidRDefault="009A356E" w:rsidP="009A356E">
            <w:pPr>
              <w:jc w:val="right"/>
              <w:rPr>
                <w:sz w:val="18"/>
                <w:szCs w:val="18"/>
                <w:lang w:eastAsia="en-AU"/>
              </w:rPr>
            </w:pPr>
            <w:r w:rsidRPr="00C10545">
              <w:rPr>
                <w:sz w:val="18"/>
                <w:szCs w:val="18"/>
                <w:lang w:eastAsia="en-AU"/>
              </w:rPr>
              <w:t>-8,965,980</w:t>
            </w:r>
          </w:p>
        </w:tc>
        <w:tc>
          <w:tcPr>
            <w:tcW w:w="680" w:type="pct"/>
            <w:gridSpan w:val="2"/>
            <w:tcBorders>
              <w:top w:val="nil"/>
              <w:left w:val="nil"/>
              <w:bottom w:val="single" w:sz="4" w:space="0" w:color="auto"/>
              <w:right w:val="single" w:sz="4" w:space="0" w:color="auto"/>
            </w:tcBorders>
            <w:shd w:val="clear" w:color="auto" w:fill="auto"/>
            <w:noWrap/>
            <w:vAlign w:val="bottom"/>
            <w:hideMark/>
          </w:tcPr>
          <w:p w14:paraId="53A10A0D" w14:textId="77777777" w:rsidR="009A356E" w:rsidRPr="00C10545" w:rsidRDefault="009A356E" w:rsidP="009A356E">
            <w:pPr>
              <w:jc w:val="right"/>
              <w:rPr>
                <w:sz w:val="18"/>
                <w:szCs w:val="18"/>
                <w:lang w:eastAsia="en-AU"/>
              </w:rPr>
            </w:pPr>
            <w:r w:rsidRPr="00C10545">
              <w:rPr>
                <w:sz w:val="18"/>
                <w:szCs w:val="18"/>
                <w:lang w:eastAsia="en-AU"/>
              </w:rPr>
              <w:t>-15,905,755</w:t>
            </w:r>
          </w:p>
        </w:tc>
        <w:tc>
          <w:tcPr>
            <w:tcW w:w="680" w:type="pct"/>
            <w:tcBorders>
              <w:top w:val="nil"/>
              <w:left w:val="nil"/>
              <w:bottom w:val="single" w:sz="4" w:space="0" w:color="auto"/>
              <w:right w:val="single" w:sz="4" w:space="0" w:color="auto"/>
            </w:tcBorders>
            <w:vAlign w:val="bottom"/>
          </w:tcPr>
          <w:p w14:paraId="640B6485" w14:textId="77777777" w:rsidR="009A356E" w:rsidRPr="00C10545" w:rsidRDefault="009A356E" w:rsidP="009A356E">
            <w:pPr>
              <w:jc w:val="right"/>
              <w:rPr>
                <w:sz w:val="18"/>
                <w:szCs w:val="18"/>
                <w:lang w:eastAsia="en-AU"/>
              </w:rPr>
            </w:pPr>
            <w:r w:rsidRPr="00C10545">
              <w:rPr>
                <w:sz w:val="18"/>
                <w:szCs w:val="18"/>
                <w:lang w:eastAsia="en-AU"/>
              </w:rPr>
              <w:t>-32,867,939</w:t>
            </w:r>
          </w:p>
        </w:tc>
      </w:tr>
      <w:tr w:rsidR="009A356E" w:rsidRPr="003B5E14" w14:paraId="487BC948" w14:textId="77777777" w:rsidTr="009A356E">
        <w:trPr>
          <w:trHeight w:val="255"/>
        </w:trPr>
        <w:tc>
          <w:tcPr>
            <w:tcW w:w="920" w:type="pct"/>
            <w:tcBorders>
              <w:top w:val="nil"/>
              <w:left w:val="single" w:sz="4" w:space="0" w:color="auto"/>
              <w:bottom w:val="single" w:sz="4" w:space="0" w:color="auto"/>
              <w:right w:val="single" w:sz="4" w:space="0" w:color="auto"/>
            </w:tcBorders>
            <w:shd w:val="clear" w:color="auto" w:fill="auto"/>
            <w:noWrap/>
            <w:vAlign w:val="bottom"/>
            <w:hideMark/>
          </w:tcPr>
          <w:p w14:paraId="68033E96" w14:textId="77777777" w:rsidR="009A356E" w:rsidRPr="00C10545" w:rsidRDefault="009A356E" w:rsidP="009A356E">
            <w:pPr>
              <w:rPr>
                <w:sz w:val="18"/>
                <w:szCs w:val="18"/>
                <w:lang w:eastAsia="en-AU"/>
              </w:rPr>
            </w:pPr>
            <w:r w:rsidRPr="00C10545">
              <w:rPr>
                <w:sz w:val="18"/>
                <w:szCs w:val="18"/>
                <w:lang w:eastAsia="en-AU"/>
              </w:rPr>
              <w:t xml:space="preserve">Regional Cities </w:t>
            </w:r>
          </w:p>
        </w:tc>
        <w:tc>
          <w:tcPr>
            <w:tcW w:w="680" w:type="pct"/>
            <w:gridSpan w:val="2"/>
            <w:tcBorders>
              <w:top w:val="nil"/>
              <w:left w:val="nil"/>
              <w:bottom w:val="single" w:sz="4" w:space="0" w:color="auto"/>
              <w:right w:val="single" w:sz="4" w:space="0" w:color="auto"/>
            </w:tcBorders>
            <w:shd w:val="clear" w:color="auto" w:fill="auto"/>
            <w:noWrap/>
            <w:vAlign w:val="bottom"/>
            <w:hideMark/>
          </w:tcPr>
          <w:p w14:paraId="5F84E93E" w14:textId="77777777" w:rsidR="009A356E" w:rsidRPr="00C10545" w:rsidRDefault="009A356E" w:rsidP="009A356E">
            <w:pPr>
              <w:jc w:val="right"/>
              <w:rPr>
                <w:sz w:val="18"/>
                <w:szCs w:val="18"/>
                <w:lang w:eastAsia="en-AU"/>
              </w:rPr>
            </w:pPr>
            <w:r w:rsidRPr="00C10545">
              <w:rPr>
                <w:sz w:val="18"/>
                <w:szCs w:val="18"/>
                <w:lang w:eastAsia="en-AU"/>
              </w:rPr>
              <w:t>-872,347</w:t>
            </w:r>
          </w:p>
        </w:tc>
        <w:tc>
          <w:tcPr>
            <w:tcW w:w="680" w:type="pct"/>
            <w:gridSpan w:val="2"/>
            <w:tcBorders>
              <w:top w:val="nil"/>
              <w:left w:val="nil"/>
              <w:bottom w:val="single" w:sz="4" w:space="0" w:color="auto"/>
              <w:right w:val="single" w:sz="4" w:space="0" w:color="auto"/>
            </w:tcBorders>
            <w:shd w:val="clear" w:color="auto" w:fill="auto"/>
            <w:noWrap/>
            <w:vAlign w:val="bottom"/>
            <w:hideMark/>
          </w:tcPr>
          <w:p w14:paraId="08F4C6D2" w14:textId="77777777" w:rsidR="009A356E" w:rsidRPr="00C10545" w:rsidRDefault="009A356E" w:rsidP="009A356E">
            <w:pPr>
              <w:jc w:val="right"/>
              <w:rPr>
                <w:sz w:val="18"/>
                <w:szCs w:val="18"/>
                <w:lang w:eastAsia="en-AU"/>
              </w:rPr>
            </w:pPr>
            <w:r w:rsidRPr="00C10545">
              <w:rPr>
                <w:sz w:val="18"/>
                <w:szCs w:val="18"/>
                <w:lang w:eastAsia="en-AU"/>
              </w:rPr>
              <w:t>-2,178,596</w:t>
            </w:r>
          </w:p>
        </w:tc>
        <w:tc>
          <w:tcPr>
            <w:tcW w:w="680" w:type="pct"/>
            <w:gridSpan w:val="2"/>
            <w:tcBorders>
              <w:top w:val="nil"/>
              <w:left w:val="nil"/>
              <w:bottom w:val="single" w:sz="4" w:space="0" w:color="auto"/>
              <w:right w:val="single" w:sz="4" w:space="0" w:color="auto"/>
            </w:tcBorders>
            <w:shd w:val="clear" w:color="auto" w:fill="auto"/>
            <w:noWrap/>
            <w:vAlign w:val="bottom"/>
            <w:hideMark/>
          </w:tcPr>
          <w:p w14:paraId="317C0ADB" w14:textId="77777777" w:rsidR="009A356E" w:rsidRPr="00C10545" w:rsidRDefault="009A356E" w:rsidP="009A356E">
            <w:pPr>
              <w:jc w:val="right"/>
              <w:rPr>
                <w:sz w:val="18"/>
                <w:szCs w:val="18"/>
                <w:lang w:eastAsia="en-AU"/>
              </w:rPr>
            </w:pPr>
            <w:r w:rsidRPr="00C10545">
              <w:rPr>
                <w:sz w:val="18"/>
                <w:szCs w:val="18"/>
                <w:lang w:eastAsia="en-AU"/>
              </w:rPr>
              <w:t>-3,051,710</w:t>
            </w:r>
          </w:p>
        </w:tc>
        <w:tc>
          <w:tcPr>
            <w:tcW w:w="680" w:type="pct"/>
            <w:gridSpan w:val="2"/>
            <w:tcBorders>
              <w:top w:val="nil"/>
              <w:left w:val="nil"/>
              <w:bottom w:val="single" w:sz="4" w:space="0" w:color="auto"/>
              <w:right w:val="single" w:sz="4" w:space="0" w:color="auto"/>
            </w:tcBorders>
            <w:shd w:val="clear" w:color="auto" w:fill="auto"/>
            <w:noWrap/>
            <w:vAlign w:val="bottom"/>
            <w:hideMark/>
          </w:tcPr>
          <w:p w14:paraId="7EB93F9B" w14:textId="77777777" w:rsidR="009A356E" w:rsidRPr="00C10545" w:rsidRDefault="009A356E" w:rsidP="009A356E">
            <w:pPr>
              <w:jc w:val="right"/>
              <w:rPr>
                <w:sz w:val="18"/>
                <w:szCs w:val="18"/>
                <w:lang w:eastAsia="en-AU"/>
              </w:rPr>
            </w:pPr>
            <w:r w:rsidRPr="00C10545">
              <w:rPr>
                <w:sz w:val="18"/>
                <w:szCs w:val="18"/>
                <w:lang w:eastAsia="en-AU"/>
              </w:rPr>
              <w:t>-3,754,354</w:t>
            </w:r>
          </w:p>
        </w:tc>
        <w:tc>
          <w:tcPr>
            <w:tcW w:w="680" w:type="pct"/>
            <w:gridSpan w:val="2"/>
            <w:tcBorders>
              <w:top w:val="nil"/>
              <w:left w:val="nil"/>
              <w:bottom w:val="single" w:sz="4" w:space="0" w:color="auto"/>
              <w:right w:val="single" w:sz="4" w:space="0" w:color="auto"/>
            </w:tcBorders>
            <w:shd w:val="clear" w:color="auto" w:fill="auto"/>
            <w:noWrap/>
            <w:vAlign w:val="bottom"/>
            <w:hideMark/>
          </w:tcPr>
          <w:p w14:paraId="23CA2B86" w14:textId="77777777" w:rsidR="009A356E" w:rsidRPr="00C10545" w:rsidRDefault="009A356E" w:rsidP="009A356E">
            <w:pPr>
              <w:jc w:val="right"/>
              <w:rPr>
                <w:sz w:val="18"/>
                <w:szCs w:val="18"/>
                <w:lang w:eastAsia="en-AU"/>
              </w:rPr>
            </w:pPr>
            <w:r w:rsidRPr="00C10545">
              <w:rPr>
                <w:sz w:val="18"/>
                <w:szCs w:val="18"/>
                <w:lang w:eastAsia="en-AU"/>
              </w:rPr>
              <w:t>-6,799,688</w:t>
            </w:r>
          </w:p>
        </w:tc>
        <w:tc>
          <w:tcPr>
            <w:tcW w:w="680" w:type="pct"/>
            <w:tcBorders>
              <w:top w:val="nil"/>
              <w:left w:val="nil"/>
              <w:bottom w:val="single" w:sz="4" w:space="0" w:color="auto"/>
              <w:right w:val="single" w:sz="4" w:space="0" w:color="auto"/>
            </w:tcBorders>
            <w:vAlign w:val="bottom"/>
          </w:tcPr>
          <w:p w14:paraId="1DF48415" w14:textId="77777777" w:rsidR="009A356E" w:rsidRPr="00C10545" w:rsidRDefault="009A356E" w:rsidP="009A356E">
            <w:pPr>
              <w:jc w:val="right"/>
              <w:rPr>
                <w:sz w:val="18"/>
                <w:szCs w:val="18"/>
                <w:lang w:eastAsia="en-AU"/>
              </w:rPr>
            </w:pPr>
            <w:r w:rsidRPr="00C10545">
              <w:rPr>
                <w:sz w:val="18"/>
                <w:szCs w:val="18"/>
                <w:lang w:eastAsia="en-AU"/>
              </w:rPr>
              <w:t>-17,006,482</w:t>
            </w:r>
          </w:p>
        </w:tc>
      </w:tr>
      <w:tr w:rsidR="009A356E" w:rsidRPr="003B5E14" w14:paraId="31D6C2B7" w14:textId="77777777" w:rsidTr="009A356E">
        <w:trPr>
          <w:trHeight w:val="255"/>
        </w:trPr>
        <w:tc>
          <w:tcPr>
            <w:tcW w:w="920" w:type="pct"/>
            <w:tcBorders>
              <w:top w:val="nil"/>
              <w:left w:val="single" w:sz="4" w:space="0" w:color="auto"/>
              <w:bottom w:val="single" w:sz="4" w:space="0" w:color="auto"/>
              <w:right w:val="single" w:sz="4" w:space="0" w:color="auto"/>
            </w:tcBorders>
            <w:shd w:val="clear" w:color="auto" w:fill="auto"/>
            <w:noWrap/>
            <w:vAlign w:val="bottom"/>
            <w:hideMark/>
          </w:tcPr>
          <w:p w14:paraId="4FE5BD13" w14:textId="77777777" w:rsidR="009A356E" w:rsidRPr="00C10545" w:rsidRDefault="009A356E" w:rsidP="009A356E">
            <w:pPr>
              <w:rPr>
                <w:sz w:val="18"/>
                <w:szCs w:val="18"/>
                <w:lang w:eastAsia="en-AU"/>
              </w:rPr>
            </w:pPr>
            <w:r w:rsidRPr="00C10545">
              <w:rPr>
                <w:sz w:val="18"/>
                <w:szCs w:val="18"/>
                <w:lang w:eastAsia="en-AU"/>
              </w:rPr>
              <w:t>Small Shires</w:t>
            </w:r>
          </w:p>
        </w:tc>
        <w:tc>
          <w:tcPr>
            <w:tcW w:w="680" w:type="pct"/>
            <w:gridSpan w:val="2"/>
            <w:tcBorders>
              <w:top w:val="nil"/>
              <w:left w:val="nil"/>
              <w:bottom w:val="single" w:sz="4" w:space="0" w:color="auto"/>
              <w:right w:val="single" w:sz="4" w:space="0" w:color="auto"/>
            </w:tcBorders>
            <w:shd w:val="clear" w:color="auto" w:fill="auto"/>
            <w:noWrap/>
            <w:vAlign w:val="bottom"/>
            <w:hideMark/>
          </w:tcPr>
          <w:p w14:paraId="3B936DA6" w14:textId="77777777" w:rsidR="009A356E" w:rsidRPr="00C10545" w:rsidRDefault="009A356E" w:rsidP="009A356E">
            <w:pPr>
              <w:jc w:val="right"/>
              <w:rPr>
                <w:sz w:val="18"/>
                <w:szCs w:val="18"/>
                <w:lang w:eastAsia="en-AU"/>
              </w:rPr>
            </w:pPr>
            <w:r w:rsidRPr="00C10545">
              <w:rPr>
                <w:sz w:val="18"/>
                <w:szCs w:val="18"/>
                <w:lang w:eastAsia="en-AU"/>
              </w:rPr>
              <w:t>679,632</w:t>
            </w:r>
          </w:p>
        </w:tc>
        <w:tc>
          <w:tcPr>
            <w:tcW w:w="680" w:type="pct"/>
            <w:gridSpan w:val="2"/>
            <w:tcBorders>
              <w:top w:val="nil"/>
              <w:left w:val="nil"/>
              <w:bottom w:val="single" w:sz="4" w:space="0" w:color="auto"/>
              <w:right w:val="single" w:sz="4" w:space="0" w:color="auto"/>
            </w:tcBorders>
            <w:shd w:val="clear" w:color="auto" w:fill="auto"/>
            <w:noWrap/>
            <w:vAlign w:val="bottom"/>
            <w:hideMark/>
          </w:tcPr>
          <w:p w14:paraId="21E25ACA" w14:textId="77777777" w:rsidR="009A356E" w:rsidRPr="00C10545" w:rsidRDefault="009A356E" w:rsidP="009A356E">
            <w:pPr>
              <w:jc w:val="right"/>
              <w:rPr>
                <w:sz w:val="18"/>
                <w:szCs w:val="18"/>
                <w:lang w:eastAsia="en-AU"/>
              </w:rPr>
            </w:pPr>
            <w:r w:rsidRPr="00C10545">
              <w:rPr>
                <w:sz w:val="18"/>
                <w:szCs w:val="18"/>
                <w:lang w:eastAsia="en-AU"/>
              </w:rPr>
              <w:t>250,238</w:t>
            </w:r>
          </w:p>
        </w:tc>
        <w:tc>
          <w:tcPr>
            <w:tcW w:w="680" w:type="pct"/>
            <w:gridSpan w:val="2"/>
            <w:tcBorders>
              <w:top w:val="nil"/>
              <w:left w:val="nil"/>
              <w:bottom w:val="single" w:sz="4" w:space="0" w:color="auto"/>
              <w:right w:val="single" w:sz="4" w:space="0" w:color="auto"/>
            </w:tcBorders>
            <w:shd w:val="clear" w:color="auto" w:fill="auto"/>
            <w:noWrap/>
            <w:vAlign w:val="bottom"/>
            <w:hideMark/>
          </w:tcPr>
          <w:p w14:paraId="03C1B6ED" w14:textId="77777777" w:rsidR="009A356E" w:rsidRPr="00C10545" w:rsidRDefault="009A356E" w:rsidP="009A356E">
            <w:pPr>
              <w:jc w:val="right"/>
              <w:rPr>
                <w:sz w:val="18"/>
                <w:szCs w:val="18"/>
                <w:lang w:eastAsia="en-AU"/>
              </w:rPr>
            </w:pPr>
            <w:r w:rsidRPr="00C10545">
              <w:rPr>
                <w:sz w:val="18"/>
                <w:szCs w:val="18"/>
                <w:lang w:eastAsia="en-AU"/>
              </w:rPr>
              <w:t>1,463,970</w:t>
            </w:r>
          </w:p>
        </w:tc>
        <w:tc>
          <w:tcPr>
            <w:tcW w:w="680" w:type="pct"/>
            <w:gridSpan w:val="2"/>
            <w:tcBorders>
              <w:top w:val="nil"/>
              <w:left w:val="nil"/>
              <w:bottom w:val="single" w:sz="4" w:space="0" w:color="auto"/>
              <w:right w:val="single" w:sz="4" w:space="0" w:color="auto"/>
            </w:tcBorders>
            <w:shd w:val="clear" w:color="auto" w:fill="auto"/>
            <w:noWrap/>
            <w:vAlign w:val="bottom"/>
            <w:hideMark/>
          </w:tcPr>
          <w:p w14:paraId="399356C6" w14:textId="77777777" w:rsidR="009A356E" w:rsidRPr="00C10545" w:rsidRDefault="009A356E" w:rsidP="009A356E">
            <w:pPr>
              <w:jc w:val="right"/>
              <w:rPr>
                <w:sz w:val="18"/>
                <w:szCs w:val="18"/>
                <w:lang w:eastAsia="en-AU"/>
              </w:rPr>
            </w:pPr>
            <w:r w:rsidRPr="00C10545">
              <w:rPr>
                <w:sz w:val="18"/>
                <w:szCs w:val="18"/>
                <w:lang w:eastAsia="en-AU"/>
              </w:rPr>
              <w:t>2,359,486</w:t>
            </w:r>
          </w:p>
        </w:tc>
        <w:tc>
          <w:tcPr>
            <w:tcW w:w="680" w:type="pct"/>
            <w:gridSpan w:val="2"/>
            <w:tcBorders>
              <w:top w:val="nil"/>
              <w:left w:val="nil"/>
              <w:bottom w:val="single" w:sz="4" w:space="0" w:color="auto"/>
              <w:right w:val="single" w:sz="4" w:space="0" w:color="auto"/>
            </w:tcBorders>
            <w:shd w:val="clear" w:color="auto" w:fill="auto"/>
            <w:noWrap/>
            <w:vAlign w:val="bottom"/>
            <w:hideMark/>
          </w:tcPr>
          <w:p w14:paraId="6474B801" w14:textId="77777777" w:rsidR="009A356E" w:rsidRPr="00C10545" w:rsidRDefault="009A356E" w:rsidP="009A356E">
            <w:pPr>
              <w:jc w:val="right"/>
              <w:rPr>
                <w:sz w:val="18"/>
                <w:szCs w:val="18"/>
                <w:lang w:eastAsia="en-AU"/>
              </w:rPr>
            </w:pPr>
            <w:r w:rsidRPr="00C10545">
              <w:rPr>
                <w:sz w:val="18"/>
                <w:szCs w:val="18"/>
                <w:lang w:eastAsia="en-AU"/>
              </w:rPr>
              <w:t>563,130</w:t>
            </w:r>
          </w:p>
        </w:tc>
        <w:tc>
          <w:tcPr>
            <w:tcW w:w="680" w:type="pct"/>
            <w:tcBorders>
              <w:top w:val="nil"/>
              <w:left w:val="nil"/>
              <w:bottom w:val="single" w:sz="4" w:space="0" w:color="auto"/>
              <w:right w:val="single" w:sz="4" w:space="0" w:color="auto"/>
            </w:tcBorders>
            <w:vAlign w:val="bottom"/>
          </w:tcPr>
          <w:p w14:paraId="6CC3E28A" w14:textId="77777777" w:rsidR="009A356E" w:rsidRPr="00C10545" w:rsidRDefault="009A356E" w:rsidP="009A356E">
            <w:pPr>
              <w:jc w:val="right"/>
              <w:rPr>
                <w:sz w:val="18"/>
                <w:szCs w:val="18"/>
                <w:lang w:eastAsia="en-AU"/>
              </w:rPr>
            </w:pPr>
            <w:r w:rsidRPr="00C10545">
              <w:rPr>
                <w:sz w:val="18"/>
                <w:szCs w:val="18"/>
                <w:lang w:eastAsia="en-AU"/>
              </w:rPr>
              <w:t>5,467,249</w:t>
            </w:r>
          </w:p>
        </w:tc>
      </w:tr>
      <w:tr w:rsidR="009A356E" w:rsidRPr="003B5E14" w14:paraId="6BD5FFAC" w14:textId="77777777" w:rsidTr="009A356E">
        <w:trPr>
          <w:trHeight w:val="255"/>
        </w:trPr>
        <w:tc>
          <w:tcPr>
            <w:tcW w:w="920" w:type="pct"/>
            <w:tcBorders>
              <w:top w:val="nil"/>
              <w:left w:val="single" w:sz="4" w:space="0" w:color="auto"/>
              <w:bottom w:val="single" w:sz="4" w:space="0" w:color="auto"/>
              <w:right w:val="single" w:sz="4" w:space="0" w:color="auto"/>
            </w:tcBorders>
            <w:shd w:val="clear" w:color="auto" w:fill="auto"/>
            <w:noWrap/>
            <w:vAlign w:val="bottom"/>
            <w:hideMark/>
          </w:tcPr>
          <w:p w14:paraId="16F8C69E" w14:textId="77777777" w:rsidR="009A356E" w:rsidRPr="00C10545" w:rsidRDefault="009A356E" w:rsidP="009A356E">
            <w:pPr>
              <w:rPr>
                <w:sz w:val="18"/>
                <w:szCs w:val="18"/>
                <w:lang w:eastAsia="en-AU"/>
              </w:rPr>
            </w:pPr>
            <w:r w:rsidRPr="00C10545">
              <w:rPr>
                <w:sz w:val="18"/>
                <w:szCs w:val="18"/>
                <w:lang w:eastAsia="en-AU"/>
              </w:rPr>
              <w:t>All Councils</w:t>
            </w:r>
          </w:p>
        </w:tc>
        <w:tc>
          <w:tcPr>
            <w:tcW w:w="680" w:type="pct"/>
            <w:gridSpan w:val="2"/>
            <w:tcBorders>
              <w:top w:val="nil"/>
              <w:left w:val="nil"/>
              <w:bottom w:val="single" w:sz="4" w:space="0" w:color="auto"/>
              <w:right w:val="single" w:sz="4" w:space="0" w:color="auto"/>
            </w:tcBorders>
            <w:shd w:val="clear" w:color="auto" w:fill="auto"/>
            <w:noWrap/>
            <w:vAlign w:val="bottom"/>
            <w:hideMark/>
          </w:tcPr>
          <w:p w14:paraId="60E85099" w14:textId="77777777" w:rsidR="009A356E" w:rsidRPr="00C10545" w:rsidRDefault="009A356E" w:rsidP="009A356E">
            <w:pPr>
              <w:jc w:val="right"/>
              <w:rPr>
                <w:sz w:val="18"/>
                <w:szCs w:val="18"/>
                <w:lang w:eastAsia="en-AU"/>
              </w:rPr>
            </w:pPr>
            <w:r w:rsidRPr="00C10545">
              <w:rPr>
                <w:sz w:val="18"/>
                <w:szCs w:val="18"/>
                <w:lang w:eastAsia="en-AU"/>
              </w:rPr>
              <w:t>19,712</w:t>
            </w:r>
          </w:p>
        </w:tc>
        <w:tc>
          <w:tcPr>
            <w:tcW w:w="680" w:type="pct"/>
            <w:gridSpan w:val="2"/>
            <w:tcBorders>
              <w:top w:val="nil"/>
              <w:left w:val="nil"/>
              <w:bottom w:val="single" w:sz="4" w:space="0" w:color="auto"/>
              <w:right w:val="single" w:sz="4" w:space="0" w:color="auto"/>
            </w:tcBorders>
            <w:shd w:val="clear" w:color="auto" w:fill="auto"/>
            <w:noWrap/>
            <w:vAlign w:val="bottom"/>
            <w:hideMark/>
          </w:tcPr>
          <w:p w14:paraId="4B68D612" w14:textId="77777777" w:rsidR="009A356E" w:rsidRPr="00C10545" w:rsidRDefault="009A356E" w:rsidP="009A356E">
            <w:pPr>
              <w:jc w:val="right"/>
              <w:rPr>
                <w:sz w:val="18"/>
                <w:szCs w:val="18"/>
                <w:lang w:eastAsia="en-AU"/>
              </w:rPr>
            </w:pPr>
            <w:r w:rsidRPr="00C10545">
              <w:rPr>
                <w:sz w:val="18"/>
                <w:szCs w:val="18"/>
                <w:lang w:eastAsia="en-AU"/>
              </w:rPr>
              <w:t>-7,973,911</w:t>
            </w:r>
          </w:p>
        </w:tc>
        <w:tc>
          <w:tcPr>
            <w:tcW w:w="680" w:type="pct"/>
            <w:gridSpan w:val="2"/>
            <w:tcBorders>
              <w:top w:val="nil"/>
              <w:left w:val="nil"/>
              <w:bottom w:val="single" w:sz="4" w:space="0" w:color="auto"/>
              <w:right w:val="single" w:sz="4" w:space="0" w:color="auto"/>
            </w:tcBorders>
            <w:shd w:val="clear" w:color="auto" w:fill="auto"/>
            <w:noWrap/>
            <w:vAlign w:val="bottom"/>
            <w:hideMark/>
          </w:tcPr>
          <w:p w14:paraId="0FE95E3D" w14:textId="77777777" w:rsidR="009A356E" w:rsidRPr="00C10545" w:rsidRDefault="009A356E" w:rsidP="009A356E">
            <w:pPr>
              <w:jc w:val="right"/>
              <w:rPr>
                <w:sz w:val="18"/>
                <w:szCs w:val="18"/>
                <w:lang w:eastAsia="en-AU"/>
              </w:rPr>
            </w:pPr>
            <w:r w:rsidRPr="00C10545">
              <w:rPr>
                <w:sz w:val="18"/>
                <w:szCs w:val="18"/>
                <w:lang w:eastAsia="en-AU"/>
              </w:rPr>
              <w:t>-9,380,409</w:t>
            </w:r>
          </w:p>
        </w:tc>
        <w:tc>
          <w:tcPr>
            <w:tcW w:w="680" w:type="pct"/>
            <w:gridSpan w:val="2"/>
            <w:tcBorders>
              <w:top w:val="nil"/>
              <w:left w:val="nil"/>
              <w:bottom w:val="single" w:sz="4" w:space="0" w:color="auto"/>
              <w:right w:val="single" w:sz="4" w:space="0" w:color="auto"/>
            </w:tcBorders>
            <w:shd w:val="clear" w:color="auto" w:fill="auto"/>
            <w:noWrap/>
            <w:vAlign w:val="bottom"/>
            <w:hideMark/>
          </w:tcPr>
          <w:p w14:paraId="06D0FAA5" w14:textId="77777777" w:rsidR="009A356E" w:rsidRPr="00C10545" w:rsidRDefault="009A356E" w:rsidP="009A356E">
            <w:pPr>
              <w:jc w:val="right"/>
              <w:rPr>
                <w:sz w:val="18"/>
                <w:szCs w:val="18"/>
                <w:lang w:eastAsia="en-AU"/>
              </w:rPr>
            </w:pPr>
            <w:r w:rsidRPr="00C10545">
              <w:rPr>
                <w:sz w:val="18"/>
                <w:szCs w:val="18"/>
                <w:lang w:eastAsia="en-AU"/>
              </w:rPr>
              <w:t>-16,680,880</w:t>
            </w:r>
          </w:p>
        </w:tc>
        <w:tc>
          <w:tcPr>
            <w:tcW w:w="680" w:type="pct"/>
            <w:gridSpan w:val="2"/>
            <w:tcBorders>
              <w:top w:val="nil"/>
              <w:left w:val="nil"/>
              <w:bottom w:val="single" w:sz="4" w:space="0" w:color="auto"/>
              <w:right w:val="single" w:sz="4" w:space="0" w:color="auto"/>
            </w:tcBorders>
            <w:shd w:val="clear" w:color="auto" w:fill="auto"/>
            <w:noWrap/>
            <w:vAlign w:val="bottom"/>
            <w:hideMark/>
          </w:tcPr>
          <w:p w14:paraId="1A2C2D10" w14:textId="77777777" w:rsidR="009A356E" w:rsidRPr="00C10545" w:rsidRDefault="009A356E" w:rsidP="009A356E">
            <w:pPr>
              <w:jc w:val="right"/>
              <w:rPr>
                <w:sz w:val="18"/>
                <w:szCs w:val="18"/>
                <w:lang w:eastAsia="en-AU"/>
              </w:rPr>
            </w:pPr>
            <w:r w:rsidRPr="00C10545">
              <w:rPr>
                <w:sz w:val="18"/>
                <w:szCs w:val="18"/>
                <w:lang w:eastAsia="en-AU"/>
              </w:rPr>
              <w:t>-33,836,320</w:t>
            </w:r>
          </w:p>
        </w:tc>
        <w:tc>
          <w:tcPr>
            <w:tcW w:w="680" w:type="pct"/>
            <w:tcBorders>
              <w:top w:val="nil"/>
              <w:left w:val="nil"/>
              <w:bottom w:val="single" w:sz="4" w:space="0" w:color="auto"/>
              <w:right w:val="single" w:sz="4" w:space="0" w:color="auto"/>
            </w:tcBorders>
            <w:vAlign w:val="bottom"/>
          </w:tcPr>
          <w:p w14:paraId="2BC97D3B" w14:textId="77777777" w:rsidR="009A356E" w:rsidRPr="00C10545" w:rsidRDefault="009A356E" w:rsidP="009A356E">
            <w:pPr>
              <w:jc w:val="right"/>
              <w:rPr>
                <w:sz w:val="18"/>
                <w:szCs w:val="18"/>
                <w:lang w:eastAsia="en-AU"/>
              </w:rPr>
            </w:pPr>
            <w:r w:rsidRPr="00C10545">
              <w:rPr>
                <w:sz w:val="18"/>
                <w:szCs w:val="18"/>
                <w:lang w:eastAsia="en-AU"/>
              </w:rPr>
              <w:t>-68,860,411</w:t>
            </w:r>
          </w:p>
        </w:tc>
      </w:tr>
      <w:tr w:rsidR="009A356E" w:rsidRPr="003B5E14" w14:paraId="34747060" w14:textId="77777777" w:rsidTr="009A356E">
        <w:trPr>
          <w:trHeight w:val="255"/>
        </w:trPr>
        <w:tc>
          <w:tcPr>
            <w:tcW w:w="920" w:type="pct"/>
            <w:tcBorders>
              <w:top w:val="nil"/>
              <w:left w:val="single" w:sz="4" w:space="0" w:color="auto"/>
              <w:bottom w:val="single" w:sz="4" w:space="0" w:color="auto"/>
              <w:right w:val="single" w:sz="4" w:space="0" w:color="auto"/>
            </w:tcBorders>
            <w:shd w:val="clear" w:color="000000" w:fill="000000"/>
            <w:noWrap/>
            <w:vAlign w:val="bottom"/>
            <w:hideMark/>
          </w:tcPr>
          <w:p w14:paraId="0BBE4F04" w14:textId="77777777" w:rsidR="009A356E" w:rsidRPr="00C10545" w:rsidRDefault="009A356E" w:rsidP="009A356E">
            <w:pPr>
              <w:rPr>
                <w:sz w:val="18"/>
                <w:szCs w:val="18"/>
                <w:lang w:eastAsia="en-AU"/>
              </w:rPr>
            </w:pPr>
            <w:r w:rsidRPr="00C10545">
              <w:rPr>
                <w:sz w:val="18"/>
                <w:szCs w:val="18"/>
                <w:lang w:eastAsia="en-AU"/>
              </w:rPr>
              <w:t> </w:t>
            </w:r>
          </w:p>
        </w:tc>
        <w:tc>
          <w:tcPr>
            <w:tcW w:w="680" w:type="pct"/>
            <w:gridSpan w:val="2"/>
            <w:tcBorders>
              <w:top w:val="nil"/>
              <w:left w:val="nil"/>
              <w:bottom w:val="single" w:sz="4" w:space="0" w:color="auto"/>
              <w:right w:val="single" w:sz="4" w:space="0" w:color="auto"/>
            </w:tcBorders>
            <w:shd w:val="clear" w:color="000000" w:fill="000000"/>
            <w:noWrap/>
            <w:vAlign w:val="bottom"/>
            <w:hideMark/>
          </w:tcPr>
          <w:p w14:paraId="1EEA04BA" w14:textId="77777777" w:rsidR="009A356E" w:rsidRPr="00C10545" w:rsidRDefault="009A356E" w:rsidP="009A356E">
            <w:pPr>
              <w:rPr>
                <w:sz w:val="18"/>
                <w:szCs w:val="18"/>
                <w:lang w:eastAsia="en-AU"/>
              </w:rPr>
            </w:pPr>
            <w:r w:rsidRPr="00C10545">
              <w:rPr>
                <w:sz w:val="18"/>
                <w:szCs w:val="18"/>
                <w:lang w:eastAsia="en-AU"/>
              </w:rPr>
              <w:t> </w:t>
            </w:r>
          </w:p>
        </w:tc>
        <w:tc>
          <w:tcPr>
            <w:tcW w:w="680" w:type="pct"/>
            <w:gridSpan w:val="2"/>
            <w:tcBorders>
              <w:top w:val="nil"/>
              <w:left w:val="nil"/>
              <w:bottom w:val="single" w:sz="4" w:space="0" w:color="auto"/>
              <w:right w:val="single" w:sz="4" w:space="0" w:color="auto"/>
            </w:tcBorders>
            <w:shd w:val="clear" w:color="000000" w:fill="000000"/>
            <w:noWrap/>
            <w:vAlign w:val="bottom"/>
            <w:hideMark/>
          </w:tcPr>
          <w:p w14:paraId="12C416DC" w14:textId="77777777" w:rsidR="009A356E" w:rsidRPr="00C10545" w:rsidRDefault="009A356E" w:rsidP="009A356E">
            <w:pPr>
              <w:rPr>
                <w:sz w:val="18"/>
                <w:szCs w:val="18"/>
                <w:lang w:eastAsia="en-AU"/>
              </w:rPr>
            </w:pPr>
            <w:r w:rsidRPr="00C10545">
              <w:rPr>
                <w:sz w:val="18"/>
                <w:szCs w:val="18"/>
                <w:lang w:eastAsia="en-AU"/>
              </w:rPr>
              <w:t> </w:t>
            </w:r>
          </w:p>
        </w:tc>
        <w:tc>
          <w:tcPr>
            <w:tcW w:w="680" w:type="pct"/>
            <w:gridSpan w:val="2"/>
            <w:tcBorders>
              <w:top w:val="nil"/>
              <w:left w:val="nil"/>
              <w:bottom w:val="single" w:sz="4" w:space="0" w:color="auto"/>
              <w:right w:val="single" w:sz="4" w:space="0" w:color="auto"/>
            </w:tcBorders>
            <w:shd w:val="clear" w:color="000000" w:fill="000000"/>
            <w:noWrap/>
            <w:vAlign w:val="bottom"/>
            <w:hideMark/>
          </w:tcPr>
          <w:p w14:paraId="07ADADBF" w14:textId="77777777" w:rsidR="009A356E" w:rsidRPr="00C10545" w:rsidRDefault="009A356E" w:rsidP="009A356E">
            <w:pPr>
              <w:rPr>
                <w:sz w:val="18"/>
                <w:szCs w:val="18"/>
                <w:lang w:eastAsia="en-AU"/>
              </w:rPr>
            </w:pPr>
            <w:r w:rsidRPr="00C10545">
              <w:rPr>
                <w:sz w:val="18"/>
                <w:szCs w:val="18"/>
                <w:lang w:eastAsia="en-AU"/>
              </w:rPr>
              <w:t> </w:t>
            </w:r>
          </w:p>
        </w:tc>
        <w:tc>
          <w:tcPr>
            <w:tcW w:w="680" w:type="pct"/>
            <w:gridSpan w:val="2"/>
            <w:tcBorders>
              <w:top w:val="nil"/>
              <w:left w:val="nil"/>
              <w:bottom w:val="single" w:sz="4" w:space="0" w:color="auto"/>
              <w:right w:val="single" w:sz="4" w:space="0" w:color="auto"/>
            </w:tcBorders>
            <w:shd w:val="clear" w:color="000000" w:fill="000000"/>
            <w:noWrap/>
            <w:vAlign w:val="bottom"/>
            <w:hideMark/>
          </w:tcPr>
          <w:p w14:paraId="2CEF383A" w14:textId="77777777" w:rsidR="009A356E" w:rsidRPr="00C10545" w:rsidRDefault="009A356E" w:rsidP="009A356E">
            <w:pPr>
              <w:rPr>
                <w:sz w:val="18"/>
                <w:szCs w:val="18"/>
                <w:lang w:eastAsia="en-AU"/>
              </w:rPr>
            </w:pPr>
            <w:r w:rsidRPr="00C10545">
              <w:rPr>
                <w:sz w:val="18"/>
                <w:szCs w:val="18"/>
                <w:lang w:eastAsia="en-AU"/>
              </w:rPr>
              <w:t> </w:t>
            </w:r>
          </w:p>
        </w:tc>
        <w:tc>
          <w:tcPr>
            <w:tcW w:w="680" w:type="pct"/>
            <w:gridSpan w:val="2"/>
            <w:tcBorders>
              <w:top w:val="nil"/>
              <w:left w:val="nil"/>
              <w:bottom w:val="single" w:sz="4" w:space="0" w:color="auto"/>
              <w:right w:val="single" w:sz="4" w:space="0" w:color="auto"/>
            </w:tcBorders>
            <w:shd w:val="clear" w:color="000000" w:fill="000000"/>
            <w:noWrap/>
            <w:vAlign w:val="bottom"/>
            <w:hideMark/>
          </w:tcPr>
          <w:p w14:paraId="704CD99E" w14:textId="77777777" w:rsidR="009A356E" w:rsidRPr="00C10545" w:rsidRDefault="009A356E" w:rsidP="009A356E">
            <w:pPr>
              <w:rPr>
                <w:sz w:val="18"/>
                <w:szCs w:val="18"/>
                <w:lang w:eastAsia="en-AU"/>
              </w:rPr>
            </w:pPr>
            <w:r w:rsidRPr="00C10545">
              <w:rPr>
                <w:sz w:val="18"/>
                <w:szCs w:val="18"/>
                <w:lang w:eastAsia="en-AU"/>
              </w:rPr>
              <w:t> </w:t>
            </w:r>
          </w:p>
        </w:tc>
        <w:tc>
          <w:tcPr>
            <w:tcW w:w="680" w:type="pct"/>
            <w:tcBorders>
              <w:top w:val="nil"/>
              <w:left w:val="nil"/>
              <w:bottom w:val="single" w:sz="4" w:space="0" w:color="auto"/>
              <w:right w:val="single" w:sz="4" w:space="0" w:color="auto"/>
            </w:tcBorders>
            <w:shd w:val="clear" w:color="000000" w:fill="000000"/>
            <w:vAlign w:val="bottom"/>
          </w:tcPr>
          <w:p w14:paraId="4F45665A" w14:textId="77777777" w:rsidR="009A356E" w:rsidRPr="00C10545" w:rsidRDefault="009A356E" w:rsidP="009A356E">
            <w:pPr>
              <w:jc w:val="right"/>
              <w:rPr>
                <w:sz w:val="18"/>
                <w:szCs w:val="18"/>
                <w:lang w:eastAsia="en-AU"/>
              </w:rPr>
            </w:pPr>
          </w:p>
        </w:tc>
      </w:tr>
      <w:tr w:rsidR="009A356E" w:rsidRPr="003B5E14" w14:paraId="7C6EAD8B" w14:textId="77777777" w:rsidTr="009A356E">
        <w:trPr>
          <w:trHeight w:val="255"/>
        </w:trPr>
        <w:tc>
          <w:tcPr>
            <w:tcW w:w="920" w:type="pct"/>
            <w:tcBorders>
              <w:top w:val="nil"/>
              <w:left w:val="single" w:sz="4" w:space="0" w:color="auto"/>
              <w:bottom w:val="single" w:sz="4" w:space="0" w:color="auto"/>
              <w:right w:val="single" w:sz="4" w:space="0" w:color="auto"/>
            </w:tcBorders>
            <w:shd w:val="clear" w:color="000000" w:fill="92D050"/>
            <w:noWrap/>
            <w:vAlign w:val="bottom"/>
            <w:hideMark/>
          </w:tcPr>
          <w:p w14:paraId="7207D901" w14:textId="77777777" w:rsidR="009A356E" w:rsidRPr="00C10545" w:rsidRDefault="009A356E" w:rsidP="009A356E">
            <w:pPr>
              <w:rPr>
                <w:sz w:val="18"/>
                <w:szCs w:val="18"/>
                <w:lang w:eastAsia="en-AU"/>
              </w:rPr>
            </w:pPr>
            <w:r w:rsidRPr="00C10545">
              <w:rPr>
                <w:sz w:val="18"/>
                <w:szCs w:val="18"/>
                <w:lang w:eastAsia="en-AU"/>
              </w:rPr>
              <w:t>Rural &amp; Regional</w:t>
            </w:r>
          </w:p>
        </w:tc>
        <w:tc>
          <w:tcPr>
            <w:tcW w:w="680" w:type="pct"/>
            <w:gridSpan w:val="2"/>
            <w:tcBorders>
              <w:top w:val="nil"/>
              <w:left w:val="nil"/>
              <w:bottom w:val="single" w:sz="4" w:space="0" w:color="auto"/>
              <w:right w:val="single" w:sz="4" w:space="0" w:color="auto"/>
            </w:tcBorders>
            <w:shd w:val="clear" w:color="auto" w:fill="auto"/>
            <w:noWrap/>
            <w:vAlign w:val="bottom"/>
            <w:hideMark/>
          </w:tcPr>
          <w:p w14:paraId="321CFC2B" w14:textId="77777777" w:rsidR="009A356E" w:rsidRPr="00C10545" w:rsidRDefault="009A356E" w:rsidP="009A356E">
            <w:pPr>
              <w:jc w:val="right"/>
              <w:rPr>
                <w:sz w:val="18"/>
                <w:szCs w:val="18"/>
                <w:lang w:eastAsia="en-AU"/>
              </w:rPr>
            </w:pPr>
            <w:r w:rsidRPr="00C10545">
              <w:rPr>
                <w:sz w:val="18"/>
                <w:szCs w:val="18"/>
                <w:lang w:eastAsia="en-AU"/>
              </w:rPr>
              <w:t>498,228</w:t>
            </w:r>
          </w:p>
        </w:tc>
        <w:tc>
          <w:tcPr>
            <w:tcW w:w="680" w:type="pct"/>
            <w:gridSpan w:val="2"/>
            <w:tcBorders>
              <w:top w:val="nil"/>
              <w:left w:val="nil"/>
              <w:bottom w:val="single" w:sz="4" w:space="0" w:color="auto"/>
              <w:right w:val="single" w:sz="4" w:space="0" w:color="auto"/>
            </w:tcBorders>
            <w:shd w:val="clear" w:color="auto" w:fill="auto"/>
            <w:noWrap/>
            <w:vAlign w:val="bottom"/>
            <w:hideMark/>
          </w:tcPr>
          <w:p w14:paraId="1D02BA64" w14:textId="77777777" w:rsidR="009A356E" w:rsidRPr="00C10545" w:rsidRDefault="009A356E" w:rsidP="009A356E">
            <w:pPr>
              <w:jc w:val="right"/>
              <w:rPr>
                <w:sz w:val="18"/>
                <w:szCs w:val="18"/>
                <w:lang w:eastAsia="en-AU"/>
              </w:rPr>
            </w:pPr>
            <w:r w:rsidRPr="00C10545">
              <w:rPr>
                <w:sz w:val="18"/>
                <w:szCs w:val="18"/>
                <w:lang w:eastAsia="en-AU"/>
              </w:rPr>
              <w:t>-2,515,853</w:t>
            </w:r>
          </w:p>
        </w:tc>
        <w:tc>
          <w:tcPr>
            <w:tcW w:w="680" w:type="pct"/>
            <w:gridSpan w:val="2"/>
            <w:tcBorders>
              <w:top w:val="nil"/>
              <w:left w:val="nil"/>
              <w:bottom w:val="single" w:sz="4" w:space="0" w:color="auto"/>
              <w:right w:val="single" w:sz="4" w:space="0" w:color="auto"/>
            </w:tcBorders>
            <w:shd w:val="clear" w:color="auto" w:fill="auto"/>
            <w:noWrap/>
            <w:vAlign w:val="bottom"/>
            <w:hideMark/>
          </w:tcPr>
          <w:p w14:paraId="0CB54DB9" w14:textId="77777777" w:rsidR="009A356E" w:rsidRPr="00C10545" w:rsidRDefault="009A356E" w:rsidP="009A356E">
            <w:pPr>
              <w:jc w:val="right"/>
              <w:rPr>
                <w:sz w:val="18"/>
                <w:szCs w:val="18"/>
                <w:lang w:eastAsia="en-AU"/>
              </w:rPr>
            </w:pPr>
            <w:r w:rsidRPr="00C10545">
              <w:rPr>
                <w:sz w:val="18"/>
                <w:szCs w:val="18"/>
                <w:lang w:eastAsia="en-AU"/>
              </w:rPr>
              <w:t>-2,558,790</w:t>
            </w:r>
          </w:p>
        </w:tc>
        <w:tc>
          <w:tcPr>
            <w:tcW w:w="680" w:type="pct"/>
            <w:gridSpan w:val="2"/>
            <w:tcBorders>
              <w:top w:val="nil"/>
              <w:left w:val="nil"/>
              <w:bottom w:val="single" w:sz="4" w:space="0" w:color="auto"/>
              <w:right w:val="single" w:sz="4" w:space="0" w:color="auto"/>
            </w:tcBorders>
            <w:shd w:val="clear" w:color="auto" w:fill="auto"/>
            <w:noWrap/>
            <w:vAlign w:val="bottom"/>
            <w:hideMark/>
          </w:tcPr>
          <w:p w14:paraId="227358F2" w14:textId="77777777" w:rsidR="009A356E" w:rsidRPr="00C10545" w:rsidRDefault="009A356E" w:rsidP="009A356E">
            <w:pPr>
              <w:jc w:val="right"/>
              <w:rPr>
                <w:sz w:val="18"/>
                <w:szCs w:val="18"/>
                <w:lang w:eastAsia="en-AU"/>
              </w:rPr>
            </w:pPr>
            <w:r w:rsidRPr="00C10545">
              <w:rPr>
                <w:sz w:val="18"/>
                <w:szCs w:val="18"/>
                <w:lang w:eastAsia="en-AU"/>
              </w:rPr>
              <w:t>-3,525,824</w:t>
            </w:r>
          </w:p>
        </w:tc>
        <w:tc>
          <w:tcPr>
            <w:tcW w:w="680" w:type="pct"/>
            <w:gridSpan w:val="2"/>
            <w:tcBorders>
              <w:top w:val="nil"/>
              <w:left w:val="nil"/>
              <w:bottom w:val="single" w:sz="4" w:space="0" w:color="auto"/>
              <w:right w:val="single" w:sz="4" w:space="0" w:color="auto"/>
            </w:tcBorders>
            <w:shd w:val="clear" w:color="auto" w:fill="auto"/>
            <w:noWrap/>
            <w:vAlign w:val="bottom"/>
            <w:hideMark/>
          </w:tcPr>
          <w:p w14:paraId="3E28123B" w14:textId="77777777" w:rsidR="009A356E" w:rsidRPr="00C10545" w:rsidRDefault="009A356E" w:rsidP="009A356E">
            <w:pPr>
              <w:jc w:val="right"/>
              <w:rPr>
                <w:sz w:val="18"/>
                <w:szCs w:val="18"/>
                <w:lang w:eastAsia="en-AU"/>
              </w:rPr>
            </w:pPr>
            <w:r w:rsidRPr="00C10545">
              <w:rPr>
                <w:sz w:val="18"/>
                <w:szCs w:val="18"/>
                <w:lang w:eastAsia="en-AU"/>
              </w:rPr>
              <w:t>-10,376,731</w:t>
            </w:r>
          </w:p>
        </w:tc>
        <w:tc>
          <w:tcPr>
            <w:tcW w:w="680" w:type="pct"/>
            <w:tcBorders>
              <w:top w:val="nil"/>
              <w:left w:val="nil"/>
              <w:bottom w:val="single" w:sz="4" w:space="0" w:color="auto"/>
              <w:right w:val="single" w:sz="4" w:space="0" w:color="auto"/>
            </w:tcBorders>
            <w:vAlign w:val="bottom"/>
          </w:tcPr>
          <w:p w14:paraId="225044DE" w14:textId="77777777" w:rsidR="009A356E" w:rsidRPr="00C10545" w:rsidRDefault="009A356E" w:rsidP="009A356E">
            <w:pPr>
              <w:jc w:val="right"/>
              <w:rPr>
                <w:sz w:val="18"/>
                <w:szCs w:val="18"/>
                <w:lang w:eastAsia="en-AU"/>
              </w:rPr>
            </w:pPr>
            <w:r w:rsidRPr="00C10545">
              <w:rPr>
                <w:sz w:val="18"/>
                <w:szCs w:val="18"/>
                <w:lang w:eastAsia="en-AU"/>
              </w:rPr>
              <w:t>-18,718,176</w:t>
            </w:r>
          </w:p>
        </w:tc>
      </w:tr>
    </w:tbl>
    <w:p w14:paraId="3D04B6D7" w14:textId="77777777" w:rsidR="009A356E" w:rsidRDefault="009A356E" w:rsidP="009A356E"/>
    <w:p w14:paraId="78E72DFE" w14:textId="77777777" w:rsidR="009A356E" w:rsidRDefault="009A356E" w:rsidP="009A356E"/>
    <w:p w14:paraId="57DC6BF2" w14:textId="06276D3C" w:rsidR="009A356E" w:rsidRDefault="009A356E" w:rsidP="009A356E">
      <w:r>
        <w:t>Outcomes for rural and regional councils have been variable because funding has not reflected CPI escalation let alone councils’ cost increases and the FAGs funding model is redistributive.</w:t>
      </w:r>
    </w:p>
    <w:p w14:paraId="3E261ABA" w14:textId="77777777" w:rsidR="009A356E" w:rsidRDefault="009A356E" w:rsidP="009A356E">
      <w:pPr>
        <w:rPr>
          <w:b/>
        </w:rPr>
      </w:pPr>
    </w:p>
    <w:p w14:paraId="56DC160E" w14:textId="77777777" w:rsidR="009A356E" w:rsidRDefault="009A356E" w:rsidP="009A356E">
      <w:pPr>
        <w:rPr>
          <w:b/>
        </w:rPr>
      </w:pPr>
      <w:r>
        <w:rPr>
          <w:b/>
        </w:rPr>
        <w:t>3.2 Specific Purpose Programs &amp; Cost Shifting</w:t>
      </w:r>
    </w:p>
    <w:p w14:paraId="21862E13" w14:textId="77777777" w:rsidR="00370D38" w:rsidRDefault="00370D38" w:rsidP="009A356E"/>
    <w:p w14:paraId="5446F1AC" w14:textId="317F9792" w:rsidR="009A356E" w:rsidRDefault="009A356E" w:rsidP="009A356E">
      <w:r w:rsidRPr="00794956">
        <w:t xml:space="preserve">Cost-shifting occurs when one government underpays for a service resulting in another government overpaying for a service. </w:t>
      </w:r>
      <w:r>
        <w:t xml:space="preserve">It has occurred over a wide range of services delivered by local government and has been a </w:t>
      </w:r>
      <w:r w:rsidRPr="00A34F35">
        <w:t xml:space="preserve">reason </w:t>
      </w:r>
      <w:r>
        <w:t>for</w:t>
      </w:r>
      <w:r w:rsidRPr="00A34F35">
        <w:t xml:space="preserve"> </w:t>
      </w:r>
      <w:r>
        <w:t xml:space="preserve">council </w:t>
      </w:r>
      <w:r w:rsidRPr="00A34F35">
        <w:t xml:space="preserve">rate increases </w:t>
      </w:r>
      <w:r>
        <w:t>to be</w:t>
      </w:r>
      <w:r w:rsidRPr="00A34F35">
        <w:t xml:space="preserve"> substantially higher than would otherwise be the case</w:t>
      </w:r>
      <w:r>
        <w:t>. It is not possible to comment conclusively and accurately on the actual levels of cost shifting that have occurred across the full gamut of services that councils provide on behalf of, or with the financial assistance of State Government or where the State has control over the levying of fees and charges. This would require forensic analysis at individual council level and an accurate determination of the real costs of service provision and levels of support for each service in each council.</w:t>
      </w:r>
    </w:p>
    <w:p w14:paraId="5475C86A" w14:textId="77777777" w:rsidR="00671FD6" w:rsidRDefault="00671FD6" w:rsidP="009A356E"/>
    <w:p w14:paraId="40B2447A" w14:textId="51355762" w:rsidR="009A356E" w:rsidRDefault="009A356E" w:rsidP="009A356E">
      <w:r>
        <w:t xml:space="preserve">Over time it has become clear that the experience of councils varies considerably with respect to levels of specific purpose grant/output funding despite formulaic approaches for these services. This is because targets are not being met, funding approaches are inherently flawed and there are questions regarding the accuracy of councils’ cost data. The MAV has normally erred on side of conservatism and restricted its definition of cost-shift to the provision of units of service nominally purchased, or for which grants have been provided by other Government, rather than the provision of volumes exceeding these which are provided over and above by councils in order to service unmet demand and the costs of adhering to increased State imposed regulation. The cost of State “red tape” has increased dramatically over recent years as more and more reporting requirements have been imposed on the sector and this can also be added to the mix of the factors. </w:t>
      </w:r>
      <w:r w:rsidR="00671FD6">
        <w:t xml:space="preserve"> </w:t>
      </w:r>
    </w:p>
    <w:p w14:paraId="7A275002" w14:textId="77777777" w:rsidR="00671FD6" w:rsidRDefault="00671FD6" w:rsidP="009A356E"/>
    <w:p w14:paraId="11F9D2DE" w14:textId="71106479" w:rsidR="009A356E" w:rsidRDefault="009A356E" w:rsidP="009A356E">
      <w:r>
        <w:t>There is evidence that “marginal attrition” rather than significant annual reductions have affected the funding of services over a long period of time</w:t>
      </w:r>
      <w:r w:rsidR="00671FD6">
        <w:t xml:space="preserve"> </w:t>
      </w:r>
      <w:r>
        <w:t>.In other words, the contribution of the annual cost-shift in these services to annual rate increases is quite small – the damage being not so much done by the indexation, as the starting level and cumulative marginal shortcomings in escalation.</w:t>
      </w:r>
      <w:r w:rsidR="00671FD6">
        <w:t xml:space="preserve"> </w:t>
      </w:r>
    </w:p>
    <w:p w14:paraId="19907DB5" w14:textId="77777777" w:rsidR="00671FD6" w:rsidRDefault="00671FD6" w:rsidP="009A356E"/>
    <w:p w14:paraId="381B3A42" w14:textId="77777777" w:rsidR="009A356E" w:rsidRDefault="009A356E" w:rsidP="009A356E">
      <w:r>
        <w:t>Notwithstanding the above, it is possible to review the respective funding rates and costs in some cases.</w:t>
      </w:r>
      <w:r w:rsidRPr="007D7BBD">
        <w:t xml:space="preserve"> </w:t>
      </w:r>
      <w:r>
        <w:t xml:space="preserve">The MAV has limited data on individual councils’ costs for </w:t>
      </w:r>
      <w:r>
        <w:lastRenderedPageBreak/>
        <w:t xml:space="preserve">M&amp;CH, HACC and Libraries, the first two from MAV surveys and the later form the Annual Survey of Public Libraries. </w:t>
      </w:r>
    </w:p>
    <w:p w14:paraId="0796C4E1" w14:textId="77777777" w:rsidR="009A356E" w:rsidRDefault="009A356E" w:rsidP="009A356E">
      <w:pPr>
        <w:rPr>
          <w:b/>
        </w:rPr>
      </w:pPr>
    </w:p>
    <w:p w14:paraId="3E0BA97B" w14:textId="51B0B1C5" w:rsidR="009A356E" w:rsidRDefault="009A356E" w:rsidP="00671FD6">
      <w:pPr>
        <w:pStyle w:val="Heading3"/>
      </w:pPr>
      <w:r w:rsidRPr="00FB4A68">
        <w:t>Maternal &amp; Child Health</w:t>
      </w:r>
    </w:p>
    <w:p w14:paraId="5AC36857" w14:textId="77777777" w:rsidR="009A356E" w:rsidRDefault="009A356E" w:rsidP="009A356E"/>
    <w:p w14:paraId="6071A0EF" w14:textId="0179352E" w:rsidR="009A356E" w:rsidRPr="00FB4A68" w:rsidRDefault="009A356E" w:rsidP="009A356E">
      <w:r w:rsidRPr="00FB4A68">
        <w:t xml:space="preserve">An historic deal has existed between the State Government and the sector under which </w:t>
      </w:r>
      <w:r>
        <w:t xml:space="preserve">an agreed </w:t>
      </w:r>
      <w:r w:rsidRPr="00FB4A68">
        <w:t xml:space="preserve">cost </w:t>
      </w:r>
      <w:r>
        <w:t xml:space="preserve">per effective nurse hour for </w:t>
      </w:r>
      <w:r w:rsidRPr="00FB4A68">
        <w:t>universal</w:t>
      </w:r>
      <w:r>
        <w:t xml:space="preserve"> M&amp;CH services would be shared 50/50 and funding for enhanced M&amp;CH services would be borne 100 per cent by the State. </w:t>
      </w:r>
    </w:p>
    <w:p w14:paraId="0237D515" w14:textId="1CEB6348" w:rsidR="009A356E" w:rsidRDefault="009A356E" w:rsidP="009A356E"/>
    <w:p w14:paraId="32F63B74" w14:textId="77777777" w:rsidR="009A356E" w:rsidRDefault="009A356E" w:rsidP="009A356E">
      <w:r>
        <w:t>The MAV’s latest detailed survey of M&amp;CH costs for 2013-14 found:</w:t>
      </w:r>
    </w:p>
    <w:p w14:paraId="71A0E8E2" w14:textId="77777777" w:rsidR="006F774E" w:rsidRDefault="006F774E" w:rsidP="009A356E"/>
    <w:p w14:paraId="2B53AD28" w14:textId="727EECC0" w:rsidR="009A356E" w:rsidRDefault="009A356E" w:rsidP="009A356E">
      <w:pPr>
        <w:pStyle w:val="ListParagraph"/>
        <w:numPr>
          <w:ilvl w:val="0"/>
          <w:numId w:val="39"/>
        </w:numPr>
        <w:spacing w:after="200" w:line="276" w:lineRule="auto"/>
      </w:pPr>
      <w:r>
        <w:t xml:space="preserve">a reasonable cost per effective nurse hour </w:t>
      </w:r>
      <w:r w:rsidR="008A695E">
        <w:t>above</w:t>
      </w:r>
      <w:r>
        <w:t xml:space="preserve"> the DEECD </w:t>
      </w:r>
      <w:r w:rsidR="00E33DF0">
        <w:t>purchase price of</w:t>
      </w:r>
      <w:r>
        <w:t xml:space="preserve"> funding of $91.56; </w:t>
      </w:r>
    </w:p>
    <w:p w14:paraId="4426A41C" w14:textId="77777777" w:rsidR="009A356E" w:rsidRDefault="009A356E" w:rsidP="009A356E">
      <w:pPr>
        <w:pStyle w:val="ListParagraph"/>
        <w:numPr>
          <w:ilvl w:val="0"/>
          <w:numId w:val="39"/>
        </w:numPr>
        <w:spacing w:after="200" w:line="276" w:lineRule="auto"/>
      </w:pPr>
      <w:r>
        <w:t>significant variation within council type but generally higher unit costs exhibited by more urbanized councils and lower unit costs by councils that were more rural;</w:t>
      </w:r>
    </w:p>
    <w:p w14:paraId="5B5ABCD1" w14:textId="7D82ED7A" w:rsidR="009A356E" w:rsidRDefault="009A356E" w:rsidP="009A356E">
      <w:pPr>
        <w:pStyle w:val="ListParagraph"/>
        <w:numPr>
          <w:ilvl w:val="0"/>
          <w:numId w:val="39"/>
        </w:numPr>
        <w:spacing w:after="200" w:line="276" w:lineRule="auto"/>
      </w:pPr>
      <w:r>
        <w:t xml:space="preserve">a number of councils investing more hours in Universal and Enhanced Services than provided by DEECD targets and a significant number also providing varying levels of Additional service; </w:t>
      </w:r>
      <w:r w:rsidR="008A695E">
        <w:t>and</w:t>
      </w:r>
    </w:p>
    <w:p w14:paraId="03736DF3" w14:textId="402AE9BD" w:rsidR="009A356E" w:rsidRDefault="009A356E" w:rsidP="009A356E">
      <w:pPr>
        <w:pStyle w:val="ListParagraph"/>
        <w:numPr>
          <w:ilvl w:val="0"/>
          <w:numId w:val="39"/>
        </w:numPr>
        <w:spacing w:after="200" w:line="276" w:lineRule="auto"/>
      </w:pPr>
      <w:r>
        <w:t>in many cases councils providing a significant proportion of the cost of combined Universal and Enhanced Service target hours although being responsible only for matching DEECD.</w:t>
      </w:r>
    </w:p>
    <w:p w14:paraId="2F903C69" w14:textId="7E18FE3B" w:rsidR="009A356E" w:rsidRDefault="009A356E" w:rsidP="009A356E">
      <w:r>
        <w:t>The State price continues to be deficient when compared with the sector’s delivery costs despite significant catch-up being made in State funding. While o</w:t>
      </w:r>
      <w:r w:rsidRPr="002B4E07">
        <w:t xml:space="preserve">ver </w:t>
      </w:r>
      <w:r>
        <w:t>the past four years this equates</w:t>
      </w:r>
      <w:r w:rsidRPr="002B4E07">
        <w:t xml:space="preserve"> to an average annual increase of 5.2% and over the last five years 5.8%</w:t>
      </w:r>
      <w:r>
        <w:t xml:space="preserve">, and </w:t>
      </w:r>
      <w:r w:rsidRPr="002B4E07">
        <w:t>on face value these increases look quite large</w:t>
      </w:r>
      <w:r>
        <w:t xml:space="preserve">, they need to be seen in </w:t>
      </w:r>
      <w:r w:rsidRPr="002B4E07">
        <w:t xml:space="preserve">context – between 2013-14 and 2015-16 the average annual increase </w:t>
      </w:r>
      <w:r>
        <w:t xml:space="preserve">in funding rate </w:t>
      </w:r>
      <w:r w:rsidRPr="002B4E07">
        <w:t>was just under 2%</w:t>
      </w:r>
      <w:r>
        <w:t xml:space="preserve">. </w:t>
      </w:r>
    </w:p>
    <w:p w14:paraId="4B6A5BC4" w14:textId="77777777" w:rsidR="009A356E" w:rsidRDefault="009A356E" w:rsidP="009A356E"/>
    <w:tbl>
      <w:tblPr>
        <w:tblW w:w="5000" w:type="pct"/>
        <w:tblLook w:val="04A0" w:firstRow="1" w:lastRow="0" w:firstColumn="1" w:lastColumn="0" w:noHBand="0" w:noVBand="1"/>
      </w:tblPr>
      <w:tblGrid>
        <w:gridCol w:w="1677"/>
        <w:gridCol w:w="1522"/>
        <w:gridCol w:w="1588"/>
        <w:gridCol w:w="2207"/>
        <w:gridCol w:w="1535"/>
      </w:tblGrid>
      <w:tr w:rsidR="009A356E" w:rsidRPr="00F50A6C" w14:paraId="6AEE0A11" w14:textId="77777777" w:rsidTr="00E33DF0">
        <w:trPr>
          <w:trHeight w:val="255"/>
        </w:trPr>
        <w:tc>
          <w:tcPr>
            <w:tcW w:w="5000" w:type="pct"/>
            <w:gridSpan w:val="5"/>
            <w:tcBorders>
              <w:top w:val="nil"/>
              <w:left w:val="nil"/>
              <w:bottom w:val="nil"/>
              <w:right w:val="nil"/>
            </w:tcBorders>
            <w:shd w:val="clear" w:color="auto" w:fill="auto"/>
            <w:noWrap/>
            <w:vAlign w:val="bottom"/>
            <w:hideMark/>
          </w:tcPr>
          <w:p w14:paraId="4A4F3CF4" w14:textId="77777777" w:rsidR="009A356E" w:rsidRPr="00F50A6C" w:rsidRDefault="009A356E" w:rsidP="009A356E">
            <w:pPr>
              <w:rPr>
                <w:rFonts w:ascii="Calibri" w:hAnsi="Calibri"/>
                <w:b/>
                <w:bCs/>
                <w:color w:val="000000"/>
                <w:sz w:val="20"/>
                <w:lang w:eastAsia="en-AU"/>
              </w:rPr>
            </w:pPr>
            <w:r>
              <w:rPr>
                <w:rFonts w:ascii="Calibri" w:hAnsi="Calibri"/>
                <w:b/>
                <w:bCs/>
                <w:color w:val="000000"/>
                <w:sz w:val="20"/>
                <w:lang w:eastAsia="en-AU"/>
              </w:rPr>
              <w:t xml:space="preserve">Table 9: </w:t>
            </w:r>
            <w:r w:rsidRPr="00F50A6C">
              <w:rPr>
                <w:rFonts w:ascii="Calibri" w:hAnsi="Calibri"/>
                <w:b/>
                <w:bCs/>
                <w:color w:val="000000"/>
                <w:sz w:val="20"/>
                <w:lang w:eastAsia="en-AU"/>
              </w:rPr>
              <w:t>State Price versus Estimated Reasonable Unit Cost</w:t>
            </w:r>
          </w:p>
        </w:tc>
      </w:tr>
      <w:tr w:rsidR="009A356E" w:rsidRPr="00F50A6C" w14:paraId="1262D371" w14:textId="77777777" w:rsidTr="00E33DF0">
        <w:trPr>
          <w:gridAfter w:val="1"/>
          <w:wAfter w:w="901" w:type="pct"/>
          <w:trHeight w:val="940"/>
        </w:trPr>
        <w:tc>
          <w:tcPr>
            <w:tcW w:w="983" w:type="pct"/>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49050D09" w14:textId="77777777" w:rsidR="009A356E" w:rsidRPr="00C10545" w:rsidRDefault="009A356E" w:rsidP="009A356E">
            <w:pPr>
              <w:rPr>
                <w:b/>
                <w:bCs/>
                <w:color w:val="000000"/>
                <w:sz w:val="18"/>
                <w:szCs w:val="18"/>
                <w:lang w:eastAsia="en-AU"/>
              </w:rPr>
            </w:pPr>
            <w:r w:rsidRPr="00C10545">
              <w:rPr>
                <w:b/>
                <w:bCs/>
                <w:color w:val="000000"/>
                <w:sz w:val="18"/>
                <w:szCs w:val="18"/>
                <w:lang w:eastAsia="en-AU"/>
              </w:rPr>
              <w:t> </w:t>
            </w:r>
          </w:p>
        </w:tc>
        <w:tc>
          <w:tcPr>
            <w:tcW w:w="3116" w:type="pct"/>
            <w:gridSpan w:val="3"/>
            <w:tcBorders>
              <w:top w:val="single" w:sz="4" w:space="0" w:color="auto"/>
              <w:left w:val="nil"/>
              <w:bottom w:val="single" w:sz="4" w:space="0" w:color="auto"/>
              <w:right w:val="single" w:sz="4" w:space="0" w:color="auto"/>
            </w:tcBorders>
            <w:shd w:val="clear" w:color="auto" w:fill="auto"/>
            <w:noWrap/>
            <w:vAlign w:val="bottom"/>
            <w:hideMark/>
          </w:tcPr>
          <w:p w14:paraId="61D1EA75" w14:textId="77777777" w:rsidR="009A356E" w:rsidRPr="00C10545" w:rsidRDefault="009A356E" w:rsidP="009A356E">
            <w:pPr>
              <w:jc w:val="center"/>
              <w:rPr>
                <w:b/>
                <w:bCs/>
                <w:color w:val="000000"/>
                <w:sz w:val="18"/>
                <w:szCs w:val="18"/>
                <w:lang w:eastAsia="en-AU"/>
              </w:rPr>
            </w:pPr>
            <w:r w:rsidRPr="00C10545">
              <w:rPr>
                <w:b/>
                <w:bCs/>
                <w:color w:val="000000"/>
                <w:sz w:val="18"/>
                <w:szCs w:val="18"/>
                <w:lang w:eastAsia="en-AU"/>
              </w:rPr>
              <w:t>Unit Price Paid</w:t>
            </w:r>
          </w:p>
        </w:tc>
      </w:tr>
      <w:tr w:rsidR="009A356E" w:rsidRPr="00F50A6C" w14:paraId="7A3621A6" w14:textId="77777777" w:rsidTr="00E33DF0">
        <w:trPr>
          <w:gridAfter w:val="1"/>
          <w:wAfter w:w="901" w:type="pct"/>
          <w:trHeight w:val="765"/>
        </w:trPr>
        <w:tc>
          <w:tcPr>
            <w:tcW w:w="983" w:type="pct"/>
            <w:tcBorders>
              <w:top w:val="nil"/>
              <w:left w:val="single" w:sz="4" w:space="0" w:color="auto"/>
              <w:bottom w:val="single" w:sz="4" w:space="0" w:color="auto"/>
              <w:right w:val="single" w:sz="4" w:space="0" w:color="auto"/>
            </w:tcBorders>
            <w:shd w:val="clear" w:color="auto" w:fill="auto"/>
            <w:vAlign w:val="bottom"/>
            <w:hideMark/>
          </w:tcPr>
          <w:p w14:paraId="74565AFB" w14:textId="77777777" w:rsidR="009A356E" w:rsidRPr="00C10545" w:rsidRDefault="009A356E" w:rsidP="009A356E">
            <w:pPr>
              <w:rPr>
                <w:b/>
                <w:bCs/>
                <w:color w:val="000000"/>
                <w:sz w:val="18"/>
                <w:szCs w:val="18"/>
                <w:lang w:eastAsia="en-AU"/>
              </w:rPr>
            </w:pPr>
            <w:r w:rsidRPr="00C10545">
              <w:rPr>
                <w:b/>
                <w:bCs/>
                <w:color w:val="000000"/>
                <w:sz w:val="18"/>
                <w:szCs w:val="18"/>
                <w:lang w:eastAsia="en-AU"/>
              </w:rPr>
              <w:t>Year</w:t>
            </w:r>
          </w:p>
        </w:tc>
        <w:tc>
          <w:tcPr>
            <w:tcW w:w="892" w:type="pct"/>
            <w:tcBorders>
              <w:top w:val="nil"/>
              <w:left w:val="nil"/>
              <w:bottom w:val="single" w:sz="4" w:space="0" w:color="auto"/>
              <w:right w:val="single" w:sz="4" w:space="0" w:color="auto"/>
            </w:tcBorders>
            <w:shd w:val="clear" w:color="auto" w:fill="auto"/>
            <w:vAlign w:val="bottom"/>
            <w:hideMark/>
          </w:tcPr>
          <w:p w14:paraId="2FED5395" w14:textId="77777777" w:rsidR="009A356E" w:rsidRPr="00C10545" w:rsidRDefault="009A356E" w:rsidP="009A356E">
            <w:pPr>
              <w:jc w:val="center"/>
              <w:rPr>
                <w:b/>
                <w:bCs/>
                <w:color w:val="000000"/>
                <w:sz w:val="18"/>
                <w:szCs w:val="18"/>
                <w:lang w:eastAsia="en-AU"/>
              </w:rPr>
            </w:pPr>
            <w:r w:rsidRPr="00C10545">
              <w:rPr>
                <w:b/>
                <w:bCs/>
                <w:color w:val="000000"/>
                <w:sz w:val="18"/>
                <w:szCs w:val="18"/>
                <w:lang w:eastAsia="en-AU"/>
              </w:rPr>
              <w:t>Rate</w:t>
            </w:r>
          </w:p>
        </w:tc>
        <w:tc>
          <w:tcPr>
            <w:tcW w:w="931" w:type="pct"/>
            <w:tcBorders>
              <w:top w:val="nil"/>
              <w:left w:val="nil"/>
              <w:bottom w:val="single" w:sz="4" w:space="0" w:color="auto"/>
              <w:right w:val="single" w:sz="4" w:space="0" w:color="auto"/>
            </w:tcBorders>
            <w:shd w:val="clear" w:color="auto" w:fill="auto"/>
            <w:vAlign w:val="bottom"/>
            <w:hideMark/>
          </w:tcPr>
          <w:p w14:paraId="3EAC5378" w14:textId="77777777" w:rsidR="009A356E" w:rsidRPr="00C10545" w:rsidRDefault="009A356E" w:rsidP="009A356E">
            <w:pPr>
              <w:jc w:val="center"/>
              <w:rPr>
                <w:b/>
                <w:bCs/>
                <w:color w:val="000000"/>
                <w:sz w:val="18"/>
                <w:szCs w:val="18"/>
                <w:lang w:eastAsia="en-AU"/>
              </w:rPr>
            </w:pPr>
            <w:r w:rsidRPr="00C10545">
              <w:rPr>
                <w:b/>
                <w:bCs/>
                <w:color w:val="000000"/>
                <w:sz w:val="18"/>
                <w:szCs w:val="18"/>
                <w:lang w:eastAsia="en-AU"/>
              </w:rPr>
              <w:t>Annual Increase</w:t>
            </w:r>
          </w:p>
        </w:tc>
        <w:tc>
          <w:tcPr>
            <w:tcW w:w="1294" w:type="pct"/>
            <w:tcBorders>
              <w:top w:val="nil"/>
              <w:left w:val="nil"/>
              <w:bottom w:val="single" w:sz="4" w:space="0" w:color="auto"/>
              <w:right w:val="single" w:sz="4" w:space="0" w:color="auto"/>
            </w:tcBorders>
            <w:shd w:val="clear" w:color="auto" w:fill="auto"/>
            <w:vAlign w:val="bottom"/>
            <w:hideMark/>
          </w:tcPr>
          <w:p w14:paraId="740B0259" w14:textId="3A1E54D5" w:rsidR="009A356E" w:rsidRPr="00C10545" w:rsidRDefault="009A356E" w:rsidP="009A356E">
            <w:pPr>
              <w:rPr>
                <w:b/>
                <w:bCs/>
                <w:color w:val="000000"/>
                <w:sz w:val="18"/>
                <w:szCs w:val="18"/>
                <w:lang w:eastAsia="en-AU"/>
              </w:rPr>
            </w:pPr>
            <w:r w:rsidRPr="00C10545">
              <w:rPr>
                <w:b/>
                <w:bCs/>
                <w:color w:val="000000"/>
                <w:sz w:val="18"/>
                <w:szCs w:val="18"/>
                <w:lang w:eastAsia="en-AU"/>
              </w:rPr>
              <w:t>Cumulative to 2016-17</w:t>
            </w:r>
          </w:p>
        </w:tc>
      </w:tr>
      <w:tr w:rsidR="009A356E" w:rsidRPr="00F50A6C" w14:paraId="003F7A5D" w14:textId="77777777" w:rsidTr="00E33DF0">
        <w:trPr>
          <w:gridAfter w:val="1"/>
          <w:wAfter w:w="901" w:type="pct"/>
          <w:trHeight w:val="255"/>
        </w:trPr>
        <w:tc>
          <w:tcPr>
            <w:tcW w:w="983" w:type="pct"/>
            <w:tcBorders>
              <w:top w:val="nil"/>
              <w:left w:val="single" w:sz="4" w:space="0" w:color="auto"/>
              <w:bottom w:val="single" w:sz="4" w:space="0" w:color="auto"/>
              <w:right w:val="single" w:sz="4" w:space="0" w:color="auto"/>
            </w:tcBorders>
            <w:shd w:val="clear" w:color="auto" w:fill="auto"/>
            <w:vAlign w:val="bottom"/>
            <w:hideMark/>
          </w:tcPr>
          <w:p w14:paraId="09B5E29B" w14:textId="77777777" w:rsidR="009A356E" w:rsidRPr="00C10545" w:rsidRDefault="009A356E" w:rsidP="009A356E">
            <w:pPr>
              <w:rPr>
                <w:color w:val="000000"/>
                <w:sz w:val="18"/>
                <w:szCs w:val="18"/>
                <w:lang w:eastAsia="en-AU"/>
              </w:rPr>
            </w:pPr>
            <w:r w:rsidRPr="00C10545">
              <w:rPr>
                <w:color w:val="000000"/>
                <w:sz w:val="18"/>
                <w:szCs w:val="18"/>
                <w:lang w:eastAsia="en-AU"/>
              </w:rPr>
              <w:t>2011-12</w:t>
            </w:r>
          </w:p>
        </w:tc>
        <w:tc>
          <w:tcPr>
            <w:tcW w:w="892" w:type="pct"/>
            <w:tcBorders>
              <w:top w:val="nil"/>
              <w:left w:val="nil"/>
              <w:bottom w:val="single" w:sz="4" w:space="0" w:color="auto"/>
              <w:right w:val="single" w:sz="4" w:space="0" w:color="auto"/>
            </w:tcBorders>
            <w:shd w:val="clear" w:color="auto" w:fill="auto"/>
            <w:vAlign w:val="bottom"/>
            <w:hideMark/>
          </w:tcPr>
          <w:p w14:paraId="21C30D2E" w14:textId="77777777" w:rsidR="009A356E" w:rsidRPr="00C10545" w:rsidRDefault="009A356E" w:rsidP="009A356E">
            <w:pPr>
              <w:jc w:val="right"/>
              <w:rPr>
                <w:color w:val="000000"/>
                <w:sz w:val="18"/>
                <w:szCs w:val="18"/>
                <w:lang w:eastAsia="en-AU"/>
              </w:rPr>
            </w:pPr>
            <w:r w:rsidRPr="00C10545">
              <w:rPr>
                <w:color w:val="000000"/>
                <w:sz w:val="18"/>
                <w:szCs w:val="18"/>
                <w:lang w:eastAsia="en-AU"/>
              </w:rPr>
              <w:t>$83.01</w:t>
            </w:r>
          </w:p>
        </w:tc>
        <w:tc>
          <w:tcPr>
            <w:tcW w:w="931" w:type="pct"/>
            <w:tcBorders>
              <w:top w:val="nil"/>
              <w:left w:val="nil"/>
              <w:bottom w:val="single" w:sz="4" w:space="0" w:color="auto"/>
              <w:right w:val="single" w:sz="4" w:space="0" w:color="auto"/>
            </w:tcBorders>
            <w:shd w:val="clear" w:color="auto" w:fill="auto"/>
            <w:vAlign w:val="bottom"/>
            <w:hideMark/>
          </w:tcPr>
          <w:p w14:paraId="52DD7261" w14:textId="77777777" w:rsidR="009A356E" w:rsidRPr="00C10545" w:rsidRDefault="009A356E" w:rsidP="009A356E">
            <w:pPr>
              <w:rPr>
                <w:b/>
                <w:bCs/>
                <w:color w:val="000000"/>
                <w:sz w:val="18"/>
                <w:szCs w:val="18"/>
                <w:lang w:eastAsia="en-AU"/>
              </w:rPr>
            </w:pPr>
            <w:r w:rsidRPr="00C10545">
              <w:rPr>
                <w:b/>
                <w:bCs/>
                <w:color w:val="000000"/>
                <w:sz w:val="18"/>
                <w:szCs w:val="18"/>
                <w:lang w:eastAsia="en-AU"/>
              </w:rPr>
              <w:t> </w:t>
            </w:r>
          </w:p>
        </w:tc>
        <w:tc>
          <w:tcPr>
            <w:tcW w:w="1294" w:type="pct"/>
            <w:tcBorders>
              <w:top w:val="nil"/>
              <w:left w:val="nil"/>
              <w:bottom w:val="single" w:sz="4" w:space="0" w:color="auto"/>
              <w:right w:val="single" w:sz="4" w:space="0" w:color="auto"/>
            </w:tcBorders>
            <w:shd w:val="clear" w:color="auto" w:fill="auto"/>
            <w:noWrap/>
            <w:vAlign w:val="bottom"/>
            <w:hideMark/>
          </w:tcPr>
          <w:p w14:paraId="1479D6D2" w14:textId="77777777" w:rsidR="009A356E" w:rsidRPr="00C10545" w:rsidRDefault="009A356E" w:rsidP="009A356E">
            <w:pPr>
              <w:jc w:val="center"/>
              <w:rPr>
                <w:color w:val="000000"/>
                <w:sz w:val="18"/>
                <w:szCs w:val="18"/>
                <w:lang w:eastAsia="en-AU"/>
              </w:rPr>
            </w:pPr>
            <w:r w:rsidRPr="00C10545">
              <w:rPr>
                <w:color w:val="000000"/>
                <w:sz w:val="18"/>
                <w:szCs w:val="18"/>
                <w:lang w:eastAsia="en-AU"/>
              </w:rPr>
              <w:t>32.5%</w:t>
            </w:r>
          </w:p>
        </w:tc>
      </w:tr>
      <w:tr w:rsidR="009A356E" w:rsidRPr="00F50A6C" w14:paraId="212493A6" w14:textId="77777777" w:rsidTr="00E33DF0">
        <w:trPr>
          <w:gridAfter w:val="1"/>
          <w:wAfter w:w="901" w:type="pct"/>
          <w:trHeight w:val="255"/>
        </w:trPr>
        <w:tc>
          <w:tcPr>
            <w:tcW w:w="983" w:type="pct"/>
            <w:tcBorders>
              <w:top w:val="nil"/>
              <w:left w:val="single" w:sz="4" w:space="0" w:color="auto"/>
              <w:bottom w:val="single" w:sz="4" w:space="0" w:color="auto"/>
              <w:right w:val="single" w:sz="4" w:space="0" w:color="auto"/>
            </w:tcBorders>
            <w:shd w:val="clear" w:color="auto" w:fill="auto"/>
            <w:vAlign w:val="center"/>
            <w:hideMark/>
          </w:tcPr>
          <w:p w14:paraId="1E45E348" w14:textId="77777777" w:rsidR="009A356E" w:rsidRPr="00C10545" w:rsidRDefault="009A356E" w:rsidP="009A356E">
            <w:pPr>
              <w:rPr>
                <w:color w:val="000000"/>
                <w:sz w:val="18"/>
                <w:szCs w:val="18"/>
                <w:lang w:eastAsia="en-AU"/>
              </w:rPr>
            </w:pPr>
            <w:r w:rsidRPr="00C10545">
              <w:rPr>
                <w:color w:val="000000"/>
                <w:sz w:val="18"/>
                <w:szCs w:val="18"/>
                <w:lang w:eastAsia="en-AU"/>
              </w:rPr>
              <w:t>2012-13</w:t>
            </w:r>
          </w:p>
        </w:tc>
        <w:tc>
          <w:tcPr>
            <w:tcW w:w="892" w:type="pct"/>
            <w:tcBorders>
              <w:top w:val="nil"/>
              <w:left w:val="nil"/>
              <w:bottom w:val="single" w:sz="4" w:space="0" w:color="auto"/>
              <w:right w:val="single" w:sz="4" w:space="0" w:color="auto"/>
            </w:tcBorders>
            <w:shd w:val="clear" w:color="auto" w:fill="auto"/>
            <w:vAlign w:val="center"/>
            <w:hideMark/>
          </w:tcPr>
          <w:p w14:paraId="7A2CFC0C" w14:textId="77777777" w:rsidR="009A356E" w:rsidRPr="00C10545" w:rsidRDefault="009A356E" w:rsidP="009A356E">
            <w:pPr>
              <w:jc w:val="right"/>
              <w:rPr>
                <w:color w:val="000000"/>
                <w:sz w:val="18"/>
                <w:szCs w:val="18"/>
                <w:lang w:eastAsia="en-AU"/>
              </w:rPr>
            </w:pPr>
            <w:r w:rsidRPr="00C10545">
              <w:rPr>
                <w:color w:val="000000"/>
                <w:sz w:val="18"/>
                <w:szCs w:val="18"/>
                <w:lang w:eastAsia="en-AU"/>
              </w:rPr>
              <w:t>$89.76</w:t>
            </w:r>
          </w:p>
        </w:tc>
        <w:tc>
          <w:tcPr>
            <w:tcW w:w="931" w:type="pct"/>
            <w:tcBorders>
              <w:top w:val="nil"/>
              <w:left w:val="nil"/>
              <w:bottom w:val="single" w:sz="4" w:space="0" w:color="auto"/>
              <w:right w:val="single" w:sz="4" w:space="0" w:color="auto"/>
            </w:tcBorders>
            <w:shd w:val="clear" w:color="auto" w:fill="auto"/>
            <w:vAlign w:val="center"/>
            <w:hideMark/>
          </w:tcPr>
          <w:p w14:paraId="2ACE5E1C" w14:textId="77777777" w:rsidR="009A356E" w:rsidRPr="00C10545" w:rsidRDefault="009A356E" w:rsidP="009A356E">
            <w:pPr>
              <w:jc w:val="right"/>
              <w:rPr>
                <w:color w:val="000000"/>
                <w:sz w:val="18"/>
                <w:szCs w:val="18"/>
                <w:lang w:eastAsia="en-AU"/>
              </w:rPr>
            </w:pPr>
            <w:r w:rsidRPr="00C10545">
              <w:rPr>
                <w:color w:val="000000"/>
                <w:sz w:val="18"/>
                <w:szCs w:val="18"/>
                <w:lang w:eastAsia="en-AU"/>
              </w:rPr>
              <w:t>8.13%</w:t>
            </w:r>
          </w:p>
        </w:tc>
        <w:tc>
          <w:tcPr>
            <w:tcW w:w="1294" w:type="pct"/>
            <w:tcBorders>
              <w:top w:val="nil"/>
              <w:left w:val="nil"/>
              <w:bottom w:val="single" w:sz="4" w:space="0" w:color="auto"/>
              <w:right w:val="single" w:sz="4" w:space="0" w:color="auto"/>
            </w:tcBorders>
            <w:shd w:val="clear" w:color="auto" w:fill="auto"/>
            <w:noWrap/>
            <w:vAlign w:val="bottom"/>
            <w:hideMark/>
          </w:tcPr>
          <w:p w14:paraId="49FD147D" w14:textId="77777777" w:rsidR="009A356E" w:rsidRPr="00C10545" w:rsidRDefault="009A356E" w:rsidP="009A356E">
            <w:pPr>
              <w:jc w:val="center"/>
              <w:rPr>
                <w:color w:val="000000"/>
                <w:sz w:val="18"/>
                <w:szCs w:val="18"/>
                <w:lang w:eastAsia="en-AU"/>
              </w:rPr>
            </w:pPr>
            <w:r w:rsidRPr="00C10545">
              <w:rPr>
                <w:color w:val="000000"/>
                <w:sz w:val="18"/>
                <w:szCs w:val="18"/>
                <w:lang w:eastAsia="en-AU"/>
              </w:rPr>
              <w:t>22.5%</w:t>
            </w:r>
          </w:p>
        </w:tc>
      </w:tr>
      <w:tr w:rsidR="009A356E" w:rsidRPr="00F50A6C" w14:paraId="50C314D1" w14:textId="77777777" w:rsidTr="00E33DF0">
        <w:trPr>
          <w:gridAfter w:val="1"/>
          <w:wAfter w:w="901" w:type="pct"/>
          <w:trHeight w:val="255"/>
        </w:trPr>
        <w:tc>
          <w:tcPr>
            <w:tcW w:w="983" w:type="pct"/>
            <w:tcBorders>
              <w:top w:val="nil"/>
              <w:left w:val="single" w:sz="4" w:space="0" w:color="auto"/>
              <w:bottom w:val="single" w:sz="4" w:space="0" w:color="auto"/>
              <w:right w:val="single" w:sz="4" w:space="0" w:color="auto"/>
            </w:tcBorders>
            <w:shd w:val="clear" w:color="auto" w:fill="auto"/>
            <w:vAlign w:val="center"/>
            <w:hideMark/>
          </w:tcPr>
          <w:p w14:paraId="134115FC" w14:textId="77777777" w:rsidR="009A356E" w:rsidRPr="00C10545" w:rsidRDefault="009A356E" w:rsidP="009A356E">
            <w:pPr>
              <w:rPr>
                <w:color w:val="000000"/>
                <w:sz w:val="18"/>
                <w:szCs w:val="18"/>
                <w:lang w:eastAsia="en-AU"/>
              </w:rPr>
            </w:pPr>
            <w:r w:rsidRPr="00C10545">
              <w:rPr>
                <w:color w:val="000000"/>
                <w:sz w:val="18"/>
                <w:szCs w:val="18"/>
                <w:lang w:eastAsia="en-AU"/>
              </w:rPr>
              <w:t>2013-14</w:t>
            </w:r>
          </w:p>
        </w:tc>
        <w:tc>
          <w:tcPr>
            <w:tcW w:w="892" w:type="pct"/>
            <w:tcBorders>
              <w:top w:val="nil"/>
              <w:left w:val="nil"/>
              <w:bottom w:val="single" w:sz="4" w:space="0" w:color="auto"/>
              <w:right w:val="single" w:sz="4" w:space="0" w:color="auto"/>
            </w:tcBorders>
            <w:shd w:val="clear" w:color="auto" w:fill="auto"/>
            <w:vAlign w:val="center"/>
            <w:hideMark/>
          </w:tcPr>
          <w:p w14:paraId="42F50D62" w14:textId="77777777" w:rsidR="009A356E" w:rsidRPr="00C10545" w:rsidRDefault="009A356E" w:rsidP="009A356E">
            <w:pPr>
              <w:jc w:val="right"/>
              <w:rPr>
                <w:color w:val="000000"/>
                <w:sz w:val="18"/>
                <w:szCs w:val="18"/>
                <w:lang w:eastAsia="en-AU"/>
              </w:rPr>
            </w:pPr>
            <w:r w:rsidRPr="00C10545">
              <w:rPr>
                <w:color w:val="000000"/>
                <w:sz w:val="18"/>
                <w:szCs w:val="18"/>
                <w:lang w:eastAsia="en-AU"/>
              </w:rPr>
              <w:t>$91.56</w:t>
            </w:r>
          </w:p>
        </w:tc>
        <w:tc>
          <w:tcPr>
            <w:tcW w:w="931" w:type="pct"/>
            <w:tcBorders>
              <w:top w:val="nil"/>
              <w:left w:val="nil"/>
              <w:bottom w:val="single" w:sz="4" w:space="0" w:color="auto"/>
              <w:right w:val="single" w:sz="4" w:space="0" w:color="auto"/>
            </w:tcBorders>
            <w:shd w:val="clear" w:color="auto" w:fill="auto"/>
            <w:vAlign w:val="center"/>
            <w:hideMark/>
          </w:tcPr>
          <w:p w14:paraId="4E0F4237" w14:textId="77777777" w:rsidR="009A356E" w:rsidRPr="00C10545" w:rsidRDefault="009A356E" w:rsidP="009A356E">
            <w:pPr>
              <w:jc w:val="right"/>
              <w:rPr>
                <w:color w:val="000000"/>
                <w:sz w:val="18"/>
                <w:szCs w:val="18"/>
                <w:lang w:eastAsia="en-AU"/>
              </w:rPr>
            </w:pPr>
            <w:r w:rsidRPr="00C10545">
              <w:rPr>
                <w:color w:val="000000"/>
                <w:sz w:val="18"/>
                <w:szCs w:val="18"/>
                <w:lang w:eastAsia="en-AU"/>
              </w:rPr>
              <w:t>2.01%</w:t>
            </w:r>
          </w:p>
        </w:tc>
        <w:tc>
          <w:tcPr>
            <w:tcW w:w="1294" w:type="pct"/>
            <w:tcBorders>
              <w:top w:val="nil"/>
              <w:left w:val="nil"/>
              <w:bottom w:val="single" w:sz="4" w:space="0" w:color="auto"/>
              <w:right w:val="single" w:sz="4" w:space="0" w:color="auto"/>
            </w:tcBorders>
            <w:shd w:val="clear" w:color="auto" w:fill="auto"/>
            <w:noWrap/>
            <w:vAlign w:val="bottom"/>
            <w:hideMark/>
          </w:tcPr>
          <w:p w14:paraId="3A6C1B1C" w14:textId="77777777" w:rsidR="009A356E" w:rsidRPr="00C10545" w:rsidRDefault="009A356E" w:rsidP="009A356E">
            <w:pPr>
              <w:jc w:val="center"/>
              <w:rPr>
                <w:color w:val="000000"/>
                <w:sz w:val="18"/>
                <w:szCs w:val="18"/>
                <w:lang w:eastAsia="en-AU"/>
              </w:rPr>
            </w:pPr>
            <w:r w:rsidRPr="00C10545">
              <w:rPr>
                <w:color w:val="000000"/>
                <w:sz w:val="18"/>
                <w:szCs w:val="18"/>
                <w:lang w:eastAsia="en-AU"/>
              </w:rPr>
              <w:t>20.1%</w:t>
            </w:r>
          </w:p>
        </w:tc>
      </w:tr>
      <w:tr w:rsidR="009A356E" w:rsidRPr="00F50A6C" w14:paraId="7849F206" w14:textId="77777777" w:rsidTr="00E33DF0">
        <w:trPr>
          <w:gridAfter w:val="1"/>
          <w:wAfter w:w="901" w:type="pct"/>
          <w:trHeight w:val="255"/>
        </w:trPr>
        <w:tc>
          <w:tcPr>
            <w:tcW w:w="983" w:type="pct"/>
            <w:tcBorders>
              <w:top w:val="nil"/>
              <w:left w:val="single" w:sz="4" w:space="0" w:color="auto"/>
              <w:bottom w:val="single" w:sz="4" w:space="0" w:color="auto"/>
              <w:right w:val="single" w:sz="4" w:space="0" w:color="auto"/>
            </w:tcBorders>
            <w:shd w:val="clear" w:color="auto" w:fill="auto"/>
            <w:vAlign w:val="center"/>
            <w:hideMark/>
          </w:tcPr>
          <w:p w14:paraId="670278E7" w14:textId="77777777" w:rsidR="009A356E" w:rsidRPr="00C10545" w:rsidRDefault="009A356E" w:rsidP="009A356E">
            <w:pPr>
              <w:rPr>
                <w:color w:val="000000"/>
                <w:sz w:val="18"/>
                <w:szCs w:val="18"/>
                <w:lang w:eastAsia="en-AU"/>
              </w:rPr>
            </w:pPr>
            <w:r w:rsidRPr="00C10545">
              <w:rPr>
                <w:color w:val="000000"/>
                <w:sz w:val="18"/>
                <w:szCs w:val="18"/>
                <w:lang w:eastAsia="en-AU"/>
              </w:rPr>
              <w:t>2014-15</w:t>
            </w:r>
          </w:p>
        </w:tc>
        <w:tc>
          <w:tcPr>
            <w:tcW w:w="892" w:type="pct"/>
            <w:tcBorders>
              <w:top w:val="nil"/>
              <w:left w:val="nil"/>
              <w:bottom w:val="single" w:sz="4" w:space="0" w:color="auto"/>
              <w:right w:val="single" w:sz="4" w:space="0" w:color="auto"/>
            </w:tcBorders>
            <w:shd w:val="clear" w:color="auto" w:fill="auto"/>
            <w:vAlign w:val="center"/>
            <w:hideMark/>
          </w:tcPr>
          <w:p w14:paraId="64E53418" w14:textId="77777777" w:rsidR="009A356E" w:rsidRPr="00C10545" w:rsidRDefault="009A356E" w:rsidP="009A356E">
            <w:pPr>
              <w:jc w:val="right"/>
              <w:rPr>
                <w:color w:val="000000"/>
                <w:sz w:val="18"/>
                <w:szCs w:val="18"/>
                <w:lang w:eastAsia="en-AU"/>
              </w:rPr>
            </w:pPr>
            <w:r w:rsidRPr="00C10545">
              <w:rPr>
                <w:color w:val="000000"/>
                <w:sz w:val="18"/>
                <w:szCs w:val="18"/>
                <w:lang w:eastAsia="en-AU"/>
              </w:rPr>
              <w:t>$93.39</w:t>
            </w:r>
          </w:p>
        </w:tc>
        <w:tc>
          <w:tcPr>
            <w:tcW w:w="931" w:type="pct"/>
            <w:tcBorders>
              <w:top w:val="nil"/>
              <w:left w:val="nil"/>
              <w:bottom w:val="single" w:sz="4" w:space="0" w:color="auto"/>
              <w:right w:val="single" w:sz="4" w:space="0" w:color="auto"/>
            </w:tcBorders>
            <w:shd w:val="clear" w:color="auto" w:fill="auto"/>
            <w:vAlign w:val="center"/>
            <w:hideMark/>
          </w:tcPr>
          <w:p w14:paraId="480C786D" w14:textId="77777777" w:rsidR="009A356E" w:rsidRPr="00C10545" w:rsidRDefault="009A356E" w:rsidP="009A356E">
            <w:pPr>
              <w:jc w:val="right"/>
              <w:rPr>
                <w:color w:val="000000"/>
                <w:sz w:val="18"/>
                <w:szCs w:val="18"/>
                <w:lang w:eastAsia="en-AU"/>
              </w:rPr>
            </w:pPr>
            <w:r w:rsidRPr="00C10545">
              <w:rPr>
                <w:color w:val="000000"/>
                <w:sz w:val="18"/>
                <w:szCs w:val="18"/>
                <w:lang w:eastAsia="en-AU"/>
              </w:rPr>
              <w:t>2.00%</w:t>
            </w:r>
          </w:p>
        </w:tc>
        <w:tc>
          <w:tcPr>
            <w:tcW w:w="1294" w:type="pct"/>
            <w:tcBorders>
              <w:top w:val="nil"/>
              <w:left w:val="nil"/>
              <w:bottom w:val="single" w:sz="4" w:space="0" w:color="auto"/>
              <w:right w:val="single" w:sz="4" w:space="0" w:color="auto"/>
            </w:tcBorders>
            <w:shd w:val="clear" w:color="auto" w:fill="auto"/>
            <w:noWrap/>
            <w:vAlign w:val="bottom"/>
            <w:hideMark/>
          </w:tcPr>
          <w:p w14:paraId="2174C32B" w14:textId="77777777" w:rsidR="009A356E" w:rsidRPr="00C10545" w:rsidRDefault="009A356E" w:rsidP="009A356E">
            <w:pPr>
              <w:jc w:val="center"/>
              <w:rPr>
                <w:color w:val="000000"/>
                <w:sz w:val="18"/>
                <w:szCs w:val="18"/>
                <w:lang w:eastAsia="en-AU"/>
              </w:rPr>
            </w:pPr>
            <w:r w:rsidRPr="00C10545">
              <w:rPr>
                <w:color w:val="000000"/>
                <w:sz w:val="18"/>
                <w:szCs w:val="18"/>
                <w:lang w:eastAsia="en-AU"/>
              </w:rPr>
              <w:t>17.8%</w:t>
            </w:r>
          </w:p>
        </w:tc>
      </w:tr>
      <w:tr w:rsidR="009A356E" w:rsidRPr="00F50A6C" w14:paraId="7E8E15B1" w14:textId="77777777" w:rsidTr="00E33DF0">
        <w:trPr>
          <w:gridAfter w:val="1"/>
          <w:wAfter w:w="901" w:type="pct"/>
          <w:trHeight w:val="255"/>
        </w:trPr>
        <w:tc>
          <w:tcPr>
            <w:tcW w:w="983" w:type="pct"/>
            <w:tcBorders>
              <w:top w:val="nil"/>
              <w:left w:val="single" w:sz="4" w:space="0" w:color="auto"/>
              <w:bottom w:val="single" w:sz="4" w:space="0" w:color="auto"/>
              <w:right w:val="single" w:sz="4" w:space="0" w:color="auto"/>
            </w:tcBorders>
            <w:shd w:val="clear" w:color="auto" w:fill="auto"/>
            <w:vAlign w:val="center"/>
            <w:hideMark/>
          </w:tcPr>
          <w:p w14:paraId="47D6B961" w14:textId="77777777" w:rsidR="009A356E" w:rsidRPr="00C10545" w:rsidRDefault="009A356E" w:rsidP="009A356E">
            <w:pPr>
              <w:rPr>
                <w:color w:val="000000"/>
                <w:sz w:val="18"/>
                <w:szCs w:val="18"/>
                <w:lang w:eastAsia="en-AU"/>
              </w:rPr>
            </w:pPr>
            <w:r w:rsidRPr="00C10545">
              <w:rPr>
                <w:color w:val="000000"/>
                <w:sz w:val="18"/>
                <w:szCs w:val="18"/>
                <w:lang w:eastAsia="en-AU"/>
              </w:rPr>
              <w:t>2015-16</w:t>
            </w:r>
          </w:p>
        </w:tc>
        <w:tc>
          <w:tcPr>
            <w:tcW w:w="892" w:type="pct"/>
            <w:tcBorders>
              <w:top w:val="nil"/>
              <w:left w:val="nil"/>
              <w:bottom w:val="single" w:sz="4" w:space="0" w:color="auto"/>
              <w:right w:val="single" w:sz="4" w:space="0" w:color="auto"/>
            </w:tcBorders>
            <w:shd w:val="clear" w:color="auto" w:fill="auto"/>
            <w:vAlign w:val="center"/>
            <w:hideMark/>
          </w:tcPr>
          <w:p w14:paraId="139298FB" w14:textId="77777777" w:rsidR="009A356E" w:rsidRPr="00C10545" w:rsidRDefault="009A356E" w:rsidP="009A356E">
            <w:pPr>
              <w:jc w:val="right"/>
              <w:rPr>
                <w:color w:val="000000"/>
                <w:sz w:val="18"/>
                <w:szCs w:val="18"/>
                <w:lang w:eastAsia="en-AU"/>
              </w:rPr>
            </w:pPr>
            <w:r w:rsidRPr="00C10545">
              <w:rPr>
                <w:color w:val="000000"/>
                <w:sz w:val="18"/>
                <w:szCs w:val="18"/>
                <w:lang w:eastAsia="en-AU"/>
              </w:rPr>
              <w:t>$95.25</w:t>
            </w:r>
          </w:p>
        </w:tc>
        <w:tc>
          <w:tcPr>
            <w:tcW w:w="931" w:type="pct"/>
            <w:tcBorders>
              <w:top w:val="nil"/>
              <w:left w:val="nil"/>
              <w:bottom w:val="single" w:sz="4" w:space="0" w:color="auto"/>
              <w:right w:val="single" w:sz="4" w:space="0" w:color="auto"/>
            </w:tcBorders>
            <w:shd w:val="clear" w:color="auto" w:fill="auto"/>
            <w:vAlign w:val="center"/>
            <w:hideMark/>
          </w:tcPr>
          <w:p w14:paraId="7A038762" w14:textId="77777777" w:rsidR="009A356E" w:rsidRPr="00C10545" w:rsidRDefault="009A356E" w:rsidP="009A356E">
            <w:pPr>
              <w:jc w:val="right"/>
              <w:rPr>
                <w:color w:val="000000"/>
                <w:sz w:val="18"/>
                <w:szCs w:val="18"/>
                <w:lang w:eastAsia="en-AU"/>
              </w:rPr>
            </w:pPr>
            <w:r w:rsidRPr="00C10545">
              <w:rPr>
                <w:color w:val="000000"/>
                <w:sz w:val="18"/>
                <w:szCs w:val="18"/>
                <w:lang w:eastAsia="en-AU"/>
              </w:rPr>
              <w:t>1.99%</w:t>
            </w:r>
          </w:p>
        </w:tc>
        <w:tc>
          <w:tcPr>
            <w:tcW w:w="1294" w:type="pct"/>
            <w:tcBorders>
              <w:top w:val="nil"/>
              <w:left w:val="nil"/>
              <w:bottom w:val="single" w:sz="4" w:space="0" w:color="auto"/>
              <w:right w:val="single" w:sz="4" w:space="0" w:color="auto"/>
            </w:tcBorders>
            <w:shd w:val="clear" w:color="auto" w:fill="auto"/>
            <w:noWrap/>
            <w:vAlign w:val="bottom"/>
            <w:hideMark/>
          </w:tcPr>
          <w:p w14:paraId="746DAF43" w14:textId="77777777" w:rsidR="009A356E" w:rsidRPr="00C10545" w:rsidRDefault="009A356E" w:rsidP="009A356E">
            <w:pPr>
              <w:jc w:val="center"/>
              <w:rPr>
                <w:color w:val="000000"/>
                <w:sz w:val="18"/>
                <w:szCs w:val="18"/>
                <w:lang w:eastAsia="en-AU"/>
              </w:rPr>
            </w:pPr>
            <w:r w:rsidRPr="00C10545">
              <w:rPr>
                <w:color w:val="000000"/>
                <w:sz w:val="18"/>
                <w:szCs w:val="18"/>
                <w:lang w:eastAsia="en-AU"/>
              </w:rPr>
              <w:t>15.5%</w:t>
            </w:r>
          </w:p>
        </w:tc>
      </w:tr>
      <w:tr w:rsidR="009A356E" w:rsidRPr="00F50A6C" w14:paraId="0DAC49D7" w14:textId="77777777" w:rsidTr="00E33DF0">
        <w:trPr>
          <w:gridAfter w:val="1"/>
          <w:wAfter w:w="901" w:type="pct"/>
          <w:trHeight w:val="255"/>
        </w:trPr>
        <w:tc>
          <w:tcPr>
            <w:tcW w:w="983" w:type="pct"/>
            <w:tcBorders>
              <w:top w:val="nil"/>
              <w:left w:val="single" w:sz="4" w:space="0" w:color="auto"/>
              <w:bottom w:val="single" w:sz="4" w:space="0" w:color="auto"/>
              <w:right w:val="single" w:sz="4" w:space="0" w:color="auto"/>
            </w:tcBorders>
            <w:shd w:val="clear" w:color="auto" w:fill="auto"/>
            <w:noWrap/>
            <w:vAlign w:val="center"/>
            <w:hideMark/>
          </w:tcPr>
          <w:p w14:paraId="2BE328DA" w14:textId="77777777" w:rsidR="009A356E" w:rsidRPr="00C10545" w:rsidRDefault="009A356E" w:rsidP="009A356E">
            <w:pPr>
              <w:rPr>
                <w:color w:val="000000"/>
                <w:sz w:val="18"/>
                <w:szCs w:val="18"/>
                <w:lang w:eastAsia="en-AU"/>
              </w:rPr>
            </w:pPr>
            <w:r w:rsidRPr="00C10545">
              <w:rPr>
                <w:color w:val="000000"/>
                <w:sz w:val="18"/>
                <w:szCs w:val="18"/>
                <w:lang w:eastAsia="en-AU"/>
              </w:rPr>
              <w:t>2016-17</w:t>
            </w:r>
          </w:p>
        </w:tc>
        <w:tc>
          <w:tcPr>
            <w:tcW w:w="892" w:type="pct"/>
            <w:tcBorders>
              <w:top w:val="nil"/>
              <w:left w:val="nil"/>
              <w:bottom w:val="single" w:sz="4" w:space="0" w:color="auto"/>
              <w:right w:val="single" w:sz="4" w:space="0" w:color="auto"/>
            </w:tcBorders>
            <w:shd w:val="clear" w:color="auto" w:fill="auto"/>
            <w:vAlign w:val="center"/>
            <w:hideMark/>
          </w:tcPr>
          <w:p w14:paraId="44A30F48" w14:textId="77777777" w:rsidR="009A356E" w:rsidRPr="00C10545" w:rsidRDefault="009A356E" w:rsidP="009A356E">
            <w:pPr>
              <w:jc w:val="right"/>
              <w:rPr>
                <w:color w:val="000000"/>
                <w:sz w:val="18"/>
                <w:szCs w:val="18"/>
                <w:lang w:eastAsia="en-AU"/>
              </w:rPr>
            </w:pPr>
            <w:r w:rsidRPr="00C10545">
              <w:rPr>
                <w:color w:val="000000"/>
                <w:sz w:val="18"/>
                <w:szCs w:val="18"/>
                <w:lang w:eastAsia="en-AU"/>
              </w:rPr>
              <w:t>$110.00</w:t>
            </w:r>
          </w:p>
        </w:tc>
        <w:tc>
          <w:tcPr>
            <w:tcW w:w="931" w:type="pct"/>
            <w:tcBorders>
              <w:top w:val="nil"/>
              <w:left w:val="nil"/>
              <w:bottom w:val="single" w:sz="4" w:space="0" w:color="auto"/>
              <w:right w:val="single" w:sz="4" w:space="0" w:color="auto"/>
            </w:tcBorders>
            <w:shd w:val="clear" w:color="auto" w:fill="auto"/>
            <w:noWrap/>
            <w:vAlign w:val="bottom"/>
            <w:hideMark/>
          </w:tcPr>
          <w:p w14:paraId="3E8E2010" w14:textId="77777777" w:rsidR="009A356E" w:rsidRPr="00C10545" w:rsidRDefault="009A356E" w:rsidP="009A356E">
            <w:pPr>
              <w:jc w:val="right"/>
              <w:rPr>
                <w:color w:val="000000"/>
                <w:sz w:val="18"/>
                <w:szCs w:val="18"/>
                <w:lang w:eastAsia="en-AU"/>
              </w:rPr>
            </w:pPr>
            <w:r w:rsidRPr="00C10545">
              <w:rPr>
                <w:color w:val="000000"/>
                <w:sz w:val="18"/>
                <w:szCs w:val="18"/>
                <w:lang w:eastAsia="en-AU"/>
              </w:rPr>
              <w:t>15.49%</w:t>
            </w:r>
          </w:p>
        </w:tc>
        <w:tc>
          <w:tcPr>
            <w:tcW w:w="1294" w:type="pct"/>
            <w:tcBorders>
              <w:top w:val="nil"/>
              <w:left w:val="nil"/>
              <w:bottom w:val="single" w:sz="4" w:space="0" w:color="auto"/>
              <w:right w:val="single" w:sz="4" w:space="0" w:color="auto"/>
            </w:tcBorders>
            <w:shd w:val="clear" w:color="auto" w:fill="auto"/>
            <w:noWrap/>
            <w:vAlign w:val="bottom"/>
            <w:hideMark/>
          </w:tcPr>
          <w:p w14:paraId="6D70D6A8" w14:textId="77777777" w:rsidR="009A356E" w:rsidRPr="00C10545" w:rsidRDefault="009A356E" w:rsidP="009A356E">
            <w:pPr>
              <w:rPr>
                <w:color w:val="000000"/>
                <w:sz w:val="18"/>
                <w:szCs w:val="18"/>
                <w:lang w:eastAsia="en-AU"/>
              </w:rPr>
            </w:pPr>
            <w:r w:rsidRPr="00C10545">
              <w:rPr>
                <w:color w:val="000000"/>
                <w:sz w:val="18"/>
                <w:szCs w:val="18"/>
                <w:lang w:eastAsia="en-AU"/>
              </w:rPr>
              <w:t> </w:t>
            </w:r>
          </w:p>
        </w:tc>
      </w:tr>
    </w:tbl>
    <w:p w14:paraId="25997D05" w14:textId="77777777" w:rsidR="009A356E" w:rsidRDefault="009A356E" w:rsidP="009A356E"/>
    <w:p w14:paraId="0C5E0056" w14:textId="62C6910A" w:rsidR="009A356E" w:rsidRDefault="009A356E" w:rsidP="009A356E">
      <w:r w:rsidRPr="007D7BBD">
        <w:t xml:space="preserve">State funding </w:t>
      </w:r>
      <w:r>
        <w:t xml:space="preserve">rate for </w:t>
      </w:r>
      <w:r w:rsidRPr="007D7BBD">
        <w:t xml:space="preserve">M&amp;CH has not been even-paced, </w:t>
      </w:r>
      <w:r>
        <w:t xml:space="preserve">and historically where it has not paralleled </w:t>
      </w:r>
      <w:r w:rsidRPr="007D7BBD">
        <w:t>the Treasury line of 2%-2.5%</w:t>
      </w:r>
      <w:r>
        <w:t xml:space="preserve"> less productivity saving</w:t>
      </w:r>
      <w:r w:rsidRPr="007D7BBD">
        <w:t xml:space="preserve">, </w:t>
      </w:r>
      <w:r>
        <w:t xml:space="preserve">has </w:t>
      </w:r>
      <w:r w:rsidRPr="007D7BBD">
        <w:t xml:space="preserve">moved jerkily and pragmatically in order to achieve some </w:t>
      </w:r>
      <w:r>
        <w:t xml:space="preserve">level </w:t>
      </w:r>
      <w:r w:rsidRPr="007D7BBD">
        <w:t xml:space="preserve">of catch-up. </w:t>
      </w:r>
      <w:r w:rsidR="00902F5B">
        <w:t>In</w:t>
      </w:r>
      <w:r w:rsidR="00E33DF0">
        <w:t xml:space="preserve"> effect, the MAV has generally achieved a reasonable negotiated funding outcome at the time of Memorandum of Understanding is entered into, with a funding shortfall opening up due to inadequate indexation in the out years</w:t>
      </w:r>
      <w:r w:rsidR="00902F5B">
        <w:t xml:space="preserve"> of the agreement</w:t>
      </w:r>
      <w:r w:rsidR="00E33DF0">
        <w:t xml:space="preserve">. </w:t>
      </w:r>
    </w:p>
    <w:p w14:paraId="0D3F9CB7" w14:textId="77777777" w:rsidR="009A356E" w:rsidRDefault="009A356E" w:rsidP="009A356E">
      <w:pPr>
        <w:rPr>
          <w:rFonts w:ascii="Times New Roman" w:hAnsi="Times New Roman"/>
          <w:b/>
        </w:rPr>
      </w:pPr>
    </w:p>
    <w:p w14:paraId="5C6BD82B" w14:textId="0DA0A632" w:rsidR="009A356E" w:rsidRDefault="009A356E" w:rsidP="00671FD6">
      <w:pPr>
        <w:pStyle w:val="Heading3"/>
      </w:pPr>
      <w:r w:rsidRPr="008B725F">
        <w:t>Public Libraries</w:t>
      </w:r>
    </w:p>
    <w:p w14:paraId="02A0BBC5" w14:textId="77777777" w:rsidR="00671FD6" w:rsidRDefault="00671FD6" w:rsidP="009A356E"/>
    <w:p w14:paraId="3050D299" w14:textId="3E1AF6C0" w:rsidR="009A356E" w:rsidRPr="00E96031" w:rsidRDefault="009A356E" w:rsidP="009A356E">
      <w:r w:rsidRPr="00E96031">
        <w:t>The data show that if discounted for movements in the CPI there were considerable fluctuations in real public library grants per head over the past decade or so to 2014-15.Overall there has been no substantial real growth in per head recurrent library funding although some growth has occurred in real capital</w:t>
      </w:r>
      <w:r w:rsidRPr="00E96031">
        <w:rPr>
          <w:rStyle w:val="FootnoteReference"/>
        </w:rPr>
        <w:footnoteReference w:id="2"/>
      </w:r>
      <w:r w:rsidRPr="00E96031">
        <w:t xml:space="preserve"> funding. To the extent that capex is used for new assets, and upgrading or expanding existing assets, the latter adds to councils’ asset renewal costs. </w:t>
      </w:r>
    </w:p>
    <w:p w14:paraId="07D62A21" w14:textId="77777777" w:rsidR="00671FD6" w:rsidRPr="00E96031" w:rsidRDefault="00671FD6" w:rsidP="009A356E"/>
    <w:p w14:paraId="27ABFD6B" w14:textId="6617730B" w:rsidR="009A356E" w:rsidRPr="00E96031" w:rsidRDefault="009A356E" w:rsidP="009A356E">
      <w:r w:rsidRPr="00E96031">
        <w:t xml:space="preserve">Real recurrent library grants per head peaked in 2007-08 for all services including rural </w:t>
      </w:r>
      <w:r w:rsidR="00671FD6">
        <w:t>and</w:t>
      </w:r>
      <w:r w:rsidRPr="00E96031">
        <w:t xml:space="preserve"> regional </w:t>
      </w:r>
      <w:r>
        <w:t xml:space="preserve">library </w:t>
      </w:r>
      <w:r w:rsidRPr="00E96031">
        <w:t>services. Compared with levels recorded in 2002-03, funding rates in 2014-15 were slightly lower overall but marginally higher for rural and regional services.</w:t>
      </w:r>
    </w:p>
    <w:p w14:paraId="0C25B071" w14:textId="77777777" w:rsidR="009A356E" w:rsidRDefault="009A356E" w:rsidP="009A356E">
      <w:pPr>
        <w:rPr>
          <w:b/>
          <w:sz w:val="20"/>
        </w:rPr>
      </w:pPr>
    </w:p>
    <w:p w14:paraId="1CEE85DE" w14:textId="77777777" w:rsidR="009A356E" w:rsidRPr="00C10545" w:rsidRDefault="009A356E" w:rsidP="009A356E">
      <w:pPr>
        <w:rPr>
          <w:b/>
          <w:sz w:val="20"/>
        </w:rPr>
      </w:pPr>
      <w:r w:rsidRPr="00C10545">
        <w:rPr>
          <w:b/>
          <w:sz w:val="20"/>
        </w:rPr>
        <w:t>Figure 2</w:t>
      </w:r>
    </w:p>
    <w:p w14:paraId="05924C93" w14:textId="77777777" w:rsidR="009A356E" w:rsidRDefault="009A356E" w:rsidP="009A356E">
      <w:pPr>
        <w:rPr>
          <w:rFonts w:ascii="Times New Roman" w:hAnsi="Times New Roman"/>
        </w:rPr>
      </w:pPr>
      <w:r>
        <w:rPr>
          <w:noProof/>
          <w:lang w:eastAsia="en-AU"/>
        </w:rPr>
        <w:drawing>
          <wp:inline distT="0" distB="0" distL="0" distR="0" wp14:anchorId="45C7FEAE" wp14:editId="248227AA">
            <wp:extent cx="5731510" cy="3742055"/>
            <wp:effectExtent l="0" t="0" r="21590" b="1079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8905C59" w14:textId="77777777" w:rsidR="009A356E" w:rsidRDefault="009A356E" w:rsidP="009A356E">
      <w:pPr>
        <w:rPr>
          <w:rFonts w:ascii="Times New Roman" w:hAnsi="Times New Roman"/>
        </w:rPr>
      </w:pPr>
    </w:p>
    <w:p w14:paraId="35339DF8" w14:textId="79065038" w:rsidR="009A356E" w:rsidRPr="00FD6638" w:rsidRDefault="009A356E" w:rsidP="009A356E">
      <w:r w:rsidRPr="00FD6638">
        <w:t>The data show the main issue with respect to library funding is that, notwithstanding annual swings in real funding, that recurrent library grants have fallen as a proportion of recurrent library outlays – from 18.2</w:t>
      </w:r>
      <w:r w:rsidR="005E1192">
        <w:t xml:space="preserve"> per cent</w:t>
      </w:r>
      <w:r w:rsidRPr="00FD6638">
        <w:t xml:space="preserve"> to 16.6</w:t>
      </w:r>
      <w:r w:rsidR="005E1192">
        <w:t xml:space="preserve"> per cent</w:t>
      </w:r>
      <w:r w:rsidRPr="00FD6638">
        <w:t xml:space="preserve"> for all library services and even more for rural and regional services, from 26</w:t>
      </w:r>
      <w:r w:rsidR="005E1192">
        <w:t xml:space="preserve"> per cent</w:t>
      </w:r>
      <w:r w:rsidRPr="00FD6638">
        <w:t xml:space="preserve"> to 20.6</w:t>
      </w:r>
      <w:r w:rsidR="005E1192">
        <w:t xml:space="preserve"> per cent</w:t>
      </w:r>
      <w:r w:rsidRPr="00FD6638">
        <w:t xml:space="preserve">, when comparing 2002-03 and 2014-15. </w:t>
      </w:r>
    </w:p>
    <w:p w14:paraId="1840128E" w14:textId="77777777" w:rsidR="009A356E" w:rsidRDefault="009A356E" w:rsidP="009A356E">
      <w:pPr>
        <w:rPr>
          <w:b/>
          <w:sz w:val="20"/>
        </w:rPr>
      </w:pPr>
      <w:r>
        <w:rPr>
          <w:b/>
          <w:sz w:val="20"/>
        </w:rPr>
        <w:br w:type="page"/>
      </w:r>
    </w:p>
    <w:p w14:paraId="6D1494CB" w14:textId="77777777" w:rsidR="009A356E" w:rsidRPr="00C10545" w:rsidRDefault="009A356E" w:rsidP="009A356E">
      <w:pPr>
        <w:rPr>
          <w:b/>
          <w:sz w:val="20"/>
        </w:rPr>
      </w:pPr>
      <w:r w:rsidRPr="00C10545">
        <w:rPr>
          <w:b/>
          <w:sz w:val="20"/>
        </w:rPr>
        <w:lastRenderedPageBreak/>
        <w:t>Table</w:t>
      </w:r>
      <w:r>
        <w:rPr>
          <w:b/>
          <w:sz w:val="20"/>
        </w:rPr>
        <w:t xml:space="preserve"> 10</w:t>
      </w:r>
      <w:r w:rsidRPr="00C10545">
        <w:rPr>
          <w:b/>
          <w:sz w:val="20"/>
        </w:rPr>
        <w:t>: Real Public Library Grants &amp; Expenses per Head - Selected Years ($ 2003)</w:t>
      </w:r>
    </w:p>
    <w:tbl>
      <w:tblPr>
        <w:tblW w:w="5000" w:type="pct"/>
        <w:tblLook w:val="04A0" w:firstRow="1" w:lastRow="0" w:firstColumn="1" w:lastColumn="0" w:noHBand="0" w:noVBand="1"/>
      </w:tblPr>
      <w:tblGrid>
        <w:gridCol w:w="3868"/>
        <w:gridCol w:w="665"/>
        <w:gridCol w:w="666"/>
        <w:gridCol w:w="666"/>
        <w:gridCol w:w="666"/>
        <w:gridCol w:w="666"/>
        <w:gridCol w:w="666"/>
        <w:gridCol w:w="666"/>
      </w:tblGrid>
      <w:tr w:rsidR="009A356E" w:rsidRPr="003B76D5" w14:paraId="1E228954" w14:textId="77777777" w:rsidTr="009A356E">
        <w:trPr>
          <w:trHeight w:val="240"/>
        </w:trPr>
        <w:tc>
          <w:tcPr>
            <w:tcW w:w="2224" w:type="pct"/>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14:paraId="499D2D53" w14:textId="77777777" w:rsidR="009A356E" w:rsidRPr="00C10545" w:rsidRDefault="009A356E" w:rsidP="009A356E">
            <w:pPr>
              <w:rPr>
                <w:sz w:val="18"/>
                <w:szCs w:val="18"/>
                <w:lang w:eastAsia="en-AU"/>
              </w:rPr>
            </w:pPr>
            <w:r w:rsidRPr="00C10545">
              <w:rPr>
                <w:sz w:val="18"/>
                <w:szCs w:val="18"/>
                <w:lang w:eastAsia="en-AU"/>
              </w:rPr>
              <w:t> </w:t>
            </w:r>
          </w:p>
        </w:tc>
        <w:tc>
          <w:tcPr>
            <w:tcW w:w="397" w:type="pct"/>
            <w:tcBorders>
              <w:top w:val="single" w:sz="4" w:space="0" w:color="auto"/>
              <w:left w:val="nil"/>
              <w:bottom w:val="single" w:sz="4" w:space="0" w:color="auto"/>
              <w:right w:val="single" w:sz="4" w:space="0" w:color="auto"/>
            </w:tcBorders>
            <w:shd w:val="clear" w:color="auto" w:fill="auto"/>
            <w:noWrap/>
            <w:vAlign w:val="bottom"/>
            <w:hideMark/>
          </w:tcPr>
          <w:p w14:paraId="2DE0B37A" w14:textId="77777777" w:rsidR="009A356E" w:rsidRPr="00C10545" w:rsidRDefault="009A356E" w:rsidP="009A356E">
            <w:pPr>
              <w:jc w:val="right"/>
              <w:rPr>
                <w:b/>
                <w:bCs/>
                <w:sz w:val="18"/>
                <w:szCs w:val="18"/>
                <w:lang w:eastAsia="en-AU"/>
              </w:rPr>
            </w:pPr>
            <w:r w:rsidRPr="00C10545">
              <w:rPr>
                <w:b/>
                <w:bCs/>
                <w:sz w:val="18"/>
                <w:szCs w:val="18"/>
                <w:lang w:eastAsia="en-AU"/>
              </w:rPr>
              <w:t>2003</w:t>
            </w:r>
          </w:p>
        </w:tc>
        <w:tc>
          <w:tcPr>
            <w:tcW w:w="397" w:type="pct"/>
            <w:tcBorders>
              <w:top w:val="single" w:sz="4" w:space="0" w:color="auto"/>
              <w:left w:val="nil"/>
              <w:bottom w:val="single" w:sz="4" w:space="0" w:color="auto"/>
              <w:right w:val="single" w:sz="4" w:space="0" w:color="auto"/>
            </w:tcBorders>
            <w:shd w:val="clear" w:color="auto" w:fill="auto"/>
            <w:noWrap/>
            <w:vAlign w:val="bottom"/>
            <w:hideMark/>
          </w:tcPr>
          <w:p w14:paraId="20521F7F" w14:textId="77777777" w:rsidR="009A356E" w:rsidRPr="00C10545" w:rsidRDefault="009A356E" w:rsidP="009A356E">
            <w:pPr>
              <w:jc w:val="right"/>
              <w:rPr>
                <w:b/>
                <w:bCs/>
                <w:sz w:val="18"/>
                <w:szCs w:val="18"/>
                <w:lang w:eastAsia="en-AU"/>
              </w:rPr>
            </w:pPr>
            <w:r w:rsidRPr="00C10545">
              <w:rPr>
                <w:b/>
                <w:bCs/>
                <w:sz w:val="18"/>
                <w:szCs w:val="18"/>
                <w:lang w:eastAsia="en-AU"/>
              </w:rPr>
              <w:t>2006</w:t>
            </w:r>
          </w:p>
        </w:tc>
        <w:tc>
          <w:tcPr>
            <w:tcW w:w="397" w:type="pct"/>
            <w:tcBorders>
              <w:top w:val="single" w:sz="4" w:space="0" w:color="auto"/>
              <w:left w:val="nil"/>
              <w:bottom w:val="single" w:sz="4" w:space="0" w:color="auto"/>
              <w:right w:val="single" w:sz="4" w:space="0" w:color="auto"/>
            </w:tcBorders>
            <w:shd w:val="clear" w:color="auto" w:fill="auto"/>
            <w:noWrap/>
            <w:vAlign w:val="bottom"/>
            <w:hideMark/>
          </w:tcPr>
          <w:p w14:paraId="098F0C41" w14:textId="77777777" w:rsidR="009A356E" w:rsidRPr="00C10545" w:rsidRDefault="009A356E" w:rsidP="009A356E">
            <w:pPr>
              <w:jc w:val="right"/>
              <w:rPr>
                <w:b/>
                <w:bCs/>
                <w:sz w:val="18"/>
                <w:szCs w:val="18"/>
                <w:lang w:eastAsia="en-AU"/>
              </w:rPr>
            </w:pPr>
            <w:r w:rsidRPr="00C10545">
              <w:rPr>
                <w:b/>
                <w:bCs/>
                <w:sz w:val="18"/>
                <w:szCs w:val="18"/>
                <w:lang w:eastAsia="en-AU"/>
              </w:rPr>
              <w:t>2008</w:t>
            </w:r>
          </w:p>
        </w:tc>
        <w:tc>
          <w:tcPr>
            <w:tcW w:w="397" w:type="pct"/>
            <w:tcBorders>
              <w:top w:val="single" w:sz="4" w:space="0" w:color="auto"/>
              <w:left w:val="nil"/>
              <w:bottom w:val="single" w:sz="4" w:space="0" w:color="auto"/>
              <w:right w:val="single" w:sz="4" w:space="0" w:color="auto"/>
            </w:tcBorders>
            <w:shd w:val="clear" w:color="auto" w:fill="auto"/>
            <w:noWrap/>
            <w:vAlign w:val="bottom"/>
            <w:hideMark/>
          </w:tcPr>
          <w:p w14:paraId="4FD5C72B" w14:textId="77777777" w:rsidR="009A356E" w:rsidRPr="00C10545" w:rsidRDefault="009A356E" w:rsidP="009A356E">
            <w:pPr>
              <w:jc w:val="right"/>
              <w:rPr>
                <w:b/>
                <w:bCs/>
                <w:sz w:val="18"/>
                <w:szCs w:val="18"/>
                <w:lang w:eastAsia="en-AU"/>
              </w:rPr>
            </w:pPr>
            <w:r w:rsidRPr="00C10545">
              <w:rPr>
                <w:b/>
                <w:bCs/>
                <w:sz w:val="18"/>
                <w:szCs w:val="18"/>
                <w:lang w:eastAsia="en-AU"/>
              </w:rPr>
              <w:t>2010</w:t>
            </w:r>
          </w:p>
        </w:tc>
        <w:tc>
          <w:tcPr>
            <w:tcW w:w="397" w:type="pct"/>
            <w:tcBorders>
              <w:top w:val="single" w:sz="4" w:space="0" w:color="auto"/>
              <w:left w:val="nil"/>
              <w:bottom w:val="single" w:sz="4" w:space="0" w:color="auto"/>
              <w:right w:val="single" w:sz="4" w:space="0" w:color="auto"/>
            </w:tcBorders>
            <w:shd w:val="clear" w:color="auto" w:fill="auto"/>
            <w:noWrap/>
            <w:vAlign w:val="bottom"/>
            <w:hideMark/>
          </w:tcPr>
          <w:p w14:paraId="5746A73E" w14:textId="77777777" w:rsidR="009A356E" w:rsidRPr="00C10545" w:rsidRDefault="009A356E" w:rsidP="009A356E">
            <w:pPr>
              <w:jc w:val="right"/>
              <w:rPr>
                <w:b/>
                <w:bCs/>
                <w:sz w:val="18"/>
                <w:szCs w:val="18"/>
                <w:lang w:eastAsia="en-AU"/>
              </w:rPr>
            </w:pPr>
            <w:r w:rsidRPr="00C10545">
              <w:rPr>
                <w:b/>
                <w:bCs/>
                <w:sz w:val="18"/>
                <w:szCs w:val="18"/>
                <w:lang w:eastAsia="en-AU"/>
              </w:rPr>
              <w:t>2012</w:t>
            </w:r>
          </w:p>
        </w:tc>
        <w:tc>
          <w:tcPr>
            <w:tcW w:w="397" w:type="pct"/>
            <w:tcBorders>
              <w:top w:val="single" w:sz="4" w:space="0" w:color="auto"/>
              <w:left w:val="nil"/>
              <w:bottom w:val="single" w:sz="4" w:space="0" w:color="auto"/>
              <w:right w:val="single" w:sz="4" w:space="0" w:color="auto"/>
            </w:tcBorders>
            <w:shd w:val="clear" w:color="auto" w:fill="auto"/>
            <w:noWrap/>
            <w:vAlign w:val="bottom"/>
            <w:hideMark/>
          </w:tcPr>
          <w:p w14:paraId="4C8AE192" w14:textId="77777777" w:rsidR="009A356E" w:rsidRPr="00C10545" w:rsidRDefault="009A356E" w:rsidP="009A356E">
            <w:pPr>
              <w:jc w:val="right"/>
              <w:rPr>
                <w:b/>
                <w:bCs/>
                <w:sz w:val="18"/>
                <w:szCs w:val="18"/>
                <w:lang w:eastAsia="en-AU"/>
              </w:rPr>
            </w:pPr>
            <w:r w:rsidRPr="00C10545">
              <w:rPr>
                <w:b/>
                <w:bCs/>
                <w:sz w:val="18"/>
                <w:szCs w:val="18"/>
                <w:lang w:eastAsia="en-AU"/>
              </w:rPr>
              <w:t>2014</w:t>
            </w:r>
          </w:p>
        </w:tc>
        <w:tc>
          <w:tcPr>
            <w:tcW w:w="397" w:type="pct"/>
            <w:tcBorders>
              <w:top w:val="single" w:sz="4" w:space="0" w:color="auto"/>
              <w:left w:val="nil"/>
              <w:bottom w:val="single" w:sz="4" w:space="0" w:color="auto"/>
              <w:right w:val="single" w:sz="4" w:space="0" w:color="auto"/>
            </w:tcBorders>
            <w:shd w:val="clear" w:color="auto" w:fill="auto"/>
            <w:noWrap/>
            <w:vAlign w:val="bottom"/>
            <w:hideMark/>
          </w:tcPr>
          <w:p w14:paraId="06FC7509" w14:textId="77777777" w:rsidR="009A356E" w:rsidRPr="00C10545" w:rsidRDefault="009A356E" w:rsidP="009A356E">
            <w:pPr>
              <w:jc w:val="right"/>
              <w:rPr>
                <w:b/>
                <w:bCs/>
                <w:sz w:val="18"/>
                <w:szCs w:val="18"/>
                <w:lang w:eastAsia="en-AU"/>
              </w:rPr>
            </w:pPr>
            <w:r w:rsidRPr="00C10545">
              <w:rPr>
                <w:b/>
                <w:bCs/>
                <w:sz w:val="18"/>
                <w:szCs w:val="18"/>
                <w:lang w:eastAsia="en-AU"/>
              </w:rPr>
              <w:t>2015</w:t>
            </w:r>
          </w:p>
        </w:tc>
      </w:tr>
      <w:tr w:rsidR="009A356E" w:rsidRPr="003B76D5" w14:paraId="12F3D2E4" w14:textId="77777777" w:rsidTr="009A356E">
        <w:trPr>
          <w:trHeight w:val="240"/>
        </w:trPr>
        <w:tc>
          <w:tcPr>
            <w:tcW w:w="2224" w:type="pct"/>
            <w:tcBorders>
              <w:top w:val="nil"/>
              <w:left w:val="single" w:sz="4" w:space="0" w:color="auto"/>
              <w:bottom w:val="single" w:sz="4" w:space="0" w:color="auto"/>
              <w:right w:val="single" w:sz="4" w:space="0" w:color="auto"/>
            </w:tcBorders>
            <w:shd w:val="clear" w:color="auto" w:fill="E5DFEC" w:themeFill="accent4" w:themeFillTint="33"/>
            <w:noWrap/>
            <w:vAlign w:val="bottom"/>
            <w:hideMark/>
          </w:tcPr>
          <w:p w14:paraId="2DFB11B1" w14:textId="77777777" w:rsidR="009A356E" w:rsidRPr="00C10545" w:rsidRDefault="009A356E" w:rsidP="009A356E">
            <w:pPr>
              <w:rPr>
                <w:sz w:val="18"/>
                <w:szCs w:val="18"/>
                <w:lang w:eastAsia="en-AU"/>
              </w:rPr>
            </w:pPr>
            <w:r w:rsidRPr="00C10545">
              <w:rPr>
                <w:sz w:val="18"/>
                <w:szCs w:val="18"/>
                <w:lang w:eastAsia="en-AU"/>
              </w:rPr>
              <w:t xml:space="preserve">Total Grants per Head - All </w:t>
            </w:r>
          </w:p>
        </w:tc>
        <w:tc>
          <w:tcPr>
            <w:tcW w:w="397" w:type="pct"/>
            <w:tcBorders>
              <w:top w:val="nil"/>
              <w:left w:val="nil"/>
              <w:bottom w:val="single" w:sz="4" w:space="0" w:color="auto"/>
              <w:right w:val="single" w:sz="4" w:space="0" w:color="auto"/>
            </w:tcBorders>
            <w:shd w:val="clear" w:color="auto" w:fill="E5DFEC" w:themeFill="accent4" w:themeFillTint="33"/>
            <w:noWrap/>
            <w:vAlign w:val="bottom"/>
            <w:hideMark/>
          </w:tcPr>
          <w:p w14:paraId="13E2734B" w14:textId="77777777" w:rsidR="009A356E" w:rsidRPr="00C10545" w:rsidRDefault="009A356E" w:rsidP="009A356E">
            <w:pPr>
              <w:jc w:val="right"/>
              <w:rPr>
                <w:sz w:val="18"/>
                <w:szCs w:val="18"/>
                <w:lang w:eastAsia="en-AU"/>
              </w:rPr>
            </w:pPr>
            <w:r w:rsidRPr="00C10545">
              <w:rPr>
                <w:sz w:val="18"/>
                <w:szCs w:val="18"/>
                <w:lang w:eastAsia="en-AU"/>
              </w:rPr>
              <w:t>$5.0</w:t>
            </w:r>
          </w:p>
        </w:tc>
        <w:tc>
          <w:tcPr>
            <w:tcW w:w="397" w:type="pct"/>
            <w:tcBorders>
              <w:top w:val="nil"/>
              <w:left w:val="nil"/>
              <w:bottom w:val="single" w:sz="4" w:space="0" w:color="auto"/>
              <w:right w:val="single" w:sz="4" w:space="0" w:color="auto"/>
            </w:tcBorders>
            <w:shd w:val="clear" w:color="auto" w:fill="E5DFEC" w:themeFill="accent4" w:themeFillTint="33"/>
            <w:noWrap/>
            <w:vAlign w:val="bottom"/>
            <w:hideMark/>
          </w:tcPr>
          <w:p w14:paraId="716DBC5D" w14:textId="77777777" w:rsidR="009A356E" w:rsidRPr="00C10545" w:rsidRDefault="009A356E" w:rsidP="009A356E">
            <w:pPr>
              <w:jc w:val="right"/>
              <w:rPr>
                <w:sz w:val="18"/>
                <w:szCs w:val="18"/>
                <w:lang w:eastAsia="en-AU"/>
              </w:rPr>
            </w:pPr>
            <w:r w:rsidRPr="00C10545">
              <w:rPr>
                <w:sz w:val="18"/>
                <w:szCs w:val="18"/>
                <w:lang w:eastAsia="en-AU"/>
              </w:rPr>
              <w:t>$5.5</w:t>
            </w:r>
          </w:p>
        </w:tc>
        <w:tc>
          <w:tcPr>
            <w:tcW w:w="397" w:type="pct"/>
            <w:tcBorders>
              <w:top w:val="nil"/>
              <w:left w:val="nil"/>
              <w:bottom w:val="single" w:sz="4" w:space="0" w:color="auto"/>
              <w:right w:val="single" w:sz="4" w:space="0" w:color="auto"/>
            </w:tcBorders>
            <w:shd w:val="clear" w:color="auto" w:fill="E5DFEC" w:themeFill="accent4" w:themeFillTint="33"/>
            <w:noWrap/>
            <w:vAlign w:val="bottom"/>
            <w:hideMark/>
          </w:tcPr>
          <w:p w14:paraId="19E03DDD" w14:textId="77777777" w:rsidR="009A356E" w:rsidRPr="00C10545" w:rsidRDefault="009A356E" w:rsidP="009A356E">
            <w:pPr>
              <w:jc w:val="right"/>
              <w:rPr>
                <w:sz w:val="18"/>
                <w:szCs w:val="18"/>
                <w:lang w:eastAsia="en-AU"/>
              </w:rPr>
            </w:pPr>
            <w:r w:rsidRPr="00C10545">
              <w:rPr>
                <w:sz w:val="18"/>
                <w:szCs w:val="18"/>
                <w:lang w:eastAsia="en-AU"/>
              </w:rPr>
              <w:t>$5.9</w:t>
            </w:r>
          </w:p>
        </w:tc>
        <w:tc>
          <w:tcPr>
            <w:tcW w:w="397" w:type="pct"/>
            <w:tcBorders>
              <w:top w:val="nil"/>
              <w:left w:val="nil"/>
              <w:bottom w:val="single" w:sz="4" w:space="0" w:color="auto"/>
              <w:right w:val="single" w:sz="4" w:space="0" w:color="auto"/>
            </w:tcBorders>
            <w:shd w:val="clear" w:color="auto" w:fill="E5DFEC" w:themeFill="accent4" w:themeFillTint="33"/>
            <w:noWrap/>
            <w:vAlign w:val="bottom"/>
            <w:hideMark/>
          </w:tcPr>
          <w:p w14:paraId="4AB20759" w14:textId="77777777" w:rsidR="009A356E" w:rsidRPr="00C10545" w:rsidRDefault="009A356E" w:rsidP="009A356E">
            <w:pPr>
              <w:jc w:val="right"/>
              <w:rPr>
                <w:sz w:val="18"/>
                <w:szCs w:val="18"/>
                <w:lang w:eastAsia="en-AU"/>
              </w:rPr>
            </w:pPr>
            <w:r w:rsidRPr="00C10545">
              <w:rPr>
                <w:sz w:val="18"/>
                <w:szCs w:val="18"/>
                <w:lang w:eastAsia="en-AU"/>
              </w:rPr>
              <w:t>$5.3</w:t>
            </w:r>
          </w:p>
        </w:tc>
        <w:tc>
          <w:tcPr>
            <w:tcW w:w="397" w:type="pct"/>
            <w:tcBorders>
              <w:top w:val="nil"/>
              <w:left w:val="nil"/>
              <w:bottom w:val="single" w:sz="4" w:space="0" w:color="auto"/>
              <w:right w:val="single" w:sz="4" w:space="0" w:color="auto"/>
            </w:tcBorders>
            <w:shd w:val="clear" w:color="auto" w:fill="E5DFEC" w:themeFill="accent4" w:themeFillTint="33"/>
            <w:noWrap/>
            <w:vAlign w:val="bottom"/>
            <w:hideMark/>
          </w:tcPr>
          <w:p w14:paraId="2AD0C6C9" w14:textId="77777777" w:rsidR="009A356E" w:rsidRPr="00C10545" w:rsidRDefault="009A356E" w:rsidP="009A356E">
            <w:pPr>
              <w:jc w:val="right"/>
              <w:rPr>
                <w:sz w:val="18"/>
                <w:szCs w:val="18"/>
                <w:lang w:eastAsia="en-AU"/>
              </w:rPr>
            </w:pPr>
            <w:r w:rsidRPr="00C10545">
              <w:rPr>
                <w:sz w:val="18"/>
                <w:szCs w:val="18"/>
                <w:lang w:eastAsia="en-AU"/>
              </w:rPr>
              <w:t>$6.8</w:t>
            </w:r>
          </w:p>
        </w:tc>
        <w:tc>
          <w:tcPr>
            <w:tcW w:w="397" w:type="pct"/>
            <w:tcBorders>
              <w:top w:val="nil"/>
              <w:left w:val="nil"/>
              <w:bottom w:val="single" w:sz="4" w:space="0" w:color="auto"/>
              <w:right w:val="single" w:sz="4" w:space="0" w:color="auto"/>
            </w:tcBorders>
            <w:shd w:val="clear" w:color="auto" w:fill="E5DFEC" w:themeFill="accent4" w:themeFillTint="33"/>
            <w:noWrap/>
            <w:vAlign w:val="bottom"/>
            <w:hideMark/>
          </w:tcPr>
          <w:p w14:paraId="2666E49D" w14:textId="77777777" w:rsidR="009A356E" w:rsidRPr="00C10545" w:rsidRDefault="009A356E" w:rsidP="009A356E">
            <w:pPr>
              <w:jc w:val="right"/>
              <w:rPr>
                <w:sz w:val="18"/>
                <w:szCs w:val="18"/>
                <w:lang w:eastAsia="en-AU"/>
              </w:rPr>
            </w:pPr>
            <w:r w:rsidRPr="00C10545">
              <w:rPr>
                <w:sz w:val="18"/>
                <w:szCs w:val="18"/>
                <w:lang w:eastAsia="en-AU"/>
              </w:rPr>
              <w:t>$5.4</w:t>
            </w:r>
          </w:p>
        </w:tc>
        <w:tc>
          <w:tcPr>
            <w:tcW w:w="397" w:type="pct"/>
            <w:tcBorders>
              <w:top w:val="nil"/>
              <w:left w:val="nil"/>
              <w:bottom w:val="single" w:sz="4" w:space="0" w:color="auto"/>
              <w:right w:val="single" w:sz="4" w:space="0" w:color="auto"/>
            </w:tcBorders>
            <w:shd w:val="clear" w:color="auto" w:fill="E5DFEC" w:themeFill="accent4" w:themeFillTint="33"/>
            <w:noWrap/>
            <w:vAlign w:val="bottom"/>
            <w:hideMark/>
          </w:tcPr>
          <w:p w14:paraId="545D1B79" w14:textId="77777777" w:rsidR="009A356E" w:rsidRPr="00C10545" w:rsidRDefault="009A356E" w:rsidP="009A356E">
            <w:pPr>
              <w:jc w:val="right"/>
              <w:rPr>
                <w:sz w:val="18"/>
                <w:szCs w:val="18"/>
                <w:lang w:eastAsia="en-AU"/>
              </w:rPr>
            </w:pPr>
            <w:r w:rsidRPr="00C10545">
              <w:rPr>
                <w:sz w:val="18"/>
                <w:szCs w:val="18"/>
                <w:lang w:eastAsia="en-AU"/>
              </w:rPr>
              <w:t>$5.2</w:t>
            </w:r>
          </w:p>
        </w:tc>
      </w:tr>
      <w:tr w:rsidR="009A356E" w:rsidRPr="003B76D5" w14:paraId="0C0FBDA2" w14:textId="77777777" w:rsidTr="009A356E">
        <w:trPr>
          <w:trHeight w:val="240"/>
        </w:trPr>
        <w:tc>
          <w:tcPr>
            <w:tcW w:w="2224" w:type="pct"/>
            <w:tcBorders>
              <w:top w:val="nil"/>
              <w:left w:val="single" w:sz="4" w:space="0" w:color="auto"/>
              <w:bottom w:val="single" w:sz="4" w:space="0" w:color="auto"/>
              <w:right w:val="single" w:sz="4" w:space="0" w:color="auto"/>
            </w:tcBorders>
            <w:shd w:val="clear" w:color="auto" w:fill="E5DFEC" w:themeFill="accent4" w:themeFillTint="33"/>
            <w:noWrap/>
            <w:vAlign w:val="bottom"/>
            <w:hideMark/>
          </w:tcPr>
          <w:p w14:paraId="2EEE37D1" w14:textId="77777777" w:rsidR="009A356E" w:rsidRPr="00C10545" w:rsidRDefault="009A356E" w:rsidP="009A356E">
            <w:pPr>
              <w:rPr>
                <w:sz w:val="18"/>
                <w:szCs w:val="18"/>
                <w:lang w:eastAsia="en-AU"/>
              </w:rPr>
            </w:pPr>
            <w:r w:rsidRPr="00C10545">
              <w:rPr>
                <w:sz w:val="18"/>
                <w:szCs w:val="18"/>
                <w:lang w:eastAsia="en-AU"/>
              </w:rPr>
              <w:t>Total Grants per Head - R &amp; R</w:t>
            </w:r>
          </w:p>
        </w:tc>
        <w:tc>
          <w:tcPr>
            <w:tcW w:w="397" w:type="pct"/>
            <w:tcBorders>
              <w:top w:val="nil"/>
              <w:left w:val="nil"/>
              <w:bottom w:val="single" w:sz="4" w:space="0" w:color="auto"/>
              <w:right w:val="single" w:sz="4" w:space="0" w:color="auto"/>
            </w:tcBorders>
            <w:shd w:val="clear" w:color="auto" w:fill="E5DFEC" w:themeFill="accent4" w:themeFillTint="33"/>
            <w:noWrap/>
            <w:vAlign w:val="bottom"/>
            <w:hideMark/>
          </w:tcPr>
          <w:p w14:paraId="03E00F3E" w14:textId="77777777" w:rsidR="009A356E" w:rsidRPr="00C10545" w:rsidRDefault="009A356E" w:rsidP="009A356E">
            <w:pPr>
              <w:jc w:val="right"/>
              <w:rPr>
                <w:sz w:val="18"/>
                <w:szCs w:val="18"/>
                <w:lang w:eastAsia="en-AU"/>
              </w:rPr>
            </w:pPr>
            <w:r w:rsidRPr="00C10545">
              <w:rPr>
                <w:sz w:val="18"/>
                <w:szCs w:val="18"/>
                <w:lang w:eastAsia="en-AU"/>
              </w:rPr>
              <w:t>$5.9</w:t>
            </w:r>
          </w:p>
        </w:tc>
        <w:tc>
          <w:tcPr>
            <w:tcW w:w="397" w:type="pct"/>
            <w:tcBorders>
              <w:top w:val="nil"/>
              <w:left w:val="nil"/>
              <w:bottom w:val="single" w:sz="4" w:space="0" w:color="auto"/>
              <w:right w:val="single" w:sz="4" w:space="0" w:color="auto"/>
            </w:tcBorders>
            <w:shd w:val="clear" w:color="auto" w:fill="E5DFEC" w:themeFill="accent4" w:themeFillTint="33"/>
            <w:noWrap/>
            <w:vAlign w:val="bottom"/>
            <w:hideMark/>
          </w:tcPr>
          <w:p w14:paraId="45B5677C" w14:textId="77777777" w:rsidR="009A356E" w:rsidRPr="00C10545" w:rsidRDefault="009A356E" w:rsidP="009A356E">
            <w:pPr>
              <w:jc w:val="right"/>
              <w:rPr>
                <w:sz w:val="18"/>
                <w:szCs w:val="18"/>
                <w:lang w:eastAsia="en-AU"/>
              </w:rPr>
            </w:pPr>
            <w:r w:rsidRPr="00C10545">
              <w:rPr>
                <w:sz w:val="18"/>
                <w:szCs w:val="18"/>
                <w:lang w:eastAsia="en-AU"/>
              </w:rPr>
              <w:t>$6.5</w:t>
            </w:r>
          </w:p>
        </w:tc>
        <w:tc>
          <w:tcPr>
            <w:tcW w:w="397" w:type="pct"/>
            <w:tcBorders>
              <w:top w:val="nil"/>
              <w:left w:val="nil"/>
              <w:bottom w:val="single" w:sz="4" w:space="0" w:color="auto"/>
              <w:right w:val="single" w:sz="4" w:space="0" w:color="auto"/>
            </w:tcBorders>
            <w:shd w:val="clear" w:color="auto" w:fill="E5DFEC" w:themeFill="accent4" w:themeFillTint="33"/>
            <w:noWrap/>
            <w:vAlign w:val="bottom"/>
            <w:hideMark/>
          </w:tcPr>
          <w:p w14:paraId="5B4FCF18" w14:textId="77777777" w:rsidR="009A356E" w:rsidRPr="00C10545" w:rsidRDefault="009A356E" w:rsidP="009A356E">
            <w:pPr>
              <w:jc w:val="right"/>
              <w:rPr>
                <w:sz w:val="18"/>
                <w:szCs w:val="18"/>
                <w:lang w:eastAsia="en-AU"/>
              </w:rPr>
            </w:pPr>
            <w:r w:rsidRPr="00C10545">
              <w:rPr>
                <w:sz w:val="18"/>
                <w:szCs w:val="18"/>
                <w:lang w:eastAsia="en-AU"/>
              </w:rPr>
              <w:t>$7.3</w:t>
            </w:r>
          </w:p>
        </w:tc>
        <w:tc>
          <w:tcPr>
            <w:tcW w:w="397" w:type="pct"/>
            <w:tcBorders>
              <w:top w:val="nil"/>
              <w:left w:val="nil"/>
              <w:bottom w:val="single" w:sz="4" w:space="0" w:color="auto"/>
              <w:right w:val="single" w:sz="4" w:space="0" w:color="auto"/>
            </w:tcBorders>
            <w:shd w:val="clear" w:color="auto" w:fill="E5DFEC" w:themeFill="accent4" w:themeFillTint="33"/>
            <w:noWrap/>
            <w:vAlign w:val="bottom"/>
            <w:hideMark/>
          </w:tcPr>
          <w:p w14:paraId="1FC8BDC3" w14:textId="77777777" w:rsidR="009A356E" w:rsidRPr="00C10545" w:rsidRDefault="009A356E" w:rsidP="009A356E">
            <w:pPr>
              <w:jc w:val="right"/>
              <w:rPr>
                <w:sz w:val="18"/>
                <w:szCs w:val="18"/>
                <w:lang w:eastAsia="en-AU"/>
              </w:rPr>
            </w:pPr>
            <w:r w:rsidRPr="00C10545">
              <w:rPr>
                <w:sz w:val="18"/>
                <w:szCs w:val="18"/>
                <w:lang w:eastAsia="en-AU"/>
              </w:rPr>
              <w:t>$6.0</w:t>
            </w:r>
          </w:p>
        </w:tc>
        <w:tc>
          <w:tcPr>
            <w:tcW w:w="397" w:type="pct"/>
            <w:tcBorders>
              <w:top w:val="nil"/>
              <w:left w:val="nil"/>
              <w:bottom w:val="single" w:sz="4" w:space="0" w:color="auto"/>
              <w:right w:val="single" w:sz="4" w:space="0" w:color="auto"/>
            </w:tcBorders>
            <w:shd w:val="clear" w:color="auto" w:fill="E5DFEC" w:themeFill="accent4" w:themeFillTint="33"/>
            <w:noWrap/>
            <w:vAlign w:val="bottom"/>
            <w:hideMark/>
          </w:tcPr>
          <w:p w14:paraId="7324A6D9" w14:textId="77777777" w:rsidR="009A356E" w:rsidRPr="00C10545" w:rsidRDefault="009A356E" w:rsidP="009A356E">
            <w:pPr>
              <w:jc w:val="right"/>
              <w:rPr>
                <w:sz w:val="18"/>
                <w:szCs w:val="18"/>
                <w:lang w:eastAsia="en-AU"/>
              </w:rPr>
            </w:pPr>
            <w:r w:rsidRPr="00C10545">
              <w:rPr>
                <w:sz w:val="18"/>
                <w:szCs w:val="18"/>
                <w:lang w:eastAsia="en-AU"/>
              </w:rPr>
              <w:t>$7.1</w:t>
            </w:r>
          </w:p>
        </w:tc>
        <w:tc>
          <w:tcPr>
            <w:tcW w:w="397" w:type="pct"/>
            <w:tcBorders>
              <w:top w:val="nil"/>
              <w:left w:val="nil"/>
              <w:bottom w:val="single" w:sz="4" w:space="0" w:color="auto"/>
              <w:right w:val="single" w:sz="4" w:space="0" w:color="auto"/>
            </w:tcBorders>
            <w:shd w:val="clear" w:color="auto" w:fill="E5DFEC" w:themeFill="accent4" w:themeFillTint="33"/>
            <w:noWrap/>
            <w:vAlign w:val="bottom"/>
            <w:hideMark/>
          </w:tcPr>
          <w:p w14:paraId="6021B7D5" w14:textId="77777777" w:rsidR="009A356E" w:rsidRPr="00C10545" w:rsidRDefault="009A356E" w:rsidP="009A356E">
            <w:pPr>
              <w:jc w:val="right"/>
              <w:rPr>
                <w:sz w:val="18"/>
                <w:szCs w:val="18"/>
                <w:lang w:eastAsia="en-AU"/>
              </w:rPr>
            </w:pPr>
            <w:r w:rsidRPr="00C10545">
              <w:rPr>
                <w:sz w:val="18"/>
                <w:szCs w:val="18"/>
                <w:lang w:eastAsia="en-AU"/>
              </w:rPr>
              <w:t>$5.9</w:t>
            </w:r>
          </w:p>
        </w:tc>
        <w:tc>
          <w:tcPr>
            <w:tcW w:w="397" w:type="pct"/>
            <w:tcBorders>
              <w:top w:val="nil"/>
              <w:left w:val="nil"/>
              <w:bottom w:val="single" w:sz="4" w:space="0" w:color="auto"/>
              <w:right w:val="single" w:sz="4" w:space="0" w:color="auto"/>
            </w:tcBorders>
            <w:shd w:val="clear" w:color="auto" w:fill="E5DFEC" w:themeFill="accent4" w:themeFillTint="33"/>
            <w:noWrap/>
            <w:vAlign w:val="bottom"/>
            <w:hideMark/>
          </w:tcPr>
          <w:p w14:paraId="089660E4" w14:textId="77777777" w:rsidR="009A356E" w:rsidRPr="00C10545" w:rsidRDefault="009A356E" w:rsidP="009A356E">
            <w:pPr>
              <w:jc w:val="right"/>
              <w:rPr>
                <w:sz w:val="18"/>
                <w:szCs w:val="18"/>
                <w:lang w:eastAsia="en-AU"/>
              </w:rPr>
            </w:pPr>
            <w:r w:rsidRPr="00C10545">
              <w:rPr>
                <w:sz w:val="18"/>
                <w:szCs w:val="18"/>
                <w:lang w:eastAsia="en-AU"/>
              </w:rPr>
              <w:t>$6.4</w:t>
            </w:r>
          </w:p>
        </w:tc>
      </w:tr>
      <w:tr w:rsidR="009A356E" w:rsidRPr="003B76D5" w14:paraId="6DEC607B" w14:textId="77777777" w:rsidTr="009A356E">
        <w:trPr>
          <w:trHeight w:val="240"/>
        </w:trPr>
        <w:tc>
          <w:tcPr>
            <w:tcW w:w="2224" w:type="pct"/>
            <w:tcBorders>
              <w:top w:val="nil"/>
              <w:left w:val="single" w:sz="4" w:space="0" w:color="auto"/>
              <w:bottom w:val="single" w:sz="4" w:space="0" w:color="auto"/>
              <w:right w:val="single" w:sz="4" w:space="0" w:color="auto"/>
            </w:tcBorders>
            <w:shd w:val="clear" w:color="auto" w:fill="E5DFEC" w:themeFill="accent4" w:themeFillTint="33"/>
            <w:noWrap/>
            <w:vAlign w:val="bottom"/>
            <w:hideMark/>
          </w:tcPr>
          <w:p w14:paraId="52EAA92C" w14:textId="77777777" w:rsidR="009A356E" w:rsidRPr="00C10545" w:rsidRDefault="009A356E" w:rsidP="009A356E">
            <w:pPr>
              <w:rPr>
                <w:sz w:val="18"/>
                <w:szCs w:val="18"/>
                <w:lang w:eastAsia="en-AU"/>
              </w:rPr>
            </w:pPr>
            <w:r w:rsidRPr="00C10545">
              <w:rPr>
                <w:sz w:val="18"/>
                <w:szCs w:val="18"/>
                <w:lang w:eastAsia="en-AU"/>
              </w:rPr>
              <w:t xml:space="preserve">Recurrent Grants per Head All </w:t>
            </w:r>
          </w:p>
        </w:tc>
        <w:tc>
          <w:tcPr>
            <w:tcW w:w="397" w:type="pct"/>
            <w:tcBorders>
              <w:top w:val="nil"/>
              <w:left w:val="nil"/>
              <w:bottom w:val="single" w:sz="4" w:space="0" w:color="auto"/>
              <w:right w:val="single" w:sz="4" w:space="0" w:color="auto"/>
            </w:tcBorders>
            <w:shd w:val="clear" w:color="auto" w:fill="E5DFEC" w:themeFill="accent4" w:themeFillTint="33"/>
            <w:noWrap/>
            <w:vAlign w:val="bottom"/>
            <w:hideMark/>
          </w:tcPr>
          <w:p w14:paraId="0F68D51A" w14:textId="77777777" w:rsidR="009A356E" w:rsidRPr="00C10545" w:rsidRDefault="009A356E" w:rsidP="009A356E">
            <w:pPr>
              <w:jc w:val="right"/>
              <w:rPr>
                <w:sz w:val="18"/>
                <w:szCs w:val="18"/>
                <w:lang w:eastAsia="en-AU"/>
              </w:rPr>
            </w:pPr>
            <w:r w:rsidRPr="00C10545">
              <w:rPr>
                <w:sz w:val="18"/>
                <w:szCs w:val="18"/>
                <w:lang w:eastAsia="en-AU"/>
              </w:rPr>
              <w:t>$4.9</w:t>
            </w:r>
          </w:p>
        </w:tc>
        <w:tc>
          <w:tcPr>
            <w:tcW w:w="397" w:type="pct"/>
            <w:tcBorders>
              <w:top w:val="nil"/>
              <w:left w:val="nil"/>
              <w:bottom w:val="single" w:sz="4" w:space="0" w:color="auto"/>
              <w:right w:val="single" w:sz="4" w:space="0" w:color="auto"/>
            </w:tcBorders>
            <w:shd w:val="clear" w:color="auto" w:fill="E5DFEC" w:themeFill="accent4" w:themeFillTint="33"/>
            <w:noWrap/>
            <w:vAlign w:val="bottom"/>
            <w:hideMark/>
          </w:tcPr>
          <w:p w14:paraId="43C4114C" w14:textId="77777777" w:rsidR="009A356E" w:rsidRPr="00C10545" w:rsidRDefault="009A356E" w:rsidP="009A356E">
            <w:pPr>
              <w:jc w:val="right"/>
              <w:rPr>
                <w:sz w:val="18"/>
                <w:szCs w:val="18"/>
                <w:lang w:eastAsia="en-AU"/>
              </w:rPr>
            </w:pPr>
            <w:r w:rsidRPr="00C10545">
              <w:rPr>
                <w:sz w:val="18"/>
                <w:szCs w:val="18"/>
                <w:lang w:eastAsia="en-AU"/>
              </w:rPr>
              <w:t>$4.9</w:t>
            </w:r>
          </w:p>
        </w:tc>
        <w:tc>
          <w:tcPr>
            <w:tcW w:w="397" w:type="pct"/>
            <w:tcBorders>
              <w:top w:val="nil"/>
              <w:left w:val="nil"/>
              <w:bottom w:val="single" w:sz="4" w:space="0" w:color="auto"/>
              <w:right w:val="single" w:sz="4" w:space="0" w:color="auto"/>
            </w:tcBorders>
            <w:shd w:val="clear" w:color="auto" w:fill="E5DFEC" w:themeFill="accent4" w:themeFillTint="33"/>
            <w:noWrap/>
            <w:vAlign w:val="bottom"/>
            <w:hideMark/>
          </w:tcPr>
          <w:p w14:paraId="53D87C0E" w14:textId="77777777" w:rsidR="009A356E" w:rsidRPr="00C10545" w:rsidRDefault="009A356E" w:rsidP="009A356E">
            <w:pPr>
              <w:jc w:val="right"/>
              <w:rPr>
                <w:sz w:val="18"/>
                <w:szCs w:val="18"/>
                <w:lang w:eastAsia="en-AU"/>
              </w:rPr>
            </w:pPr>
            <w:r w:rsidRPr="00C10545">
              <w:rPr>
                <w:sz w:val="18"/>
                <w:szCs w:val="18"/>
                <w:lang w:eastAsia="en-AU"/>
              </w:rPr>
              <w:t>$5.1</w:t>
            </w:r>
          </w:p>
        </w:tc>
        <w:tc>
          <w:tcPr>
            <w:tcW w:w="397" w:type="pct"/>
            <w:tcBorders>
              <w:top w:val="nil"/>
              <w:left w:val="nil"/>
              <w:bottom w:val="single" w:sz="4" w:space="0" w:color="auto"/>
              <w:right w:val="single" w:sz="4" w:space="0" w:color="auto"/>
            </w:tcBorders>
            <w:shd w:val="clear" w:color="auto" w:fill="E5DFEC" w:themeFill="accent4" w:themeFillTint="33"/>
            <w:noWrap/>
            <w:vAlign w:val="bottom"/>
            <w:hideMark/>
          </w:tcPr>
          <w:p w14:paraId="331C110F" w14:textId="77777777" w:rsidR="009A356E" w:rsidRPr="00C10545" w:rsidRDefault="009A356E" w:rsidP="009A356E">
            <w:pPr>
              <w:jc w:val="right"/>
              <w:rPr>
                <w:sz w:val="18"/>
                <w:szCs w:val="18"/>
                <w:lang w:eastAsia="en-AU"/>
              </w:rPr>
            </w:pPr>
            <w:r w:rsidRPr="00C10545">
              <w:rPr>
                <w:sz w:val="18"/>
                <w:szCs w:val="18"/>
                <w:lang w:eastAsia="en-AU"/>
              </w:rPr>
              <w:t>$4.7</w:t>
            </w:r>
          </w:p>
        </w:tc>
        <w:tc>
          <w:tcPr>
            <w:tcW w:w="397" w:type="pct"/>
            <w:tcBorders>
              <w:top w:val="nil"/>
              <w:left w:val="nil"/>
              <w:bottom w:val="single" w:sz="4" w:space="0" w:color="auto"/>
              <w:right w:val="single" w:sz="4" w:space="0" w:color="auto"/>
            </w:tcBorders>
            <w:shd w:val="clear" w:color="auto" w:fill="E5DFEC" w:themeFill="accent4" w:themeFillTint="33"/>
            <w:noWrap/>
            <w:vAlign w:val="bottom"/>
            <w:hideMark/>
          </w:tcPr>
          <w:p w14:paraId="56C73C79" w14:textId="77777777" w:rsidR="009A356E" w:rsidRPr="00C10545" w:rsidRDefault="009A356E" w:rsidP="009A356E">
            <w:pPr>
              <w:jc w:val="right"/>
              <w:rPr>
                <w:sz w:val="18"/>
                <w:szCs w:val="18"/>
                <w:lang w:eastAsia="en-AU"/>
              </w:rPr>
            </w:pPr>
            <w:r w:rsidRPr="00C10545">
              <w:rPr>
                <w:sz w:val="18"/>
                <w:szCs w:val="18"/>
                <w:lang w:eastAsia="en-AU"/>
              </w:rPr>
              <w:t>$4.7</w:t>
            </w:r>
          </w:p>
        </w:tc>
        <w:tc>
          <w:tcPr>
            <w:tcW w:w="397" w:type="pct"/>
            <w:tcBorders>
              <w:top w:val="nil"/>
              <w:left w:val="nil"/>
              <w:bottom w:val="single" w:sz="4" w:space="0" w:color="auto"/>
              <w:right w:val="single" w:sz="4" w:space="0" w:color="auto"/>
            </w:tcBorders>
            <w:shd w:val="clear" w:color="auto" w:fill="E5DFEC" w:themeFill="accent4" w:themeFillTint="33"/>
            <w:noWrap/>
            <w:vAlign w:val="bottom"/>
            <w:hideMark/>
          </w:tcPr>
          <w:p w14:paraId="3467C77F" w14:textId="77777777" w:rsidR="009A356E" w:rsidRPr="00C10545" w:rsidRDefault="009A356E" w:rsidP="009A356E">
            <w:pPr>
              <w:jc w:val="right"/>
              <w:rPr>
                <w:sz w:val="18"/>
                <w:szCs w:val="18"/>
                <w:lang w:eastAsia="en-AU"/>
              </w:rPr>
            </w:pPr>
            <w:r w:rsidRPr="00C10545">
              <w:rPr>
                <w:sz w:val="18"/>
                <w:szCs w:val="18"/>
                <w:lang w:eastAsia="en-AU"/>
              </w:rPr>
              <w:t>$4.8</w:t>
            </w:r>
          </w:p>
        </w:tc>
        <w:tc>
          <w:tcPr>
            <w:tcW w:w="397" w:type="pct"/>
            <w:tcBorders>
              <w:top w:val="nil"/>
              <w:left w:val="nil"/>
              <w:bottom w:val="single" w:sz="4" w:space="0" w:color="auto"/>
              <w:right w:val="single" w:sz="4" w:space="0" w:color="auto"/>
            </w:tcBorders>
            <w:shd w:val="clear" w:color="auto" w:fill="E5DFEC" w:themeFill="accent4" w:themeFillTint="33"/>
            <w:noWrap/>
            <w:vAlign w:val="bottom"/>
            <w:hideMark/>
          </w:tcPr>
          <w:p w14:paraId="0C5D2F4D" w14:textId="77777777" w:rsidR="009A356E" w:rsidRPr="00C10545" w:rsidRDefault="009A356E" w:rsidP="009A356E">
            <w:pPr>
              <w:jc w:val="right"/>
              <w:rPr>
                <w:sz w:val="18"/>
                <w:szCs w:val="18"/>
                <w:lang w:eastAsia="en-AU"/>
              </w:rPr>
            </w:pPr>
            <w:r w:rsidRPr="00C10545">
              <w:rPr>
                <w:sz w:val="18"/>
                <w:szCs w:val="18"/>
                <w:lang w:eastAsia="en-AU"/>
              </w:rPr>
              <w:t>$4.8</w:t>
            </w:r>
          </w:p>
        </w:tc>
      </w:tr>
      <w:tr w:rsidR="009A356E" w:rsidRPr="003B76D5" w14:paraId="0A33D292" w14:textId="77777777" w:rsidTr="009A356E">
        <w:trPr>
          <w:trHeight w:val="240"/>
        </w:trPr>
        <w:tc>
          <w:tcPr>
            <w:tcW w:w="2224" w:type="pct"/>
            <w:tcBorders>
              <w:top w:val="nil"/>
              <w:left w:val="single" w:sz="4" w:space="0" w:color="auto"/>
              <w:bottom w:val="single" w:sz="4" w:space="0" w:color="auto"/>
              <w:right w:val="single" w:sz="4" w:space="0" w:color="auto"/>
            </w:tcBorders>
            <w:shd w:val="clear" w:color="auto" w:fill="E5DFEC" w:themeFill="accent4" w:themeFillTint="33"/>
            <w:noWrap/>
            <w:vAlign w:val="bottom"/>
            <w:hideMark/>
          </w:tcPr>
          <w:p w14:paraId="203E41C7" w14:textId="77777777" w:rsidR="009A356E" w:rsidRPr="00C10545" w:rsidRDefault="009A356E" w:rsidP="009A356E">
            <w:pPr>
              <w:rPr>
                <w:sz w:val="18"/>
                <w:szCs w:val="18"/>
                <w:lang w:eastAsia="en-AU"/>
              </w:rPr>
            </w:pPr>
            <w:r w:rsidRPr="00C10545">
              <w:rPr>
                <w:sz w:val="18"/>
                <w:szCs w:val="18"/>
                <w:lang w:eastAsia="en-AU"/>
              </w:rPr>
              <w:t>Recurrent Grants per Head R &amp; R</w:t>
            </w:r>
          </w:p>
        </w:tc>
        <w:tc>
          <w:tcPr>
            <w:tcW w:w="397" w:type="pct"/>
            <w:tcBorders>
              <w:top w:val="nil"/>
              <w:left w:val="nil"/>
              <w:bottom w:val="single" w:sz="4" w:space="0" w:color="auto"/>
              <w:right w:val="single" w:sz="4" w:space="0" w:color="auto"/>
            </w:tcBorders>
            <w:shd w:val="clear" w:color="auto" w:fill="E5DFEC" w:themeFill="accent4" w:themeFillTint="33"/>
            <w:noWrap/>
            <w:vAlign w:val="bottom"/>
            <w:hideMark/>
          </w:tcPr>
          <w:p w14:paraId="0F6E22C6" w14:textId="77777777" w:rsidR="009A356E" w:rsidRPr="00C10545" w:rsidRDefault="009A356E" w:rsidP="009A356E">
            <w:pPr>
              <w:jc w:val="right"/>
              <w:rPr>
                <w:sz w:val="18"/>
                <w:szCs w:val="18"/>
                <w:lang w:eastAsia="en-AU"/>
              </w:rPr>
            </w:pPr>
            <w:r w:rsidRPr="00C10545">
              <w:rPr>
                <w:sz w:val="18"/>
                <w:szCs w:val="18"/>
                <w:lang w:eastAsia="en-AU"/>
              </w:rPr>
              <w:t>$5.6</w:t>
            </w:r>
          </w:p>
        </w:tc>
        <w:tc>
          <w:tcPr>
            <w:tcW w:w="397" w:type="pct"/>
            <w:tcBorders>
              <w:top w:val="nil"/>
              <w:left w:val="nil"/>
              <w:bottom w:val="single" w:sz="4" w:space="0" w:color="auto"/>
              <w:right w:val="single" w:sz="4" w:space="0" w:color="auto"/>
            </w:tcBorders>
            <w:shd w:val="clear" w:color="auto" w:fill="E5DFEC" w:themeFill="accent4" w:themeFillTint="33"/>
            <w:noWrap/>
            <w:vAlign w:val="bottom"/>
            <w:hideMark/>
          </w:tcPr>
          <w:p w14:paraId="0F38B13E" w14:textId="77777777" w:rsidR="009A356E" w:rsidRPr="00C10545" w:rsidRDefault="009A356E" w:rsidP="009A356E">
            <w:pPr>
              <w:jc w:val="right"/>
              <w:rPr>
                <w:sz w:val="18"/>
                <w:szCs w:val="18"/>
                <w:lang w:eastAsia="en-AU"/>
              </w:rPr>
            </w:pPr>
            <w:r w:rsidRPr="00C10545">
              <w:rPr>
                <w:sz w:val="18"/>
                <w:szCs w:val="18"/>
                <w:lang w:eastAsia="en-AU"/>
              </w:rPr>
              <w:t>$5.3</w:t>
            </w:r>
          </w:p>
        </w:tc>
        <w:tc>
          <w:tcPr>
            <w:tcW w:w="397" w:type="pct"/>
            <w:tcBorders>
              <w:top w:val="nil"/>
              <w:left w:val="nil"/>
              <w:bottom w:val="single" w:sz="4" w:space="0" w:color="auto"/>
              <w:right w:val="single" w:sz="4" w:space="0" w:color="auto"/>
            </w:tcBorders>
            <w:shd w:val="clear" w:color="auto" w:fill="E5DFEC" w:themeFill="accent4" w:themeFillTint="33"/>
            <w:noWrap/>
            <w:vAlign w:val="bottom"/>
            <w:hideMark/>
          </w:tcPr>
          <w:p w14:paraId="0CF44A8E" w14:textId="77777777" w:rsidR="009A356E" w:rsidRPr="00C10545" w:rsidRDefault="009A356E" w:rsidP="009A356E">
            <w:pPr>
              <w:jc w:val="right"/>
              <w:rPr>
                <w:sz w:val="18"/>
                <w:szCs w:val="18"/>
                <w:lang w:eastAsia="en-AU"/>
              </w:rPr>
            </w:pPr>
            <w:r w:rsidRPr="00C10545">
              <w:rPr>
                <w:sz w:val="18"/>
                <w:szCs w:val="18"/>
                <w:lang w:eastAsia="en-AU"/>
              </w:rPr>
              <w:t>$6.1</w:t>
            </w:r>
          </w:p>
        </w:tc>
        <w:tc>
          <w:tcPr>
            <w:tcW w:w="397" w:type="pct"/>
            <w:tcBorders>
              <w:top w:val="nil"/>
              <w:left w:val="nil"/>
              <w:bottom w:val="single" w:sz="4" w:space="0" w:color="auto"/>
              <w:right w:val="single" w:sz="4" w:space="0" w:color="auto"/>
            </w:tcBorders>
            <w:shd w:val="clear" w:color="auto" w:fill="E5DFEC" w:themeFill="accent4" w:themeFillTint="33"/>
            <w:noWrap/>
            <w:vAlign w:val="bottom"/>
            <w:hideMark/>
          </w:tcPr>
          <w:p w14:paraId="12DCD173" w14:textId="77777777" w:rsidR="009A356E" w:rsidRPr="00C10545" w:rsidRDefault="009A356E" w:rsidP="009A356E">
            <w:pPr>
              <w:jc w:val="right"/>
              <w:rPr>
                <w:sz w:val="18"/>
                <w:szCs w:val="18"/>
                <w:lang w:eastAsia="en-AU"/>
              </w:rPr>
            </w:pPr>
            <w:r w:rsidRPr="00C10545">
              <w:rPr>
                <w:sz w:val="18"/>
                <w:szCs w:val="18"/>
                <w:lang w:eastAsia="en-AU"/>
              </w:rPr>
              <w:t>$5.4</w:t>
            </w:r>
          </w:p>
        </w:tc>
        <w:tc>
          <w:tcPr>
            <w:tcW w:w="397" w:type="pct"/>
            <w:tcBorders>
              <w:top w:val="nil"/>
              <w:left w:val="nil"/>
              <w:bottom w:val="single" w:sz="4" w:space="0" w:color="auto"/>
              <w:right w:val="single" w:sz="4" w:space="0" w:color="auto"/>
            </w:tcBorders>
            <w:shd w:val="clear" w:color="auto" w:fill="E5DFEC" w:themeFill="accent4" w:themeFillTint="33"/>
            <w:noWrap/>
            <w:vAlign w:val="bottom"/>
            <w:hideMark/>
          </w:tcPr>
          <w:p w14:paraId="3C5BF488" w14:textId="77777777" w:rsidR="009A356E" w:rsidRPr="00C10545" w:rsidRDefault="009A356E" w:rsidP="009A356E">
            <w:pPr>
              <w:jc w:val="right"/>
              <w:rPr>
                <w:sz w:val="18"/>
                <w:szCs w:val="18"/>
                <w:lang w:eastAsia="en-AU"/>
              </w:rPr>
            </w:pPr>
            <w:r w:rsidRPr="00C10545">
              <w:rPr>
                <w:sz w:val="18"/>
                <w:szCs w:val="18"/>
                <w:lang w:eastAsia="en-AU"/>
              </w:rPr>
              <w:t>$5.5</w:t>
            </w:r>
          </w:p>
        </w:tc>
        <w:tc>
          <w:tcPr>
            <w:tcW w:w="397" w:type="pct"/>
            <w:tcBorders>
              <w:top w:val="nil"/>
              <w:left w:val="nil"/>
              <w:bottom w:val="single" w:sz="4" w:space="0" w:color="auto"/>
              <w:right w:val="single" w:sz="4" w:space="0" w:color="auto"/>
            </w:tcBorders>
            <w:shd w:val="clear" w:color="auto" w:fill="E5DFEC" w:themeFill="accent4" w:themeFillTint="33"/>
            <w:noWrap/>
            <w:vAlign w:val="bottom"/>
            <w:hideMark/>
          </w:tcPr>
          <w:p w14:paraId="2EC0D163" w14:textId="77777777" w:rsidR="009A356E" w:rsidRPr="00C10545" w:rsidRDefault="009A356E" w:rsidP="009A356E">
            <w:pPr>
              <w:jc w:val="right"/>
              <w:rPr>
                <w:sz w:val="18"/>
                <w:szCs w:val="18"/>
                <w:lang w:eastAsia="en-AU"/>
              </w:rPr>
            </w:pPr>
            <w:r w:rsidRPr="00C10545">
              <w:rPr>
                <w:sz w:val="18"/>
                <w:szCs w:val="18"/>
                <w:lang w:eastAsia="en-AU"/>
              </w:rPr>
              <w:t>$5.6</w:t>
            </w:r>
          </w:p>
        </w:tc>
        <w:tc>
          <w:tcPr>
            <w:tcW w:w="397" w:type="pct"/>
            <w:tcBorders>
              <w:top w:val="nil"/>
              <w:left w:val="nil"/>
              <w:bottom w:val="single" w:sz="4" w:space="0" w:color="auto"/>
              <w:right w:val="single" w:sz="4" w:space="0" w:color="auto"/>
            </w:tcBorders>
            <w:shd w:val="clear" w:color="auto" w:fill="E5DFEC" w:themeFill="accent4" w:themeFillTint="33"/>
            <w:noWrap/>
            <w:vAlign w:val="bottom"/>
            <w:hideMark/>
          </w:tcPr>
          <w:p w14:paraId="362D7D7C" w14:textId="77777777" w:rsidR="009A356E" w:rsidRPr="00C10545" w:rsidRDefault="009A356E" w:rsidP="009A356E">
            <w:pPr>
              <w:jc w:val="right"/>
              <w:rPr>
                <w:sz w:val="18"/>
                <w:szCs w:val="18"/>
                <w:lang w:eastAsia="en-AU"/>
              </w:rPr>
            </w:pPr>
            <w:r w:rsidRPr="00C10545">
              <w:rPr>
                <w:sz w:val="18"/>
                <w:szCs w:val="18"/>
                <w:lang w:eastAsia="en-AU"/>
              </w:rPr>
              <w:t>$5.8</w:t>
            </w:r>
          </w:p>
        </w:tc>
      </w:tr>
      <w:tr w:rsidR="009A356E" w:rsidRPr="003B76D5" w14:paraId="24FB5ED6" w14:textId="77777777" w:rsidTr="009A356E">
        <w:trPr>
          <w:trHeight w:val="240"/>
        </w:trPr>
        <w:tc>
          <w:tcPr>
            <w:tcW w:w="2224" w:type="pct"/>
            <w:tcBorders>
              <w:top w:val="nil"/>
              <w:left w:val="single" w:sz="4" w:space="0" w:color="auto"/>
              <w:bottom w:val="single" w:sz="4" w:space="0" w:color="auto"/>
              <w:right w:val="single" w:sz="4" w:space="0" w:color="auto"/>
            </w:tcBorders>
            <w:shd w:val="clear" w:color="auto" w:fill="DAEEF3" w:themeFill="accent5" w:themeFillTint="33"/>
            <w:noWrap/>
            <w:vAlign w:val="bottom"/>
            <w:hideMark/>
          </w:tcPr>
          <w:p w14:paraId="0121DA53" w14:textId="77777777" w:rsidR="009A356E" w:rsidRPr="00C10545" w:rsidRDefault="009A356E" w:rsidP="009A356E">
            <w:pPr>
              <w:rPr>
                <w:sz w:val="18"/>
                <w:szCs w:val="18"/>
                <w:lang w:eastAsia="en-AU"/>
              </w:rPr>
            </w:pPr>
            <w:r w:rsidRPr="00C10545">
              <w:rPr>
                <w:sz w:val="18"/>
                <w:szCs w:val="18"/>
                <w:lang w:eastAsia="en-AU"/>
              </w:rPr>
              <w:t xml:space="preserve">Total Expenses per Head - All </w:t>
            </w:r>
          </w:p>
        </w:tc>
        <w:tc>
          <w:tcPr>
            <w:tcW w:w="397" w:type="pct"/>
            <w:tcBorders>
              <w:top w:val="nil"/>
              <w:left w:val="nil"/>
              <w:bottom w:val="single" w:sz="4" w:space="0" w:color="auto"/>
              <w:right w:val="single" w:sz="4" w:space="0" w:color="auto"/>
            </w:tcBorders>
            <w:shd w:val="clear" w:color="auto" w:fill="DAEEF3" w:themeFill="accent5" w:themeFillTint="33"/>
            <w:noWrap/>
            <w:vAlign w:val="bottom"/>
            <w:hideMark/>
          </w:tcPr>
          <w:p w14:paraId="0AC146DF" w14:textId="77777777" w:rsidR="009A356E" w:rsidRPr="00C10545" w:rsidRDefault="009A356E" w:rsidP="009A356E">
            <w:pPr>
              <w:jc w:val="right"/>
              <w:rPr>
                <w:sz w:val="18"/>
                <w:szCs w:val="18"/>
                <w:lang w:eastAsia="en-AU"/>
              </w:rPr>
            </w:pPr>
            <w:r w:rsidRPr="00C10545">
              <w:rPr>
                <w:sz w:val="18"/>
                <w:szCs w:val="18"/>
                <w:lang w:eastAsia="en-AU"/>
              </w:rPr>
              <w:t>$30.4</w:t>
            </w:r>
          </w:p>
        </w:tc>
        <w:tc>
          <w:tcPr>
            <w:tcW w:w="397" w:type="pct"/>
            <w:tcBorders>
              <w:top w:val="nil"/>
              <w:left w:val="nil"/>
              <w:bottom w:val="single" w:sz="4" w:space="0" w:color="auto"/>
              <w:right w:val="single" w:sz="4" w:space="0" w:color="auto"/>
            </w:tcBorders>
            <w:shd w:val="clear" w:color="auto" w:fill="DAEEF3" w:themeFill="accent5" w:themeFillTint="33"/>
            <w:noWrap/>
            <w:vAlign w:val="bottom"/>
            <w:hideMark/>
          </w:tcPr>
          <w:p w14:paraId="33C88CA4" w14:textId="77777777" w:rsidR="009A356E" w:rsidRPr="00C10545" w:rsidRDefault="009A356E" w:rsidP="009A356E">
            <w:pPr>
              <w:jc w:val="right"/>
              <w:rPr>
                <w:sz w:val="18"/>
                <w:szCs w:val="18"/>
                <w:lang w:eastAsia="en-AU"/>
              </w:rPr>
            </w:pPr>
            <w:r w:rsidRPr="00C10545">
              <w:rPr>
                <w:sz w:val="18"/>
                <w:szCs w:val="18"/>
                <w:lang w:eastAsia="en-AU"/>
              </w:rPr>
              <w:t>$30.3</w:t>
            </w:r>
          </w:p>
        </w:tc>
        <w:tc>
          <w:tcPr>
            <w:tcW w:w="397" w:type="pct"/>
            <w:tcBorders>
              <w:top w:val="nil"/>
              <w:left w:val="nil"/>
              <w:bottom w:val="single" w:sz="4" w:space="0" w:color="auto"/>
              <w:right w:val="single" w:sz="4" w:space="0" w:color="auto"/>
            </w:tcBorders>
            <w:shd w:val="clear" w:color="auto" w:fill="DAEEF3" w:themeFill="accent5" w:themeFillTint="33"/>
            <w:noWrap/>
            <w:vAlign w:val="bottom"/>
            <w:hideMark/>
          </w:tcPr>
          <w:p w14:paraId="2FC83453" w14:textId="77777777" w:rsidR="009A356E" w:rsidRPr="00C10545" w:rsidRDefault="009A356E" w:rsidP="009A356E">
            <w:pPr>
              <w:jc w:val="right"/>
              <w:rPr>
                <w:sz w:val="18"/>
                <w:szCs w:val="18"/>
                <w:lang w:eastAsia="en-AU"/>
              </w:rPr>
            </w:pPr>
            <w:r w:rsidRPr="00C10545">
              <w:rPr>
                <w:sz w:val="18"/>
                <w:szCs w:val="18"/>
                <w:lang w:eastAsia="en-AU"/>
              </w:rPr>
              <w:t>$31.4</w:t>
            </w:r>
          </w:p>
        </w:tc>
        <w:tc>
          <w:tcPr>
            <w:tcW w:w="397" w:type="pct"/>
            <w:tcBorders>
              <w:top w:val="nil"/>
              <w:left w:val="nil"/>
              <w:bottom w:val="single" w:sz="4" w:space="0" w:color="auto"/>
              <w:right w:val="single" w:sz="4" w:space="0" w:color="auto"/>
            </w:tcBorders>
            <w:shd w:val="clear" w:color="auto" w:fill="DAEEF3" w:themeFill="accent5" w:themeFillTint="33"/>
            <w:noWrap/>
            <w:vAlign w:val="bottom"/>
            <w:hideMark/>
          </w:tcPr>
          <w:p w14:paraId="2E8C33F3" w14:textId="77777777" w:rsidR="009A356E" w:rsidRPr="00C10545" w:rsidRDefault="009A356E" w:rsidP="009A356E">
            <w:pPr>
              <w:jc w:val="right"/>
              <w:rPr>
                <w:sz w:val="18"/>
                <w:szCs w:val="18"/>
                <w:lang w:eastAsia="en-AU"/>
              </w:rPr>
            </w:pPr>
            <w:r w:rsidRPr="00C10545">
              <w:rPr>
                <w:sz w:val="18"/>
                <w:szCs w:val="18"/>
                <w:lang w:eastAsia="en-AU"/>
              </w:rPr>
              <w:t>$31.9</w:t>
            </w:r>
          </w:p>
        </w:tc>
        <w:tc>
          <w:tcPr>
            <w:tcW w:w="397" w:type="pct"/>
            <w:tcBorders>
              <w:top w:val="nil"/>
              <w:left w:val="nil"/>
              <w:bottom w:val="single" w:sz="4" w:space="0" w:color="auto"/>
              <w:right w:val="single" w:sz="4" w:space="0" w:color="auto"/>
            </w:tcBorders>
            <w:shd w:val="clear" w:color="auto" w:fill="DAEEF3" w:themeFill="accent5" w:themeFillTint="33"/>
            <w:noWrap/>
            <w:vAlign w:val="bottom"/>
            <w:hideMark/>
          </w:tcPr>
          <w:p w14:paraId="53B1C0AA" w14:textId="77777777" w:rsidR="009A356E" w:rsidRPr="00C10545" w:rsidRDefault="009A356E" w:rsidP="009A356E">
            <w:pPr>
              <w:jc w:val="right"/>
              <w:rPr>
                <w:sz w:val="18"/>
                <w:szCs w:val="18"/>
                <w:lang w:eastAsia="en-AU"/>
              </w:rPr>
            </w:pPr>
            <w:r w:rsidRPr="00C10545">
              <w:rPr>
                <w:sz w:val="18"/>
                <w:szCs w:val="18"/>
                <w:lang w:eastAsia="en-AU"/>
              </w:rPr>
              <w:t>$30.8</w:t>
            </w:r>
          </w:p>
        </w:tc>
        <w:tc>
          <w:tcPr>
            <w:tcW w:w="397" w:type="pct"/>
            <w:tcBorders>
              <w:top w:val="nil"/>
              <w:left w:val="nil"/>
              <w:bottom w:val="single" w:sz="4" w:space="0" w:color="auto"/>
              <w:right w:val="single" w:sz="4" w:space="0" w:color="auto"/>
            </w:tcBorders>
            <w:shd w:val="clear" w:color="auto" w:fill="DAEEF3" w:themeFill="accent5" w:themeFillTint="33"/>
            <w:noWrap/>
            <w:vAlign w:val="bottom"/>
            <w:hideMark/>
          </w:tcPr>
          <w:p w14:paraId="6539119C" w14:textId="77777777" w:rsidR="009A356E" w:rsidRPr="00C10545" w:rsidRDefault="009A356E" w:rsidP="009A356E">
            <w:pPr>
              <w:jc w:val="right"/>
              <w:rPr>
                <w:sz w:val="18"/>
                <w:szCs w:val="18"/>
                <w:lang w:eastAsia="en-AU"/>
              </w:rPr>
            </w:pPr>
            <w:r w:rsidRPr="00C10545">
              <w:rPr>
                <w:sz w:val="18"/>
                <w:szCs w:val="18"/>
                <w:lang w:eastAsia="en-AU"/>
              </w:rPr>
              <w:t>$32.7</w:t>
            </w:r>
          </w:p>
        </w:tc>
        <w:tc>
          <w:tcPr>
            <w:tcW w:w="397" w:type="pct"/>
            <w:tcBorders>
              <w:top w:val="nil"/>
              <w:left w:val="nil"/>
              <w:bottom w:val="single" w:sz="4" w:space="0" w:color="auto"/>
              <w:right w:val="single" w:sz="4" w:space="0" w:color="auto"/>
            </w:tcBorders>
            <w:shd w:val="clear" w:color="auto" w:fill="DAEEF3" w:themeFill="accent5" w:themeFillTint="33"/>
            <w:noWrap/>
            <w:vAlign w:val="bottom"/>
            <w:hideMark/>
          </w:tcPr>
          <w:p w14:paraId="596579B8" w14:textId="77777777" w:rsidR="009A356E" w:rsidRPr="00C10545" w:rsidRDefault="009A356E" w:rsidP="009A356E">
            <w:pPr>
              <w:jc w:val="right"/>
              <w:rPr>
                <w:sz w:val="18"/>
                <w:szCs w:val="18"/>
                <w:lang w:eastAsia="en-AU"/>
              </w:rPr>
            </w:pPr>
            <w:r w:rsidRPr="00C10545">
              <w:rPr>
                <w:sz w:val="18"/>
                <w:szCs w:val="18"/>
                <w:lang w:eastAsia="en-AU"/>
              </w:rPr>
              <w:t>$32.0</w:t>
            </w:r>
          </w:p>
        </w:tc>
      </w:tr>
      <w:tr w:rsidR="009A356E" w:rsidRPr="003B76D5" w14:paraId="19019510" w14:textId="77777777" w:rsidTr="009A356E">
        <w:trPr>
          <w:trHeight w:val="240"/>
        </w:trPr>
        <w:tc>
          <w:tcPr>
            <w:tcW w:w="2224" w:type="pct"/>
            <w:tcBorders>
              <w:top w:val="nil"/>
              <w:left w:val="single" w:sz="4" w:space="0" w:color="auto"/>
              <w:bottom w:val="single" w:sz="4" w:space="0" w:color="auto"/>
              <w:right w:val="single" w:sz="4" w:space="0" w:color="auto"/>
            </w:tcBorders>
            <w:shd w:val="clear" w:color="auto" w:fill="DAEEF3" w:themeFill="accent5" w:themeFillTint="33"/>
            <w:noWrap/>
            <w:vAlign w:val="bottom"/>
            <w:hideMark/>
          </w:tcPr>
          <w:p w14:paraId="5A720D29" w14:textId="77777777" w:rsidR="009A356E" w:rsidRPr="00C10545" w:rsidRDefault="009A356E" w:rsidP="009A356E">
            <w:pPr>
              <w:rPr>
                <w:sz w:val="18"/>
                <w:szCs w:val="18"/>
                <w:lang w:eastAsia="en-AU"/>
              </w:rPr>
            </w:pPr>
            <w:r w:rsidRPr="00C10545">
              <w:rPr>
                <w:sz w:val="18"/>
                <w:szCs w:val="18"/>
                <w:lang w:eastAsia="en-AU"/>
              </w:rPr>
              <w:t>Total Expenses per Head - R &amp; R</w:t>
            </w:r>
          </w:p>
        </w:tc>
        <w:tc>
          <w:tcPr>
            <w:tcW w:w="397" w:type="pct"/>
            <w:tcBorders>
              <w:top w:val="nil"/>
              <w:left w:val="nil"/>
              <w:bottom w:val="single" w:sz="4" w:space="0" w:color="auto"/>
              <w:right w:val="single" w:sz="4" w:space="0" w:color="auto"/>
            </w:tcBorders>
            <w:shd w:val="clear" w:color="auto" w:fill="DAEEF3" w:themeFill="accent5" w:themeFillTint="33"/>
            <w:noWrap/>
            <w:vAlign w:val="bottom"/>
            <w:hideMark/>
          </w:tcPr>
          <w:p w14:paraId="646FBA6E" w14:textId="77777777" w:rsidR="009A356E" w:rsidRPr="00C10545" w:rsidRDefault="009A356E" w:rsidP="009A356E">
            <w:pPr>
              <w:jc w:val="right"/>
              <w:rPr>
                <w:sz w:val="18"/>
                <w:szCs w:val="18"/>
                <w:lang w:eastAsia="en-AU"/>
              </w:rPr>
            </w:pPr>
            <w:r w:rsidRPr="00C10545">
              <w:rPr>
                <w:sz w:val="18"/>
                <w:szCs w:val="18"/>
                <w:lang w:eastAsia="en-AU"/>
              </w:rPr>
              <w:t>$24.1</w:t>
            </w:r>
          </w:p>
        </w:tc>
        <w:tc>
          <w:tcPr>
            <w:tcW w:w="397" w:type="pct"/>
            <w:tcBorders>
              <w:top w:val="nil"/>
              <w:left w:val="nil"/>
              <w:bottom w:val="single" w:sz="4" w:space="0" w:color="auto"/>
              <w:right w:val="single" w:sz="4" w:space="0" w:color="auto"/>
            </w:tcBorders>
            <w:shd w:val="clear" w:color="auto" w:fill="DAEEF3" w:themeFill="accent5" w:themeFillTint="33"/>
            <w:noWrap/>
            <w:vAlign w:val="bottom"/>
            <w:hideMark/>
          </w:tcPr>
          <w:p w14:paraId="2D4FF450" w14:textId="77777777" w:rsidR="009A356E" w:rsidRPr="00C10545" w:rsidRDefault="009A356E" w:rsidP="009A356E">
            <w:pPr>
              <w:jc w:val="right"/>
              <w:rPr>
                <w:sz w:val="18"/>
                <w:szCs w:val="18"/>
                <w:lang w:eastAsia="en-AU"/>
              </w:rPr>
            </w:pPr>
            <w:r w:rsidRPr="00C10545">
              <w:rPr>
                <w:sz w:val="18"/>
                <w:szCs w:val="18"/>
                <w:lang w:eastAsia="en-AU"/>
              </w:rPr>
              <w:t>$26.6</w:t>
            </w:r>
          </w:p>
        </w:tc>
        <w:tc>
          <w:tcPr>
            <w:tcW w:w="397" w:type="pct"/>
            <w:tcBorders>
              <w:top w:val="nil"/>
              <w:left w:val="nil"/>
              <w:bottom w:val="single" w:sz="4" w:space="0" w:color="auto"/>
              <w:right w:val="single" w:sz="4" w:space="0" w:color="auto"/>
            </w:tcBorders>
            <w:shd w:val="clear" w:color="auto" w:fill="DAEEF3" w:themeFill="accent5" w:themeFillTint="33"/>
            <w:noWrap/>
            <w:vAlign w:val="bottom"/>
            <w:hideMark/>
          </w:tcPr>
          <w:p w14:paraId="6F5C7F8B" w14:textId="77777777" w:rsidR="009A356E" w:rsidRPr="00C10545" w:rsidRDefault="009A356E" w:rsidP="009A356E">
            <w:pPr>
              <w:jc w:val="right"/>
              <w:rPr>
                <w:sz w:val="18"/>
                <w:szCs w:val="18"/>
                <w:lang w:eastAsia="en-AU"/>
              </w:rPr>
            </w:pPr>
            <w:r w:rsidRPr="00C10545">
              <w:rPr>
                <w:sz w:val="18"/>
                <w:szCs w:val="18"/>
                <w:lang w:eastAsia="en-AU"/>
              </w:rPr>
              <w:t>$27.3</w:t>
            </w:r>
          </w:p>
        </w:tc>
        <w:tc>
          <w:tcPr>
            <w:tcW w:w="397" w:type="pct"/>
            <w:tcBorders>
              <w:top w:val="nil"/>
              <w:left w:val="nil"/>
              <w:bottom w:val="single" w:sz="4" w:space="0" w:color="auto"/>
              <w:right w:val="single" w:sz="4" w:space="0" w:color="auto"/>
            </w:tcBorders>
            <w:shd w:val="clear" w:color="auto" w:fill="DAEEF3" w:themeFill="accent5" w:themeFillTint="33"/>
            <w:noWrap/>
            <w:vAlign w:val="bottom"/>
            <w:hideMark/>
          </w:tcPr>
          <w:p w14:paraId="4A95F992" w14:textId="77777777" w:rsidR="009A356E" w:rsidRPr="00C10545" w:rsidRDefault="009A356E" w:rsidP="009A356E">
            <w:pPr>
              <w:jc w:val="right"/>
              <w:rPr>
                <w:sz w:val="18"/>
                <w:szCs w:val="18"/>
                <w:lang w:eastAsia="en-AU"/>
              </w:rPr>
            </w:pPr>
            <w:r w:rsidRPr="00C10545">
              <w:rPr>
                <w:sz w:val="18"/>
                <w:szCs w:val="18"/>
                <w:lang w:eastAsia="en-AU"/>
              </w:rPr>
              <w:t>$30.4</w:t>
            </w:r>
          </w:p>
        </w:tc>
        <w:tc>
          <w:tcPr>
            <w:tcW w:w="397" w:type="pct"/>
            <w:tcBorders>
              <w:top w:val="nil"/>
              <w:left w:val="nil"/>
              <w:bottom w:val="single" w:sz="4" w:space="0" w:color="auto"/>
              <w:right w:val="single" w:sz="4" w:space="0" w:color="auto"/>
            </w:tcBorders>
            <w:shd w:val="clear" w:color="auto" w:fill="DAEEF3" w:themeFill="accent5" w:themeFillTint="33"/>
            <w:noWrap/>
            <w:vAlign w:val="bottom"/>
            <w:hideMark/>
          </w:tcPr>
          <w:p w14:paraId="76943C77" w14:textId="77777777" w:rsidR="009A356E" w:rsidRPr="00C10545" w:rsidRDefault="009A356E" w:rsidP="009A356E">
            <w:pPr>
              <w:jc w:val="right"/>
              <w:rPr>
                <w:sz w:val="18"/>
                <w:szCs w:val="18"/>
                <w:lang w:eastAsia="en-AU"/>
              </w:rPr>
            </w:pPr>
            <w:r w:rsidRPr="00C10545">
              <w:rPr>
                <w:sz w:val="18"/>
                <w:szCs w:val="18"/>
                <w:lang w:eastAsia="en-AU"/>
              </w:rPr>
              <w:t>$30.3</w:t>
            </w:r>
          </w:p>
        </w:tc>
        <w:tc>
          <w:tcPr>
            <w:tcW w:w="397" w:type="pct"/>
            <w:tcBorders>
              <w:top w:val="nil"/>
              <w:left w:val="nil"/>
              <w:bottom w:val="single" w:sz="4" w:space="0" w:color="auto"/>
              <w:right w:val="single" w:sz="4" w:space="0" w:color="auto"/>
            </w:tcBorders>
            <w:shd w:val="clear" w:color="auto" w:fill="DAEEF3" w:themeFill="accent5" w:themeFillTint="33"/>
            <w:noWrap/>
            <w:vAlign w:val="bottom"/>
            <w:hideMark/>
          </w:tcPr>
          <w:p w14:paraId="2FE086AF" w14:textId="77777777" w:rsidR="009A356E" w:rsidRPr="00C10545" w:rsidRDefault="009A356E" w:rsidP="009A356E">
            <w:pPr>
              <w:jc w:val="right"/>
              <w:rPr>
                <w:sz w:val="18"/>
                <w:szCs w:val="18"/>
                <w:lang w:eastAsia="en-AU"/>
              </w:rPr>
            </w:pPr>
            <w:r w:rsidRPr="00C10545">
              <w:rPr>
                <w:sz w:val="18"/>
                <w:szCs w:val="18"/>
                <w:lang w:eastAsia="en-AU"/>
              </w:rPr>
              <w:t>$31.7</w:t>
            </w:r>
          </w:p>
        </w:tc>
        <w:tc>
          <w:tcPr>
            <w:tcW w:w="397" w:type="pct"/>
            <w:tcBorders>
              <w:top w:val="nil"/>
              <w:left w:val="nil"/>
              <w:bottom w:val="single" w:sz="4" w:space="0" w:color="auto"/>
              <w:right w:val="single" w:sz="4" w:space="0" w:color="auto"/>
            </w:tcBorders>
            <w:shd w:val="clear" w:color="auto" w:fill="DAEEF3" w:themeFill="accent5" w:themeFillTint="33"/>
            <w:noWrap/>
            <w:vAlign w:val="bottom"/>
            <w:hideMark/>
          </w:tcPr>
          <w:p w14:paraId="539BBF2A" w14:textId="77777777" w:rsidR="009A356E" w:rsidRPr="00C10545" w:rsidRDefault="009A356E" w:rsidP="009A356E">
            <w:pPr>
              <w:jc w:val="right"/>
              <w:rPr>
                <w:sz w:val="18"/>
                <w:szCs w:val="18"/>
                <w:lang w:eastAsia="en-AU"/>
              </w:rPr>
            </w:pPr>
            <w:r w:rsidRPr="00C10545">
              <w:rPr>
                <w:sz w:val="18"/>
                <w:szCs w:val="18"/>
                <w:lang w:eastAsia="en-AU"/>
              </w:rPr>
              <w:t>$29.8</w:t>
            </w:r>
          </w:p>
        </w:tc>
      </w:tr>
      <w:tr w:rsidR="009A356E" w:rsidRPr="003B76D5" w14:paraId="0508CF22" w14:textId="77777777" w:rsidTr="009A356E">
        <w:trPr>
          <w:trHeight w:val="240"/>
        </w:trPr>
        <w:tc>
          <w:tcPr>
            <w:tcW w:w="2224" w:type="pct"/>
            <w:tcBorders>
              <w:top w:val="nil"/>
              <w:left w:val="single" w:sz="4" w:space="0" w:color="auto"/>
              <w:bottom w:val="single" w:sz="4" w:space="0" w:color="auto"/>
              <w:right w:val="single" w:sz="4" w:space="0" w:color="auto"/>
            </w:tcBorders>
            <w:shd w:val="clear" w:color="auto" w:fill="DAEEF3" w:themeFill="accent5" w:themeFillTint="33"/>
            <w:noWrap/>
            <w:vAlign w:val="bottom"/>
            <w:hideMark/>
          </w:tcPr>
          <w:p w14:paraId="6CC04261" w14:textId="77777777" w:rsidR="009A356E" w:rsidRPr="00C10545" w:rsidRDefault="009A356E" w:rsidP="009A356E">
            <w:pPr>
              <w:rPr>
                <w:sz w:val="18"/>
                <w:szCs w:val="18"/>
                <w:lang w:eastAsia="en-AU"/>
              </w:rPr>
            </w:pPr>
            <w:r w:rsidRPr="00C10545">
              <w:rPr>
                <w:sz w:val="18"/>
                <w:szCs w:val="18"/>
                <w:lang w:eastAsia="en-AU"/>
              </w:rPr>
              <w:t xml:space="preserve">Recurrent Expenses# - All </w:t>
            </w:r>
          </w:p>
        </w:tc>
        <w:tc>
          <w:tcPr>
            <w:tcW w:w="397" w:type="pct"/>
            <w:tcBorders>
              <w:top w:val="nil"/>
              <w:left w:val="nil"/>
              <w:bottom w:val="single" w:sz="4" w:space="0" w:color="auto"/>
              <w:right w:val="single" w:sz="4" w:space="0" w:color="auto"/>
            </w:tcBorders>
            <w:shd w:val="clear" w:color="auto" w:fill="DAEEF3" w:themeFill="accent5" w:themeFillTint="33"/>
            <w:noWrap/>
            <w:vAlign w:val="bottom"/>
            <w:hideMark/>
          </w:tcPr>
          <w:p w14:paraId="26BF6C97" w14:textId="77777777" w:rsidR="009A356E" w:rsidRPr="00C10545" w:rsidRDefault="009A356E" w:rsidP="009A356E">
            <w:pPr>
              <w:jc w:val="right"/>
              <w:rPr>
                <w:sz w:val="18"/>
                <w:szCs w:val="18"/>
                <w:lang w:eastAsia="en-AU"/>
              </w:rPr>
            </w:pPr>
            <w:r w:rsidRPr="00C10545">
              <w:rPr>
                <w:sz w:val="18"/>
                <w:szCs w:val="18"/>
                <w:lang w:eastAsia="en-AU"/>
              </w:rPr>
              <w:t>$26.7</w:t>
            </w:r>
          </w:p>
        </w:tc>
        <w:tc>
          <w:tcPr>
            <w:tcW w:w="397" w:type="pct"/>
            <w:tcBorders>
              <w:top w:val="nil"/>
              <w:left w:val="nil"/>
              <w:bottom w:val="single" w:sz="4" w:space="0" w:color="auto"/>
              <w:right w:val="single" w:sz="4" w:space="0" w:color="auto"/>
            </w:tcBorders>
            <w:shd w:val="clear" w:color="auto" w:fill="DAEEF3" w:themeFill="accent5" w:themeFillTint="33"/>
            <w:noWrap/>
            <w:vAlign w:val="bottom"/>
            <w:hideMark/>
          </w:tcPr>
          <w:p w14:paraId="18B59F2B" w14:textId="77777777" w:rsidR="009A356E" w:rsidRPr="00C10545" w:rsidRDefault="009A356E" w:rsidP="009A356E">
            <w:pPr>
              <w:jc w:val="right"/>
              <w:rPr>
                <w:sz w:val="18"/>
                <w:szCs w:val="18"/>
                <w:lang w:eastAsia="en-AU"/>
              </w:rPr>
            </w:pPr>
            <w:r w:rsidRPr="00C10545">
              <w:rPr>
                <w:sz w:val="18"/>
                <w:szCs w:val="18"/>
                <w:lang w:eastAsia="en-AU"/>
              </w:rPr>
              <w:t>$26.5</w:t>
            </w:r>
          </w:p>
        </w:tc>
        <w:tc>
          <w:tcPr>
            <w:tcW w:w="397" w:type="pct"/>
            <w:tcBorders>
              <w:top w:val="nil"/>
              <w:left w:val="nil"/>
              <w:bottom w:val="single" w:sz="4" w:space="0" w:color="auto"/>
              <w:right w:val="single" w:sz="4" w:space="0" w:color="auto"/>
            </w:tcBorders>
            <w:shd w:val="clear" w:color="auto" w:fill="DAEEF3" w:themeFill="accent5" w:themeFillTint="33"/>
            <w:noWrap/>
            <w:vAlign w:val="bottom"/>
            <w:hideMark/>
          </w:tcPr>
          <w:p w14:paraId="0AA804F3" w14:textId="77777777" w:rsidR="009A356E" w:rsidRPr="00C10545" w:rsidRDefault="009A356E" w:rsidP="009A356E">
            <w:pPr>
              <w:jc w:val="right"/>
              <w:rPr>
                <w:sz w:val="18"/>
                <w:szCs w:val="18"/>
                <w:lang w:eastAsia="en-AU"/>
              </w:rPr>
            </w:pPr>
            <w:r w:rsidRPr="00C10545">
              <w:rPr>
                <w:sz w:val="18"/>
                <w:szCs w:val="18"/>
                <w:lang w:eastAsia="en-AU"/>
              </w:rPr>
              <w:t>$28.7</w:t>
            </w:r>
          </w:p>
        </w:tc>
        <w:tc>
          <w:tcPr>
            <w:tcW w:w="397" w:type="pct"/>
            <w:tcBorders>
              <w:top w:val="nil"/>
              <w:left w:val="nil"/>
              <w:bottom w:val="single" w:sz="4" w:space="0" w:color="auto"/>
              <w:right w:val="single" w:sz="4" w:space="0" w:color="auto"/>
            </w:tcBorders>
            <w:shd w:val="clear" w:color="auto" w:fill="DAEEF3" w:themeFill="accent5" w:themeFillTint="33"/>
            <w:noWrap/>
            <w:vAlign w:val="bottom"/>
            <w:hideMark/>
          </w:tcPr>
          <w:p w14:paraId="6AD286F6" w14:textId="77777777" w:rsidR="009A356E" w:rsidRPr="00C10545" w:rsidRDefault="009A356E" w:rsidP="009A356E">
            <w:pPr>
              <w:jc w:val="right"/>
              <w:rPr>
                <w:sz w:val="18"/>
                <w:szCs w:val="18"/>
                <w:lang w:eastAsia="en-AU"/>
              </w:rPr>
            </w:pPr>
            <w:r w:rsidRPr="00C10545">
              <w:rPr>
                <w:sz w:val="18"/>
                <w:szCs w:val="18"/>
                <w:lang w:eastAsia="en-AU"/>
              </w:rPr>
              <w:t>$29.6</w:t>
            </w:r>
          </w:p>
        </w:tc>
        <w:tc>
          <w:tcPr>
            <w:tcW w:w="397" w:type="pct"/>
            <w:tcBorders>
              <w:top w:val="nil"/>
              <w:left w:val="nil"/>
              <w:bottom w:val="single" w:sz="4" w:space="0" w:color="auto"/>
              <w:right w:val="single" w:sz="4" w:space="0" w:color="auto"/>
            </w:tcBorders>
            <w:shd w:val="clear" w:color="auto" w:fill="DAEEF3" w:themeFill="accent5" w:themeFillTint="33"/>
            <w:noWrap/>
            <w:vAlign w:val="bottom"/>
            <w:hideMark/>
          </w:tcPr>
          <w:p w14:paraId="29907D69" w14:textId="77777777" w:rsidR="009A356E" w:rsidRPr="00C10545" w:rsidRDefault="009A356E" w:rsidP="009A356E">
            <w:pPr>
              <w:jc w:val="right"/>
              <w:rPr>
                <w:sz w:val="18"/>
                <w:szCs w:val="18"/>
                <w:lang w:eastAsia="en-AU"/>
              </w:rPr>
            </w:pPr>
            <w:r w:rsidRPr="00C10545">
              <w:rPr>
                <w:sz w:val="18"/>
                <w:szCs w:val="18"/>
                <w:lang w:eastAsia="en-AU"/>
              </w:rPr>
              <w:t>$28.5</w:t>
            </w:r>
          </w:p>
        </w:tc>
        <w:tc>
          <w:tcPr>
            <w:tcW w:w="397" w:type="pct"/>
            <w:tcBorders>
              <w:top w:val="nil"/>
              <w:left w:val="nil"/>
              <w:bottom w:val="single" w:sz="4" w:space="0" w:color="auto"/>
              <w:right w:val="single" w:sz="4" w:space="0" w:color="auto"/>
            </w:tcBorders>
            <w:shd w:val="clear" w:color="auto" w:fill="DAEEF3" w:themeFill="accent5" w:themeFillTint="33"/>
            <w:noWrap/>
            <w:vAlign w:val="bottom"/>
            <w:hideMark/>
          </w:tcPr>
          <w:p w14:paraId="2727EA28" w14:textId="77777777" w:rsidR="009A356E" w:rsidRPr="00C10545" w:rsidRDefault="009A356E" w:rsidP="009A356E">
            <w:pPr>
              <w:jc w:val="right"/>
              <w:rPr>
                <w:sz w:val="18"/>
                <w:szCs w:val="18"/>
                <w:lang w:eastAsia="en-AU"/>
              </w:rPr>
            </w:pPr>
            <w:r w:rsidRPr="00C10545">
              <w:rPr>
                <w:sz w:val="18"/>
                <w:szCs w:val="18"/>
                <w:lang w:eastAsia="en-AU"/>
              </w:rPr>
              <w:t>$28.8</w:t>
            </w:r>
          </w:p>
        </w:tc>
        <w:tc>
          <w:tcPr>
            <w:tcW w:w="397" w:type="pct"/>
            <w:tcBorders>
              <w:top w:val="nil"/>
              <w:left w:val="nil"/>
              <w:bottom w:val="single" w:sz="4" w:space="0" w:color="auto"/>
              <w:right w:val="single" w:sz="4" w:space="0" w:color="auto"/>
            </w:tcBorders>
            <w:shd w:val="clear" w:color="auto" w:fill="DAEEF3" w:themeFill="accent5" w:themeFillTint="33"/>
            <w:noWrap/>
            <w:vAlign w:val="bottom"/>
            <w:hideMark/>
          </w:tcPr>
          <w:p w14:paraId="414EBF2C" w14:textId="77777777" w:rsidR="009A356E" w:rsidRPr="00C10545" w:rsidRDefault="009A356E" w:rsidP="009A356E">
            <w:pPr>
              <w:jc w:val="right"/>
              <w:rPr>
                <w:sz w:val="18"/>
                <w:szCs w:val="18"/>
                <w:lang w:eastAsia="en-AU"/>
              </w:rPr>
            </w:pPr>
            <w:r w:rsidRPr="00C10545">
              <w:rPr>
                <w:sz w:val="18"/>
                <w:szCs w:val="18"/>
                <w:lang w:eastAsia="en-AU"/>
              </w:rPr>
              <w:t>$29.0</w:t>
            </w:r>
          </w:p>
        </w:tc>
      </w:tr>
      <w:tr w:rsidR="009A356E" w:rsidRPr="003B76D5" w14:paraId="7ADBEA92" w14:textId="77777777" w:rsidTr="009A356E">
        <w:trPr>
          <w:trHeight w:val="240"/>
        </w:trPr>
        <w:tc>
          <w:tcPr>
            <w:tcW w:w="2224" w:type="pct"/>
            <w:tcBorders>
              <w:top w:val="nil"/>
              <w:left w:val="single" w:sz="4" w:space="0" w:color="auto"/>
              <w:bottom w:val="single" w:sz="4" w:space="0" w:color="auto"/>
              <w:right w:val="single" w:sz="4" w:space="0" w:color="auto"/>
            </w:tcBorders>
            <w:shd w:val="clear" w:color="auto" w:fill="DAEEF3" w:themeFill="accent5" w:themeFillTint="33"/>
            <w:noWrap/>
            <w:vAlign w:val="bottom"/>
            <w:hideMark/>
          </w:tcPr>
          <w:p w14:paraId="3DFEFE27" w14:textId="4E8A14B2" w:rsidR="009A356E" w:rsidRPr="00C10545" w:rsidRDefault="009A356E" w:rsidP="009A356E">
            <w:pPr>
              <w:rPr>
                <w:sz w:val="18"/>
                <w:szCs w:val="18"/>
                <w:lang w:eastAsia="en-AU"/>
              </w:rPr>
            </w:pPr>
            <w:r w:rsidRPr="00C10545">
              <w:rPr>
                <w:sz w:val="18"/>
                <w:szCs w:val="18"/>
                <w:lang w:eastAsia="en-AU"/>
              </w:rPr>
              <w:t>Recurrent Expenses#- R &amp; R</w:t>
            </w:r>
          </w:p>
        </w:tc>
        <w:tc>
          <w:tcPr>
            <w:tcW w:w="397" w:type="pct"/>
            <w:tcBorders>
              <w:top w:val="nil"/>
              <w:left w:val="nil"/>
              <w:bottom w:val="single" w:sz="4" w:space="0" w:color="auto"/>
              <w:right w:val="single" w:sz="4" w:space="0" w:color="auto"/>
            </w:tcBorders>
            <w:shd w:val="clear" w:color="auto" w:fill="DAEEF3" w:themeFill="accent5" w:themeFillTint="33"/>
            <w:noWrap/>
            <w:vAlign w:val="bottom"/>
            <w:hideMark/>
          </w:tcPr>
          <w:p w14:paraId="7A68FDD9" w14:textId="77777777" w:rsidR="009A356E" w:rsidRPr="00C10545" w:rsidRDefault="009A356E" w:rsidP="009A356E">
            <w:pPr>
              <w:jc w:val="right"/>
              <w:rPr>
                <w:sz w:val="18"/>
                <w:szCs w:val="18"/>
                <w:lang w:eastAsia="en-AU"/>
              </w:rPr>
            </w:pPr>
            <w:r w:rsidRPr="00C10545">
              <w:rPr>
                <w:sz w:val="18"/>
                <w:szCs w:val="18"/>
                <w:lang w:eastAsia="en-AU"/>
              </w:rPr>
              <w:t>$21.3</w:t>
            </w:r>
          </w:p>
        </w:tc>
        <w:tc>
          <w:tcPr>
            <w:tcW w:w="397" w:type="pct"/>
            <w:tcBorders>
              <w:top w:val="nil"/>
              <w:left w:val="nil"/>
              <w:bottom w:val="single" w:sz="4" w:space="0" w:color="auto"/>
              <w:right w:val="single" w:sz="4" w:space="0" w:color="auto"/>
            </w:tcBorders>
            <w:shd w:val="clear" w:color="auto" w:fill="DAEEF3" w:themeFill="accent5" w:themeFillTint="33"/>
            <w:noWrap/>
            <w:vAlign w:val="bottom"/>
            <w:hideMark/>
          </w:tcPr>
          <w:p w14:paraId="28DF6C50" w14:textId="77777777" w:rsidR="009A356E" w:rsidRPr="00C10545" w:rsidRDefault="009A356E" w:rsidP="009A356E">
            <w:pPr>
              <w:jc w:val="right"/>
              <w:rPr>
                <w:sz w:val="18"/>
                <w:szCs w:val="18"/>
                <w:lang w:eastAsia="en-AU"/>
              </w:rPr>
            </w:pPr>
            <w:r w:rsidRPr="00C10545">
              <w:rPr>
                <w:sz w:val="18"/>
                <w:szCs w:val="18"/>
                <w:lang w:eastAsia="en-AU"/>
              </w:rPr>
              <w:t>$22.6</w:t>
            </w:r>
          </w:p>
        </w:tc>
        <w:tc>
          <w:tcPr>
            <w:tcW w:w="397" w:type="pct"/>
            <w:tcBorders>
              <w:top w:val="nil"/>
              <w:left w:val="nil"/>
              <w:bottom w:val="single" w:sz="4" w:space="0" w:color="auto"/>
              <w:right w:val="single" w:sz="4" w:space="0" w:color="auto"/>
            </w:tcBorders>
            <w:shd w:val="clear" w:color="auto" w:fill="DAEEF3" w:themeFill="accent5" w:themeFillTint="33"/>
            <w:noWrap/>
            <w:vAlign w:val="bottom"/>
            <w:hideMark/>
          </w:tcPr>
          <w:p w14:paraId="1E4B03EB" w14:textId="77777777" w:rsidR="009A356E" w:rsidRPr="00C10545" w:rsidRDefault="009A356E" w:rsidP="009A356E">
            <w:pPr>
              <w:jc w:val="right"/>
              <w:rPr>
                <w:sz w:val="18"/>
                <w:szCs w:val="18"/>
                <w:lang w:eastAsia="en-AU"/>
              </w:rPr>
            </w:pPr>
            <w:r w:rsidRPr="00C10545">
              <w:rPr>
                <w:sz w:val="18"/>
                <w:szCs w:val="18"/>
                <w:lang w:eastAsia="en-AU"/>
              </w:rPr>
              <w:t>$25.9</w:t>
            </w:r>
          </w:p>
        </w:tc>
        <w:tc>
          <w:tcPr>
            <w:tcW w:w="397" w:type="pct"/>
            <w:tcBorders>
              <w:top w:val="nil"/>
              <w:left w:val="nil"/>
              <w:bottom w:val="single" w:sz="4" w:space="0" w:color="auto"/>
              <w:right w:val="single" w:sz="4" w:space="0" w:color="auto"/>
            </w:tcBorders>
            <w:shd w:val="clear" w:color="auto" w:fill="DAEEF3" w:themeFill="accent5" w:themeFillTint="33"/>
            <w:noWrap/>
            <w:vAlign w:val="bottom"/>
            <w:hideMark/>
          </w:tcPr>
          <w:p w14:paraId="3EE21375" w14:textId="77777777" w:rsidR="009A356E" w:rsidRPr="00C10545" w:rsidRDefault="009A356E" w:rsidP="009A356E">
            <w:pPr>
              <w:jc w:val="right"/>
              <w:rPr>
                <w:sz w:val="18"/>
                <w:szCs w:val="18"/>
                <w:lang w:eastAsia="en-AU"/>
              </w:rPr>
            </w:pPr>
            <w:r w:rsidRPr="00C10545">
              <w:rPr>
                <w:sz w:val="18"/>
                <w:szCs w:val="18"/>
                <w:lang w:eastAsia="en-AU"/>
              </w:rPr>
              <w:t>$28.9</w:t>
            </w:r>
          </w:p>
        </w:tc>
        <w:tc>
          <w:tcPr>
            <w:tcW w:w="397" w:type="pct"/>
            <w:tcBorders>
              <w:top w:val="nil"/>
              <w:left w:val="nil"/>
              <w:bottom w:val="single" w:sz="4" w:space="0" w:color="auto"/>
              <w:right w:val="single" w:sz="4" w:space="0" w:color="auto"/>
            </w:tcBorders>
            <w:shd w:val="clear" w:color="auto" w:fill="DAEEF3" w:themeFill="accent5" w:themeFillTint="33"/>
            <w:noWrap/>
            <w:vAlign w:val="bottom"/>
            <w:hideMark/>
          </w:tcPr>
          <w:p w14:paraId="0211351E" w14:textId="77777777" w:rsidR="009A356E" w:rsidRPr="00C10545" w:rsidRDefault="009A356E" w:rsidP="009A356E">
            <w:pPr>
              <w:jc w:val="right"/>
              <w:rPr>
                <w:sz w:val="18"/>
                <w:szCs w:val="18"/>
                <w:lang w:eastAsia="en-AU"/>
              </w:rPr>
            </w:pPr>
            <w:r w:rsidRPr="00C10545">
              <w:rPr>
                <w:sz w:val="18"/>
                <w:szCs w:val="18"/>
                <w:lang w:eastAsia="en-AU"/>
              </w:rPr>
              <w:t>$29.0</w:t>
            </w:r>
          </w:p>
        </w:tc>
        <w:tc>
          <w:tcPr>
            <w:tcW w:w="397" w:type="pct"/>
            <w:tcBorders>
              <w:top w:val="nil"/>
              <w:left w:val="nil"/>
              <w:bottom w:val="single" w:sz="4" w:space="0" w:color="auto"/>
              <w:right w:val="single" w:sz="4" w:space="0" w:color="auto"/>
            </w:tcBorders>
            <w:shd w:val="clear" w:color="auto" w:fill="DAEEF3" w:themeFill="accent5" w:themeFillTint="33"/>
            <w:noWrap/>
            <w:vAlign w:val="bottom"/>
            <w:hideMark/>
          </w:tcPr>
          <w:p w14:paraId="692F698E" w14:textId="77777777" w:rsidR="009A356E" w:rsidRPr="00C10545" w:rsidRDefault="009A356E" w:rsidP="009A356E">
            <w:pPr>
              <w:jc w:val="right"/>
              <w:rPr>
                <w:sz w:val="18"/>
                <w:szCs w:val="18"/>
                <w:lang w:eastAsia="en-AU"/>
              </w:rPr>
            </w:pPr>
            <w:r w:rsidRPr="00C10545">
              <w:rPr>
                <w:sz w:val="18"/>
                <w:szCs w:val="18"/>
                <w:lang w:eastAsia="en-AU"/>
              </w:rPr>
              <w:t>$28.9</w:t>
            </w:r>
          </w:p>
        </w:tc>
        <w:tc>
          <w:tcPr>
            <w:tcW w:w="397" w:type="pct"/>
            <w:tcBorders>
              <w:top w:val="nil"/>
              <w:left w:val="nil"/>
              <w:bottom w:val="single" w:sz="4" w:space="0" w:color="auto"/>
              <w:right w:val="single" w:sz="4" w:space="0" w:color="auto"/>
            </w:tcBorders>
            <w:shd w:val="clear" w:color="auto" w:fill="DAEEF3" w:themeFill="accent5" w:themeFillTint="33"/>
            <w:noWrap/>
            <w:vAlign w:val="bottom"/>
            <w:hideMark/>
          </w:tcPr>
          <w:p w14:paraId="5AF16C7D" w14:textId="77777777" w:rsidR="009A356E" w:rsidRPr="00C10545" w:rsidRDefault="009A356E" w:rsidP="009A356E">
            <w:pPr>
              <w:jc w:val="right"/>
              <w:rPr>
                <w:sz w:val="18"/>
                <w:szCs w:val="18"/>
                <w:lang w:eastAsia="en-AU"/>
              </w:rPr>
            </w:pPr>
            <w:r w:rsidRPr="00C10545">
              <w:rPr>
                <w:sz w:val="18"/>
                <w:szCs w:val="18"/>
                <w:lang w:eastAsia="en-AU"/>
              </w:rPr>
              <w:t>$28.3</w:t>
            </w:r>
          </w:p>
        </w:tc>
      </w:tr>
      <w:tr w:rsidR="009A356E" w:rsidRPr="003B76D5" w14:paraId="35A5799E" w14:textId="77777777" w:rsidTr="009A356E">
        <w:trPr>
          <w:trHeight w:val="240"/>
        </w:trPr>
        <w:tc>
          <w:tcPr>
            <w:tcW w:w="2224" w:type="pct"/>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14:paraId="61C2EA35" w14:textId="77777777" w:rsidR="009A356E" w:rsidRPr="00C10545" w:rsidRDefault="009A356E" w:rsidP="009A356E">
            <w:pPr>
              <w:rPr>
                <w:sz w:val="18"/>
                <w:szCs w:val="18"/>
                <w:lang w:eastAsia="en-AU"/>
              </w:rPr>
            </w:pPr>
            <w:r w:rsidRPr="00C10545">
              <w:rPr>
                <w:sz w:val="18"/>
                <w:szCs w:val="18"/>
                <w:lang w:eastAsia="en-AU"/>
              </w:rPr>
              <w:t xml:space="preserve">Total Grants as % Total Expenses - All </w:t>
            </w:r>
          </w:p>
        </w:tc>
        <w:tc>
          <w:tcPr>
            <w:tcW w:w="397" w:type="pct"/>
            <w:tcBorders>
              <w:top w:val="nil"/>
              <w:left w:val="nil"/>
              <w:bottom w:val="single" w:sz="4" w:space="0" w:color="auto"/>
              <w:right w:val="single" w:sz="4" w:space="0" w:color="auto"/>
            </w:tcBorders>
            <w:shd w:val="clear" w:color="auto" w:fill="FDE9D9" w:themeFill="accent6" w:themeFillTint="33"/>
            <w:noWrap/>
            <w:vAlign w:val="bottom"/>
            <w:hideMark/>
          </w:tcPr>
          <w:p w14:paraId="0D9FE72C" w14:textId="77777777" w:rsidR="009A356E" w:rsidRPr="00C10545" w:rsidRDefault="009A356E" w:rsidP="009A356E">
            <w:pPr>
              <w:jc w:val="right"/>
              <w:rPr>
                <w:sz w:val="18"/>
                <w:szCs w:val="18"/>
                <w:lang w:eastAsia="en-AU"/>
              </w:rPr>
            </w:pPr>
            <w:r w:rsidRPr="00C10545">
              <w:rPr>
                <w:sz w:val="18"/>
                <w:szCs w:val="18"/>
                <w:lang w:eastAsia="en-AU"/>
              </w:rPr>
              <w:t>16.5%</w:t>
            </w:r>
          </w:p>
        </w:tc>
        <w:tc>
          <w:tcPr>
            <w:tcW w:w="397" w:type="pct"/>
            <w:tcBorders>
              <w:top w:val="nil"/>
              <w:left w:val="nil"/>
              <w:bottom w:val="single" w:sz="4" w:space="0" w:color="auto"/>
              <w:right w:val="single" w:sz="4" w:space="0" w:color="auto"/>
            </w:tcBorders>
            <w:shd w:val="clear" w:color="auto" w:fill="FDE9D9" w:themeFill="accent6" w:themeFillTint="33"/>
            <w:noWrap/>
            <w:vAlign w:val="bottom"/>
            <w:hideMark/>
          </w:tcPr>
          <w:p w14:paraId="4A743663" w14:textId="77777777" w:rsidR="009A356E" w:rsidRPr="00C10545" w:rsidRDefault="009A356E" w:rsidP="009A356E">
            <w:pPr>
              <w:jc w:val="right"/>
              <w:rPr>
                <w:sz w:val="18"/>
                <w:szCs w:val="18"/>
                <w:lang w:eastAsia="en-AU"/>
              </w:rPr>
            </w:pPr>
            <w:r w:rsidRPr="00C10545">
              <w:rPr>
                <w:sz w:val="18"/>
                <w:szCs w:val="18"/>
                <w:lang w:eastAsia="en-AU"/>
              </w:rPr>
              <w:t>18.0%</w:t>
            </w:r>
          </w:p>
        </w:tc>
        <w:tc>
          <w:tcPr>
            <w:tcW w:w="397" w:type="pct"/>
            <w:tcBorders>
              <w:top w:val="nil"/>
              <w:left w:val="nil"/>
              <w:bottom w:val="single" w:sz="4" w:space="0" w:color="auto"/>
              <w:right w:val="single" w:sz="4" w:space="0" w:color="auto"/>
            </w:tcBorders>
            <w:shd w:val="clear" w:color="auto" w:fill="FDE9D9" w:themeFill="accent6" w:themeFillTint="33"/>
            <w:noWrap/>
            <w:vAlign w:val="bottom"/>
            <w:hideMark/>
          </w:tcPr>
          <w:p w14:paraId="67573EAB" w14:textId="77777777" w:rsidR="009A356E" w:rsidRPr="00C10545" w:rsidRDefault="009A356E" w:rsidP="009A356E">
            <w:pPr>
              <w:jc w:val="right"/>
              <w:rPr>
                <w:sz w:val="18"/>
                <w:szCs w:val="18"/>
                <w:lang w:eastAsia="en-AU"/>
              </w:rPr>
            </w:pPr>
            <w:r w:rsidRPr="00C10545">
              <w:rPr>
                <w:sz w:val="18"/>
                <w:szCs w:val="18"/>
                <w:lang w:eastAsia="en-AU"/>
              </w:rPr>
              <w:t>18.8%</w:t>
            </w:r>
          </w:p>
        </w:tc>
        <w:tc>
          <w:tcPr>
            <w:tcW w:w="397" w:type="pct"/>
            <w:tcBorders>
              <w:top w:val="nil"/>
              <w:left w:val="nil"/>
              <w:bottom w:val="single" w:sz="4" w:space="0" w:color="auto"/>
              <w:right w:val="single" w:sz="4" w:space="0" w:color="auto"/>
            </w:tcBorders>
            <w:shd w:val="clear" w:color="auto" w:fill="FDE9D9" w:themeFill="accent6" w:themeFillTint="33"/>
            <w:noWrap/>
            <w:vAlign w:val="bottom"/>
            <w:hideMark/>
          </w:tcPr>
          <w:p w14:paraId="190C03A2" w14:textId="77777777" w:rsidR="009A356E" w:rsidRPr="00C10545" w:rsidRDefault="009A356E" w:rsidP="009A356E">
            <w:pPr>
              <w:jc w:val="right"/>
              <w:rPr>
                <w:sz w:val="18"/>
                <w:szCs w:val="18"/>
                <w:lang w:eastAsia="en-AU"/>
              </w:rPr>
            </w:pPr>
            <w:r w:rsidRPr="00C10545">
              <w:rPr>
                <w:sz w:val="18"/>
                <w:szCs w:val="18"/>
                <w:lang w:eastAsia="en-AU"/>
              </w:rPr>
              <w:t>16.7%</w:t>
            </w:r>
          </w:p>
        </w:tc>
        <w:tc>
          <w:tcPr>
            <w:tcW w:w="397" w:type="pct"/>
            <w:tcBorders>
              <w:top w:val="nil"/>
              <w:left w:val="nil"/>
              <w:bottom w:val="single" w:sz="4" w:space="0" w:color="auto"/>
              <w:right w:val="single" w:sz="4" w:space="0" w:color="auto"/>
            </w:tcBorders>
            <w:shd w:val="clear" w:color="auto" w:fill="FDE9D9" w:themeFill="accent6" w:themeFillTint="33"/>
            <w:noWrap/>
            <w:vAlign w:val="bottom"/>
            <w:hideMark/>
          </w:tcPr>
          <w:p w14:paraId="7CF42BB3" w14:textId="77777777" w:rsidR="009A356E" w:rsidRPr="00C10545" w:rsidRDefault="009A356E" w:rsidP="009A356E">
            <w:pPr>
              <w:jc w:val="right"/>
              <w:rPr>
                <w:sz w:val="18"/>
                <w:szCs w:val="18"/>
                <w:lang w:eastAsia="en-AU"/>
              </w:rPr>
            </w:pPr>
            <w:r w:rsidRPr="00C10545">
              <w:rPr>
                <w:sz w:val="18"/>
                <w:szCs w:val="18"/>
                <w:lang w:eastAsia="en-AU"/>
              </w:rPr>
              <w:t>22.0%</w:t>
            </w:r>
          </w:p>
        </w:tc>
        <w:tc>
          <w:tcPr>
            <w:tcW w:w="397" w:type="pct"/>
            <w:tcBorders>
              <w:top w:val="nil"/>
              <w:left w:val="nil"/>
              <w:bottom w:val="single" w:sz="4" w:space="0" w:color="auto"/>
              <w:right w:val="single" w:sz="4" w:space="0" w:color="auto"/>
            </w:tcBorders>
            <w:shd w:val="clear" w:color="auto" w:fill="FDE9D9" w:themeFill="accent6" w:themeFillTint="33"/>
            <w:noWrap/>
            <w:vAlign w:val="bottom"/>
            <w:hideMark/>
          </w:tcPr>
          <w:p w14:paraId="3E3D67AA" w14:textId="77777777" w:rsidR="009A356E" w:rsidRPr="00C10545" w:rsidRDefault="009A356E" w:rsidP="009A356E">
            <w:pPr>
              <w:jc w:val="right"/>
              <w:rPr>
                <w:sz w:val="18"/>
                <w:szCs w:val="18"/>
                <w:lang w:eastAsia="en-AU"/>
              </w:rPr>
            </w:pPr>
            <w:r w:rsidRPr="00C10545">
              <w:rPr>
                <w:sz w:val="18"/>
                <w:szCs w:val="18"/>
                <w:lang w:eastAsia="en-AU"/>
              </w:rPr>
              <w:t>16.6%</w:t>
            </w:r>
          </w:p>
        </w:tc>
        <w:tc>
          <w:tcPr>
            <w:tcW w:w="397" w:type="pct"/>
            <w:tcBorders>
              <w:top w:val="nil"/>
              <w:left w:val="nil"/>
              <w:bottom w:val="single" w:sz="4" w:space="0" w:color="auto"/>
              <w:right w:val="single" w:sz="4" w:space="0" w:color="auto"/>
            </w:tcBorders>
            <w:shd w:val="clear" w:color="auto" w:fill="FDE9D9" w:themeFill="accent6" w:themeFillTint="33"/>
            <w:noWrap/>
            <w:vAlign w:val="bottom"/>
            <w:hideMark/>
          </w:tcPr>
          <w:p w14:paraId="54BEC557" w14:textId="77777777" w:rsidR="009A356E" w:rsidRPr="00C10545" w:rsidRDefault="009A356E" w:rsidP="009A356E">
            <w:pPr>
              <w:jc w:val="right"/>
              <w:rPr>
                <w:sz w:val="18"/>
                <w:szCs w:val="18"/>
                <w:lang w:eastAsia="en-AU"/>
              </w:rPr>
            </w:pPr>
            <w:r w:rsidRPr="00C10545">
              <w:rPr>
                <w:sz w:val="18"/>
                <w:szCs w:val="18"/>
                <w:lang w:eastAsia="en-AU"/>
              </w:rPr>
              <w:t>16.3%</w:t>
            </w:r>
          </w:p>
        </w:tc>
      </w:tr>
      <w:tr w:rsidR="009A356E" w:rsidRPr="003B76D5" w14:paraId="4816400D" w14:textId="77777777" w:rsidTr="009A356E">
        <w:trPr>
          <w:trHeight w:val="240"/>
        </w:trPr>
        <w:tc>
          <w:tcPr>
            <w:tcW w:w="2224" w:type="pct"/>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14:paraId="2837622A" w14:textId="77777777" w:rsidR="009A356E" w:rsidRPr="00C10545" w:rsidRDefault="009A356E" w:rsidP="009A356E">
            <w:pPr>
              <w:rPr>
                <w:sz w:val="18"/>
                <w:szCs w:val="18"/>
                <w:lang w:eastAsia="en-AU"/>
              </w:rPr>
            </w:pPr>
            <w:r w:rsidRPr="00C10545">
              <w:rPr>
                <w:sz w:val="18"/>
                <w:szCs w:val="18"/>
                <w:lang w:eastAsia="en-AU"/>
              </w:rPr>
              <w:t>Total Grants as % Total Expenses - R &amp; R</w:t>
            </w:r>
          </w:p>
        </w:tc>
        <w:tc>
          <w:tcPr>
            <w:tcW w:w="397" w:type="pct"/>
            <w:tcBorders>
              <w:top w:val="nil"/>
              <w:left w:val="nil"/>
              <w:bottom w:val="single" w:sz="4" w:space="0" w:color="auto"/>
              <w:right w:val="single" w:sz="4" w:space="0" w:color="auto"/>
            </w:tcBorders>
            <w:shd w:val="clear" w:color="auto" w:fill="FDE9D9" w:themeFill="accent6" w:themeFillTint="33"/>
            <w:noWrap/>
            <w:vAlign w:val="bottom"/>
            <w:hideMark/>
          </w:tcPr>
          <w:p w14:paraId="6FBDAED6" w14:textId="77777777" w:rsidR="009A356E" w:rsidRPr="00C10545" w:rsidRDefault="009A356E" w:rsidP="009A356E">
            <w:pPr>
              <w:jc w:val="right"/>
              <w:rPr>
                <w:sz w:val="18"/>
                <w:szCs w:val="18"/>
                <w:lang w:eastAsia="en-AU"/>
              </w:rPr>
            </w:pPr>
            <w:r w:rsidRPr="00C10545">
              <w:rPr>
                <w:sz w:val="18"/>
                <w:szCs w:val="18"/>
                <w:lang w:eastAsia="en-AU"/>
              </w:rPr>
              <w:t>24.4%</w:t>
            </w:r>
          </w:p>
        </w:tc>
        <w:tc>
          <w:tcPr>
            <w:tcW w:w="397" w:type="pct"/>
            <w:tcBorders>
              <w:top w:val="nil"/>
              <w:left w:val="nil"/>
              <w:bottom w:val="single" w:sz="4" w:space="0" w:color="auto"/>
              <w:right w:val="single" w:sz="4" w:space="0" w:color="auto"/>
            </w:tcBorders>
            <w:shd w:val="clear" w:color="auto" w:fill="FDE9D9" w:themeFill="accent6" w:themeFillTint="33"/>
            <w:noWrap/>
            <w:vAlign w:val="bottom"/>
            <w:hideMark/>
          </w:tcPr>
          <w:p w14:paraId="5AE92FD1" w14:textId="77777777" w:rsidR="009A356E" w:rsidRPr="00C10545" w:rsidRDefault="009A356E" w:rsidP="009A356E">
            <w:pPr>
              <w:jc w:val="right"/>
              <w:rPr>
                <w:sz w:val="18"/>
                <w:szCs w:val="18"/>
                <w:lang w:eastAsia="en-AU"/>
              </w:rPr>
            </w:pPr>
            <w:r w:rsidRPr="00C10545">
              <w:rPr>
                <w:sz w:val="18"/>
                <w:szCs w:val="18"/>
                <w:lang w:eastAsia="en-AU"/>
              </w:rPr>
              <w:t>24.5%</w:t>
            </w:r>
          </w:p>
        </w:tc>
        <w:tc>
          <w:tcPr>
            <w:tcW w:w="397" w:type="pct"/>
            <w:tcBorders>
              <w:top w:val="nil"/>
              <w:left w:val="nil"/>
              <w:bottom w:val="single" w:sz="4" w:space="0" w:color="auto"/>
              <w:right w:val="single" w:sz="4" w:space="0" w:color="auto"/>
            </w:tcBorders>
            <w:shd w:val="clear" w:color="auto" w:fill="FDE9D9" w:themeFill="accent6" w:themeFillTint="33"/>
            <w:noWrap/>
            <w:vAlign w:val="bottom"/>
            <w:hideMark/>
          </w:tcPr>
          <w:p w14:paraId="3EDC4A4E" w14:textId="77777777" w:rsidR="009A356E" w:rsidRPr="00C10545" w:rsidRDefault="009A356E" w:rsidP="009A356E">
            <w:pPr>
              <w:jc w:val="right"/>
              <w:rPr>
                <w:sz w:val="18"/>
                <w:szCs w:val="18"/>
                <w:lang w:eastAsia="en-AU"/>
              </w:rPr>
            </w:pPr>
            <w:r w:rsidRPr="00C10545">
              <w:rPr>
                <w:sz w:val="18"/>
                <w:szCs w:val="18"/>
                <w:lang w:eastAsia="en-AU"/>
              </w:rPr>
              <w:t>26.7%</w:t>
            </w:r>
          </w:p>
        </w:tc>
        <w:tc>
          <w:tcPr>
            <w:tcW w:w="397" w:type="pct"/>
            <w:tcBorders>
              <w:top w:val="nil"/>
              <w:left w:val="nil"/>
              <w:bottom w:val="single" w:sz="4" w:space="0" w:color="auto"/>
              <w:right w:val="single" w:sz="4" w:space="0" w:color="auto"/>
            </w:tcBorders>
            <w:shd w:val="clear" w:color="auto" w:fill="FDE9D9" w:themeFill="accent6" w:themeFillTint="33"/>
            <w:noWrap/>
            <w:vAlign w:val="bottom"/>
            <w:hideMark/>
          </w:tcPr>
          <w:p w14:paraId="241B62F6" w14:textId="77777777" w:rsidR="009A356E" w:rsidRPr="00C10545" w:rsidRDefault="009A356E" w:rsidP="009A356E">
            <w:pPr>
              <w:jc w:val="right"/>
              <w:rPr>
                <w:sz w:val="18"/>
                <w:szCs w:val="18"/>
                <w:lang w:eastAsia="en-AU"/>
              </w:rPr>
            </w:pPr>
            <w:r w:rsidRPr="00C10545">
              <w:rPr>
                <w:sz w:val="18"/>
                <w:szCs w:val="18"/>
                <w:lang w:eastAsia="en-AU"/>
              </w:rPr>
              <w:t>19.7%</w:t>
            </w:r>
          </w:p>
        </w:tc>
        <w:tc>
          <w:tcPr>
            <w:tcW w:w="397" w:type="pct"/>
            <w:tcBorders>
              <w:top w:val="nil"/>
              <w:left w:val="nil"/>
              <w:bottom w:val="single" w:sz="4" w:space="0" w:color="auto"/>
              <w:right w:val="single" w:sz="4" w:space="0" w:color="auto"/>
            </w:tcBorders>
            <w:shd w:val="clear" w:color="auto" w:fill="FDE9D9" w:themeFill="accent6" w:themeFillTint="33"/>
            <w:noWrap/>
            <w:vAlign w:val="bottom"/>
            <w:hideMark/>
          </w:tcPr>
          <w:p w14:paraId="49B03BED" w14:textId="77777777" w:rsidR="009A356E" w:rsidRPr="00C10545" w:rsidRDefault="009A356E" w:rsidP="009A356E">
            <w:pPr>
              <w:jc w:val="right"/>
              <w:rPr>
                <w:sz w:val="18"/>
                <w:szCs w:val="18"/>
                <w:lang w:eastAsia="en-AU"/>
              </w:rPr>
            </w:pPr>
            <w:r w:rsidRPr="00C10545">
              <w:rPr>
                <w:sz w:val="18"/>
                <w:szCs w:val="18"/>
                <w:lang w:eastAsia="en-AU"/>
              </w:rPr>
              <w:t>23.4%</w:t>
            </w:r>
          </w:p>
        </w:tc>
        <w:tc>
          <w:tcPr>
            <w:tcW w:w="397" w:type="pct"/>
            <w:tcBorders>
              <w:top w:val="nil"/>
              <w:left w:val="nil"/>
              <w:bottom w:val="single" w:sz="4" w:space="0" w:color="auto"/>
              <w:right w:val="single" w:sz="4" w:space="0" w:color="auto"/>
            </w:tcBorders>
            <w:shd w:val="clear" w:color="auto" w:fill="FDE9D9" w:themeFill="accent6" w:themeFillTint="33"/>
            <w:noWrap/>
            <w:vAlign w:val="bottom"/>
            <w:hideMark/>
          </w:tcPr>
          <w:p w14:paraId="08F7D4A8" w14:textId="77777777" w:rsidR="009A356E" w:rsidRPr="00C10545" w:rsidRDefault="009A356E" w:rsidP="009A356E">
            <w:pPr>
              <w:jc w:val="right"/>
              <w:rPr>
                <w:sz w:val="18"/>
                <w:szCs w:val="18"/>
                <w:lang w:eastAsia="en-AU"/>
              </w:rPr>
            </w:pPr>
            <w:r w:rsidRPr="00C10545">
              <w:rPr>
                <w:sz w:val="18"/>
                <w:szCs w:val="18"/>
                <w:lang w:eastAsia="en-AU"/>
              </w:rPr>
              <w:t>18.5%</w:t>
            </w:r>
          </w:p>
        </w:tc>
        <w:tc>
          <w:tcPr>
            <w:tcW w:w="397" w:type="pct"/>
            <w:tcBorders>
              <w:top w:val="nil"/>
              <w:left w:val="nil"/>
              <w:bottom w:val="single" w:sz="4" w:space="0" w:color="auto"/>
              <w:right w:val="single" w:sz="4" w:space="0" w:color="auto"/>
            </w:tcBorders>
            <w:shd w:val="clear" w:color="auto" w:fill="FDE9D9" w:themeFill="accent6" w:themeFillTint="33"/>
            <w:noWrap/>
            <w:vAlign w:val="bottom"/>
            <w:hideMark/>
          </w:tcPr>
          <w:p w14:paraId="26A5F78A" w14:textId="77777777" w:rsidR="009A356E" w:rsidRPr="00C10545" w:rsidRDefault="009A356E" w:rsidP="009A356E">
            <w:pPr>
              <w:jc w:val="right"/>
              <w:rPr>
                <w:sz w:val="18"/>
                <w:szCs w:val="18"/>
                <w:lang w:eastAsia="en-AU"/>
              </w:rPr>
            </w:pPr>
            <w:r w:rsidRPr="00C10545">
              <w:rPr>
                <w:sz w:val="18"/>
                <w:szCs w:val="18"/>
                <w:lang w:eastAsia="en-AU"/>
              </w:rPr>
              <w:t>21.6%</w:t>
            </w:r>
          </w:p>
        </w:tc>
      </w:tr>
      <w:tr w:rsidR="009A356E" w:rsidRPr="003B76D5" w14:paraId="68FB40C6" w14:textId="77777777" w:rsidTr="009A356E">
        <w:trPr>
          <w:trHeight w:val="240"/>
        </w:trPr>
        <w:tc>
          <w:tcPr>
            <w:tcW w:w="2224" w:type="pct"/>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14:paraId="18A4012D" w14:textId="77777777" w:rsidR="009A356E" w:rsidRPr="00C10545" w:rsidRDefault="009A356E" w:rsidP="009A356E">
            <w:pPr>
              <w:rPr>
                <w:sz w:val="18"/>
                <w:szCs w:val="18"/>
                <w:lang w:eastAsia="en-AU"/>
              </w:rPr>
            </w:pPr>
            <w:r w:rsidRPr="00C10545">
              <w:rPr>
                <w:sz w:val="18"/>
                <w:szCs w:val="18"/>
                <w:lang w:eastAsia="en-AU"/>
              </w:rPr>
              <w:t xml:space="preserve">Recurrent Grants as % Recurrent Expenses - All </w:t>
            </w:r>
          </w:p>
        </w:tc>
        <w:tc>
          <w:tcPr>
            <w:tcW w:w="397" w:type="pct"/>
            <w:tcBorders>
              <w:top w:val="nil"/>
              <w:left w:val="nil"/>
              <w:bottom w:val="single" w:sz="4" w:space="0" w:color="auto"/>
              <w:right w:val="single" w:sz="4" w:space="0" w:color="auto"/>
            </w:tcBorders>
            <w:shd w:val="clear" w:color="auto" w:fill="FDE9D9" w:themeFill="accent6" w:themeFillTint="33"/>
            <w:noWrap/>
            <w:vAlign w:val="bottom"/>
            <w:hideMark/>
          </w:tcPr>
          <w:p w14:paraId="66CDD5A4" w14:textId="77777777" w:rsidR="009A356E" w:rsidRPr="00C10545" w:rsidRDefault="009A356E" w:rsidP="009A356E">
            <w:pPr>
              <w:jc w:val="right"/>
              <w:rPr>
                <w:sz w:val="18"/>
                <w:szCs w:val="18"/>
                <w:lang w:eastAsia="en-AU"/>
              </w:rPr>
            </w:pPr>
            <w:r w:rsidRPr="00C10545">
              <w:rPr>
                <w:sz w:val="18"/>
                <w:szCs w:val="18"/>
                <w:lang w:eastAsia="en-AU"/>
              </w:rPr>
              <w:t>18.2%</w:t>
            </w:r>
          </w:p>
        </w:tc>
        <w:tc>
          <w:tcPr>
            <w:tcW w:w="397" w:type="pct"/>
            <w:tcBorders>
              <w:top w:val="nil"/>
              <w:left w:val="nil"/>
              <w:bottom w:val="single" w:sz="4" w:space="0" w:color="auto"/>
              <w:right w:val="single" w:sz="4" w:space="0" w:color="auto"/>
            </w:tcBorders>
            <w:shd w:val="clear" w:color="auto" w:fill="FDE9D9" w:themeFill="accent6" w:themeFillTint="33"/>
            <w:noWrap/>
            <w:vAlign w:val="bottom"/>
            <w:hideMark/>
          </w:tcPr>
          <w:p w14:paraId="0189DA8F" w14:textId="77777777" w:rsidR="009A356E" w:rsidRPr="00C10545" w:rsidRDefault="009A356E" w:rsidP="009A356E">
            <w:pPr>
              <w:jc w:val="right"/>
              <w:rPr>
                <w:sz w:val="18"/>
                <w:szCs w:val="18"/>
                <w:lang w:eastAsia="en-AU"/>
              </w:rPr>
            </w:pPr>
            <w:r w:rsidRPr="00C10545">
              <w:rPr>
                <w:sz w:val="18"/>
                <w:szCs w:val="18"/>
                <w:lang w:eastAsia="en-AU"/>
              </w:rPr>
              <w:t>18.4%</w:t>
            </w:r>
          </w:p>
        </w:tc>
        <w:tc>
          <w:tcPr>
            <w:tcW w:w="397" w:type="pct"/>
            <w:tcBorders>
              <w:top w:val="nil"/>
              <w:left w:val="nil"/>
              <w:bottom w:val="single" w:sz="4" w:space="0" w:color="auto"/>
              <w:right w:val="single" w:sz="4" w:space="0" w:color="auto"/>
            </w:tcBorders>
            <w:shd w:val="clear" w:color="auto" w:fill="FDE9D9" w:themeFill="accent6" w:themeFillTint="33"/>
            <w:noWrap/>
            <w:vAlign w:val="bottom"/>
            <w:hideMark/>
          </w:tcPr>
          <w:p w14:paraId="20925B98" w14:textId="77777777" w:rsidR="009A356E" w:rsidRPr="00C10545" w:rsidRDefault="009A356E" w:rsidP="009A356E">
            <w:pPr>
              <w:jc w:val="right"/>
              <w:rPr>
                <w:sz w:val="18"/>
                <w:szCs w:val="18"/>
                <w:lang w:eastAsia="en-AU"/>
              </w:rPr>
            </w:pPr>
            <w:r w:rsidRPr="00C10545">
              <w:rPr>
                <w:sz w:val="18"/>
                <w:szCs w:val="18"/>
                <w:lang w:eastAsia="en-AU"/>
              </w:rPr>
              <w:t>17.7%</w:t>
            </w:r>
          </w:p>
        </w:tc>
        <w:tc>
          <w:tcPr>
            <w:tcW w:w="397" w:type="pct"/>
            <w:tcBorders>
              <w:top w:val="nil"/>
              <w:left w:val="nil"/>
              <w:bottom w:val="single" w:sz="4" w:space="0" w:color="auto"/>
              <w:right w:val="single" w:sz="4" w:space="0" w:color="auto"/>
            </w:tcBorders>
            <w:shd w:val="clear" w:color="auto" w:fill="FDE9D9" w:themeFill="accent6" w:themeFillTint="33"/>
            <w:noWrap/>
            <w:vAlign w:val="bottom"/>
            <w:hideMark/>
          </w:tcPr>
          <w:p w14:paraId="29D0A02D" w14:textId="77777777" w:rsidR="009A356E" w:rsidRPr="00C10545" w:rsidRDefault="009A356E" w:rsidP="009A356E">
            <w:pPr>
              <w:jc w:val="right"/>
              <w:rPr>
                <w:sz w:val="18"/>
                <w:szCs w:val="18"/>
                <w:lang w:eastAsia="en-AU"/>
              </w:rPr>
            </w:pPr>
            <w:r w:rsidRPr="00C10545">
              <w:rPr>
                <w:sz w:val="18"/>
                <w:szCs w:val="18"/>
                <w:lang w:eastAsia="en-AU"/>
              </w:rPr>
              <w:t>16.0%</w:t>
            </w:r>
          </w:p>
        </w:tc>
        <w:tc>
          <w:tcPr>
            <w:tcW w:w="397" w:type="pct"/>
            <w:tcBorders>
              <w:top w:val="nil"/>
              <w:left w:val="nil"/>
              <w:bottom w:val="single" w:sz="4" w:space="0" w:color="auto"/>
              <w:right w:val="single" w:sz="4" w:space="0" w:color="auto"/>
            </w:tcBorders>
            <w:shd w:val="clear" w:color="auto" w:fill="FDE9D9" w:themeFill="accent6" w:themeFillTint="33"/>
            <w:noWrap/>
            <w:vAlign w:val="bottom"/>
            <w:hideMark/>
          </w:tcPr>
          <w:p w14:paraId="439DA80A" w14:textId="77777777" w:rsidR="009A356E" w:rsidRPr="00C10545" w:rsidRDefault="009A356E" w:rsidP="009A356E">
            <w:pPr>
              <w:jc w:val="right"/>
              <w:rPr>
                <w:sz w:val="18"/>
                <w:szCs w:val="18"/>
                <w:lang w:eastAsia="en-AU"/>
              </w:rPr>
            </w:pPr>
            <w:r w:rsidRPr="00C10545">
              <w:rPr>
                <w:sz w:val="18"/>
                <w:szCs w:val="18"/>
                <w:lang w:eastAsia="en-AU"/>
              </w:rPr>
              <w:t>16.4%</w:t>
            </w:r>
          </w:p>
        </w:tc>
        <w:tc>
          <w:tcPr>
            <w:tcW w:w="397" w:type="pct"/>
            <w:tcBorders>
              <w:top w:val="nil"/>
              <w:left w:val="nil"/>
              <w:bottom w:val="single" w:sz="4" w:space="0" w:color="auto"/>
              <w:right w:val="single" w:sz="4" w:space="0" w:color="auto"/>
            </w:tcBorders>
            <w:shd w:val="clear" w:color="auto" w:fill="FDE9D9" w:themeFill="accent6" w:themeFillTint="33"/>
            <w:noWrap/>
            <w:vAlign w:val="bottom"/>
            <w:hideMark/>
          </w:tcPr>
          <w:p w14:paraId="124466FB" w14:textId="77777777" w:rsidR="009A356E" w:rsidRPr="00C10545" w:rsidRDefault="009A356E" w:rsidP="009A356E">
            <w:pPr>
              <w:jc w:val="right"/>
              <w:rPr>
                <w:sz w:val="18"/>
                <w:szCs w:val="18"/>
                <w:lang w:eastAsia="en-AU"/>
              </w:rPr>
            </w:pPr>
            <w:r w:rsidRPr="00C10545">
              <w:rPr>
                <w:sz w:val="18"/>
                <w:szCs w:val="18"/>
                <w:lang w:eastAsia="en-AU"/>
              </w:rPr>
              <w:t>16.7%</w:t>
            </w:r>
          </w:p>
        </w:tc>
        <w:tc>
          <w:tcPr>
            <w:tcW w:w="397" w:type="pct"/>
            <w:tcBorders>
              <w:top w:val="nil"/>
              <w:left w:val="nil"/>
              <w:bottom w:val="single" w:sz="4" w:space="0" w:color="auto"/>
              <w:right w:val="single" w:sz="4" w:space="0" w:color="auto"/>
            </w:tcBorders>
            <w:shd w:val="clear" w:color="auto" w:fill="FDE9D9" w:themeFill="accent6" w:themeFillTint="33"/>
            <w:noWrap/>
            <w:vAlign w:val="bottom"/>
            <w:hideMark/>
          </w:tcPr>
          <w:p w14:paraId="652F7729" w14:textId="77777777" w:rsidR="009A356E" w:rsidRPr="00C10545" w:rsidRDefault="009A356E" w:rsidP="009A356E">
            <w:pPr>
              <w:jc w:val="right"/>
              <w:rPr>
                <w:sz w:val="18"/>
                <w:szCs w:val="18"/>
                <w:lang w:eastAsia="en-AU"/>
              </w:rPr>
            </w:pPr>
            <w:r w:rsidRPr="00C10545">
              <w:rPr>
                <w:sz w:val="18"/>
                <w:szCs w:val="18"/>
                <w:lang w:eastAsia="en-AU"/>
              </w:rPr>
              <w:t>16.6%</w:t>
            </w:r>
          </w:p>
        </w:tc>
      </w:tr>
      <w:tr w:rsidR="009A356E" w:rsidRPr="003B76D5" w14:paraId="69DA3A29" w14:textId="77777777" w:rsidTr="009A356E">
        <w:trPr>
          <w:trHeight w:val="240"/>
        </w:trPr>
        <w:tc>
          <w:tcPr>
            <w:tcW w:w="2224" w:type="pct"/>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14:paraId="09F0E6D1" w14:textId="77777777" w:rsidR="009A356E" w:rsidRPr="00C10545" w:rsidRDefault="009A356E" w:rsidP="009A356E">
            <w:pPr>
              <w:rPr>
                <w:sz w:val="18"/>
                <w:szCs w:val="18"/>
                <w:lang w:eastAsia="en-AU"/>
              </w:rPr>
            </w:pPr>
            <w:r w:rsidRPr="00C10545">
              <w:rPr>
                <w:sz w:val="18"/>
                <w:szCs w:val="18"/>
                <w:lang w:eastAsia="en-AU"/>
              </w:rPr>
              <w:t>Recurrent Grants as % Recurrent Expenses - R &amp; R</w:t>
            </w:r>
          </w:p>
        </w:tc>
        <w:tc>
          <w:tcPr>
            <w:tcW w:w="397" w:type="pct"/>
            <w:tcBorders>
              <w:top w:val="nil"/>
              <w:left w:val="nil"/>
              <w:bottom w:val="single" w:sz="4" w:space="0" w:color="auto"/>
              <w:right w:val="single" w:sz="4" w:space="0" w:color="auto"/>
            </w:tcBorders>
            <w:shd w:val="clear" w:color="auto" w:fill="FDE9D9" w:themeFill="accent6" w:themeFillTint="33"/>
            <w:noWrap/>
            <w:vAlign w:val="bottom"/>
            <w:hideMark/>
          </w:tcPr>
          <w:p w14:paraId="79D38F34" w14:textId="77777777" w:rsidR="009A356E" w:rsidRPr="00C10545" w:rsidRDefault="009A356E" w:rsidP="009A356E">
            <w:pPr>
              <w:jc w:val="right"/>
              <w:rPr>
                <w:sz w:val="18"/>
                <w:szCs w:val="18"/>
                <w:lang w:eastAsia="en-AU"/>
              </w:rPr>
            </w:pPr>
            <w:r w:rsidRPr="00C10545">
              <w:rPr>
                <w:sz w:val="18"/>
                <w:szCs w:val="18"/>
                <w:lang w:eastAsia="en-AU"/>
              </w:rPr>
              <w:t>26.0%</w:t>
            </w:r>
          </w:p>
        </w:tc>
        <w:tc>
          <w:tcPr>
            <w:tcW w:w="397" w:type="pct"/>
            <w:tcBorders>
              <w:top w:val="nil"/>
              <w:left w:val="nil"/>
              <w:bottom w:val="single" w:sz="4" w:space="0" w:color="auto"/>
              <w:right w:val="single" w:sz="4" w:space="0" w:color="auto"/>
            </w:tcBorders>
            <w:shd w:val="clear" w:color="auto" w:fill="FDE9D9" w:themeFill="accent6" w:themeFillTint="33"/>
            <w:noWrap/>
            <w:vAlign w:val="bottom"/>
            <w:hideMark/>
          </w:tcPr>
          <w:p w14:paraId="4429AF55" w14:textId="77777777" w:rsidR="009A356E" w:rsidRPr="00C10545" w:rsidRDefault="009A356E" w:rsidP="009A356E">
            <w:pPr>
              <w:jc w:val="right"/>
              <w:rPr>
                <w:sz w:val="18"/>
                <w:szCs w:val="18"/>
                <w:lang w:eastAsia="en-AU"/>
              </w:rPr>
            </w:pPr>
            <w:r w:rsidRPr="00C10545">
              <w:rPr>
                <w:sz w:val="18"/>
                <w:szCs w:val="18"/>
                <w:lang w:eastAsia="en-AU"/>
              </w:rPr>
              <w:t>23.6%</w:t>
            </w:r>
          </w:p>
        </w:tc>
        <w:tc>
          <w:tcPr>
            <w:tcW w:w="397" w:type="pct"/>
            <w:tcBorders>
              <w:top w:val="nil"/>
              <w:left w:val="nil"/>
              <w:bottom w:val="single" w:sz="4" w:space="0" w:color="auto"/>
              <w:right w:val="single" w:sz="4" w:space="0" w:color="auto"/>
            </w:tcBorders>
            <w:shd w:val="clear" w:color="auto" w:fill="FDE9D9" w:themeFill="accent6" w:themeFillTint="33"/>
            <w:noWrap/>
            <w:vAlign w:val="bottom"/>
            <w:hideMark/>
          </w:tcPr>
          <w:p w14:paraId="0E3829DF" w14:textId="77777777" w:rsidR="009A356E" w:rsidRPr="00C10545" w:rsidRDefault="009A356E" w:rsidP="009A356E">
            <w:pPr>
              <w:jc w:val="right"/>
              <w:rPr>
                <w:sz w:val="18"/>
                <w:szCs w:val="18"/>
                <w:lang w:eastAsia="en-AU"/>
              </w:rPr>
            </w:pPr>
            <w:r w:rsidRPr="00C10545">
              <w:rPr>
                <w:sz w:val="18"/>
                <w:szCs w:val="18"/>
                <w:lang w:eastAsia="en-AU"/>
              </w:rPr>
              <w:t>23.6%</w:t>
            </w:r>
          </w:p>
        </w:tc>
        <w:tc>
          <w:tcPr>
            <w:tcW w:w="397" w:type="pct"/>
            <w:tcBorders>
              <w:top w:val="nil"/>
              <w:left w:val="nil"/>
              <w:bottom w:val="single" w:sz="4" w:space="0" w:color="auto"/>
              <w:right w:val="single" w:sz="4" w:space="0" w:color="auto"/>
            </w:tcBorders>
            <w:shd w:val="clear" w:color="auto" w:fill="FDE9D9" w:themeFill="accent6" w:themeFillTint="33"/>
            <w:noWrap/>
            <w:vAlign w:val="bottom"/>
            <w:hideMark/>
          </w:tcPr>
          <w:p w14:paraId="1BAB0942" w14:textId="77777777" w:rsidR="009A356E" w:rsidRPr="00C10545" w:rsidRDefault="009A356E" w:rsidP="009A356E">
            <w:pPr>
              <w:jc w:val="right"/>
              <w:rPr>
                <w:sz w:val="18"/>
                <w:szCs w:val="18"/>
                <w:lang w:eastAsia="en-AU"/>
              </w:rPr>
            </w:pPr>
            <w:r w:rsidRPr="00C10545">
              <w:rPr>
                <w:sz w:val="18"/>
                <w:szCs w:val="18"/>
                <w:lang w:eastAsia="en-AU"/>
              </w:rPr>
              <w:t>18.8%</w:t>
            </w:r>
          </w:p>
        </w:tc>
        <w:tc>
          <w:tcPr>
            <w:tcW w:w="397" w:type="pct"/>
            <w:tcBorders>
              <w:top w:val="nil"/>
              <w:left w:val="nil"/>
              <w:bottom w:val="single" w:sz="4" w:space="0" w:color="auto"/>
              <w:right w:val="single" w:sz="4" w:space="0" w:color="auto"/>
            </w:tcBorders>
            <w:shd w:val="clear" w:color="auto" w:fill="FDE9D9" w:themeFill="accent6" w:themeFillTint="33"/>
            <w:noWrap/>
            <w:vAlign w:val="bottom"/>
            <w:hideMark/>
          </w:tcPr>
          <w:p w14:paraId="0B8EFA21" w14:textId="77777777" w:rsidR="009A356E" w:rsidRPr="00C10545" w:rsidRDefault="009A356E" w:rsidP="009A356E">
            <w:pPr>
              <w:jc w:val="right"/>
              <w:rPr>
                <w:sz w:val="18"/>
                <w:szCs w:val="18"/>
                <w:lang w:eastAsia="en-AU"/>
              </w:rPr>
            </w:pPr>
            <w:r w:rsidRPr="00C10545">
              <w:rPr>
                <w:sz w:val="18"/>
                <w:szCs w:val="18"/>
                <w:lang w:eastAsia="en-AU"/>
              </w:rPr>
              <w:t>18.9%</w:t>
            </w:r>
          </w:p>
        </w:tc>
        <w:tc>
          <w:tcPr>
            <w:tcW w:w="397" w:type="pct"/>
            <w:tcBorders>
              <w:top w:val="nil"/>
              <w:left w:val="nil"/>
              <w:bottom w:val="single" w:sz="4" w:space="0" w:color="auto"/>
              <w:right w:val="single" w:sz="4" w:space="0" w:color="auto"/>
            </w:tcBorders>
            <w:shd w:val="clear" w:color="auto" w:fill="FDE9D9" w:themeFill="accent6" w:themeFillTint="33"/>
            <w:noWrap/>
            <w:vAlign w:val="bottom"/>
            <w:hideMark/>
          </w:tcPr>
          <w:p w14:paraId="071E6C9A" w14:textId="77777777" w:rsidR="009A356E" w:rsidRPr="00C10545" w:rsidRDefault="009A356E" w:rsidP="009A356E">
            <w:pPr>
              <w:jc w:val="right"/>
              <w:rPr>
                <w:sz w:val="18"/>
                <w:szCs w:val="18"/>
                <w:lang w:eastAsia="en-AU"/>
              </w:rPr>
            </w:pPr>
            <w:r w:rsidRPr="00C10545">
              <w:rPr>
                <w:sz w:val="18"/>
                <w:szCs w:val="18"/>
                <w:lang w:eastAsia="en-AU"/>
              </w:rPr>
              <w:t>19.5%</w:t>
            </w:r>
          </w:p>
        </w:tc>
        <w:tc>
          <w:tcPr>
            <w:tcW w:w="397" w:type="pct"/>
            <w:tcBorders>
              <w:top w:val="nil"/>
              <w:left w:val="nil"/>
              <w:bottom w:val="single" w:sz="4" w:space="0" w:color="auto"/>
              <w:right w:val="single" w:sz="4" w:space="0" w:color="auto"/>
            </w:tcBorders>
            <w:shd w:val="clear" w:color="auto" w:fill="FDE9D9" w:themeFill="accent6" w:themeFillTint="33"/>
            <w:noWrap/>
            <w:vAlign w:val="bottom"/>
            <w:hideMark/>
          </w:tcPr>
          <w:p w14:paraId="353914A8" w14:textId="77777777" w:rsidR="009A356E" w:rsidRPr="00C10545" w:rsidRDefault="009A356E" w:rsidP="009A356E">
            <w:pPr>
              <w:jc w:val="right"/>
              <w:rPr>
                <w:sz w:val="18"/>
                <w:szCs w:val="18"/>
                <w:lang w:eastAsia="en-AU"/>
              </w:rPr>
            </w:pPr>
            <w:r w:rsidRPr="00C10545">
              <w:rPr>
                <w:sz w:val="18"/>
                <w:szCs w:val="18"/>
                <w:lang w:eastAsia="en-AU"/>
              </w:rPr>
              <w:t>20.6%</w:t>
            </w:r>
          </w:p>
        </w:tc>
      </w:tr>
    </w:tbl>
    <w:p w14:paraId="73F61B85" w14:textId="77777777" w:rsidR="009A356E" w:rsidRPr="00BA2B70" w:rsidRDefault="009A356E" w:rsidP="009A356E">
      <w:pPr>
        <w:rPr>
          <w:sz w:val="16"/>
          <w:szCs w:val="16"/>
        </w:rPr>
      </w:pPr>
      <w:r w:rsidRPr="00BA2B70">
        <w:rPr>
          <w:sz w:val="16"/>
          <w:szCs w:val="16"/>
        </w:rPr>
        <w:t># includes library collection costs</w:t>
      </w:r>
    </w:p>
    <w:p w14:paraId="438ABB59" w14:textId="77777777" w:rsidR="009A356E" w:rsidRPr="00BA2B70" w:rsidRDefault="009A356E" w:rsidP="009A356E">
      <w:pPr>
        <w:rPr>
          <w:sz w:val="16"/>
          <w:szCs w:val="16"/>
        </w:rPr>
      </w:pPr>
      <w:r w:rsidRPr="00BA2B70">
        <w:rPr>
          <w:sz w:val="16"/>
          <w:szCs w:val="16"/>
        </w:rPr>
        <w:t>Deflated by CPI</w:t>
      </w:r>
    </w:p>
    <w:p w14:paraId="3C420CBD" w14:textId="77777777" w:rsidR="009A356E" w:rsidRDefault="009A356E" w:rsidP="009A356E"/>
    <w:p w14:paraId="4CEF8C78" w14:textId="77777777" w:rsidR="009A356E" w:rsidRDefault="009A356E" w:rsidP="009A356E">
      <w:r>
        <w:t>A review of funding at library service level confirms the differing experience across rural and regional services - some with increases in real recurrent grants per head and some with decreases. However, generally grants account for a smaller proportion of expenses than ever before.</w:t>
      </w:r>
    </w:p>
    <w:p w14:paraId="11BA16D8" w14:textId="77777777" w:rsidR="005E1192" w:rsidRDefault="005E1192" w:rsidP="009A356E"/>
    <w:p w14:paraId="1CECC152" w14:textId="0E4262A9" w:rsidR="009A356E" w:rsidRPr="00C63C8F" w:rsidRDefault="009A356E" w:rsidP="009A356E">
      <w:pPr>
        <w:rPr>
          <w:b/>
          <w:sz w:val="20"/>
        </w:rPr>
      </w:pPr>
      <w:r w:rsidRPr="00C63C8F">
        <w:rPr>
          <w:b/>
          <w:sz w:val="20"/>
        </w:rPr>
        <w:t>Table</w:t>
      </w:r>
      <w:r>
        <w:rPr>
          <w:b/>
          <w:sz w:val="20"/>
        </w:rPr>
        <w:t xml:space="preserve"> 11</w:t>
      </w:r>
      <w:r w:rsidRPr="00C63C8F">
        <w:rPr>
          <w:b/>
          <w:sz w:val="20"/>
        </w:rPr>
        <w:t>: Real Recurrent Public Library Grants and Expenses per Head – Selected Library Services ($2003)</w:t>
      </w:r>
    </w:p>
    <w:tbl>
      <w:tblPr>
        <w:tblW w:w="5000" w:type="pct"/>
        <w:tblLook w:val="04A0" w:firstRow="1" w:lastRow="0" w:firstColumn="1" w:lastColumn="0" w:noHBand="0" w:noVBand="1"/>
      </w:tblPr>
      <w:tblGrid>
        <w:gridCol w:w="1442"/>
        <w:gridCol w:w="517"/>
        <w:gridCol w:w="603"/>
        <w:gridCol w:w="517"/>
        <w:gridCol w:w="602"/>
        <w:gridCol w:w="516"/>
        <w:gridCol w:w="602"/>
        <w:gridCol w:w="516"/>
        <w:gridCol w:w="602"/>
        <w:gridCol w:w="653"/>
        <w:gridCol w:w="653"/>
        <w:gridCol w:w="653"/>
        <w:gridCol w:w="653"/>
      </w:tblGrid>
      <w:tr w:rsidR="009A356E" w:rsidRPr="00B030A2" w14:paraId="57F86692" w14:textId="77777777" w:rsidTr="00D65200">
        <w:trPr>
          <w:trHeight w:val="240"/>
          <w:tblHeader/>
        </w:trPr>
        <w:tc>
          <w:tcPr>
            <w:tcW w:w="828" w:type="pct"/>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41C12594" w14:textId="77777777" w:rsidR="009A356E" w:rsidRPr="00C10545" w:rsidRDefault="009A356E" w:rsidP="009A356E">
            <w:pPr>
              <w:rPr>
                <w:sz w:val="18"/>
                <w:szCs w:val="18"/>
                <w:lang w:eastAsia="en-AU"/>
              </w:rPr>
            </w:pPr>
            <w:r w:rsidRPr="00C10545">
              <w:rPr>
                <w:sz w:val="18"/>
                <w:szCs w:val="18"/>
                <w:lang w:eastAsia="en-AU"/>
              </w:rPr>
              <w:t> </w:t>
            </w:r>
          </w:p>
        </w:tc>
        <w:tc>
          <w:tcPr>
            <w:tcW w:w="655" w:type="pct"/>
            <w:gridSpan w:val="2"/>
            <w:tcBorders>
              <w:top w:val="single" w:sz="4" w:space="0" w:color="auto"/>
              <w:left w:val="nil"/>
              <w:bottom w:val="single" w:sz="4" w:space="0" w:color="auto"/>
              <w:right w:val="single" w:sz="4" w:space="0" w:color="auto"/>
            </w:tcBorders>
            <w:shd w:val="clear" w:color="000000" w:fill="FDE9D9"/>
            <w:noWrap/>
            <w:vAlign w:val="bottom"/>
            <w:hideMark/>
          </w:tcPr>
          <w:p w14:paraId="29CB80D9" w14:textId="77777777" w:rsidR="009A356E" w:rsidRPr="00C10545" w:rsidRDefault="009A356E" w:rsidP="009A356E">
            <w:pPr>
              <w:jc w:val="center"/>
              <w:rPr>
                <w:b/>
                <w:bCs/>
                <w:sz w:val="18"/>
                <w:szCs w:val="18"/>
                <w:lang w:eastAsia="en-AU"/>
              </w:rPr>
            </w:pPr>
            <w:r w:rsidRPr="00C10545">
              <w:rPr>
                <w:b/>
                <w:bCs/>
                <w:sz w:val="18"/>
                <w:szCs w:val="18"/>
                <w:lang w:eastAsia="en-AU"/>
              </w:rPr>
              <w:t>2003</w:t>
            </w:r>
          </w:p>
        </w:tc>
        <w:tc>
          <w:tcPr>
            <w:tcW w:w="655" w:type="pct"/>
            <w:gridSpan w:val="2"/>
            <w:tcBorders>
              <w:top w:val="single" w:sz="4" w:space="0" w:color="auto"/>
              <w:left w:val="nil"/>
              <w:bottom w:val="single" w:sz="4" w:space="0" w:color="auto"/>
              <w:right w:val="single" w:sz="4" w:space="0" w:color="auto"/>
            </w:tcBorders>
            <w:shd w:val="clear" w:color="000000" w:fill="DAEEF3"/>
            <w:noWrap/>
            <w:vAlign w:val="bottom"/>
            <w:hideMark/>
          </w:tcPr>
          <w:p w14:paraId="7F1AD5C0" w14:textId="77777777" w:rsidR="009A356E" w:rsidRPr="00C10545" w:rsidRDefault="009A356E" w:rsidP="009A356E">
            <w:pPr>
              <w:jc w:val="center"/>
              <w:rPr>
                <w:b/>
                <w:bCs/>
                <w:sz w:val="18"/>
                <w:szCs w:val="18"/>
                <w:lang w:eastAsia="en-AU"/>
              </w:rPr>
            </w:pPr>
            <w:r w:rsidRPr="00C10545">
              <w:rPr>
                <w:b/>
                <w:bCs/>
                <w:sz w:val="18"/>
                <w:szCs w:val="18"/>
                <w:lang w:eastAsia="en-AU"/>
              </w:rPr>
              <w:t>2008</w:t>
            </w:r>
          </w:p>
        </w:tc>
        <w:tc>
          <w:tcPr>
            <w:tcW w:w="655" w:type="pct"/>
            <w:gridSpan w:val="2"/>
            <w:tcBorders>
              <w:top w:val="single" w:sz="4" w:space="0" w:color="auto"/>
              <w:left w:val="nil"/>
              <w:bottom w:val="single" w:sz="4" w:space="0" w:color="auto"/>
              <w:right w:val="single" w:sz="4" w:space="0" w:color="auto"/>
            </w:tcBorders>
            <w:shd w:val="clear" w:color="000000" w:fill="EBF1DE"/>
            <w:noWrap/>
            <w:vAlign w:val="bottom"/>
            <w:hideMark/>
          </w:tcPr>
          <w:p w14:paraId="43872D8C" w14:textId="77777777" w:rsidR="009A356E" w:rsidRPr="00C10545" w:rsidRDefault="009A356E" w:rsidP="009A356E">
            <w:pPr>
              <w:jc w:val="center"/>
              <w:rPr>
                <w:b/>
                <w:bCs/>
                <w:sz w:val="18"/>
                <w:szCs w:val="18"/>
                <w:lang w:eastAsia="en-AU"/>
              </w:rPr>
            </w:pPr>
            <w:r w:rsidRPr="00C10545">
              <w:rPr>
                <w:b/>
                <w:bCs/>
                <w:sz w:val="18"/>
                <w:szCs w:val="18"/>
                <w:lang w:eastAsia="en-AU"/>
              </w:rPr>
              <w:t>2014</w:t>
            </w:r>
          </w:p>
        </w:tc>
        <w:tc>
          <w:tcPr>
            <w:tcW w:w="656" w:type="pct"/>
            <w:gridSpan w:val="2"/>
            <w:tcBorders>
              <w:top w:val="single" w:sz="4" w:space="0" w:color="auto"/>
              <w:left w:val="nil"/>
              <w:bottom w:val="single" w:sz="4" w:space="0" w:color="auto"/>
              <w:right w:val="single" w:sz="4" w:space="0" w:color="auto"/>
            </w:tcBorders>
            <w:shd w:val="clear" w:color="000000" w:fill="E4DFEC"/>
            <w:noWrap/>
            <w:vAlign w:val="bottom"/>
            <w:hideMark/>
          </w:tcPr>
          <w:p w14:paraId="33EB2502" w14:textId="77777777" w:rsidR="009A356E" w:rsidRPr="00C10545" w:rsidRDefault="009A356E" w:rsidP="009A356E">
            <w:pPr>
              <w:jc w:val="center"/>
              <w:rPr>
                <w:b/>
                <w:bCs/>
                <w:sz w:val="18"/>
                <w:szCs w:val="18"/>
                <w:lang w:eastAsia="en-AU"/>
              </w:rPr>
            </w:pPr>
            <w:r w:rsidRPr="00C10545">
              <w:rPr>
                <w:b/>
                <w:bCs/>
                <w:sz w:val="18"/>
                <w:szCs w:val="18"/>
                <w:lang w:eastAsia="en-AU"/>
              </w:rPr>
              <w:t>2015</w:t>
            </w:r>
          </w:p>
        </w:tc>
        <w:tc>
          <w:tcPr>
            <w:tcW w:w="388" w:type="pct"/>
            <w:tcBorders>
              <w:top w:val="single" w:sz="4" w:space="0" w:color="auto"/>
              <w:left w:val="nil"/>
              <w:bottom w:val="single" w:sz="4" w:space="0" w:color="auto"/>
              <w:right w:val="single" w:sz="4" w:space="0" w:color="auto"/>
            </w:tcBorders>
            <w:shd w:val="clear" w:color="000000" w:fill="FDE9D9"/>
            <w:noWrap/>
            <w:vAlign w:val="bottom"/>
            <w:hideMark/>
          </w:tcPr>
          <w:p w14:paraId="5EF78CB3" w14:textId="77777777" w:rsidR="009A356E" w:rsidRPr="00C10545" w:rsidRDefault="009A356E" w:rsidP="009A356E">
            <w:pPr>
              <w:jc w:val="right"/>
              <w:rPr>
                <w:b/>
                <w:bCs/>
                <w:sz w:val="18"/>
                <w:szCs w:val="18"/>
                <w:lang w:eastAsia="en-AU"/>
              </w:rPr>
            </w:pPr>
            <w:r w:rsidRPr="00C10545">
              <w:rPr>
                <w:b/>
                <w:bCs/>
                <w:sz w:val="18"/>
                <w:szCs w:val="18"/>
                <w:lang w:eastAsia="en-AU"/>
              </w:rPr>
              <w:t>2003</w:t>
            </w:r>
          </w:p>
        </w:tc>
        <w:tc>
          <w:tcPr>
            <w:tcW w:w="388" w:type="pct"/>
            <w:tcBorders>
              <w:top w:val="single" w:sz="4" w:space="0" w:color="auto"/>
              <w:left w:val="nil"/>
              <w:bottom w:val="single" w:sz="4" w:space="0" w:color="auto"/>
              <w:right w:val="single" w:sz="4" w:space="0" w:color="auto"/>
            </w:tcBorders>
            <w:shd w:val="clear" w:color="000000" w:fill="DAEEF3"/>
            <w:noWrap/>
            <w:vAlign w:val="bottom"/>
            <w:hideMark/>
          </w:tcPr>
          <w:p w14:paraId="59DD9A19" w14:textId="77777777" w:rsidR="009A356E" w:rsidRPr="00C10545" w:rsidRDefault="009A356E" w:rsidP="009A356E">
            <w:pPr>
              <w:jc w:val="right"/>
              <w:rPr>
                <w:b/>
                <w:bCs/>
                <w:sz w:val="18"/>
                <w:szCs w:val="18"/>
                <w:lang w:eastAsia="en-AU"/>
              </w:rPr>
            </w:pPr>
            <w:r w:rsidRPr="00C10545">
              <w:rPr>
                <w:b/>
                <w:bCs/>
                <w:sz w:val="18"/>
                <w:szCs w:val="18"/>
                <w:lang w:eastAsia="en-AU"/>
              </w:rPr>
              <w:t>2008</w:t>
            </w:r>
          </w:p>
        </w:tc>
        <w:tc>
          <w:tcPr>
            <w:tcW w:w="388" w:type="pct"/>
            <w:tcBorders>
              <w:top w:val="single" w:sz="4" w:space="0" w:color="auto"/>
              <w:left w:val="nil"/>
              <w:bottom w:val="single" w:sz="4" w:space="0" w:color="auto"/>
              <w:right w:val="single" w:sz="4" w:space="0" w:color="auto"/>
            </w:tcBorders>
            <w:shd w:val="clear" w:color="000000" w:fill="EBF1DE"/>
            <w:noWrap/>
            <w:vAlign w:val="bottom"/>
            <w:hideMark/>
          </w:tcPr>
          <w:p w14:paraId="256DA094" w14:textId="77777777" w:rsidR="009A356E" w:rsidRPr="00C10545" w:rsidRDefault="009A356E" w:rsidP="009A356E">
            <w:pPr>
              <w:jc w:val="right"/>
              <w:rPr>
                <w:b/>
                <w:bCs/>
                <w:sz w:val="18"/>
                <w:szCs w:val="18"/>
                <w:lang w:eastAsia="en-AU"/>
              </w:rPr>
            </w:pPr>
            <w:r w:rsidRPr="00C10545">
              <w:rPr>
                <w:b/>
                <w:bCs/>
                <w:sz w:val="18"/>
                <w:szCs w:val="18"/>
                <w:lang w:eastAsia="en-AU"/>
              </w:rPr>
              <w:t>2014</w:t>
            </w:r>
          </w:p>
        </w:tc>
        <w:tc>
          <w:tcPr>
            <w:tcW w:w="388" w:type="pct"/>
            <w:tcBorders>
              <w:top w:val="single" w:sz="4" w:space="0" w:color="auto"/>
              <w:left w:val="nil"/>
              <w:bottom w:val="single" w:sz="4" w:space="0" w:color="auto"/>
              <w:right w:val="single" w:sz="4" w:space="0" w:color="auto"/>
            </w:tcBorders>
            <w:shd w:val="clear" w:color="000000" w:fill="E4DFEC"/>
            <w:noWrap/>
            <w:vAlign w:val="bottom"/>
            <w:hideMark/>
          </w:tcPr>
          <w:p w14:paraId="79B60C07" w14:textId="77777777" w:rsidR="009A356E" w:rsidRPr="00C10545" w:rsidRDefault="009A356E" w:rsidP="009A356E">
            <w:pPr>
              <w:jc w:val="right"/>
              <w:rPr>
                <w:b/>
                <w:bCs/>
                <w:sz w:val="18"/>
                <w:szCs w:val="18"/>
                <w:lang w:eastAsia="en-AU"/>
              </w:rPr>
            </w:pPr>
            <w:r w:rsidRPr="00C10545">
              <w:rPr>
                <w:b/>
                <w:bCs/>
                <w:sz w:val="18"/>
                <w:szCs w:val="18"/>
                <w:lang w:eastAsia="en-AU"/>
              </w:rPr>
              <w:t>2015</w:t>
            </w:r>
          </w:p>
        </w:tc>
      </w:tr>
      <w:tr w:rsidR="009A356E" w:rsidRPr="00B030A2" w14:paraId="0950BDC2" w14:textId="77777777" w:rsidTr="00D65200">
        <w:trPr>
          <w:trHeight w:val="825"/>
          <w:tblHeader/>
        </w:trPr>
        <w:tc>
          <w:tcPr>
            <w:tcW w:w="828" w:type="pct"/>
            <w:tcBorders>
              <w:top w:val="nil"/>
              <w:left w:val="single" w:sz="4" w:space="0" w:color="auto"/>
              <w:bottom w:val="single" w:sz="4" w:space="0" w:color="auto"/>
              <w:right w:val="single" w:sz="4" w:space="0" w:color="auto"/>
            </w:tcBorders>
            <w:shd w:val="clear" w:color="000000" w:fill="000000"/>
            <w:noWrap/>
            <w:vAlign w:val="bottom"/>
            <w:hideMark/>
          </w:tcPr>
          <w:p w14:paraId="6F83DCCE" w14:textId="77777777" w:rsidR="009A356E" w:rsidRPr="00C10545" w:rsidRDefault="009A356E" w:rsidP="009A356E">
            <w:pPr>
              <w:rPr>
                <w:sz w:val="18"/>
                <w:szCs w:val="18"/>
                <w:lang w:eastAsia="en-AU"/>
              </w:rPr>
            </w:pPr>
            <w:r w:rsidRPr="00C10545">
              <w:rPr>
                <w:sz w:val="18"/>
                <w:szCs w:val="18"/>
                <w:lang w:eastAsia="en-AU"/>
              </w:rPr>
              <w:t> </w:t>
            </w:r>
          </w:p>
        </w:tc>
        <w:tc>
          <w:tcPr>
            <w:tcW w:w="301" w:type="pct"/>
            <w:tcBorders>
              <w:top w:val="nil"/>
              <w:left w:val="nil"/>
              <w:bottom w:val="single" w:sz="4" w:space="0" w:color="auto"/>
              <w:right w:val="single" w:sz="4" w:space="0" w:color="auto"/>
            </w:tcBorders>
            <w:shd w:val="clear" w:color="000000" w:fill="FDE9D9"/>
            <w:noWrap/>
            <w:textDirection w:val="tbRl"/>
            <w:vAlign w:val="center"/>
            <w:hideMark/>
          </w:tcPr>
          <w:p w14:paraId="30BACF03" w14:textId="77777777" w:rsidR="009A356E" w:rsidRPr="00C10545" w:rsidRDefault="009A356E" w:rsidP="009A356E">
            <w:pPr>
              <w:jc w:val="center"/>
              <w:rPr>
                <w:b/>
                <w:bCs/>
                <w:sz w:val="18"/>
                <w:szCs w:val="18"/>
                <w:lang w:eastAsia="en-AU"/>
              </w:rPr>
            </w:pPr>
            <w:r w:rsidRPr="00C10545">
              <w:rPr>
                <w:b/>
                <w:bCs/>
                <w:sz w:val="18"/>
                <w:szCs w:val="18"/>
                <w:lang w:eastAsia="en-AU"/>
              </w:rPr>
              <w:t>Grants</w:t>
            </w:r>
          </w:p>
        </w:tc>
        <w:tc>
          <w:tcPr>
            <w:tcW w:w="353" w:type="pct"/>
            <w:tcBorders>
              <w:top w:val="nil"/>
              <w:left w:val="nil"/>
              <w:bottom w:val="single" w:sz="4" w:space="0" w:color="auto"/>
              <w:right w:val="single" w:sz="4" w:space="0" w:color="auto"/>
            </w:tcBorders>
            <w:shd w:val="clear" w:color="000000" w:fill="FDE9D9"/>
            <w:noWrap/>
            <w:textDirection w:val="tbRl"/>
            <w:vAlign w:val="center"/>
            <w:hideMark/>
          </w:tcPr>
          <w:p w14:paraId="09A46974" w14:textId="77777777" w:rsidR="009A356E" w:rsidRPr="00C10545" w:rsidRDefault="009A356E" w:rsidP="009A356E">
            <w:pPr>
              <w:jc w:val="center"/>
              <w:rPr>
                <w:b/>
                <w:bCs/>
                <w:sz w:val="18"/>
                <w:szCs w:val="18"/>
                <w:lang w:eastAsia="en-AU"/>
              </w:rPr>
            </w:pPr>
            <w:r w:rsidRPr="00C10545">
              <w:rPr>
                <w:b/>
                <w:bCs/>
                <w:sz w:val="18"/>
                <w:szCs w:val="18"/>
                <w:lang w:eastAsia="en-AU"/>
              </w:rPr>
              <w:t>Expenses</w:t>
            </w:r>
          </w:p>
        </w:tc>
        <w:tc>
          <w:tcPr>
            <w:tcW w:w="301" w:type="pct"/>
            <w:tcBorders>
              <w:top w:val="nil"/>
              <w:left w:val="nil"/>
              <w:bottom w:val="single" w:sz="4" w:space="0" w:color="auto"/>
              <w:right w:val="single" w:sz="4" w:space="0" w:color="auto"/>
            </w:tcBorders>
            <w:shd w:val="clear" w:color="000000" w:fill="DAEEF3"/>
            <w:noWrap/>
            <w:textDirection w:val="tbRl"/>
            <w:vAlign w:val="center"/>
            <w:hideMark/>
          </w:tcPr>
          <w:p w14:paraId="036E45EF" w14:textId="77777777" w:rsidR="009A356E" w:rsidRPr="00C10545" w:rsidRDefault="009A356E" w:rsidP="009A356E">
            <w:pPr>
              <w:jc w:val="center"/>
              <w:rPr>
                <w:b/>
                <w:bCs/>
                <w:sz w:val="18"/>
                <w:szCs w:val="18"/>
                <w:lang w:eastAsia="en-AU"/>
              </w:rPr>
            </w:pPr>
            <w:r w:rsidRPr="00C10545">
              <w:rPr>
                <w:b/>
                <w:bCs/>
                <w:sz w:val="18"/>
                <w:szCs w:val="18"/>
                <w:lang w:eastAsia="en-AU"/>
              </w:rPr>
              <w:t>Grants</w:t>
            </w:r>
          </w:p>
        </w:tc>
        <w:tc>
          <w:tcPr>
            <w:tcW w:w="353" w:type="pct"/>
            <w:tcBorders>
              <w:top w:val="nil"/>
              <w:left w:val="nil"/>
              <w:bottom w:val="single" w:sz="4" w:space="0" w:color="auto"/>
              <w:right w:val="single" w:sz="4" w:space="0" w:color="auto"/>
            </w:tcBorders>
            <w:shd w:val="clear" w:color="000000" w:fill="DAEEF3"/>
            <w:noWrap/>
            <w:textDirection w:val="tbRl"/>
            <w:vAlign w:val="center"/>
            <w:hideMark/>
          </w:tcPr>
          <w:p w14:paraId="387D9D8B" w14:textId="77777777" w:rsidR="009A356E" w:rsidRPr="00C10545" w:rsidRDefault="009A356E" w:rsidP="009A356E">
            <w:pPr>
              <w:jc w:val="center"/>
              <w:rPr>
                <w:b/>
                <w:bCs/>
                <w:sz w:val="18"/>
                <w:szCs w:val="18"/>
                <w:lang w:eastAsia="en-AU"/>
              </w:rPr>
            </w:pPr>
            <w:r w:rsidRPr="00C10545">
              <w:rPr>
                <w:b/>
                <w:bCs/>
                <w:sz w:val="18"/>
                <w:szCs w:val="18"/>
                <w:lang w:eastAsia="en-AU"/>
              </w:rPr>
              <w:t>Expenses</w:t>
            </w:r>
          </w:p>
        </w:tc>
        <w:tc>
          <w:tcPr>
            <w:tcW w:w="301" w:type="pct"/>
            <w:tcBorders>
              <w:top w:val="nil"/>
              <w:left w:val="nil"/>
              <w:bottom w:val="single" w:sz="4" w:space="0" w:color="auto"/>
              <w:right w:val="single" w:sz="4" w:space="0" w:color="auto"/>
            </w:tcBorders>
            <w:shd w:val="clear" w:color="000000" w:fill="EBF1DE"/>
            <w:noWrap/>
            <w:textDirection w:val="tbRl"/>
            <w:vAlign w:val="center"/>
            <w:hideMark/>
          </w:tcPr>
          <w:p w14:paraId="4611AE6B" w14:textId="77777777" w:rsidR="009A356E" w:rsidRPr="00C10545" w:rsidRDefault="009A356E" w:rsidP="009A356E">
            <w:pPr>
              <w:jc w:val="center"/>
              <w:rPr>
                <w:b/>
                <w:bCs/>
                <w:sz w:val="18"/>
                <w:szCs w:val="18"/>
                <w:lang w:eastAsia="en-AU"/>
              </w:rPr>
            </w:pPr>
            <w:r w:rsidRPr="00C10545">
              <w:rPr>
                <w:b/>
                <w:bCs/>
                <w:sz w:val="18"/>
                <w:szCs w:val="18"/>
                <w:lang w:eastAsia="en-AU"/>
              </w:rPr>
              <w:t>Grants</w:t>
            </w:r>
          </w:p>
        </w:tc>
        <w:tc>
          <w:tcPr>
            <w:tcW w:w="354" w:type="pct"/>
            <w:tcBorders>
              <w:top w:val="nil"/>
              <w:left w:val="nil"/>
              <w:bottom w:val="single" w:sz="4" w:space="0" w:color="auto"/>
              <w:right w:val="single" w:sz="4" w:space="0" w:color="auto"/>
            </w:tcBorders>
            <w:shd w:val="clear" w:color="000000" w:fill="EBF1DE"/>
            <w:noWrap/>
            <w:textDirection w:val="tbRl"/>
            <w:vAlign w:val="center"/>
            <w:hideMark/>
          </w:tcPr>
          <w:p w14:paraId="2F5D1F4E" w14:textId="77777777" w:rsidR="009A356E" w:rsidRPr="00C10545" w:rsidRDefault="009A356E" w:rsidP="009A356E">
            <w:pPr>
              <w:jc w:val="center"/>
              <w:rPr>
                <w:b/>
                <w:bCs/>
                <w:sz w:val="18"/>
                <w:szCs w:val="18"/>
                <w:lang w:eastAsia="en-AU"/>
              </w:rPr>
            </w:pPr>
            <w:r w:rsidRPr="00C10545">
              <w:rPr>
                <w:b/>
                <w:bCs/>
                <w:sz w:val="18"/>
                <w:szCs w:val="18"/>
                <w:lang w:eastAsia="en-AU"/>
              </w:rPr>
              <w:t>Expenses</w:t>
            </w:r>
          </w:p>
        </w:tc>
        <w:tc>
          <w:tcPr>
            <w:tcW w:w="302" w:type="pct"/>
            <w:tcBorders>
              <w:top w:val="nil"/>
              <w:left w:val="nil"/>
              <w:bottom w:val="single" w:sz="4" w:space="0" w:color="auto"/>
              <w:right w:val="single" w:sz="4" w:space="0" w:color="auto"/>
            </w:tcBorders>
            <w:shd w:val="clear" w:color="000000" w:fill="E4DFEC"/>
            <w:noWrap/>
            <w:textDirection w:val="tbRl"/>
            <w:vAlign w:val="center"/>
            <w:hideMark/>
          </w:tcPr>
          <w:p w14:paraId="2286C469" w14:textId="77777777" w:rsidR="009A356E" w:rsidRPr="00C10545" w:rsidRDefault="009A356E" w:rsidP="009A356E">
            <w:pPr>
              <w:jc w:val="center"/>
              <w:rPr>
                <w:b/>
                <w:bCs/>
                <w:sz w:val="18"/>
                <w:szCs w:val="18"/>
                <w:lang w:eastAsia="en-AU"/>
              </w:rPr>
            </w:pPr>
            <w:r w:rsidRPr="00C10545">
              <w:rPr>
                <w:b/>
                <w:bCs/>
                <w:sz w:val="18"/>
                <w:szCs w:val="18"/>
                <w:lang w:eastAsia="en-AU"/>
              </w:rPr>
              <w:t>Grants</w:t>
            </w:r>
          </w:p>
        </w:tc>
        <w:tc>
          <w:tcPr>
            <w:tcW w:w="354" w:type="pct"/>
            <w:tcBorders>
              <w:top w:val="nil"/>
              <w:left w:val="nil"/>
              <w:bottom w:val="single" w:sz="4" w:space="0" w:color="auto"/>
              <w:right w:val="single" w:sz="4" w:space="0" w:color="auto"/>
            </w:tcBorders>
            <w:shd w:val="clear" w:color="000000" w:fill="E4DFEC"/>
            <w:noWrap/>
            <w:textDirection w:val="tbRl"/>
            <w:vAlign w:val="center"/>
            <w:hideMark/>
          </w:tcPr>
          <w:p w14:paraId="2729B827" w14:textId="77777777" w:rsidR="009A356E" w:rsidRPr="00C10545" w:rsidRDefault="009A356E" w:rsidP="009A356E">
            <w:pPr>
              <w:jc w:val="center"/>
              <w:rPr>
                <w:b/>
                <w:bCs/>
                <w:sz w:val="18"/>
                <w:szCs w:val="18"/>
                <w:lang w:eastAsia="en-AU"/>
              </w:rPr>
            </w:pPr>
            <w:r w:rsidRPr="00C10545">
              <w:rPr>
                <w:b/>
                <w:bCs/>
                <w:sz w:val="18"/>
                <w:szCs w:val="18"/>
                <w:lang w:eastAsia="en-AU"/>
              </w:rPr>
              <w:t>Expenses</w:t>
            </w:r>
          </w:p>
        </w:tc>
        <w:tc>
          <w:tcPr>
            <w:tcW w:w="1552"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068A7901" w14:textId="77777777" w:rsidR="009A356E" w:rsidRPr="00C10545" w:rsidRDefault="009A356E" w:rsidP="009A356E">
            <w:pPr>
              <w:jc w:val="center"/>
              <w:rPr>
                <w:b/>
                <w:bCs/>
                <w:sz w:val="18"/>
                <w:szCs w:val="18"/>
                <w:lang w:eastAsia="en-AU"/>
              </w:rPr>
            </w:pPr>
            <w:r w:rsidRPr="00C10545">
              <w:rPr>
                <w:b/>
                <w:bCs/>
                <w:sz w:val="18"/>
                <w:szCs w:val="18"/>
                <w:lang w:eastAsia="en-AU"/>
              </w:rPr>
              <w:t>Grants as % Expenses</w:t>
            </w:r>
          </w:p>
        </w:tc>
      </w:tr>
      <w:tr w:rsidR="009A356E" w:rsidRPr="00B030A2" w14:paraId="0E1ADF39" w14:textId="77777777" w:rsidTr="009A356E">
        <w:trPr>
          <w:trHeight w:val="240"/>
        </w:trPr>
        <w:tc>
          <w:tcPr>
            <w:tcW w:w="828" w:type="pct"/>
            <w:tcBorders>
              <w:top w:val="nil"/>
              <w:left w:val="single" w:sz="4" w:space="0" w:color="auto"/>
              <w:bottom w:val="single" w:sz="4" w:space="0" w:color="auto"/>
              <w:right w:val="single" w:sz="4" w:space="0" w:color="auto"/>
            </w:tcBorders>
            <w:shd w:val="clear" w:color="auto" w:fill="auto"/>
            <w:noWrap/>
            <w:vAlign w:val="bottom"/>
            <w:hideMark/>
          </w:tcPr>
          <w:p w14:paraId="798C7D43" w14:textId="77777777" w:rsidR="009A356E" w:rsidRPr="00C10545" w:rsidRDefault="009A356E" w:rsidP="009A356E">
            <w:pPr>
              <w:rPr>
                <w:sz w:val="18"/>
                <w:szCs w:val="18"/>
                <w:lang w:eastAsia="en-AU"/>
              </w:rPr>
            </w:pPr>
            <w:r w:rsidRPr="00C10545">
              <w:rPr>
                <w:sz w:val="18"/>
                <w:szCs w:val="18"/>
                <w:lang w:eastAsia="en-AU"/>
              </w:rPr>
              <w:t>Campaspe</w:t>
            </w:r>
          </w:p>
        </w:tc>
        <w:tc>
          <w:tcPr>
            <w:tcW w:w="301" w:type="pct"/>
            <w:tcBorders>
              <w:top w:val="nil"/>
              <w:left w:val="nil"/>
              <w:bottom w:val="single" w:sz="4" w:space="0" w:color="auto"/>
              <w:right w:val="single" w:sz="4" w:space="0" w:color="auto"/>
            </w:tcBorders>
            <w:shd w:val="clear" w:color="000000" w:fill="FDE9D9"/>
            <w:noWrap/>
            <w:vAlign w:val="bottom"/>
            <w:hideMark/>
          </w:tcPr>
          <w:p w14:paraId="1DAE5F9D" w14:textId="77777777" w:rsidR="009A356E" w:rsidRPr="00C10545" w:rsidRDefault="009A356E" w:rsidP="009A356E">
            <w:pPr>
              <w:jc w:val="right"/>
              <w:rPr>
                <w:sz w:val="18"/>
                <w:szCs w:val="18"/>
                <w:lang w:eastAsia="en-AU"/>
              </w:rPr>
            </w:pPr>
            <w:r w:rsidRPr="00C10545">
              <w:rPr>
                <w:sz w:val="18"/>
                <w:szCs w:val="18"/>
                <w:lang w:eastAsia="en-AU"/>
              </w:rPr>
              <w:t>5.23</w:t>
            </w:r>
          </w:p>
        </w:tc>
        <w:tc>
          <w:tcPr>
            <w:tcW w:w="353" w:type="pct"/>
            <w:tcBorders>
              <w:top w:val="nil"/>
              <w:left w:val="nil"/>
              <w:bottom w:val="single" w:sz="4" w:space="0" w:color="auto"/>
              <w:right w:val="single" w:sz="4" w:space="0" w:color="auto"/>
            </w:tcBorders>
            <w:shd w:val="clear" w:color="000000" w:fill="FDE9D9"/>
            <w:noWrap/>
            <w:vAlign w:val="bottom"/>
            <w:hideMark/>
          </w:tcPr>
          <w:p w14:paraId="4596CFA5" w14:textId="77777777" w:rsidR="009A356E" w:rsidRPr="00C10545" w:rsidRDefault="009A356E" w:rsidP="009A356E">
            <w:pPr>
              <w:jc w:val="right"/>
              <w:rPr>
                <w:sz w:val="18"/>
                <w:szCs w:val="18"/>
                <w:lang w:eastAsia="en-AU"/>
              </w:rPr>
            </w:pPr>
            <w:r w:rsidRPr="00C10545">
              <w:rPr>
                <w:sz w:val="18"/>
                <w:szCs w:val="18"/>
                <w:lang w:eastAsia="en-AU"/>
              </w:rPr>
              <w:t>21.23</w:t>
            </w:r>
          </w:p>
        </w:tc>
        <w:tc>
          <w:tcPr>
            <w:tcW w:w="301" w:type="pct"/>
            <w:tcBorders>
              <w:top w:val="nil"/>
              <w:left w:val="nil"/>
              <w:bottom w:val="single" w:sz="4" w:space="0" w:color="auto"/>
              <w:right w:val="single" w:sz="4" w:space="0" w:color="auto"/>
            </w:tcBorders>
            <w:shd w:val="clear" w:color="000000" w:fill="DAEEF3"/>
            <w:noWrap/>
            <w:vAlign w:val="bottom"/>
            <w:hideMark/>
          </w:tcPr>
          <w:p w14:paraId="45A8BCF7" w14:textId="77777777" w:rsidR="009A356E" w:rsidRPr="00C10545" w:rsidRDefault="009A356E" w:rsidP="009A356E">
            <w:pPr>
              <w:jc w:val="right"/>
              <w:rPr>
                <w:sz w:val="18"/>
                <w:szCs w:val="18"/>
                <w:lang w:eastAsia="en-AU"/>
              </w:rPr>
            </w:pPr>
            <w:r w:rsidRPr="00C10545">
              <w:rPr>
                <w:sz w:val="18"/>
                <w:szCs w:val="18"/>
                <w:lang w:eastAsia="en-AU"/>
              </w:rPr>
              <w:t>5.88</w:t>
            </w:r>
          </w:p>
        </w:tc>
        <w:tc>
          <w:tcPr>
            <w:tcW w:w="353" w:type="pct"/>
            <w:tcBorders>
              <w:top w:val="nil"/>
              <w:left w:val="nil"/>
              <w:bottom w:val="single" w:sz="4" w:space="0" w:color="auto"/>
              <w:right w:val="single" w:sz="4" w:space="0" w:color="auto"/>
            </w:tcBorders>
            <w:shd w:val="clear" w:color="000000" w:fill="DAEEF3"/>
            <w:noWrap/>
            <w:vAlign w:val="bottom"/>
            <w:hideMark/>
          </w:tcPr>
          <w:p w14:paraId="75662944" w14:textId="77777777" w:rsidR="009A356E" w:rsidRPr="00C10545" w:rsidRDefault="009A356E" w:rsidP="009A356E">
            <w:pPr>
              <w:jc w:val="right"/>
              <w:rPr>
                <w:sz w:val="18"/>
                <w:szCs w:val="18"/>
                <w:lang w:eastAsia="en-AU"/>
              </w:rPr>
            </w:pPr>
            <w:r w:rsidRPr="00C10545">
              <w:rPr>
                <w:sz w:val="18"/>
                <w:szCs w:val="18"/>
                <w:lang w:eastAsia="en-AU"/>
              </w:rPr>
              <w:t>20.35</w:t>
            </w:r>
          </w:p>
        </w:tc>
        <w:tc>
          <w:tcPr>
            <w:tcW w:w="301" w:type="pct"/>
            <w:tcBorders>
              <w:top w:val="nil"/>
              <w:left w:val="nil"/>
              <w:bottom w:val="single" w:sz="4" w:space="0" w:color="auto"/>
              <w:right w:val="single" w:sz="4" w:space="0" w:color="auto"/>
            </w:tcBorders>
            <w:shd w:val="clear" w:color="000000" w:fill="EBF1DE"/>
            <w:noWrap/>
            <w:vAlign w:val="bottom"/>
            <w:hideMark/>
          </w:tcPr>
          <w:p w14:paraId="6B4A183A" w14:textId="77777777" w:rsidR="009A356E" w:rsidRPr="00C10545" w:rsidRDefault="009A356E" w:rsidP="009A356E">
            <w:pPr>
              <w:jc w:val="right"/>
              <w:rPr>
                <w:sz w:val="18"/>
                <w:szCs w:val="18"/>
                <w:lang w:eastAsia="en-AU"/>
              </w:rPr>
            </w:pPr>
            <w:r w:rsidRPr="00C10545">
              <w:rPr>
                <w:sz w:val="18"/>
                <w:szCs w:val="18"/>
                <w:lang w:eastAsia="en-AU"/>
              </w:rPr>
              <w:t>5.45</w:t>
            </w:r>
          </w:p>
        </w:tc>
        <w:tc>
          <w:tcPr>
            <w:tcW w:w="354" w:type="pct"/>
            <w:tcBorders>
              <w:top w:val="nil"/>
              <w:left w:val="nil"/>
              <w:bottom w:val="single" w:sz="4" w:space="0" w:color="auto"/>
              <w:right w:val="single" w:sz="4" w:space="0" w:color="auto"/>
            </w:tcBorders>
            <w:shd w:val="clear" w:color="000000" w:fill="EBF1DE"/>
            <w:noWrap/>
            <w:vAlign w:val="bottom"/>
            <w:hideMark/>
          </w:tcPr>
          <w:p w14:paraId="149052F2" w14:textId="77777777" w:rsidR="009A356E" w:rsidRPr="00C10545" w:rsidRDefault="009A356E" w:rsidP="009A356E">
            <w:pPr>
              <w:jc w:val="right"/>
              <w:rPr>
                <w:sz w:val="18"/>
                <w:szCs w:val="18"/>
                <w:lang w:eastAsia="en-AU"/>
              </w:rPr>
            </w:pPr>
            <w:r w:rsidRPr="00C10545">
              <w:rPr>
                <w:sz w:val="18"/>
                <w:szCs w:val="18"/>
                <w:lang w:eastAsia="en-AU"/>
              </w:rPr>
              <w:t>33.12</w:t>
            </w:r>
          </w:p>
        </w:tc>
        <w:tc>
          <w:tcPr>
            <w:tcW w:w="302" w:type="pct"/>
            <w:tcBorders>
              <w:top w:val="nil"/>
              <w:left w:val="nil"/>
              <w:bottom w:val="single" w:sz="4" w:space="0" w:color="auto"/>
              <w:right w:val="single" w:sz="4" w:space="0" w:color="auto"/>
            </w:tcBorders>
            <w:shd w:val="clear" w:color="000000" w:fill="E4DFEC"/>
            <w:noWrap/>
            <w:vAlign w:val="bottom"/>
            <w:hideMark/>
          </w:tcPr>
          <w:p w14:paraId="7FCADAB6" w14:textId="77777777" w:rsidR="009A356E" w:rsidRPr="00C10545" w:rsidRDefault="009A356E" w:rsidP="009A356E">
            <w:pPr>
              <w:jc w:val="right"/>
              <w:rPr>
                <w:sz w:val="18"/>
                <w:szCs w:val="18"/>
                <w:lang w:eastAsia="en-AU"/>
              </w:rPr>
            </w:pPr>
            <w:r w:rsidRPr="00C10545">
              <w:rPr>
                <w:sz w:val="18"/>
                <w:szCs w:val="18"/>
                <w:lang w:eastAsia="en-AU"/>
              </w:rPr>
              <w:t>5.63</w:t>
            </w:r>
          </w:p>
        </w:tc>
        <w:tc>
          <w:tcPr>
            <w:tcW w:w="354" w:type="pct"/>
            <w:tcBorders>
              <w:top w:val="nil"/>
              <w:left w:val="nil"/>
              <w:bottom w:val="single" w:sz="4" w:space="0" w:color="auto"/>
              <w:right w:val="single" w:sz="4" w:space="0" w:color="auto"/>
            </w:tcBorders>
            <w:shd w:val="clear" w:color="000000" w:fill="E4DFEC"/>
            <w:noWrap/>
            <w:vAlign w:val="bottom"/>
            <w:hideMark/>
          </w:tcPr>
          <w:p w14:paraId="24357F4A" w14:textId="77777777" w:rsidR="009A356E" w:rsidRPr="00C10545" w:rsidRDefault="009A356E" w:rsidP="009A356E">
            <w:pPr>
              <w:jc w:val="right"/>
              <w:rPr>
                <w:sz w:val="18"/>
                <w:szCs w:val="18"/>
                <w:lang w:eastAsia="en-AU"/>
              </w:rPr>
            </w:pPr>
            <w:r w:rsidRPr="00C10545">
              <w:rPr>
                <w:sz w:val="18"/>
                <w:szCs w:val="18"/>
                <w:lang w:eastAsia="en-AU"/>
              </w:rPr>
              <w:t>40.27</w:t>
            </w:r>
          </w:p>
        </w:tc>
        <w:tc>
          <w:tcPr>
            <w:tcW w:w="388" w:type="pct"/>
            <w:tcBorders>
              <w:top w:val="nil"/>
              <w:left w:val="nil"/>
              <w:bottom w:val="single" w:sz="4" w:space="0" w:color="auto"/>
              <w:right w:val="single" w:sz="4" w:space="0" w:color="auto"/>
            </w:tcBorders>
            <w:shd w:val="clear" w:color="000000" w:fill="FDE9D9"/>
            <w:noWrap/>
            <w:vAlign w:val="bottom"/>
            <w:hideMark/>
          </w:tcPr>
          <w:p w14:paraId="3361076F" w14:textId="77777777" w:rsidR="009A356E" w:rsidRPr="00C10545" w:rsidRDefault="009A356E" w:rsidP="009A356E">
            <w:pPr>
              <w:jc w:val="right"/>
              <w:rPr>
                <w:sz w:val="18"/>
                <w:szCs w:val="18"/>
                <w:lang w:eastAsia="en-AU"/>
              </w:rPr>
            </w:pPr>
            <w:r w:rsidRPr="00C10545">
              <w:rPr>
                <w:sz w:val="18"/>
                <w:szCs w:val="18"/>
                <w:lang w:eastAsia="en-AU"/>
              </w:rPr>
              <w:t>24.6%</w:t>
            </w:r>
          </w:p>
        </w:tc>
        <w:tc>
          <w:tcPr>
            <w:tcW w:w="388" w:type="pct"/>
            <w:tcBorders>
              <w:top w:val="nil"/>
              <w:left w:val="nil"/>
              <w:bottom w:val="single" w:sz="4" w:space="0" w:color="auto"/>
              <w:right w:val="single" w:sz="4" w:space="0" w:color="auto"/>
            </w:tcBorders>
            <w:shd w:val="clear" w:color="000000" w:fill="DAEEF3"/>
            <w:noWrap/>
            <w:vAlign w:val="bottom"/>
            <w:hideMark/>
          </w:tcPr>
          <w:p w14:paraId="2C670717" w14:textId="77777777" w:rsidR="009A356E" w:rsidRPr="00C10545" w:rsidRDefault="009A356E" w:rsidP="009A356E">
            <w:pPr>
              <w:jc w:val="right"/>
              <w:rPr>
                <w:sz w:val="18"/>
                <w:szCs w:val="18"/>
                <w:lang w:eastAsia="en-AU"/>
              </w:rPr>
            </w:pPr>
            <w:r w:rsidRPr="00C10545">
              <w:rPr>
                <w:sz w:val="18"/>
                <w:szCs w:val="18"/>
                <w:lang w:eastAsia="en-AU"/>
              </w:rPr>
              <w:t>28.9%</w:t>
            </w:r>
          </w:p>
        </w:tc>
        <w:tc>
          <w:tcPr>
            <w:tcW w:w="388" w:type="pct"/>
            <w:tcBorders>
              <w:top w:val="nil"/>
              <w:left w:val="nil"/>
              <w:bottom w:val="single" w:sz="4" w:space="0" w:color="auto"/>
              <w:right w:val="single" w:sz="4" w:space="0" w:color="auto"/>
            </w:tcBorders>
            <w:shd w:val="clear" w:color="000000" w:fill="EBF1DE"/>
            <w:noWrap/>
            <w:vAlign w:val="bottom"/>
            <w:hideMark/>
          </w:tcPr>
          <w:p w14:paraId="0787C810" w14:textId="77777777" w:rsidR="009A356E" w:rsidRPr="00C10545" w:rsidRDefault="009A356E" w:rsidP="009A356E">
            <w:pPr>
              <w:jc w:val="right"/>
              <w:rPr>
                <w:sz w:val="18"/>
                <w:szCs w:val="18"/>
                <w:lang w:eastAsia="en-AU"/>
              </w:rPr>
            </w:pPr>
            <w:r w:rsidRPr="00C10545">
              <w:rPr>
                <w:sz w:val="18"/>
                <w:szCs w:val="18"/>
                <w:lang w:eastAsia="en-AU"/>
              </w:rPr>
              <w:t>16.4%</w:t>
            </w:r>
          </w:p>
        </w:tc>
        <w:tc>
          <w:tcPr>
            <w:tcW w:w="388" w:type="pct"/>
            <w:tcBorders>
              <w:top w:val="nil"/>
              <w:left w:val="nil"/>
              <w:bottom w:val="single" w:sz="4" w:space="0" w:color="auto"/>
              <w:right w:val="single" w:sz="4" w:space="0" w:color="auto"/>
            </w:tcBorders>
            <w:shd w:val="clear" w:color="000000" w:fill="E4DFEC"/>
            <w:noWrap/>
            <w:vAlign w:val="bottom"/>
            <w:hideMark/>
          </w:tcPr>
          <w:p w14:paraId="7F12C4F5" w14:textId="77777777" w:rsidR="009A356E" w:rsidRPr="00C10545" w:rsidRDefault="009A356E" w:rsidP="009A356E">
            <w:pPr>
              <w:jc w:val="right"/>
              <w:rPr>
                <w:sz w:val="18"/>
                <w:szCs w:val="18"/>
                <w:lang w:eastAsia="en-AU"/>
              </w:rPr>
            </w:pPr>
            <w:r w:rsidRPr="00C10545">
              <w:rPr>
                <w:sz w:val="18"/>
                <w:szCs w:val="18"/>
                <w:lang w:eastAsia="en-AU"/>
              </w:rPr>
              <w:t>14.0%</w:t>
            </w:r>
          </w:p>
        </w:tc>
      </w:tr>
      <w:tr w:rsidR="009A356E" w:rsidRPr="00B030A2" w14:paraId="6311F617" w14:textId="77777777" w:rsidTr="009A356E">
        <w:trPr>
          <w:trHeight w:val="240"/>
        </w:trPr>
        <w:tc>
          <w:tcPr>
            <w:tcW w:w="828" w:type="pct"/>
            <w:tcBorders>
              <w:top w:val="nil"/>
              <w:left w:val="single" w:sz="4" w:space="0" w:color="auto"/>
              <w:bottom w:val="single" w:sz="4" w:space="0" w:color="auto"/>
              <w:right w:val="single" w:sz="4" w:space="0" w:color="auto"/>
            </w:tcBorders>
            <w:shd w:val="clear" w:color="auto" w:fill="auto"/>
            <w:noWrap/>
            <w:vAlign w:val="bottom"/>
            <w:hideMark/>
          </w:tcPr>
          <w:p w14:paraId="37F236B2" w14:textId="77777777" w:rsidR="009A356E" w:rsidRPr="00C10545" w:rsidRDefault="009A356E" w:rsidP="009A356E">
            <w:pPr>
              <w:rPr>
                <w:sz w:val="18"/>
                <w:szCs w:val="18"/>
                <w:lang w:eastAsia="en-AU"/>
              </w:rPr>
            </w:pPr>
            <w:r w:rsidRPr="00C10545">
              <w:rPr>
                <w:sz w:val="18"/>
                <w:szCs w:val="18"/>
                <w:lang w:eastAsia="en-AU"/>
              </w:rPr>
              <w:t>Central Highlands</w:t>
            </w:r>
          </w:p>
        </w:tc>
        <w:tc>
          <w:tcPr>
            <w:tcW w:w="301" w:type="pct"/>
            <w:tcBorders>
              <w:top w:val="nil"/>
              <w:left w:val="nil"/>
              <w:bottom w:val="single" w:sz="4" w:space="0" w:color="auto"/>
              <w:right w:val="single" w:sz="4" w:space="0" w:color="auto"/>
            </w:tcBorders>
            <w:shd w:val="clear" w:color="000000" w:fill="FDE9D9"/>
            <w:noWrap/>
            <w:vAlign w:val="bottom"/>
            <w:hideMark/>
          </w:tcPr>
          <w:p w14:paraId="62290BDA" w14:textId="77777777" w:rsidR="009A356E" w:rsidRPr="00C10545" w:rsidRDefault="009A356E" w:rsidP="009A356E">
            <w:pPr>
              <w:jc w:val="right"/>
              <w:rPr>
                <w:sz w:val="18"/>
                <w:szCs w:val="18"/>
                <w:lang w:eastAsia="en-AU"/>
              </w:rPr>
            </w:pPr>
            <w:r w:rsidRPr="00C10545">
              <w:rPr>
                <w:sz w:val="18"/>
                <w:szCs w:val="18"/>
                <w:lang w:eastAsia="en-AU"/>
              </w:rPr>
              <w:t>4.93</w:t>
            </w:r>
          </w:p>
        </w:tc>
        <w:tc>
          <w:tcPr>
            <w:tcW w:w="353" w:type="pct"/>
            <w:tcBorders>
              <w:top w:val="nil"/>
              <w:left w:val="nil"/>
              <w:bottom w:val="single" w:sz="4" w:space="0" w:color="auto"/>
              <w:right w:val="single" w:sz="4" w:space="0" w:color="auto"/>
            </w:tcBorders>
            <w:shd w:val="clear" w:color="000000" w:fill="FDE9D9"/>
            <w:noWrap/>
            <w:vAlign w:val="bottom"/>
            <w:hideMark/>
          </w:tcPr>
          <w:p w14:paraId="5BB88515" w14:textId="77777777" w:rsidR="009A356E" w:rsidRPr="00C10545" w:rsidRDefault="009A356E" w:rsidP="009A356E">
            <w:pPr>
              <w:jc w:val="right"/>
              <w:rPr>
                <w:sz w:val="18"/>
                <w:szCs w:val="18"/>
                <w:lang w:eastAsia="en-AU"/>
              </w:rPr>
            </w:pPr>
            <w:r w:rsidRPr="00C10545">
              <w:rPr>
                <w:sz w:val="18"/>
                <w:szCs w:val="18"/>
                <w:lang w:eastAsia="en-AU"/>
              </w:rPr>
              <w:t>15.81</w:t>
            </w:r>
          </w:p>
        </w:tc>
        <w:tc>
          <w:tcPr>
            <w:tcW w:w="301" w:type="pct"/>
            <w:tcBorders>
              <w:top w:val="nil"/>
              <w:left w:val="nil"/>
              <w:bottom w:val="single" w:sz="4" w:space="0" w:color="auto"/>
              <w:right w:val="single" w:sz="4" w:space="0" w:color="auto"/>
            </w:tcBorders>
            <w:shd w:val="clear" w:color="000000" w:fill="DAEEF3"/>
            <w:noWrap/>
            <w:vAlign w:val="bottom"/>
            <w:hideMark/>
          </w:tcPr>
          <w:p w14:paraId="50D65D21" w14:textId="77777777" w:rsidR="009A356E" w:rsidRPr="00C10545" w:rsidRDefault="009A356E" w:rsidP="009A356E">
            <w:pPr>
              <w:jc w:val="right"/>
              <w:rPr>
                <w:sz w:val="18"/>
                <w:szCs w:val="18"/>
                <w:lang w:eastAsia="en-AU"/>
              </w:rPr>
            </w:pPr>
            <w:r w:rsidRPr="00C10545">
              <w:rPr>
                <w:sz w:val="18"/>
                <w:szCs w:val="18"/>
                <w:lang w:eastAsia="en-AU"/>
              </w:rPr>
              <w:t>6.38</w:t>
            </w:r>
          </w:p>
        </w:tc>
        <w:tc>
          <w:tcPr>
            <w:tcW w:w="353" w:type="pct"/>
            <w:tcBorders>
              <w:top w:val="nil"/>
              <w:left w:val="nil"/>
              <w:bottom w:val="single" w:sz="4" w:space="0" w:color="auto"/>
              <w:right w:val="single" w:sz="4" w:space="0" w:color="auto"/>
            </w:tcBorders>
            <w:shd w:val="clear" w:color="000000" w:fill="DAEEF3"/>
            <w:noWrap/>
            <w:vAlign w:val="bottom"/>
            <w:hideMark/>
          </w:tcPr>
          <w:p w14:paraId="4ABFA769" w14:textId="77777777" w:rsidR="009A356E" w:rsidRPr="00C10545" w:rsidRDefault="009A356E" w:rsidP="009A356E">
            <w:pPr>
              <w:jc w:val="right"/>
              <w:rPr>
                <w:sz w:val="18"/>
                <w:szCs w:val="18"/>
                <w:lang w:eastAsia="en-AU"/>
              </w:rPr>
            </w:pPr>
            <w:r w:rsidRPr="00C10545">
              <w:rPr>
                <w:sz w:val="18"/>
                <w:szCs w:val="18"/>
                <w:lang w:eastAsia="en-AU"/>
              </w:rPr>
              <w:t>22.19</w:t>
            </w:r>
          </w:p>
        </w:tc>
        <w:tc>
          <w:tcPr>
            <w:tcW w:w="301" w:type="pct"/>
            <w:tcBorders>
              <w:top w:val="nil"/>
              <w:left w:val="nil"/>
              <w:bottom w:val="single" w:sz="4" w:space="0" w:color="auto"/>
              <w:right w:val="single" w:sz="4" w:space="0" w:color="auto"/>
            </w:tcBorders>
            <w:shd w:val="clear" w:color="000000" w:fill="EBF1DE"/>
            <w:noWrap/>
            <w:vAlign w:val="bottom"/>
            <w:hideMark/>
          </w:tcPr>
          <w:p w14:paraId="35863A9E" w14:textId="77777777" w:rsidR="009A356E" w:rsidRPr="00C10545" w:rsidRDefault="009A356E" w:rsidP="009A356E">
            <w:pPr>
              <w:jc w:val="right"/>
              <w:rPr>
                <w:sz w:val="18"/>
                <w:szCs w:val="18"/>
                <w:lang w:eastAsia="en-AU"/>
              </w:rPr>
            </w:pPr>
            <w:r w:rsidRPr="00C10545">
              <w:rPr>
                <w:sz w:val="18"/>
                <w:szCs w:val="18"/>
                <w:lang w:eastAsia="en-AU"/>
              </w:rPr>
              <w:t>5.82</w:t>
            </w:r>
          </w:p>
        </w:tc>
        <w:tc>
          <w:tcPr>
            <w:tcW w:w="354" w:type="pct"/>
            <w:tcBorders>
              <w:top w:val="nil"/>
              <w:left w:val="nil"/>
              <w:bottom w:val="single" w:sz="4" w:space="0" w:color="auto"/>
              <w:right w:val="single" w:sz="4" w:space="0" w:color="auto"/>
            </w:tcBorders>
            <w:shd w:val="clear" w:color="000000" w:fill="EBF1DE"/>
            <w:noWrap/>
            <w:vAlign w:val="bottom"/>
            <w:hideMark/>
          </w:tcPr>
          <w:p w14:paraId="79838035" w14:textId="77777777" w:rsidR="009A356E" w:rsidRPr="00C10545" w:rsidRDefault="009A356E" w:rsidP="009A356E">
            <w:pPr>
              <w:jc w:val="right"/>
              <w:rPr>
                <w:sz w:val="18"/>
                <w:szCs w:val="18"/>
                <w:lang w:eastAsia="en-AU"/>
              </w:rPr>
            </w:pPr>
            <w:r w:rsidRPr="00C10545">
              <w:rPr>
                <w:sz w:val="18"/>
                <w:szCs w:val="18"/>
                <w:lang w:eastAsia="en-AU"/>
              </w:rPr>
              <w:t>36.60</w:t>
            </w:r>
          </w:p>
        </w:tc>
        <w:tc>
          <w:tcPr>
            <w:tcW w:w="302" w:type="pct"/>
            <w:tcBorders>
              <w:top w:val="nil"/>
              <w:left w:val="nil"/>
              <w:bottom w:val="single" w:sz="4" w:space="0" w:color="auto"/>
              <w:right w:val="single" w:sz="4" w:space="0" w:color="auto"/>
            </w:tcBorders>
            <w:shd w:val="clear" w:color="000000" w:fill="E4DFEC"/>
            <w:noWrap/>
            <w:vAlign w:val="bottom"/>
            <w:hideMark/>
          </w:tcPr>
          <w:p w14:paraId="44DA7607" w14:textId="77777777" w:rsidR="009A356E" w:rsidRPr="00C10545" w:rsidRDefault="009A356E" w:rsidP="009A356E">
            <w:pPr>
              <w:jc w:val="right"/>
              <w:rPr>
                <w:sz w:val="18"/>
                <w:szCs w:val="18"/>
                <w:lang w:eastAsia="en-AU"/>
              </w:rPr>
            </w:pPr>
            <w:r w:rsidRPr="00C10545">
              <w:rPr>
                <w:sz w:val="18"/>
                <w:szCs w:val="18"/>
                <w:lang w:eastAsia="en-AU"/>
              </w:rPr>
              <w:t>5.94</w:t>
            </w:r>
          </w:p>
        </w:tc>
        <w:tc>
          <w:tcPr>
            <w:tcW w:w="354" w:type="pct"/>
            <w:tcBorders>
              <w:top w:val="nil"/>
              <w:left w:val="nil"/>
              <w:bottom w:val="single" w:sz="4" w:space="0" w:color="auto"/>
              <w:right w:val="single" w:sz="4" w:space="0" w:color="auto"/>
            </w:tcBorders>
            <w:shd w:val="clear" w:color="000000" w:fill="E4DFEC"/>
            <w:noWrap/>
            <w:vAlign w:val="bottom"/>
            <w:hideMark/>
          </w:tcPr>
          <w:p w14:paraId="0BEEBF4A" w14:textId="77777777" w:rsidR="009A356E" w:rsidRPr="00C10545" w:rsidRDefault="009A356E" w:rsidP="009A356E">
            <w:pPr>
              <w:jc w:val="right"/>
              <w:rPr>
                <w:sz w:val="18"/>
                <w:szCs w:val="18"/>
                <w:lang w:eastAsia="en-AU"/>
              </w:rPr>
            </w:pPr>
            <w:r w:rsidRPr="00C10545">
              <w:rPr>
                <w:sz w:val="18"/>
                <w:szCs w:val="18"/>
                <w:lang w:eastAsia="en-AU"/>
              </w:rPr>
              <w:t>25.12</w:t>
            </w:r>
          </w:p>
        </w:tc>
        <w:tc>
          <w:tcPr>
            <w:tcW w:w="388" w:type="pct"/>
            <w:tcBorders>
              <w:top w:val="nil"/>
              <w:left w:val="nil"/>
              <w:bottom w:val="single" w:sz="4" w:space="0" w:color="auto"/>
              <w:right w:val="single" w:sz="4" w:space="0" w:color="auto"/>
            </w:tcBorders>
            <w:shd w:val="clear" w:color="000000" w:fill="FDE9D9"/>
            <w:noWrap/>
            <w:vAlign w:val="bottom"/>
            <w:hideMark/>
          </w:tcPr>
          <w:p w14:paraId="612D3E11" w14:textId="77777777" w:rsidR="009A356E" w:rsidRPr="00C10545" w:rsidRDefault="009A356E" w:rsidP="009A356E">
            <w:pPr>
              <w:jc w:val="right"/>
              <w:rPr>
                <w:sz w:val="18"/>
                <w:szCs w:val="18"/>
                <w:lang w:eastAsia="en-AU"/>
              </w:rPr>
            </w:pPr>
            <w:r w:rsidRPr="00C10545">
              <w:rPr>
                <w:sz w:val="18"/>
                <w:szCs w:val="18"/>
                <w:lang w:eastAsia="en-AU"/>
              </w:rPr>
              <w:t>31.2%</w:t>
            </w:r>
          </w:p>
        </w:tc>
        <w:tc>
          <w:tcPr>
            <w:tcW w:w="388" w:type="pct"/>
            <w:tcBorders>
              <w:top w:val="nil"/>
              <w:left w:val="nil"/>
              <w:bottom w:val="single" w:sz="4" w:space="0" w:color="auto"/>
              <w:right w:val="single" w:sz="4" w:space="0" w:color="auto"/>
            </w:tcBorders>
            <w:shd w:val="clear" w:color="000000" w:fill="DAEEF3"/>
            <w:noWrap/>
            <w:vAlign w:val="bottom"/>
            <w:hideMark/>
          </w:tcPr>
          <w:p w14:paraId="1FB2F742" w14:textId="77777777" w:rsidR="009A356E" w:rsidRPr="00C10545" w:rsidRDefault="009A356E" w:rsidP="009A356E">
            <w:pPr>
              <w:jc w:val="right"/>
              <w:rPr>
                <w:sz w:val="18"/>
                <w:szCs w:val="18"/>
                <w:lang w:eastAsia="en-AU"/>
              </w:rPr>
            </w:pPr>
            <w:r w:rsidRPr="00C10545">
              <w:rPr>
                <w:sz w:val="18"/>
                <w:szCs w:val="18"/>
                <w:lang w:eastAsia="en-AU"/>
              </w:rPr>
              <w:t>28.7%</w:t>
            </w:r>
          </w:p>
        </w:tc>
        <w:tc>
          <w:tcPr>
            <w:tcW w:w="388" w:type="pct"/>
            <w:tcBorders>
              <w:top w:val="nil"/>
              <w:left w:val="nil"/>
              <w:bottom w:val="single" w:sz="4" w:space="0" w:color="auto"/>
              <w:right w:val="single" w:sz="4" w:space="0" w:color="auto"/>
            </w:tcBorders>
            <w:shd w:val="clear" w:color="000000" w:fill="EBF1DE"/>
            <w:noWrap/>
            <w:vAlign w:val="bottom"/>
            <w:hideMark/>
          </w:tcPr>
          <w:p w14:paraId="2FC453BA" w14:textId="77777777" w:rsidR="009A356E" w:rsidRPr="00C10545" w:rsidRDefault="009A356E" w:rsidP="009A356E">
            <w:pPr>
              <w:jc w:val="right"/>
              <w:rPr>
                <w:sz w:val="18"/>
                <w:szCs w:val="18"/>
                <w:lang w:eastAsia="en-AU"/>
              </w:rPr>
            </w:pPr>
            <w:r w:rsidRPr="00C10545">
              <w:rPr>
                <w:sz w:val="18"/>
                <w:szCs w:val="18"/>
                <w:lang w:eastAsia="en-AU"/>
              </w:rPr>
              <w:t>15.9%</w:t>
            </w:r>
          </w:p>
        </w:tc>
        <w:tc>
          <w:tcPr>
            <w:tcW w:w="388" w:type="pct"/>
            <w:tcBorders>
              <w:top w:val="nil"/>
              <w:left w:val="nil"/>
              <w:bottom w:val="single" w:sz="4" w:space="0" w:color="auto"/>
              <w:right w:val="single" w:sz="4" w:space="0" w:color="auto"/>
            </w:tcBorders>
            <w:shd w:val="clear" w:color="000000" w:fill="E4DFEC"/>
            <w:noWrap/>
            <w:vAlign w:val="bottom"/>
            <w:hideMark/>
          </w:tcPr>
          <w:p w14:paraId="19CCDB9E" w14:textId="77777777" w:rsidR="009A356E" w:rsidRPr="00C10545" w:rsidRDefault="009A356E" w:rsidP="009A356E">
            <w:pPr>
              <w:jc w:val="right"/>
              <w:rPr>
                <w:sz w:val="18"/>
                <w:szCs w:val="18"/>
                <w:lang w:eastAsia="en-AU"/>
              </w:rPr>
            </w:pPr>
            <w:r w:rsidRPr="00C10545">
              <w:rPr>
                <w:sz w:val="18"/>
                <w:szCs w:val="18"/>
                <w:lang w:eastAsia="en-AU"/>
              </w:rPr>
              <w:t>23.6%</w:t>
            </w:r>
          </w:p>
        </w:tc>
      </w:tr>
      <w:tr w:rsidR="009A356E" w:rsidRPr="00B030A2" w14:paraId="31EDDFB7" w14:textId="77777777" w:rsidTr="009A356E">
        <w:trPr>
          <w:trHeight w:val="240"/>
        </w:trPr>
        <w:tc>
          <w:tcPr>
            <w:tcW w:w="828" w:type="pct"/>
            <w:tcBorders>
              <w:top w:val="nil"/>
              <w:left w:val="single" w:sz="4" w:space="0" w:color="auto"/>
              <w:bottom w:val="single" w:sz="4" w:space="0" w:color="auto"/>
              <w:right w:val="single" w:sz="4" w:space="0" w:color="auto"/>
            </w:tcBorders>
            <w:shd w:val="clear" w:color="auto" w:fill="auto"/>
            <w:noWrap/>
            <w:vAlign w:val="bottom"/>
            <w:hideMark/>
          </w:tcPr>
          <w:p w14:paraId="431ACB50" w14:textId="77777777" w:rsidR="009A356E" w:rsidRPr="00C10545" w:rsidRDefault="009A356E" w:rsidP="009A356E">
            <w:pPr>
              <w:rPr>
                <w:sz w:val="18"/>
                <w:szCs w:val="18"/>
                <w:lang w:eastAsia="en-AU"/>
              </w:rPr>
            </w:pPr>
            <w:r w:rsidRPr="00C10545">
              <w:rPr>
                <w:sz w:val="18"/>
                <w:szCs w:val="18"/>
                <w:lang w:eastAsia="en-AU"/>
              </w:rPr>
              <w:t>Corangamite</w:t>
            </w:r>
          </w:p>
        </w:tc>
        <w:tc>
          <w:tcPr>
            <w:tcW w:w="301" w:type="pct"/>
            <w:tcBorders>
              <w:top w:val="nil"/>
              <w:left w:val="nil"/>
              <w:bottom w:val="single" w:sz="4" w:space="0" w:color="auto"/>
              <w:right w:val="single" w:sz="4" w:space="0" w:color="auto"/>
            </w:tcBorders>
            <w:shd w:val="clear" w:color="000000" w:fill="FDE9D9"/>
            <w:noWrap/>
            <w:vAlign w:val="bottom"/>
            <w:hideMark/>
          </w:tcPr>
          <w:p w14:paraId="75F698AC" w14:textId="77777777" w:rsidR="009A356E" w:rsidRPr="00C10545" w:rsidRDefault="009A356E" w:rsidP="009A356E">
            <w:pPr>
              <w:jc w:val="right"/>
              <w:rPr>
                <w:sz w:val="18"/>
                <w:szCs w:val="18"/>
                <w:lang w:eastAsia="en-AU"/>
              </w:rPr>
            </w:pPr>
            <w:r w:rsidRPr="00C10545">
              <w:rPr>
                <w:sz w:val="18"/>
                <w:szCs w:val="18"/>
                <w:lang w:eastAsia="en-AU"/>
              </w:rPr>
              <w:t>5.87</w:t>
            </w:r>
          </w:p>
        </w:tc>
        <w:tc>
          <w:tcPr>
            <w:tcW w:w="353" w:type="pct"/>
            <w:tcBorders>
              <w:top w:val="nil"/>
              <w:left w:val="nil"/>
              <w:bottom w:val="single" w:sz="4" w:space="0" w:color="auto"/>
              <w:right w:val="single" w:sz="4" w:space="0" w:color="auto"/>
            </w:tcBorders>
            <w:shd w:val="clear" w:color="000000" w:fill="FDE9D9"/>
            <w:noWrap/>
            <w:vAlign w:val="bottom"/>
            <w:hideMark/>
          </w:tcPr>
          <w:p w14:paraId="104BEBCF" w14:textId="77777777" w:rsidR="009A356E" w:rsidRPr="00C10545" w:rsidRDefault="009A356E" w:rsidP="009A356E">
            <w:pPr>
              <w:jc w:val="right"/>
              <w:rPr>
                <w:sz w:val="18"/>
                <w:szCs w:val="18"/>
                <w:lang w:eastAsia="en-AU"/>
              </w:rPr>
            </w:pPr>
            <w:r w:rsidRPr="00C10545">
              <w:rPr>
                <w:sz w:val="18"/>
                <w:szCs w:val="18"/>
                <w:lang w:eastAsia="en-AU"/>
              </w:rPr>
              <w:t>15.00</w:t>
            </w:r>
          </w:p>
        </w:tc>
        <w:tc>
          <w:tcPr>
            <w:tcW w:w="301" w:type="pct"/>
            <w:tcBorders>
              <w:top w:val="nil"/>
              <w:left w:val="nil"/>
              <w:bottom w:val="single" w:sz="4" w:space="0" w:color="auto"/>
              <w:right w:val="single" w:sz="4" w:space="0" w:color="auto"/>
            </w:tcBorders>
            <w:shd w:val="clear" w:color="000000" w:fill="DAEEF3"/>
            <w:noWrap/>
            <w:vAlign w:val="bottom"/>
            <w:hideMark/>
          </w:tcPr>
          <w:p w14:paraId="4BA21846" w14:textId="77777777" w:rsidR="009A356E" w:rsidRPr="00C10545" w:rsidRDefault="009A356E" w:rsidP="009A356E">
            <w:pPr>
              <w:jc w:val="right"/>
              <w:rPr>
                <w:sz w:val="18"/>
                <w:szCs w:val="18"/>
                <w:lang w:eastAsia="en-AU"/>
              </w:rPr>
            </w:pPr>
            <w:r w:rsidRPr="00C10545">
              <w:rPr>
                <w:sz w:val="18"/>
                <w:szCs w:val="18"/>
                <w:lang w:eastAsia="en-AU"/>
              </w:rPr>
              <w:t>5.70</w:t>
            </w:r>
          </w:p>
        </w:tc>
        <w:tc>
          <w:tcPr>
            <w:tcW w:w="353" w:type="pct"/>
            <w:tcBorders>
              <w:top w:val="nil"/>
              <w:left w:val="nil"/>
              <w:bottom w:val="single" w:sz="4" w:space="0" w:color="auto"/>
              <w:right w:val="single" w:sz="4" w:space="0" w:color="auto"/>
            </w:tcBorders>
            <w:shd w:val="clear" w:color="000000" w:fill="DAEEF3"/>
            <w:noWrap/>
            <w:vAlign w:val="bottom"/>
            <w:hideMark/>
          </w:tcPr>
          <w:p w14:paraId="248A187D" w14:textId="77777777" w:rsidR="009A356E" w:rsidRPr="00C10545" w:rsidRDefault="009A356E" w:rsidP="009A356E">
            <w:pPr>
              <w:jc w:val="right"/>
              <w:rPr>
                <w:sz w:val="18"/>
                <w:szCs w:val="18"/>
                <w:lang w:eastAsia="en-AU"/>
              </w:rPr>
            </w:pPr>
            <w:r w:rsidRPr="00C10545">
              <w:rPr>
                <w:sz w:val="18"/>
                <w:szCs w:val="18"/>
                <w:lang w:eastAsia="en-AU"/>
              </w:rPr>
              <w:t>20.28</w:t>
            </w:r>
          </w:p>
        </w:tc>
        <w:tc>
          <w:tcPr>
            <w:tcW w:w="301" w:type="pct"/>
            <w:tcBorders>
              <w:top w:val="nil"/>
              <w:left w:val="nil"/>
              <w:bottom w:val="single" w:sz="4" w:space="0" w:color="auto"/>
              <w:right w:val="single" w:sz="4" w:space="0" w:color="auto"/>
            </w:tcBorders>
            <w:shd w:val="clear" w:color="000000" w:fill="EBF1DE"/>
            <w:noWrap/>
            <w:vAlign w:val="bottom"/>
            <w:hideMark/>
          </w:tcPr>
          <w:p w14:paraId="60DA2BD4" w14:textId="77777777" w:rsidR="009A356E" w:rsidRPr="00C10545" w:rsidRDefault="009A356E" w:rsidP="009A356E">
            <w:pPr>
              <w:jc w:val="right"/>
              <w:rPr>
                <w:sz w:val="18"/>
                <w:szCs w:val="18"/>
                <w:lang w:eastAsia="en-AU"/>
              </w:rPr>
            </w:pPr>
            <w:r w:rsidRPr="00C10545">
              <w:rPr>
                <w:sz w:val="18"/>
                <w:szCs w:val="18"/>
                <w:lang w:eastAsia="en-AU"/>
              </w:rPr>
              <w:t>6.07</w:t>
            </w:r>
          </w:p>
        </w:tc>
        <w:tc>
          <w:tcPr>
            <w:tcW w:w="354" w:type="pct"/>
            <w:tcBorders>
              <w:top w:val="nil"/>
              <w:left w:val="nil"/>
              <w:bottom w:val="single" w:sz="4" w:space="0" w:color="auto"/>
              <w:right w:val="single" w:sz="4" w:space="0" w:color="auto"/>
            </w:tcBorders>
            <w:shd w:val="clear" w:color="000000" w:fill="EBF1DE"/>
            <w:noWrap/>
            <w:vAlign w:val="bottom"/>
            <w:hideMark/>
          </w:tcPr>
          <w:p w14:paraId="2CD05B9A" w14:textId="77777777" w:rsidR="009A356E" w:rsidRPr="00C10545" w:rsidRDefault="009A356E" w:rsidP="009A356E">
            <w:pPr>
              <w:jc w:val="right"/>
              <w:rPr>
                <w:sz w:val="18"/>
                <w:szCs w:val="18"/>
                <w:lang w:eastAsia="en-AU"/>
              </w:rPr>
            </w:pPr>
            <w:r w:rsidRPr="00C10545">
              <w:rPr>
                <w:sz w:val="18"/>
                <w:szCs w:val="18"/>
                <w:lang w:eastAsia="en-AU"/>
              </w:rPr>
              <w:t>26.61</w:t>
            </w:r>
          </w:p>
        </w:tc>
        <w:tc>
          <w:tcPr>
            <w:tcW w:w="302" w:type="pct"/>
            <w:tcBorders>
              <w:top w:val="nil"/>
              <w:left w:val="nil"/>
              <w:bottom w:val="single" w:sz="4" w:space="0" w:color="auto"/>
              <w:right w:val="single" w:sz="4" w:space="0" w:color="auto"/>
            </w:tcBorders>
            <w:shd w:val="clear" w:color="000000" w:fill="E4DFEC"/>
            <w:noWrap/>
            <w:vAlign w:val="bottom"/>
            <w:hideMark/>
          </w:tcPr>
          <w:p w14:paraId="5056F8E3" w14:textId="77777777" w:rsidR="009A356E" w:rsidRPr="00C10545" w:rsidRDefault="009A356E" w:rsidP="009A356E">
            <w:pPr>
              <w:jc w:val="right"/>
              <w:rPr>
                <w:sz w:val="18"/>
                <w:szCs w:val="18"/>
                <w:lang w:eastAsia="en-AU"/>
              </w:rPr>
            </w:pPr>
            <w:r w:rsidRPr="00C10545">
              <w:rPr>
                <w:sz w:val="18"/>
                <w:szCs w:val="18"/>
                <w:lang w:eastAsia="en-AU"/>
              </w:rPr>
              <w:t>6.67</w:t>
            </w:r>
          </w:p>
        </w:tc>
        <w:tc>
          <w:tcPr>
            <w:tcW w:w="354" w:type="pct"/>
            <w:tcBorders>
              <w:top w:val="nil"/>
              <w:left w:val="nil"/>
              <w:bottom w:val="single" w:sz="4" w:space="0" w:color="auto"/>
              <w:right w:val="single" w:sz="4" w:space="0" w:color="auto"/>
            </w:tcBorders>
            <w:shd w:val="clear" w:color="000000" w:fill="E4DFEC"/>
            <w:noWrap/>
            <w:vAlign w:val="bottom"/>
            <w:hideMark/>
          </w:tcPr>
          <w:p w14:paraId="3397036B" w14:textId="77777777" w:rsidR="009A356E" w:rsidRPr="00C10545" w:rsidRDefault="009A356E" w:rsidP="009A356E">
            <w:pPr>
              <w:jc w:val="right"/>
              <w:rPr>
                <w:sz w:val="18"/>
                <w:szCs w:val="18"/>
                <w:lang w:eastAsia="en-AU"/>
              </w:rPr>
            </w:pPr>
            <w:r w:rsidRPr="00C10545">
              <w:rPr>
                <w:sz w:val="18"/>
                <w:szCs w:val="18"/>
                <w:lang w:eastAsia="en-AU"/>
              </w:rPr>
              <w:t>26.16</w:t>
            </w:r>
          </w:p>
        </w:tc>
        <w:tc>
          <w:tcPr>
            <w:tcW w:w="388" w:type="pct"/>
            <w:tcBorders>
              <w:top w:val="nil"/>
              <w:left w:val="nil"/>
              <w:bottom w:val="single" w:sz="4" w:space="0" w:color="auto"/>
              <w:right w:val="single" w:sz="4" w:space="0" w:color="auto"/>
            </w:tcBorders>
            <w:shd w:val="clear" w:color="000000" w:fill="FDE9D9"/>
            <w:noWrap/>
            <w:vAlign w:val="bottom"/>
            <w:hideMark/>
          </w:tcPr>
          <w:p w14:paraId="436AE960" w14:textId="77777777" w:rsidR="009A356E" w:rsidRPr="00C10545" w:rsidRDefault="009A356E" w:rsidP="009A356E">
            <w:pPr>
              <w:jc w:val="right"/>
              <w:rPr>
                <w:sz w:val="18"/>
                <w:szCs w:val="18"/>
                <w:lang w:eastAsia="en-AU"/>
              </w:rPr>
            </w:pPr>
            <w:r w:rsidRPr="00C10545">
              <w:rPr>
                <w:sz w:val="18"/>
                <w:szCs w:val="18"/>
                <w:lang w:eastAsia="en-AU"/>
              </w:rPr>
              <w:t>39.2%</w:t>
            </w:r>
          </w:p>
        </w:tc>
        <w:tc>
          <w:tcPr>
            <w:tcW w:w="388" w:type="pct"/>
            <w:tcBorders>
              <w:top w:val="nil"/>
              <w:left w:val="nil"/>
              <w:bottom w:val="single" w:sz="4" w:space="0" w:color="auto"/>
              <w:right w:val="single" w:sz="4" w:space="0" w:color="auto"/>
            </w:tcBorders>
            <w:shd w:val="clear" w:color="000000" w:fill="DAEEF3"/>
            <w:noWrap/>
            <w:vAlign w:val="bottom"/>
            <w:hideMark/>
          </w:tcPr>
          <w:p w14:paraId="7787E8FB" w14:textId="77777777" w:rsidR="009A356E" w:rsidRPr="00C10545" w:rsidRDefault="009A356E" w:rsidP="009A356E">
            <w:pPr>
              <w:jc w:val="right"/>
              <w:rPr>
                <w:sz w:val="18"/>
                <w:szCs w:val="18"/>
                <w:lang w:eastAsia="en-AU"/>
              </w:rPr>
            </w:pPr>
            <w:r w:rsidRPr="00C10545">
              <w:rPr>
                <w:sz w:val="18"/>
                <w:szCs w:val="18"/>
                <w:lang w:eastAsia="en-AU"/>
              </w:rPr>
              <w:t>28.1%</w:t>
            </w:r>
          </w:p>
        </w:tc>
        <w:tc>
          <w:tcPr>
            <w:tcW w:w="388" w:type="pct"/>
            <w:tcBorders>
              <w:top w:val="nil"/>
              <w:left w:val="nil"/>
              <w:bottom w:val="single" w:sz="4" w:space="0" w:color="auto"/>
              <w:right w:val="single" w:sz="4" w:space="0" w:color="auto"/>
            </w:tcBorders>
            <w:shd w:val="clear" w:color="000000" w:fill="EBF1DE"/>
            <w:noWrap/>
            <w:vAlign w:val="bottom"/>
            <w:hideMark/>
          </w:tcPr>
          <w:p w14:paraId="3401CE9C" w14:textId="77777777" w:rsidR="009A356E" w:rsidRPr="00C10545" w:rsidRDefault="009A356E" w:rsidP="009A356E">
            <w:pPr>
              <w:jc w:val="right"/>
              <w:rPr>
                <w:sz w:val="18"/>
                <w:szCs w:val="18"/>
                <w:lang w:eastAsia="en-AU"/>
              </w:rPr>
            </w:pPr>
            <w:r w:rsidRPr="00C10545">
              <w:rPr>
                <w:sz w:val="18"/>
                <w:szCs w:val="18"/>
                <w:lang w:eastAsia="en-AU"/>
              </w:rPr>
              <w:t>22.8%</w:t>
            </w:r>
          </w:p>
        </w:tc>
        <w:tc>
          <w:tcPr>
            <w:tcW w:w="388" w:type="pct"/>
            <w:tcBorders>
              <w:top w:val="nil"/>
              <w:left w:val="nil"/>
              <w:bottom w:val="single" w:sz="4" w:space="0" w:color="auto"/>
              <w:right w:val="single" w:sz="4" w:space="0" w:color="auto"/>
            </w:tcBorders>
            <w:shd w:val="clear" w:color="000000" w:fill="E4DFEC"/>
            <w:noWrap/>
            <w:vAlign w:val="bottom"/>
            <w:hideMark/>
          </w:tcPr>
          <w:p w14:paraId="44600007" w14:textId="77777777" w:rsidR="009A356E" w:rsidRPr="00C10545" w:rsidRDefault="009A356E" w:rsidP="009A356E">
            <w:pPr>
              <w:jc w:val="right"/>
              <w:rPr>
                <w:sz w:val="18"/>
                <w:szCs w:val="18"/>
                <w:lang w:eastAsia="en-AU"/>
              </w:rPr>
            </w:pPr>
            <w:r w:rsidRPr="00C10545">
              <w:rPr>
                <w:sz w:val="18"/>
                <w:szCs w:val="18"/>
                <w:lang w:eastAsia="en-AU"/>
              </w:rPr>
              <w:t>25.5%</w:t>
            </w:r>
          </w:p>
        </w:tc>
      </w:tr>
      <w:tr w:rsidR="009A356E" w:rsidRPr="00B030A2" w14:paraId="3D3798D0" w14:textId="77777777" w:rsidTr="009A356E">
        <w:trPr>
          <w:trHeight w:val="240"/>
        </w:trPr>
        <w:tc>
          <w:tcPr>
            <w:tcW w:w="828" w:type="pct"/>
            <w:tcBorders>
              <w:top w:val="nil"/>
              <w:left w:val="single" w:sz="4" w:space="0" w:color="auto"/>
              <w:bottom w:val="single" w:sz="4" w:space="0" w:color="auto"/>
              <w:right w:val="single" w:sz="4" w:space="0" w:color="auto"/>
            </w:tcBorders>
            <w:shd w:val="clear" w:color="auto" w:fill="auto"/>
            <w:noWrap/>
            <w:vAlign w:val="bottom"/>
            <w:hideMark/>
          </w:tcPr>
          <w:p w14:paraId="0DAC3AC9" w14:textId="77777777" w:rsidR="009A356E" w:rsidRPr="00C10545" w:rsidRDefault="009A356E" w:rsidP="009A356E">
            <w:pPr>
              <w:rPr>
                <w:sz w:val="18"/>
                <w:szCs w:val="18"/>
                <w:lang w:eastAsia="en-AU"/>
              </w:rPr>
            </w:pPr>
            <w:proofErr w:type="spellStart"/>
            <w:r w:rsidRPr="00C10545">
              <w:rPr>
                <w:sz w:val="18"/>
                <w:szCs w:val="18"/>
                <w:lang w:eastAsia="en-AU"/>
              </w:rPr>
              <w:t>Gannawarra</w:t>
            </w:r>
            <w:proofErr w:type="spellEnd"/>
          </w:p>
        </w:tc>
        <w:tc>
          <w:tcPr>
            <w:tcW w:w="301" w:type="pct"/>
            <w:tcBorders>
              <w:top w:val="nil"/>
              <w:left w:val="nil"/>
              <w:bottom w:val="single" w:sz="4" w:space="0" w:color="auto"/>
              <w:right w:val="single" w:sz="4" w:space="0" w:color="auto"/>
            </w:tcBorders>
            <w:shd w:val="clear" w:color="000000" w:fill="FDE9D9"/>
            <w:noWrap/>
            <w:vAlign w:val="bottom"/>
            <w:hideMark/>
          </w:tcPr>
          <w:p w14:paraId="2357F98D" w14:textId="77777777" w:rsidR="009A356E" w:rsidRPr="00C10545" w:rsidRDefault="009A356E" w:rsidP="009A356E">
            <w:pPr>
              <w:jc w:val="right"/>
              <w:rPr>
                <w:sz w:val="18"/>
                <w:szCs w:val="18"/>
                <w:lang w:eastAsia="en-AU"/>
              </w:rPr>
            </w:pPr>
            <w:r w:rsidRPr="00C10545">
              <w:rPr>
                <w:sz w:val="18"/>
                <w:szCs w:val="18"/>
                <w:lang w:eastAsia="en-AU"/>
              </w:rPr>
              <w:t>6.88</w:t>
            </w:r>
          </w:p>
        </w:tc>
        <w:tc>
          <w:tcPr>
            <w:tcW w:w="353" w:type="pct"/>
            <w:tcBorders>
              <w:top w:val="nil"/>
              <w:left w:val="nil"/>
              <w:bottom w:val="single" w:sz="4" w:space="0" w:color="auto"/>
              <w:right w:val="single" w:sz="4" w:space="0" w:color="auto"/>
            </w:tcBorders>
            <w:shd w:val="clear" w:color="000000" w:fill="FDE9D9"/>
            <w:noWrap/>
            <w:vAlign w:val="bottom"/>
            <w:hideMark/>
          </w:tcPr>
          <w:p w14:paraId="010D6979" w14:textId="77777777" w:rsidR="009A356E" w:rsidRPr="00C10545" w:rsidRDefault="009A356E" w:rsidP="009A356E">
            <w:pPr>
              <w:jc w:val="right"/>
              <w:rPr>
                <w:sz w:val="18"/>
                <w:szCs w:val="18"/>
                <w:lang w:eastAsia="en-AU"/>
              </w:rPr>
            </w:pPr>
            <w:r w:rsidRPr="00C10545">
              <w:rPr>
                <w:sz w:val="18"/>
                <w:szCs w:val="18"/>
                <w:lang w:eastAsia="en-AU"/>
              </w:rPr>
              <w:t>29.86</w:t>
            </w:r>
          </w:p>
        </w:tc>
        <w:tc>
          <w:tcPr>
            <w:tcW w:w="301" w:type="pct"/>
            <w:tcBorders>
              <w:top w:val="nil"/>
              <w:left w:val="nil"/>
              <w:bottom w:val="single" w:sz="4" w:space="0" w:color="auto"/>
              <w:right w:val="single" w:sz="4" w:space="0" w:color="auto"/>
            </w:tcBorders>
            <w:shd w:val="clear" w:color="000000" w:fill="DAEEF3"/>
            <w:noWrap/>
            <w:vAlign w:val="bottom"/>
            <w:hideMark/>
          </w:tcPr>
          <w:p w14:paraId="7A93F2DD" w14:textId="77777777" w:rsidR="009A356E" w:rsidRPr="00C10545" w:rsidRDefault="009A356E" w:rsidP="009A356E">
            <w:pPr>
              <w:jc w:val="right"/>
              <w:rPr>
                <w:sz w:val="18"/>
                <w:szCs w:val="18"/>
                <w:lang w:eastAsia="en-AU"/>
              </w:rPr>
            </w:pPr>
            <w:r w:rsidRPr="00C10545">
              <w:rPr>
                <w:sz w:val="18"/>
                <w:szCs w:val="18"/>
                <w:lang w:eastAsia="en-AU"/>
              </w:rPr>
              <w:t>7.74</w:t>
            </w:r>
          </w:p>
        </w:tc>
        <w:tc>
          <w:tcPr>
            <w:tcW w:w="353" w:type="pct"/>
            <w:tcBorders>
              <w:top w:val="nil"/>
              <w:left w:val="nil"/>
              <w:bottom w:val="single" w:sz="4" w:space="0" w:color="auto"/>
              <w:right w:val="single" w:sz="4" w:space="0" w:color="auto"/>
            </w:tcBorders>
            <w:shd w:val="clear" w:color="000000" w:fill="DAEEF3"/>
            <w:noWrap/>
            <w:vAlign w:val="bottom"/>
            <w:hideMark/>
          </w:tcPr>
          <w:p w14:paraId="18D8F310" w14:textId="77777777" w:rsidR="009A356E" w:rsidRPr="00C10545" w:rsidRDefault="009A356E" w:rsidP="009A356E">
            <w:pPr>
              <w:jc w:val="right"/>
              <w:rPr>
                <w:sz w:val="18"/>
                <w:szCs w:val="18"/>
                <w:lang w:eastAsia="en-AU"/>
              </w:rPr>
            </w:pPr>
            <w:r w:rsidRPr="00C10545">
              <w:rPr>
                <w:sz w:val="18"/>
                <w:szCs w:val="18"/>
                <w:lang w:eastAsia="en-AU"/>
              </w:rPr>
              <w:t>34.46</w:t>
            </w:r>
          </w:p>
        </w:tc>
        <w:tc>
          <w:tcPr>
            <w:tcW w:w="301" w:type="pct"/>
            <w:tcBorders>
              <w:top w:val="nil"/>
              <w:left w:val="nil"/>
              <w:bottom w:val="single" w:sz="4" w:space="0" w:color="auto"/>
              <w:right w:val="single" w:sz="4" w:space="0" w:color="auto"/>
            </w:tcBorders>
            <w:shd w:val="clear" w:color="000000" w:fill="EBF1DE"/>
            <w:noWrap/>
            <w:vAlign w:val="bottom"/>
            <w:hideMark/>
          </w:tcPr>
          <w:p w14:paraId="55F16588" w14:textId="77777777" w:rsidR="009A356E" w:rsidRPr="00C10545" w:rsidRDefault="009A356E" w:rsidP="009A356E">
            <w:pPr>
              <w:jc w:val="right"/>
              <w:rPr>
                <w:sz w:val="18"/>
                <w:szCs w:val="18"/>
                <w:lang w:eastAsia="en-AU"/>
              </w:rPr>
            </w:pPr>
            <w:r w:rsidRPr="00C10545">
              <w:rPr>
                <w:sz w:val="18"/>
                <w:szCs w:val="18"/>
                <w:lang w:eastAsia="en-AU"/>
              </w:rPr>
              <w:t>8.91</w:t>
            </w:r>
          </w:p>
        </w:tc>
        <w:tc>
          <w:tcPr>
            <w:tcW w:w="354" w:type="pct"/>
            <w:tcBorders>
              <w:top w:val="nil"/>
              <w:left w:val="nil"/>
              <w:bottom w:val="single" w:sz="4" w:space="0" w:color="auto"/>
              <w:right w:val="single" w:sz="4" w:space="0" w:color="auto"/>
            </w:tcBorders>
            <w:shd w:val="clear" w:color="000000" w:fill="EBF1DE"/>
            <w:noWrap/>
            <w:vAlign w:val="bottom"/>
            <w:hideMark/>
          </w:tcPr>
          <w:p w14:paraId="28D0FF81" w14:textId="77777777" w:rsidR="009A356E" w:rsidRPr="00C10545" w:rsidRDefault="009A356E" w:rsidP="009A356E">
            <w:pPr>
              <w:jc w:val="right"/>
              <w:rPr>
                <w:sz w:val="18"/>
                <w:szCs w:val="18"/>
                <w:lang w:eastAsia="en-AU"/>
              </w:rPr>
            </w:pPr>
            <w:r w:rsidRPr="00C10545">
              <w:rPr>
                <w:sz w:val="18"/>
                <w:szCs w:val="18"/>
                <w:lang w:eastAsia="en-AU"/>
              </w:rPr>
              <w:t>43.30</w:t>
            </w:r>
          </w:p>
        </w:tc>
        <w:tc>
          <w:tcPr>
            <w:tcW w:w="302" w:type="pct"/>
            <w:tcBorders>
              <w:top w:val="nil"/>
              <w:left w:val="nil"/>
              <w:bottom w:val="single" w:sz="4" w:space="0" w:color="auto"/>
              <w:right w:val="single" w:sz="4" w:space="0" w:color="auto"/>
            </w:tcBorders>
            <w:shd w:val="clear" w:color="000000" w:fill="E4DFEC"/>
            <w:noWrap/>
            <w:vAlign w:val="bottom"/>
            <w:hideMark/>
          </w:tcPr>
          <w:p w14:paraId="74E6BD52" w14:textId="77777777" w:rsidR="009A356E" w:rsidRPr="00C10545" w:rsidRDefault="009A356E" w:rsidP="009A356E">
            <w:pPr>
              <w:jc w:val="right"/>
              <w:rPr>
                <w:sz w:val="18"/>
                <w:szCs w:val="18"/>
                <w:lang w:eastAsia="en-AU"/>
              </w:rPr>
            </w:pPr>
            <w:r w:rsidRPr="00C10545">
              <w:rPr>
                <w:sz w:val="18"/>
                <w:szCs w:val="18"/>
                <w:lang w:eastAsia="en-AU"/>
              </w:rPr>
              <w:t>9.49</w:t>
            </w:r>
          </w:p>
        </w:tc>
        <w:tc>
          <w:tcPr>
            <w:tcW w:w="354" w:type="pct"/>
            <w:tcBorders>
              <w:top w:val="nil"/>
              <w:left w:val="nil"/>
              <w:bottom w:val="single" w:sz="4" w:space="0" w:color="auto"/>
              <w:right w:val="single" w:sz="4" w:space="0" w:color="auto"/>
            </w:tcBorders>
            <w:shd w:val="clear" w:color="000000" w:fill="E4DFEC"/>
            <w:noWrap/>
            <w:vAlign w:val="bottom"/>
            <w:hideMark/>
          </w:tcPr>
          <w:p w14:paraId="52F9DB3D" w14:textId="77777777" w:rsidR="009A356E" w:rsidRPr="00C10545" w:rsidRDefault="009A356E" w:rsidP="009A356E">
            <w:pPr>
              <w:jc w:val="right"/>
              <w:rPr>
                <w:sz w:val="18"/>
                <w:szCs w:val="18"/>
                <w:lang w:eastAsia="en-AU"/>
              </w:rPr>
            </w:pPr>
            <w:r w:rsidRPr="00C10545">
              <w:rPr>
                <w:sz w:val="18"/>
                <w:szCs w:val="18"/>
                <w:lang w:eastAsia="en-AU"/>
              </w:rPr>
              <w:t>43.06</w:t>
            </w:r>
          </w:p>
        </w:tc>
        <w:tc>
          <w:tcPr>
            <w:tcW w:w="388" w:type="pct"/>
            <w:tcBorders>
              <w:top w:val="nil"/>
              <w:left w:val="nil"/>
              <w:bottom w:val="single" w:sz="4" w:space="0" w:color="auto"/>
              <w:right w:val="single" w:sz="4" w:space="0" w:color="auto"/>
            </w:tcBorders>
            <w:shd w:val="clear" w:color="000000" w:fill="FDE9D9"/>
            <w:noWrap/>
            <w:vAlign w:val="bottom"/>
            <w:hideMark/>
          </w:tcPr>
          <w:p w14:paraId="565C94F1" w14:textId="77777777" w:rsidR="009A356E" w:rsidRPr="00C10545" w:rsidRDefault="009A356E" w:rsidP="009A356E">
            <w:pPr>
              <w:jc w:val="right"/>
              <w:rPr>
                <w:sz w:val="18"/>
                <w:szCs w:val="18"/>
                <w:lang w:eastAsia="en-AU"/>
              </w:rPr>
            </w:pPr>
            <w:r w:rsidRPr="00C10545">
              <w:rPr>
                <w:sz w:val="18"/>
                <w:szCs w:val="18"/>
                <w:lang w:eastAsia="en-AU"/>
              </w:rPr>
              <w:t>23.0%</w:t>
            </w:r>
          </w:p>
        </w:tc>
        <w:tc>
          <w:tcPr>
            <w:tcW w:w="388" w:type="pct"/>
            <w:tcBorders>
              <w:top w:val="nil"/>
              <w:left w:val="nil"/>
              <w:bottom w:val="single" w:sz="4" w:space="0" w:color="auto"/>
              <w:right w:val="single" w:sz="4" w:space="0" w:color="auto"/>
            </w:tcBorders>
            <w:shd w:val="clear" w:color="000000" w:fill="DAEEF3"/>
            <w:noWrap/>
            <w:vAlign w:val="bottom"/>
            <w:hideMark/>
          </w:tcPr>
          <w:p w14:paraId="38CABCF7" w14:textId="77777777" w:rsidR="009A356E" w:rsidRPr="00C10545" w:rsidRDefault="009A356E" w:rsidP="009A356E">
            <w:pPr>
              <w:jc w:val="right"/>
              <w:rPr>
                <w:sz w:val="18"/>
                <w:szCs w:val="18"/>
                <w:lang w:eastAsia="en-AU"/>
              </w:rPr>
            </w:pPr>
            <w:r w:rsidRPr="00C10545">
              <w:rPr>
                <w:sz w:val="18"/>
                <w:szCs w:val="18"/>
                <w:lang w:eastAsia="en-AU"/>
              </w:rPr>
              <w:t>22.5%</w:t>
            </w:r>
          </w:p>
        </w:tc>
        <w:tc>
          <w:tcPr>
            <w:tcW w:w="388" w:type="pct"/>
            <w:tcBorders>
              <w:top w:val="nil"/>
              <w:left w:val="nil"/>
              <w:bottom w:val="single" w:sz="4" w:space="0" w:color="auto"/>
              <w:right w:val="single" w:sz="4" w:space="0" w:color="auto"/>
            </w:tcBorders>
            <w:shd w:val="clear" w:color="000000" w:fill="EBF1DE"/>
            <w:noWrap/>
            <w:vAlign w:val="bottom"/>
            <w:hideMark/>
          </w:tcPr>
          <w:p w14:paraId="54C01A48" w14:textId="77777777" w:rsidR="009A356E" w:rsidRPr="00C10545" w:rsidRDefault="009A356E" w:rsidP="009A356E">
            <w:pPr>
              <w:jc w:val="right"/>
              <w:rPr>
                <w:sz w:val="18"/>
                <w:szCs w:val="18"/>
                <w:lang w:eastAsia="en-AU"/>
              </w:rPr>
            </w:pPr>
            <w:r w:rsidRPr="00C10545">
              <w:rPr>
                <w:sz w:val="18"/>
                <w:szCs w:val="18"/>
                <w:lang w:eastAsia="en-AU"/>
              </w:rPr>
              <w:t>20.6%</w:t>
            </w:r>
          </w:p>
        </w:tc>
        <w:tc>
          <w:tcPr>
            <w:tcW w:w="388" w:type="pct"/>
            <w:tcBorders>
              <w:top w:val="nil"/>
              <w:left w:val="nil"/>
              <w:bottom w:val="single" w:sz="4" w:space="0" w:color="auto"/>
              <w:right w:val="single" w:sz="4" w:space="0" w:color="auto"/>
            </w:tcBorders>
            <w:shd w:val="clear" w:color="000000" w:fill="E4DFEC"/>
            <w:noWrap/>
            <w:vAlign w:val="bottom"/>
            <w:hideMark/>
          </w:tcPr>
          <w:p w14:paraId="68BD3217" w14:textId="77777777" w:rsidR="009A356E" w:rsidRPr="00C10545" w:rsidRDefault="009A356E" w:rsidP="009A356E">
            <w:pPr>
              <w:jc w:val="right"/>
              <w:rPr>
                <w:sz w:val="18"/>
                <w:szCs w:val="18"/>
                <w:lang w:eastAsia="en-AU"/>
              </w:rPr>
            </w:pPr>
            <w:r w:rsidRPr="00C10545">
              <w:rPr>
                <w:sz w:val="18"/>
                <w:szCs w:val="18"/>
                <w:lang w:eastAsia="en-AU"/>
              </w:rPr>
              <w:t>22.0%</w:t>
            </w:r>
          </w:p>
        </w:tc>
      </w:tr>
      <w:tr w:rsidR="009A356E" w:rsidRPr="00B030A2" w14:paraId="0749D650" w14:textId="77777777" w:rsidTr="009A356E">
        <w:trPr>
          <w:trHeight w:val="240"/>
        </w:trPr>
        <w:tc>
          <w:tcPr>
            <w:tcW w:w="828" w:type="pct"/>
            <w:tcBorders>
              <w:top w:val="nil"/>
              <w:left w:val="single" w:sz="4" w:space="0" w:color="auto"/>
              <w:bottom w:val="single" w:sz="4" w:space="0" w:color="auto"/>
              <w:right w:val="single" w:sz="4" w:space="0" w:color="auto"/>
            </w:tcBorders>
            <w:shd w:val="clear" w:color="auto" w:fill="auto"/>
            <w:noWrap/>
            <w:vAlign w:val="bottom"/>
            <w:hideMark/>
          </w:tcPr>
          <w:p w14:paraId="18EE3217" w14:textId="77777777" w:rsidR="009A356E" w:rsidRPr="00C10545" w:rsidRDefault="009A356E" w:rsidP="009A356E">
            <w:pPr>
              <w:rPr>
                <w:sz w:val="18"/>
                <w:szCs w:val="18"/>
                <w:lang w:eastAsia="en-AU"/>
              </w:rPr>
            </w:pPr>
            <w:r w:rsidRPr="00C10545">
              <w:rPr>
                <w:sz w:val="18"/>
                <w:szCs w:val="18"/>
                <w:lang w:eastAsia="en-AU"/>
              </w:rPr>
              <w:t>Geelong</w:t>
            </w:r>
          </w:p>
        </w:tc>
        <w:tc>
          <w:tcPr>
            <w:tcW w:w="301" w:type="pct"/>
            <w:tcBorders>
              <w:top w:val="nil"/>
              <w:left w:val="nil"/>
              <w:bottom w:val="single" w:sz="4" w:space="0" w:color="auto"/>
              <w:right w:val="single" w:sz="4" w:space="0" w:color="auto"/>
            </w:tcBorders>
            <w:shd w:val="clear" w:color="000000" w:fill="FDE9D9"/>
            <w:noWrap/>
            <w:vAlign w:val="bottom"/>
            <w:hideMark/>
          </w:tcPr>
          <w:p w14:paraId="05045D9F" w14:textId="77777777" w:rsidR="009A356E" w:rsidRPr="00C10545" w:rsidRDefault="009A356E" w:rsidP="009A356E">
            <w:pPr>
              <w:jc w:val="right"/>
              <w:rPr>
                <w:sz w:val="18"/>
                <w:szCs w:val="18"/>
                <w:lang w:eastAsia="en-AU"/>
              </w:rPr>
            </w:pPr>
            <w:r w:rsidRPr="00C10545">
              <w:rPr>
                <w:sz w:val="18"/>
                <w:szCs w:val="18"/>
                <w:lang w:eastAsia="en-AU"/>
              </w:rPr>
              <w:t>4.85</w:t>
            </w:r>
          </w:p>
        </w:tc>
        <w:tc>
          <w:tcPr>
            <w:tcW w:w="353" w:type="pct"/>
            <w:tcBorders>
              <w:top w:val="nil"/>
              <w:left w:val="nil"/>
              <w:bottom w:val="single" w:sz="4" w:space="0" w:color="auto"/>
              <w:right w:val="single" w:sz="4" w:space="0" w:color="auto"/>
            </w:tcBorders>
            <w:shd w:val="clear" w:color="000000" w:fill="FDE9D9"/>
            <w:noWrap/>
            <w:vAlign w:val="bottom"/>
            <w:hideMark/>
          </w:tcPr>
          <w:p w14:paraId="13885842" w14:textId="77777777" w:rsidR="009A356E" w:rsidRPr="00C10545" w:rsidRDefault="009A356E" w:rsidP="009A356E">
            <w:pPr>
              <w:jc w:val="right"/>
              <w:rPr>
                <w:sz w:val="18"/>
                <w:szCs w:val="18"/>
                <w:lang w:eastAsia="en-AU"/>
              </w:rPr>
            </w:pPr>
            <w:r w:rsidRPr="00C10545">
              <w:rPr>
                <w:sz w:val="18"/>
                <w:szCs w:val="18"/>
                <w:lang w:eastAsia="en-AU"/>
              </w:rPr>
              <w:t>19.68</w:t>
            </w:r>
          </w:p>
        </w:tc>
        <w:tc>
          <w:tcPr>
            <w:tcW w:w="301" w:type="pct"/>
            <w:tcBorders>
              <w:top w:val="nil"/>
              <w:left w:val="nil"/>
              <w:bottom w:val="single" w:sz="4" w:space="0" w:color="auto"/>
              <w:right w:val="single" w:sz="4" w:space="0" w:color="auto"/>
            </w:tcBorders>
            <w:shd w:val="clear" w:color="000000" w:fill="DAEEF3"/>
            <w:noWrap/>
            <w:vAlign w:val="bottom"/>
            <w:hideMark/>
          </w:tcPr>
          <w:p w14:paraId="70AE97FE" w14:textId="77777777" w:rsidR="009A356E" w:rsidRPr="00C10545" w:rsidRDefault="009A356E" w:rsidP="009A356E">
            <w:pPr>
              <w:jc w:val="right"/>
              <w:rPr>
                <w:sz w:val="18"/>
                <w:szCs w:val="18"/>
                <w:lang w:eastAsia="en-AU"/>
              </w:rPr>
            </w:pPr>
            <w:r w:rsidRPr="00C10545">
              <w:rPr>
                <w:sz w:val="18"/>
                <w:szCs w:val="18"/>
                <w:lang w:eastAsia="en-AU"/>
              </w:rPr>
              <w:t>5.32</w:t>
            </w:r>
          </w:p>
        </w:tc>
        <w:tc>
          <w:tcPr>
            <w:tcW w:w="353" w:type="pct"/>
            <w:tcBorders>
              <w:top w:val="nil"/>
              <w:left w:val="nil"/>
              <w:bottom w:val="single" w:sz="4" w:space="0" w:color="auto"/>
              <w:right w:val="single" w:sz="4" w:space="0" w:color="auto"/>
            </w:tcBorders>
            <w:shd w:val="clear" w:color="000000" w:fill="DAEEF3"/>
            <w:noWrap/>
            <w:vAlign w:val="bottom"/>
            <w:hideMark/>
          </w:tcPr>
          <w:p w14:paraId="7509D811" w14:textId="77777777" w:rsidR="009A356E" w:rsidRPr="00C10545" w:rsidRDefault="009A356E" w:rsidP="009A356E">
            <w:pPr>
              <w:jc w:val="right"/>
              <w:rPr>
                <w:sz w:val="18"/>
                <w:szCs w:val="18"/>
                <w:lang w:eastAsia="en-AU"/>
              </w:rPr>
            </w:pPr>
            <w:r w:rsidRPr="00C10545">
              <w:rPr>
                <w:sz w:val="18"/>
                <w:szCs w:val="18"/>
                <w:lang w:eastAsia="en-AU"/>
              </w:rPr>
              <w:t>22.59</w:t>
            </w:r>
          </w:p>
        </w:tc>
        <w:tc>
          <w:tcPr>
            <w:tcW w:w="301" w:type="pct"/>
            <w:tcBorders>
              <w:top w:val="nil"/>
              <w:left w:val="nil"/>
              <w:bottom w:val="single" w:sz="4" w:space="0" w:color="auto"/>
              <w:right w:val="single" w:sz="4" w:space="0" w:color="auto"/>
            </w:tcBorders>
            <w:shd w:val="clear" w:color="000000" w:fill="EBF1DE"/>
            <w:noWrap/>
            <w:vAlign w:val="bottom"/>
            <w:hideMark/>
          </w:tcPr>
          <w:p w14:paraId="15B2FA7E" w14:textId="77777777" w:rsidR="009A356E" w:rsidRPr="00C10545" w:rsidRDefault="009A356E" w:rsidP="009A356E">
            <w:pPr>
              <w:jc w:val="right"/>
              <w:rPr>
                <w:sz w:val="18"/>
                <w:szCs w:val="18"/>
                <w:lang w:eastAsia="en-AU"/>
              </w:rPr>
            </w:pPr>
            <w:r w:rsidRPr="00C10545">
              <w:rPr>
                <w:sz w:val="18"/>
                <w:szCs w:val="18"/>
                <w:lang w:eastAsia="en-AU"/>
              </w:rPr>
              <w:t>4.73</w:t>
            </w:r>
          </w:p>
        </w:tc>
        <w:tc>
          <w:tcPr>
            <w:tcW w:w="354" w:type="pct"/>
            <w:tcBorders>
              <w:top w:val="nil"/>
              <w:left w:val="nil"/>
              <w:bottom w:val="single" w:sz="4" w:space="0" w:color="auto"/>
              <w:right w:val="single" w:sz="4" w:space="0" w:color="auto"/>
            </w:tcBorders>
            <w:shd w:val="clear" w:color="000000" w:fill="EBF1DE"/>
            <w:noWrap/>
            <w:vAlign w:val="bottom"/>
            <w:hideMark/>
          </w:tcPr>
          <w:p w14:paraId="0E40600F" w14:textId="77777777" w:rsidR="009A356E" w:rsidRPr="00C10545" w:rsidRDefault="009A356E" w:rsidP="009A356E">
            <w:pPr>
              <w:jc w:val="right"/>
              <w:rPr>
                <w:sz w:val="18"/>
                <w:szCs w:val="18"/>
                <w:lang w:eastAsia="en-AU"/>
              </w:rPr>
            </w:pPr>
            <w:r w:rsidRPr="00C10545">
              <w:rPr>
                <w:sz w:val="18"/>
                <w:szCs w:val="18"/>
                <w:lang w:eastAsia="en-AU"/>
              </w:rPr>
              <w:t>25.73</w:t>
            </w:r>
          </w:p>
        </w:tc>
        <w:tc>
          <w:tcPr>
            <w:tcW w:w="302" w:type="pct"/>
            <w:tcBorders>
              <w:top w:val="nil"/>
              <w:left w:val="nil"/>
              <w:bottom w:val="single" w:sz="4" w:space="0" w:color="auto"/>
              <w:right w:val="single" w:sz="4" w:space="0" w:color="auto"/>
            </w:tcBorders>
            <w:shd w:val="clear" w:color="000000" w:fill="E4DFEC"/>
            <w:noWrap/>
            <w:vAlign w:val="bottom"/>
            <w:hideMark/>
          </w:tcPr>
          <w:p w14:paraId="56B1E056" w14:textId="77777777" w:rsidR="009A356E" w:rsidRPr="00C10545" w:rsidRDefault="009A356E" w:rsidP="009A356E">
            <w:pPr>
              <w:jc w:val="right"/>
              <w:rPr>
                <w:sz w:val="18"/>
                <w:szCs w:val="18"/>
                <w:lang w:eastAsia="en-AU"/>
              </w:rPr>
            </w:pPr>
            <w:r w:rsidRPr="00C10545">
              <w:rPr>
                <w:sz w:val="18"/>
                <w:szCs w:val="18"/>
                <w:lang w:eastAsia="en-AU"/>
              </w:rPr>
              <w:t>4.72</w:t>
            </w:r>
          </w:p>
        </w:tc>
        <w:tc>
          <w:tcPr>
            <w:tcW w:w="354" w:type="pct"/>
            <w:tcBorders>
              <w:top w:val="nil"/>
              <w:left w:val="nil"/>
              <w:bottom w:val="single" w:sz="4" w:space="0" w:color="auto"/>
              <w:right w:val="single" w:sz="4" w:space="0" w:color="auto"/>
            </w:tcBorders>
            <w:shd w:val="clear" w:color="000000" w:fill="E4DFEC"/>
            <w:noWrap/>
            <w:vAlign w:val="bottom"/>
            <w:hideMark/>
          </w:tcPr>
          <w:p w14:paraId="00F828A0" w14:textId="77777777" w:rsidR="009A356E" w:rsidRPr="00C10545" w:rsidRDefault="009A356E" w:rsidP="009A356E">
            <w:pPr>
              <w:jc w:val="right"/>
              <w:rPr>
                <w:sz w:val="18"/>
                <w:szCs w:val="18"/>
                <w:lang w:eastAsia="en-AU"/>
              </w:rPr>
            </w:pPr>
            <w:r w:rsidRPr="00C10545">
              <w:rPr>
                <w:sz w:val="18"/>
                <w:szCs w:val="18"/>
                <w:lang w:eastAsia="en-AU"/>
              </w:rPr>
              <w:t>29.44</w:t>
            </w:r>
          </w:p>
        </w:tc>
        <w:tc>
          <w:tcPr>
            <w:tcW w:w="388" w:type="pct"/>
            <w:tcBorders>
              <w:top w:val="nil"/>
              <w:left w:val="nil"/>
              <w:bottom w:val="single" w:sz="4" w:space="0" w:color="auto"/>
              <w:right w:val="single" w:sz="4" w:space="0" w:color="auto"/>
            </w:tcBorders>
            <w:shd w:val="clear" w:color="000000" w:fill="FDE9D9"/>
            <w:noWrap/>
            <w:vAlign w:val="bottom"/>
            <w:hideMark/>
          </w:tcPr>
          <w:p w14:paraId="4B3B2C62" w14:textId="77777777" w:rsidR="009A356E" w:rsidRPr="00C10545" w:rsidRDefault="009A356E" w:rsidP="009A356E">
            <w:pPr>
              <w:jc w:val="right"/>
              <w:rPr>
                <w:sz w:val="18"/>
                <w:szCs w:val="18"/>
                <w:lang w:eastAsia="en-AU"/>
              </w:rPr>
            </w:pPr>
            <w:r w:rsidRPr="00C10545">
              <w:rPr>
                <w:sz w:val="18"/>
                <w:szCs w:val="18"/>
                <w:lang w:eastAsia="en-AU"/>
              </w:rPr>
              <w:t>24.6%</w:t>
            </w:r>
          </w:p>
        </w:tc>
        <w:tc>
          <w:tcPr>
            <w:tcW w:w="388" w:type="pct"/>
            <w:tcBorders>
              <w:top w:val="nil"/>
              <w:left w:val="nil"/>
              <w:bottom w:val="single" w:sz="4" w:space="0" w:color="auto"/>
              <w:right w:val="single" w:sz="4" w:space="0" w:color="auto"/>
            </w:tcBorders>
            <w:shd w:val="clear" w:color="000000" w:fill="DAEEF3"/>
            <w:noWrap/>
            <w:vAlign w:val="bottom"/>
            <w:hideMark/>
          </w:tcPr>
          <w:p w14:paraId="38229687" w14:textId="77777777" w:rsidR="009A356E" w:rsidRPr="00C10545" w:rsidRDefault="009A356E" w:rsidP="009A356E">
            <w:pPr>
              <w:jc w:val="right"/>
              <w:rPr>
                <w:sz w:val="18"/>
                <w:szCs w:val="18"/>
                <w:lang w:eastAsia="en-AU"/>
              </w:rPr>
            </w:pPr>
            <w:r w:rsidRPr="00C10545">
              <w:rPr>
                <w:sz w:val="18"/>
                <w:szCs w:val="18"/>
                <w:lang w:eastAsia="en-AU"/>
              </w:rPr>
              <w:t>23.6%</w:t>
            </w:r>
          </w:p>
        </w:tc>
        <w:tc>
          <w:tcPr>
            <w:tcW w:w="388" w:type="pct"/>
            <w:tcBorders>
              <w:top w:val="nil"/>
              <w:left w:val="nil"/>
              <w:bottom w:val="single" w:sz="4" w:space="0" w:color="auto"/>
              <w:right w:val="single" w:sz="4" w:space="0" w:color="auto"/>
            </w:tcBorders>
            <w:shd w:val="clear" w:color="000000" w:fill="EBF1DE"/>
            <w:noWrap/>
            <w:vAlign w:val="bottom"/>
            <w:hideMark/>
          </w:tcPr>
          <w:p w14:paraId="21F57FB4" w14:textId="77777777" w:rsidR="009A356E" w:rsidRPr="00C10545" w:rsidRDefault="009A356E" w:rsidP="009A356E">
            <w:pPr>
              <w:jc w:val="right"/>
              <w:rPr>
                <w:sz w:val="18"/>
                <w:szCs w:val="18"/>
                <w:lang w:eastAsia="en-AU"/>
              </w:rPr>
            </w:pPr>
            <w:r w:rsidRPr="00C10545">
              <w:rPr>
                <w:sz w:val="18"/>
                <w:szCs w:val="18"/>
                <w:lang w:eastAsia="en-AU"/>
              </w:rPr>
              <w:t>18.4%</w:t>
            </w:r>
          </w:p>
        </w:tc>
        <w:tc>
          <w:tcPr>
            <w:tcW w:w="388" w:type="pct"/>
            <w:tcBorders>
              <w:top w:val="nil"/>
              <w:left w:val="nil"/>
              <w:bottom w:val="single" w:sz="4" w:space="0" w:color="auto"/>
              <w:right w:val="single" w:sz="4" w:space="0" w:color="auto"/>
            </w:tcBorders>
            <w:shd w:val="clear" w:color="000000" w:fill="E4DFEC"/>
            <w:noWrap/>
            <w:vAlign w:val="bottom"/>
            <w:hideMark/>
          </w:tcPr>
          <w:p w14:paraId="6230DAE1" w14:textId="77777777" w:rsidR="009A356E" w:rsidRPr="00C10545" w:rsidRDefault="009A356E" w:rsidP="009A356E">
            <w:pPr>
              <w:jc w:val="right"/>
              <w:rPr>
                <w:sz w:val="18"/>
                <w:szCs w:val="18"/>
                <w:lang w:eastAsia="en-AU"/>
              </w:rPr>
            </w:pPr>
            <w:r w:rsidRPr="00C10545">
              <w:rPr>
                <w:sz w:val="18"/>
                <w:szCs w:val="18"/>
                <w:lang w:eastAsia="en-AU"/>
              </w:rPr>
              <w:t>16.0%</w:t>
            </w:r>
          </w:p>
        </w:tc>
      </w:tr>
      <w:tr w:rsidR="009A356E" w:rsidRPr="00B030A2" w14:paraId="5B209DA9" w14:textId="77777777" w:rsidTr="009A356E">
        <w:trPr>
          <w:trHeight w:val="240"/>
        </w:trPr>
        <w:tc>
          <w:tcPr>
            <w:tcW w:w="828" w:type="pct"/>
            <w:tcBorders>
              <w:top w:val="nil"/>
              <w:left w:val="single" w:sz="4" w:space="0" w:color="auto"/>
              <w:bottom w:val="single" w:sz="4" w:space="0" w:color="auto"/>
              <w:right w:val="single" w:sz="4" w:space="0" w:color="auto"/>
            </w:tcBorders>
            <w:shd w:val="clear" w:color="auto" w:fill="auto"/>
            <w:noWrap/>
            <w:vAlign w:val="bottom"/>
            <w:hideMark/>
          </w:tcPr>
          <w:p w14:paraId="36AF761B" w14:textId="77777777" w:rsidR="009A356E" w:rsidRPr="00C10545" w:rsidRDefault="009A356E" w:rsidP="009A356E">
            <w:pPr>
              <w:rPr>
                <w:sz w:val="18"/>
                <w:szCs w:val="18"/>
                <w:lang w:eastAsia="en-AU"/>
              </w:rPr>
            </w:pPr>
            <w:r w:rsidRPr="00C10545">
              <w:rPr>
                <w:sz w:val="18"/>
                <w:szCs w:val="18"/>
                <w:lang w:eastAsia="en-AU"/>
              </w:rPr>
              <w:t>Goldfields</w:t>
            </w:r>
          </w:p>
        </w:tc>
        <w:tc>
          <w:tcPr>
            <w:tcW w:w="301" w:type="pct"/>
            <w:tcBorders>
              <w:top w:val="nil"/>
              <w:left w:val="nil"/>
              <w:bottom w:val="single" w:sz="4" w:space="0" w:color="auto"/>
              <w:right w:val="single" w:sz="4" w:space="0" w:color="auto"/>
            </w:tcBorders>
            <w:shd w:val="clear" w:color="000000" w:fill="FDE9D9"/>
            <w:noWrap/>
            <w:vAlign w:val="bottom"/>
            <w:hideMark/>
          </w:tcPr>
          <w:p w14:paraId="0452C8BF" w14:textId="77777777" w:rsidR="009A356E" w:rsidRPr="00C10545" w:rsidRDefault="009A356E" w:rsidP="009A356E">
            <w:pPr>
              <w:jc w:val="right"/>
              <w:rPr>
                <w:sz w:val="18"/>
                <w:szCs w:val="18"/>
                <w:lang w:eastAsia="en-AU"/>
              </w:rPr>
            </w:pPr>
            <w:r w:rsidRPr="00C10545">
              <w:rPr>
                <w:sz w:val="18"/>
                <w:szCs w:val="18"/>
                <w:lang w:eastAsia="en-AU"/>
              </w:rPr>
              <w:t>5.21</w:t>
            </w:r>
          </w:p>
        </w:tc>
        <w:tc>
          <w:tcPr>
            <w:tcW w:w="353" w:type="pct"/>
            <w:tcBorders>
              <w:top w:val="nil"/>
              <w:left w:val="nil"/>
              <w:bottom w:val="single" w:sz="4" w:space="0" w:color="auto"/>
              <w:right w:val="single" w:sz="4" w:space="0" w:color="auto"/>
            </w:tcBorders>
            <w:shd w:val="clear" w:color="000000" w:fill="FDE9D9"/>
            <w:noWrap/>
            <w:vAlign w:val="bottom"/>
            <w:hideMark/>
          </w:tcPr>
          <w:p w14:paraId="76EC002E" w14:textId="77777777" w:rsidR="009A356E" w:rsidRPr="00C10545" w:rsidRDefault="009A356E" w:rsidP="009A356E">
            <w:pPr>
              <w:jc w:val="right"/>
              <w:rPr>
                <w:sz w:val="18"/>
                <w:szCs w:val="18"/>
                <w:lang w:eastAsia="en-AU"/>
              </w:rPr>
            </w:pPr>
            <w:r w:rsidRPr="00C10545">
              <w:rPr>
                <w:sz w:val="18"/>
                <w:szCs w:val="18"/>
                <w:lang w:eastAsia="en-AU"/>
              </w:rPr>
              <w:t>18.29</w:t>
            </w:r>
          </w:p>
        </w:tc>
        <w:tc>
          <w:tcPr>
            <w:tcW w:w="301" w:type="pct"/>
            <w:tcBorders>
              <w:top w:val="nil"/>
              <w:left w:val="nil"/>
              <w:bottom w:val="single" w:sz="4" w:space="0" w:color="auto"/>
              <w:right w:val="single" w:sz="4" w:space="0" w:color="auto"/>
            </w:tcBorders>
            <w:shd w:val="clear" w:color="000000" w:fill="DAEEF3"/>
            <w:noWrap/>
            <w:vAlign w:val="bottom"/>
            <w:hideMark/>
          </w:tcPr>
          <w:p w14:paraId="56CFD8C6" w14:textId="77777777" w:rsidR="009A356E" w:rsidRPr="00C10545" w:rsidRDefault="009A356E" w:rsidP="009A356E">
            <w:pPr>
              <w:jc w:val="right"/>
              <w:rPr>
                <w:sz w:val="18"/>
                <w:szCs w:val="18"/>
                <w:lang w:eastAsia="en-AU"/>
              </w:rPr>
            </w:pPr>
            <w:r w:rsidRPr="00C10545">
              <w:rPr>
                <w:sz w:val="18"/>
                <w:szCs w:val="18"/>
                <w:lang w:eastAsia="en-AU"/>
              </w:rPr>
              <w:t>5.40</w:t>
            </w:r>
          </w:p>
        </w:tc>
        <w:tc>
          <w:tcPr>
            <w:tcW w:w="353" w:type="pct"/>
            <w:tcBorders>
              <w:top w:val="nil"/>
              <w:left w:val="nil"/>
              <w:bottom w:val="single" w:sz="4" w:space="0" w:color="auto"/>
              <w:right w:val="single" w:sz="4" w:space="0" w:color="auto"/>
            </w:tcBorders>
            <w:shd w:val="clear" w:color="000000" w:fill="DAEEF3"/>
            <w:noWrap/>
            <w:vAlign w:val="bottom"/>
            <w:hideMark/>
          </w:tcPr>
          <w:p w14:paraId="7EBC0BB4" w14:textId="77777777" w:rsidR="009A356E" w:rsidRPr="00C10545" w:rsidRDefault="009A356E" w:rsidP="009A356E">
            <w:pPr>
              <w:jc w:val="right"/>
              <w:rPr>
                <w:sz w:val="18"/>
                <w:szCs w:val="18"/>
                <w:lang w:eastAsia="en-AU"/>
              </w:rPr>
            </w:pPr>
            <w:r w:rsidRPr="00C10545">
              <w:rPr>
                <w:sz w:val="18"/>
                <w:szCs w:val="18"/>
                <w:lang w:eastAsia="en-AU"/>
              </w:rPr>
              <w:t>21.92</w:t>
            </w:r>
          </w:p>
        </w:tc>
        <w:tc>
          <w:tcPr>
            <w:tcW w:w="301" w:type="pct"/>
            <w:tcBorders>
              <w:top w:val="nil"/>
              <w:left w:val="nil"/>
              <w:bottom w:val="single" w:sz="4" w:space="0" w:color="auto"/>
              <w:right w:val="single" w:sz="4" w:space="0" w:color="auto"/>
            </w:tcBorders>
            <w:shd w:val="clear" w:color="000000" w:fill="EBF1DE"/>
            <w:noWrap/>
            <w:vAlign w:val="bottom"/>
            <w:hideMark/>
          </w:tcPr>
          <w:p w14:paraId="0F19E830" w14:textId="77777777" w:rsidR="009A356E" w:rsidRPr="00C10545" w:rsidRDefault="009A356E" w:rsidP="009A356E">
            <w:pPr>
              <w:jc w:val="right"/>
              <w:rPr>
                <w:sz w:val="18"/>
                <w:szCs w:val="18"/>
                <w:lang w:eastAsia="en-AU"/>
              </w:rPr>
            </w:pPr>
            <w:r w:rsidRPr="00C10545">
              <w:rPr>
                <w:sz w:val="18"/>
                <w:szCs w:val="18"/>
                <w:lang w:eastAsia="en-AU"/>
              </w:rPr>
              <w:t>5.23</w:t>
            </w:r>
          </w:p>
        </w:tc>
        <w:tc>
          <w:tcPr>
            <w:tcW w:w="354" w:type="pct"/>
            <w:tcBorders>
              <w:top w:val="nil"/>
              <w:left w:val="nil"/>
              <w:bottom w:val="single" w:sz="4" w:space="0" w:color="auto"/>
              <w:right w:val="single" w:sz="4" w:space="0" w:color="auto"/>
            </w:tcBorders>
            <w:shd w:val="clear" w:color="000000" w:fill="EBF1DE"/>
            <w:noWrap/>
            <w:vAlign w:val="bottom"/>
            <w:hideMark/>
          </w:tcPr>
          <w:p w14:paraId="6FED2D36" w14:textId="77777777" w:rsidR="009A356E" w:rsidRPr="00C10545" w:rsidRDefault="009A356E" w:rsidP="009A356E">
            <w:pPr>
              <w:jc w:val="right"/>
              <w:rPr>
                <w:sz w:val="18"/>
                <w:szCs w:val="18"/>
                <w:lang w:eastAsia="en-AU"/>
              </w:rPr>
            </w:pPr>
            <w:r w:rsidRPr="00C10545">
              <w:rPr>
                <w:sz w:val="18"/>
                <w:szCs w:val="18"/>
                <w:lang w:eastAsia="en-AU"/>
              </w:rPr>
              <w:t>25.79</w:t>
            </w:r>
          </w:p>
        </w:tc>
        <w:tc>
          <w:tcPr>
            <w:tcW w:w="302" w:type="pct"/>
            <w:tcBorders>
              <w:top w:val="nil"/>
              <w:left w:val="nil"/>
              <w:bottom w:val="single" w:sz="4" w:space="0" w:color="auto"/>
              <w:right w:val="single" w:sz="4" w:space="0" w:color="auto"/>
            </w:tcBorders>
            <w:shd w:val="clear" w:color="000000" w:fill="E4DFEC"/>
            <w:noWrap/>
            <w:vAlign w:val="bottom"/>
            <w:hideMark/>
          </w:tcPr>
          <w:p w14:paraId="78EC5E29" w14:textId="77777777" w:rsidR="009A356E" w:rsidRPr="00C10545" w:rsidRDefault="009A356E" w:rsidP="009A356E">
            <w:pPr>
              <w:jc w:val="right"/>
              <w:rPr>
                <w:sz w:val="18"/>
                <w:szCs w:val="18"/>
                <w:lang w:eastAsia="en-AU"/>
              </w:rPr>
            </w:pPr>
            <w:r w:rsidRPr="00C10545">
              <w:rPr>
                <w:sz w:val="18"/>
                <w:szCs w:val="18"/>
                <w:lang w:eastAsia="en-AU"/>
              </w:rPr>
              <w:t>5.27</w:t>
            </w:r>
          </w:p>
        </w:tc>
        <w:tc>
          <w:tcPr>
            <w:tcW w:w="354" w:type="pct"/>
            <w:tcBorders>
              <w:top w:val="nil"/>
              <w:left w:val="nil"/>
              <w:bottom w:val="single" w:sz="4" w:space="0" w:color="auto"/>
              <w:right w:val="single" w:sz="4" w:space="0" w:color="auto"/>
            </w:tcBorders>
            <w:shd w:val="clear" w:color="000000" w:fill="E4DFEC"/>
            <w:noWrap/>
            <w:vAlign w:val="bottom"/>
            <w:hideMark/>
          </w:tcPr>
          <w:p w14:paraId="1EE53A2A" w14:textId="77777777" w:rsidR="009A356E" w:rsidRPr="00C10545" w:rsidRDefault="009A356E" w:rsidP="009A356E">
            <w:pPr>
              <w:jc w:val="right"/>
              <w:rPr>
                <w:sz w:val="18"/>
                <w:szCs w:val="18"/>
                <w:lang w:eastAsia="en-AU"/>
              </w:rPr>
            </w:pPr>
            <w:r w:rsidRPr="00C10545">
              <w:rPr>
                <w:sz w:val="18"/>
                <w:szCs w:val="18"/>
                <w:lang w:eastAsia="en-AU"/>
              </w:rPr>
              <w:t>23.74</w:t>
            </w:r>
          </w:p>
        </w:tc>
        <w:tc>
          <w:tcPr>
            <w:tcW w:w="388" w:type="pct"/>
            <w:tcBorders>
              <w:top w:val="nil"/>
              <w:left w:val="nil"/>
              <w:bottom w:val="single" w:sz="4" w:space="0" w:color="auto"/>
              <w:right w:val="single" w:sz="4" w:space="0" w:color="auto"/>
            </w:tcBorders>
            <w:shd w:val="clear" w:color="000000" w:fill="FDE9D9"/>
            <w:noWrap/>
            <w:vAlign w:val="bottom"/>
            <w:hideMark/>
          </w:tcPr>
          <w:p w14:paraId="5AF52D0E" w14:textId="77777777" w:rsidR="009A356E" w:rsidRPr="00C10545" w:rsidRDefault="009A356E" w:rsidP="009A356E">
            <w:pPr>
              <w:jc w:val="right"/>
              <w:rPr>
                <w:sz w:val="18"/>
                <w:szCs w:val="18"/>
                <w:lang w:eastAsia="en-AU"/>
              </w:rPr>
            </w:pPr>
            <w:r w:rsidRPr="00C10545">
              <w:rPr>
                <w:sz w:val="18"/>
                <w:szCs w:val="18"/>
                <w:lang w:eastAsia="en-AU"/>
              </w:rPr>
              <w:t>28.5%</w:t>
            </w:r>
          </w:p>
        </w:tc>
        <w:tc>
          <w:tcPr>
            <w:tcW w:w="388" w:type="pct"/>
            <w:tcBorders>
              <w:top w:val="nil"/>
              <w:left w:val="nil"/>
              <w:bottom w:val="single" w:sz="4" w:space="0" w:color="auto"/>
              <w:right w:val="single" w:sz="4" w:space="0" w:color="auto"/>
            </w:tcBorders>
            <w:shd w:val="clear" w:color="000000" w:fill="DAEEF3"/>
            <w:noWrap/>
            <w:vAlign w:val="bottom"/>
            <w:hideMark/>
          </w:tcPr>
          <w:p w14:paraId="0ACE5D16" w14:textId="77777777" w:rsidR="009A356E" w:rsidRPr="00C10545" w:rsidRDefault="009A356E" w:rsidP="009A356E">
            <w:pPr>
              <w:jc w:val="right"/>
              <w:rPr>
                <w:sz w:val="18"/>
                <w:szCs w:val="18"/>
                <w:lang w:eastAsia="en-AU"/>
              </w:rPr>
            </w:pPr>
            <w:r w:rsidRPr="00C10545">
              <w:rPr>
                <w:sz w:val="18"/>
                <w:szCs w:val="18"/>
                <w:lang w:eastAsia="en-AU"/>
              </w:rPr>
              <w:t>24.6%</w:t>
            </w:r>
          </w:p>
        </w:tc>
        <w:tc>
          <w:tcPr>
            <w:tcW w:w="388" w:type="pct"/>
            <w:tcBorders>
              <w:top w:val="nil"/>
              <w:left w:val="nil"/>
              <w:bottom w:val="single" w:sz="4" w:space="0" w:color="auto"/>
              <w:right w:val="single" w:sz="4" w:space="0" w:color="auto"/>
            </w:tcBorders>
            <w:shd w:val="clear" w:color="000000" w:fill="EBF1DE"/>
            <w:noWrap/>
            <w:vAlign w:val="bottom"/>
            <w:hideMark/>
          </w:tcPr>
          <w:p w14:paraId="29D5D728" w14:textId="77777777" w:rsidR="009A356E" w:rsidRPr="00C10545" w:rsidRDefault="009A356E" w:rsidP="009A356E">
            <w:pPr>
              <w:jc w:val="right"/>
              <w:rPr>
                <w:sz w:val="18"/>
                <w:szCs w:val="18"/>
                <w:lang w:eastAsia="en-AU"/>
              </w:rPr>
            </w:pPr>
            <w:r w:rsidRPr="00C10545">
              <w:rPr>
                <w:sz w:val="18"/>
                <w:szCs w:val="18"/>
                <w:lang w:eastAsia="en-AU"/>
              </w:rPr>
              <w:t>20.3%</w:t>
            </w:r>
          </w:p>
        </w:tc>
        <w:tc>
          <w:tcPr>
            <w:tcW w:w="388" w:type="pct"/>
            <w:tcBorders>
              <w:top w:val="nil"/>
              <w:left w:val="nil"/>
              <w:bottom w:val="single" w:sz="4" w:space="0" w:color="auto"/>
              <w:right w:val="single" w:sz="4" w:space="0" w:color="auto"/>
            </w:tcBorders>
            <w:shd w:val="clear" w:color="000000" w:fill="E4DFEC"/>
            <w:noWrap/>
            <w:vAlign w:val="bottom"/>
            <w:hideMark/>
          </w:tcPr>
          <w:p w14:paraId="0BABDBEC" w14:textId="77777777" w:rsidR="009A356E" w:rsidRPr="00C10545" w:rsidRDefault="009A356E" w:rsidP="009A356E">
            <w:pPr>
              <w:jc w:val="right"/>
              <w:rPr>
                <w:sz w:val="18"/>
                <w:szCs w:val="18"/>
                <w:lang w:eastAsia="en-AU"/>
              </w:rPr>
            </w:pPr>
            <w:r w:rsidRPr="00C10545">
              <w:rPr>
                <w:sz w:val="18"/>
                <w:szCs w:val="18"/>
                <w:lang w:eastAsia="en-AU"/>
              </w:rPr>
              <w:t>22.2%</w:t>
            </w:r>
          </w:p>
        </w:tc>
      </w:tr>
      <w:tr w:rsidR="009A356E" w:rsidRPr="00B030A2" w14:paraId="0E57686F" w14:textId="77777777" w:rsidTr="009A356E">
        <w:trPr>
          <w:trHeight w:val="240"/>
        </w:trPr>
        <w:tc>
          <w:tcPr>
            <w:tcW w:w="828" w:type="pct"/>
            <w:tcBorders>
              <w:top w:val="nil"/>
              <w:left w:val="single" w:sz="4" w:space="0" w:color="auto"/>
              <w:bottom w:val="single" w:sz="4" w:space="0" w:color="auto"/>
              <w:right w:val="single" w:sz="4" w:space="0" w:color="auto"/>
            </w:tcBorders>
            <w:shd w:val="clear" w:color="auto" w:fill="auto"/>
            <w:noWrap/>
            <w:vAlign w:val="bottom"/>
            <w:hideMark/>
          </w:tcPr>
          <w:p w14:paraId="0D4D4DB1" w14:textId="77777777" w:rsidR="009A356E" w:rsidRPr="00C10545" w:rsidRDefault="009A356E" w:rsidP="009A356E">
            <w:pPr>
              <w:rPr>
                <w:sz w:val="18"/>
                <w:szCs w:val="18"/>
                <w:lang w:eastAsia="en-AU"/>
              </w:rPr>
            </w:pPr>
            <w:r w:rsidRPr="00C10545">
              <w:rPr>
                <w:sz w:val="18"/>
                <w:szCs w:val="18"/>
                <w:lang w:eastAsia="en-AU"/>
              </w:rPr>
              <w:t>Goulburn Valley</w:t>
            </w:r>
          </w:p>
        </w:tc>
        <w:tc>
          <w:tcPr>
            <w:tcW w:w="301" w:type="pct"/>
            <w:tcBorders>
              <w:top w:val="nil"/>
              <w:left w:val="nil"/>
              <w:bottom w:val="single" w:sz="4" w:space="0" w:color="auto"/>
              <w:right w:val="single" w:sz="4" w:space="0" w:color="auto"/>
            </w:tcBorders>
            <w:shd w:val="clear" w:color="000000" w:fill="FDE9D9"/>
            <w:noWrap/>
            <w:vAlign w:val="bottom"/>
            <w:hideMark/>
          </w:tcPr>
          <w:p w14:paraId="69AA24FD" w14:textId="77777777" w:rsidR="009A356E" w:rsidRPr="00C10545" w:rsidRDefault="009A356E" w:rsidP="009A356E">
            <w:pPr>
              <w:jc w:val="right"/>
              <w:rPr>
                <w:sz w:val="18"/>
                <w:szCs w:val="18"/>
                <w:lang w:eastAsia="en-AU"/>
              </w:rPr>
            </w:pPr>
            <w:r w:rsidRPr="00C10545">
              <w:rPr>
                <w:sz w:val="18"/>
                <w:szCs w:val="18"/>
                <w:lang w:eastAsia="en-AU"/>
              </w:rPr>
              <w:t>5.60</w:t>
            </w:r>
          </w:p>
        </w:tc>
        <w:tc>
          <w:tcPr>
            <w:tcW w:w="353" w:type="pct"/>
            <w:tcBorders>
              <w:top w:val="nil"/>
              <w:left w:val="nil"/>
              <w:bottom w:val="single" w:sz="4" w:space="0" w:color="auto"/>
              <w:right w:val="single" w:sz="4" w:space="0" w:color="auto"/>
            </w:tcBorders>
            <w:shd w:val="clear" w:color="000000" w:fill="FDE9D9"/>
            <w:noWrap/>
            <w:vAlign w:val="bottom"/>
            <w:hideMark/>
          </w:tcPr>
          <w:p w14:paraId="3F59E5C3" w14:textId="77777777" w:rsidR="009A356E" w:rsidRPr="00C10545" w:rsidRDefault="009A356E" w:rsidP="009A356E">
            <w:pPr>
              <w:jc w:val="right"/>
              <w:rPr>
                <w:sz w:val="18"/>
                <w:szCs w:val="18"/>
                <w:lang w:eastAsia="en-AU"/>
              </w:rPr>
            </w:pPr>
            <w:r w:rsidRPr="00C10545">
              <w:rPr>
                <w:sz w:val="18"/>
                <w:szCs w:val="18"/>
                <w:lang w:eastAsia="en-AU"/>
              </w:rPr>
              <w:t>20.55</w:t>
            </w:r>
          </w:p>
        </w:tc>
        <w:tc>
          <w:tcPr>
            <w:tcW w:w="301" w:type="pct"/>
            <w:tcBorders>
              <w:top w:val="nil"/>
              <w:left w:val="nil"/>
              <w:bottom w:val="single" w:sz="4" w:space="0" w:color="auto"/>
              <w:right w:val="single" w:sz="4" w:space="0" w:color="auto"/>
            </w:tcBorders>
            <w:shd w:val="clear" w:color="000000" w:fill="DAEEF3"/>
            <w:noWrap/>
            <w:vAlign w:val="bottom"/>
            <w:hideMark/>
          </w:tcPr>
          <w:p w14:paraId="76D03A3C" w14:textId="77777777" w:rsidR="009A356E" w:rsidRPr="00C10545" w:rsidRDefault="009A356E" w:rsidP="009A356E">
            <w:pPr>
              <w:jc w:val="right"/>
              <w:rPr>
                <w:sz w:val="18"/>
                <w:szCs w:val="18"/>
                <w:lang w:eastAsia="en-AU"/>
              </w:rPr>
            </w:pPr>
            <w:r w:rsidRPr="00C10545">
              <w:rPr>
                <w:sz w:val="18"/>
                <w:szCs w:val="18"/>
                <w:lang w:eastAsia="en-AU"/>
              </w:rPr>
              <w:t>7.44</w:t>
            </w:r>
          </w:p>
        </w:tc>
        <w:tc>
          <w:tcPr>
            <w:tcW w:w="353" w:type="pct"/>
            <w:tcBorders>
              <w:top w:val="nil"/>
              <w:left w:val="nil"/>
              <w:bottom w:val="single" w:sz="4" w:space="0" w:color="auto"/>
              <w:right w:val="single" w:sz="4" w:space="0" w:color="auto"/>
            </w:tcBorders>
            <w:shd w:val="clear" w:color="000000" w:fill="DAEEF3"/>
            <w:noWrap/>
            <w:vAlign w:val="bottom"/>
            <w:hideMark/>
          </w:tcPr>
          <w:p w14:paraId="2D570C2E" w14:textId="77777777" w:rsidR="009A356E" w:rsidRPr="00C10545" w:rsidRDefault="009A356E" w:rsidP="009A356E">
            <w:pPr>
              <w:jc w:val="right"/>
              <w:rPr>
                <w:sz w:val="18"/>
                <w:szCs w:val="18"/>
                <w:lang w:eastAsia="en-AU"/>
              </w:rPr>
            </w:pPr>
            <w:r w:rsidRPr="00C10545">
              <w:rPr>
                <w:sz w:val="18"/>
                <w:szCs w:val="18"/>
                <w:lang w:eastAsia="en-AU"/>
              </w:rPr>
              <w:t>27.02</w:t>
            </w:r>
          </w:p>
        </w:tc>
        <w:tc>
          <w:tcPr>
            <w:tcW w:w="301" w:type="pct"/>
            <w:tcBorders>
              <w:top w:val="nil"/>
              <w:left w:val="nil"/>
              <w:bottom w:val="single" w:sz="4" w:space="0" w:color="auto"/>
              <w:right w:val="single" w:sz="4" w:space="0" w:color="auto"/>
            </w:tcBorders>
            <w:shd w:val="clear" w:color="000000" w:fill="EBF1DE"/>
            <w:noWrap/>
            <w:vAlign w:val="bottom"/>
            <w:hideMark/>
          </w:tcPr>
          <w:p w14:paraId="7F7B0844" w14:textId="77777777" w:rsidR="009A356E" w:rsidRPr="00C10545" w:rsidRDefault="009A356E" w:rsidP="009A356E">
            <w:pPr>
              <w:jc w:val="right"/>
              <w:rPr>
                <w:sz w:val="18"/>
                <w:szCs w:val="18"/>
                <w:lang w:eastAsia="en-AU"/>
              </w:rPr>
            </w:pPr>
            <w:r w:rsidRPr="00C10545">
              <w:rPr>
                <w:sz w:val="18"/>
                <w:szCs w:val="18"/>
                <w:lang w:eastAsia="en-AU"/>
              </w:rPr>
              <w:t>5.61</w:t>
            </w:r>
          </w:p>
        </w:tc>
        <w:tc>
          <w:tcPr>
            <w:tcW w:w="354" w:type="pct"/>
            <w:tcBorders>
              <w:top w:val="nil"/>
              <w:left w:val="nil"/>
              <w:bottom w:val="single" w:sz="4" w:space="0" w:color="auto"/>
              <w:right w:val="single" w:sz="4" w:space="0" w:color="auto"/>
            </w:tcBorders>
            <w:shd w:val="clear" w:color="000000" w:fill="EBF1DE"/>
            <w:noWrap/>
            <w:vAlign w:val="bottom"/>
            <w:hideMark/>
          </w:tcPr>
          <w:p w14:paraId="2DF90474" w14:textId="77777777" w:rsidR="009A356E" w:rsidRPr="00C10545" w:rsidRDefault="009A356E" w:rsidP="009A356E">
            <w:pPr>
              <w:jc w:val="right"/>
              <w:rPr>
                <w:sz w:val="18"/>
                <w:szCs w:val="18"/>
                <w:lang w:eastAsia="en-AU"/>
              </w:rPr>
            </w:pPr>
            <w:r w:rsidRPr="00C10545">
              <w:rPr>
                <w:sz w:val="18"/>
                <w:szCs w:val="18"/>
                <w:lang w:eastAsia="en-AU"/>
              </w:rPr>
              <w:t>24.39</w:t>
            </w:r>
          </w:p>
        </w:tc>
        <w:tc>
          <w:tcPr>
            <w:tcW w:w="302" w:type="pct"/>
            <w:tcBorders>
              <w:top w:val="nil"/>
              <w:left w:val="nil"/>
              <w:bottom w:val="single" w:sz="4" w:space="0" w:color="auto"/>
              <w:right w:val="single" w:sz="4" w:space="0" w:color="auto"/>
            </w:tcBorders>
            <w:shd w:val="clear" w:color="000000" w:fill="E4DFEC"/>
            <w:noWrap/>
            <w:vAlign w:val="bottom"/>
            <w:hideMark/>
          </w:tcPr>
          <w:p w14:paraId="452C9142" w14:textId="77777777" w:rsidR="009A356E" w:rsidRPr="00C10545" w:rsidRDefault="009A356E" w:rsidP="009A356E">
            <w:pPr>
              <w:jc w:val="right"/>
              <w:rPr>
                <w:sz w:val="18"/>
                <w:szCs w:val="18"/>
                <w:lang w:eastAsia="en-AU"/>
              </w:rPr>
            </w:pPr>
            <w:r w:rsidRPr="00C10545">
              <w:rPr>
                <w:sz w:val="18"/>
                <w:szCs w:val="18"/>
                <w:lang w:eastAsia="en-AU"/>
              </w:rPr>
              <w:t>5.71</w:t>
            </w:r>
          </w:p>
        </w:tc>
        <w:tc>
          <w:tcPr>
            <w:tcW w:w="354" w:type="pct"/>
            <w:tcBorders>
              <w:top w:val="nil"/>
              <w:left w:val="nil"/>
              <w:bottom w:val="single" w:sz="4" w:space="0" w:color="auto"/>
              <w:right w:val="single" w:sz="4" w:space="0" w:color="auto"/>
            </w:tcBorders>
            <w:shd w:val="clear" w:color="000000" w:fill="E4DFEC"/>
            <w:noWrap/>
            <w:vAlign w:val="bottom"/>
            <w:hideMark/>
          </w:tcPr>
          <w:p w14:paraId="59CD76E1" w14:textId="77777777" w:rsidR="009A356E" w:rsidRPr="00C10545" w:rsidRDefault="009A356E" w:rsidP="009A356E">
            <w:pPr>
              <w:jc w:val="right"/>
              <w:rPr>
                <w:sz w:val="18"/>
                <w:szCs w:val="18"/>
                <w:lang w:eastAsia="en-AU"/>
              </w:rPr>
            </w:pPr>
            <w:r w:rsidRPr="00C10545">
              <w:rPr>
                <w:sz w:val="18"/>
                <w:szCs w:val="18"/>
                <w:lang w:eastAsia="en-AU"/>
              </w:rPr>
              <w:t>24.29</w:t>
            </w:r>
          </w:p>
        </w:tc>
        <w:tc>
          <w:tcPr>
            <w:tcW w:w="388" w:type="pct"/>
            <w:tcBorders>
              <w:top w:val="nil"/>
              <w:left w:val="nil"/>
              <w:bottom w:val="single" w:sz="4" w:space="0" w:color="auto"/>
              <w:right w:val="single" w:sz="4" w:space="0" w:color="auto"/>
            </w:tcBorders>
            <w:shd w:val="clear" w:color="000000" w:fill="FDE9D9"/>
            <w:noWrap/>
            <w:vAlign w:val="bottom"/>
            <w:hideMark/>
          </w:tcPr>
          <w:p w14:paraId="3A5670C7" w14:textId="77777777" w:rsidR="009A356E" w:rsidRPr="00C10545" w:rsidRDefault="009A356E" w:rsidP="009A356E">
            <w:pPr>
              <w:jc w:val="right"/>
              <w:rPr>
                <w:sz w:val="18"/>
                <w:szCs w:val="18"/>
                <w:lang w:eastAsia="en-AU"/>
              </w:rPr>
            </w:pPr>
            <w:r w:rsidRPr="00C10545">
              <w:rPr>
                <w:sz w:val="18"/>
                <w:szCs w:val="18"/>
                <w:lang w:eastAsia="en-AU"/>
              </w:rPr>
              <w:t>27.3%</w:t>
            </w:r>
          </w:p>
        </w:tc>
        <w:tc>
          <w:tcPr>
            <w:tcW w:w="388" w:type="pct"/>
            <w:tcBorders>
              <w:top w:val="nil"/>
              <w:left w:val="nil"/>
              <w:bottom w:val="single" w:sz="4" w:space="0" w:color="auto"/>
              <w:right w:val="single" w:sz="4" w:space="0" w:color="auto"/>
            </w:tcBorders>
            <w:shd w:val="clear" w:color="000000" w:fill="DAEEF3"/>
            <w:noWrap/>
            <w:vAlign w:val="bottom"/>
            <w:hideMark/>
          </w:tcPr>
          <w:p w14:paraId="2131505F" w14:textId="77777777" w:rsidR="009A356E" w:rsidRPr="00C10545" w:rsidRDefault="009A356E" w:rsidP="009A356E">
            <w:pPr>
              <w:jc w:val="right"/>
              <w:rPr>
                <w:sz w:val="18"/>
                <w:szCs w:val="18"/>
                <w:lang w:eastAsia="en-AU"/>
              </w:rPr>
            </w:pPr>
            <w:r w:rsidRPr="00C10545">
              <w:rPr>
                <w:sz w:val="18"/>
                <w:szCs w:val="18"/>
                <w:lang w:eastAsia="en-AU"/>
              </w:rPr>
              <w:t>27.5%</w:t>
            </w:r>
          </w:p>
        </w:tc>
        <w:tc>
          <w:tcPr>
            <w:tcW w:w="388" w:type="pct"/>
            <w:tcBorders>
              <w:top w:val="nil"/>
              <w:left w:val="nil"/>
              <w:bottom w:val="single" w:sz="4" w:space="0" w:color="auto"/>
              <w:right w:val="single" w:sz="4" w:space="0" w:color="auto"/>
            </w:tcBorders>
            <w:shd w:val="clear" w:color="000000" w:fill="EBF1DE"/>
            <w:noWrap/>
            <w:vAlign w:val="bottom"/>
            <w:hideMark/>
          </w:tcPr>
          <w:p w14:paraId="7BE50A53" w14:textId="77777777" w:rsidR="009A356E" w:rsidRPr="00C10545" w:rsidRDefault="009A356E" w:rsidP="009A356E">
            <w:pPr>
              <w:jc w:val="right"/>
              <w:rPr>
                <w:sz w:val="18"/>
                <w:szCs w:val="18"/>
                <w:lang w:eastAsia="en-AU"/>
              </w:rPr>
            </w:pPr>
            <w:r w:rsidRPr="00C10545">
              <w:rPr>
                <w:sz w:val="18"/>
                <w:szCs w:val="18"/>
                <w:lang w:eastAsia="en-AU"/>
              </w:rPr>
              <w:t>23.0%</w:t>
            </w:r>
          </w:p>
        </w:tc>
        <w:tc>
          <w:tcPr>
            <w:tcW w:w="388" w:type="pct"/>
            <w:tcBorders>
              <w:top w:val="nil"/>
              <w:left w:val="nil"/>
              <w:bottom w:val="single" w:sz="4" w:space="0" w:color="auto"/>
              <w:right w:val="single" w:sz="4" w:space="0" w:color="auto"/>
            </w:tcBorders>
            <w:shd w:val="clear" w:color="000000" w:fill="E4DFEC"/>
            <w:noWrap/>
            <w:vAlign w:val="bottom"/>
            <w:hideMark/>
          </w:tcPr>
          <w:p w14:paraId="1CCA0CBD" w14:textId="77777777" w:rsidR="009A356E" w:rsidRPr="00C10545" w:rsidRDefault="009A356E" w:rsidP="009A356E">
            <w:pPr>
              <w:jc w:val="right"/>
              <w:rPr>
                <w:sz w:val="18"/>
                <w:szCs w:val="18"/>
                <w:lang w:eastAsia="en-AU"/>
              </w:rPr>
            </w:pPr>
            <w:r w:rsidRPr="00C10545">
              <w:rPr>
                <w:sz w:val="18"/>
                <w:szCs w:val="18"/>
                <w:lang w:eastAsia="en-AU"/>
              </w:rPr>
              <w:t>23.5%</w:t>
            </w:r>
          </w:p>
        </w:tc>
      </w:tr>
      <w:tr w:rsidR="009A356E" w:rsidRPr="00B030A2" w14:paraId="393B86F5" w14:textId="77777777" w:rsidTr="009A356E">
        <w:trPr>
          <w:trHeight w:val="240"/>
        </w:trPr>
        <w:tc>
          <w:tcPr>
            <w:tcW w:w="828" w:type="pct"/>
            <w:tcBorders>
              <w:top w:val="nil"/>
              <w:left w:val="single" w:sz="4" w:space="0" w:color="auto"/>
              <w:bottom w:val="single" w:sz="4" w:space="0" w:color="auto"/>
              <w:right w:val="single" w:sz="4" w:space="0" w:color="auto"/>
            </w:tcBorders>
            <w:shd w:val="clear" w:color="auto" w:fill="auto"/>
            <w:noWrap/>
            <w:vAlign w:val="bottom"/>
            <w:hideMark/>
          </w:tcPr>
          <w:p w14:paraId="4A4E1F86" w14:textId="77777777" w:rsidR="009A356E" w:rsidRPr="00C10545" w:rsidRDefault="009A356E" w:rsidP="009A356E">
            <w:pPr>
              <w:rPr>
                <w:sz w:val="18"/>
                <w:szCs w:val="18"/>
                <w:lang w:eastAsia="en-AU"/>
              </w:rPr>
            </w:pPr>
            <w:r w:rsidRPr="00C10545">
              <w:rPr>
                <w:sz w:val="18"/>
                <w:szCs w:val="18"/>
                <w:lang w:eastAsia="en-AU"/>
              </w:rPr>
              <w:t>High Country</w:t>
            </w:r>
          </w:p>
        </w:tc>
        <w:tc>
          <w:tcPr>
            <w:tcW w:w="301" w:type="pct"/>
            <w:tcBorders>
              <w:top w:val="nil"/>
              <w:left w:val="nil"/>
              <w:bottom w:val="single" w:sz="4" w:space="0" w:color="auto"/>
              <w:right w:val="single" w:sz="4" w:space="0" w:color="auto"/>
            </w:tcBorders>
            <w:shd w:val="clear" w:color="000000" w:fill="FDE9D9"/>
            <w:noWrap/>
            <w:vAlign w:val="bottom"/>
            <w:hideMark/>
          </w:tcPr>
          <w:p w14:paraId="321C302C" w14:textId="77777777" w:rsidR="009A356E" w:rsidRPr="00C10545" w:rsidRDefault="009A356E" w:rsidP="009A356E">
            <w:pPr>
              <w:jc w:val="right"/>
              <w:rPr>
                <w:sz w:val="18"/>
                <w:szCs w:val="18"/>
                <w:lang w:eastAsia="en-AU"/>
              </w:rPr>
            </w:pPr>
            <w:r w:rsidRPr="00C10545">
              <w:rPr>
                <w:sz w:val="18"/>
                <w:szCs w:val="18"/>
                <w:lang w:eastAsia="en-AU"/>
              </w:rPr>
              <w:t>5.82</w:t>
            </w:r>
          </w:p>
        </w:tc>
        <w:tc>
          <w:tcPr>
            <w:tcW w:w="353" w:type="pct"/>
            <w:tcBorders>
              <w:top w:val="nil"/>
              <w:left w:val="nil"/>
              <w:bottom w:val="single" w:sz="4" w:space="0" w:color="auto"/>
              <w:right w:val="single" w:sz="4" w:space="0" w:color="auto"/>
            </w:tcBorders>
            <w:shd w:val="clear" w:color="000000" w:fill="FDE9D9"/>
            <w:noWrap/>
            <w:vAlign w:val="bottom"/>
            <w:hideMark/>
          </w:tcPr>
          <w:p w14:paraId="7E70CF50" w14:textId="77777777" w:rsidR="009A356E" w:rsidRPr="00C10545" w:rsidRDefault="009A356E" w:rsidP="009A356E">
            <w:pPr>
              <w:jc w:val="right"/>
              <w:rPr>
                <w:sz w:val="18"/>
                <w:szCs w:val="18"/>
                <w:lang w:eastAsia="en-AU"/>
              </w:rPr>
            </w:pPr>
            <w:r w:rsidRPr="00C10545">
              <w:rPr>
                <w:sz w:val="18"/>
                <w:szCs w:val="18"/>
                <w:lang w:eastAsia="en-AU"/>
              </w:rPr>
              <w:t>23.57</w:t>
            </w:r>
          </w:p>
        </w:tc>
        <w:tc>
          <w:tcPr>
            <w:tcW w:w="301" w:type="pct"/>
            <w:tcBorders>
              <w:top w:val="nil"/>
              <w:left w:val="nil"/>
              <w:bottom w:val="single" w:sz="4" w:space="0" w:color="auto"/>
              <w:right w:val="single" w:sz="4" w:space="0" w:color="auto"/>
            </w:tcBorders>
            <w:shd w:val="clear" w:color="000000" w:fill="DAEEF3"/>
            <w:noWrap/>
            <w:vAlign w:val="bottom"/>
            <w:hideMark/>
          </w:tcPr>
          <w:p w14:paraId="48CE2D44" w14:textId="77777777" w:rsidR="009A356E" w:rsidRPr="00C10545" w:rsidRDefault="009A356E" w:rsidP="009A356E">
            <w:pPr>
              <w:jc w:val="right"/>
              <w:rPr>
                <w:sz w:val="18"/>
                <w:szCs w:val="18"/>
                <w:lang w:eastAsia="en-AU"/>
              </w:rPr>
            </w:pPr>
            <w:r w:rsidRPr="00C10545">
              <w:rPr>
                <w:sz w:val="18"/>
                <w:szCs w:val="18"/>
                <w:lang w:eastAsia="en-AU"/>
              </w:rPr>
              <w:t>6.65</w:t>
            </w:r>
          </w:p>
        </w:tc>
        <w:tc>
          <w:tcPr>
            <w:tcW w:w="353" w:type="pct"/>
            <w:tcBorders>
              <w:top w:val="nil"/>
              <w:left w:val="nil"/>
              <w:bottom w:val="single" w:sz="4" w:space="0" w:color="auto"/>
              <w:right w:val="single" w:sz="4" w:space="0" w:color="auto"/>
            </w:tcBorders>
            <w:shd w:val="clear" w:color="000000" w:fill="DAEEF3"/>
            <w:noWrap/>
            <w:vAlign w:val="bottom"/>
            <w:hideMark/>
          </w:tcPr>
          <w:p w14:paraId="28AB77A0" w14:textId="77777777" w:rsidR="009A356E" w:rsidRPr="00C10545" w:rsidRDefault="009A356E" w:rsidP="009A356E">
            <w:pPr>
              <w:jc w:val="right"/>
              <w:rPr>
                <w:sz w:val="18"/>
                <w:szCs w:val="18"/>
                <w:lang w:eastAsia="en-AU"/>
              </w:rPr>
            </w:pPr>
            <w:r w:rsidRPr="00C10545">
              <w:rPr>
                <w:sz w:val="18"/>
                <w:szCs w:val="18"/>
                <w:lang w:eastAsia="en-AU"/>
              </w:rPr>
              <w:t>29.36</w:t>
            </w:r>
          </w:p>
        </w:tc>
        <w:tc>
          <w:tcPr>
            <w:tcW w:w="301" w:type="pct"/>
            <w:tcBorders>
              <w:top w:val="nil"/>
              <w:left w:val="nil"/>
              <w:bottom w:val="single" w:sz="4" w:space="0" w:color="auto"/>
              <w:right w:val="single" w:sz="4" w:space="0" w:color="auto"/>
            </w:tcBorders>
            <w:shd w:val="clear" w:color="000000" w:fill="EBF1DE"/>
            <w:noWrap/>
            <w:vAlign w:val="bottom"/>
            <w:hideMark/>
          </w:tcPr>
          <w:p w14:paraId="5518FA82" w14:textId="77777777" w:rsidR="009A356E" w:rsidRPr="00C10545" w:rsidRDefault="009A356E" w:rsidP="009A356E">
            <w:pPr>
              <w:jc w:val="right"/>
              <w:rPr>
                <w:sz w:val="18"/>
                <w:szCs w:val="18"/>
                <w:lang w:eastAsia="en-AU"/>
              </w:rPr>
            </w:pPr>
            <w:r w:rsidRPr="00C10545">
              <w:rPr>
                <w:sz w:val="18"/>
                <w:szCs w:val="18"/>
                <w:lang w:eastAsia="en-AU"/>
              </w:rPr>
              <w:t>7.19</w:t>
            </w:r>
          </w:p>
        </w:tc>
        <w:tc>
          <w:tcPr>
            <w:tcW w:w="354" w:type="pct"/>
            <w:tcBorders>
              <w:top w:val="nil"/>
              <w:left w:val="nil"/>
              <w:bottom w:val="single" w:sz="4" w:space="0" w:color="auto"/>
              <w:right w:val="single" w:sz="4" w:space="0" w:color="auto"/>
            </w:tcBorders>
            <w:shd w:val="clear" w:color="000000" w:fill="EBF1DE"/>
            <w:noWrap/>
            <w:vAlign w:val="bottom"/>
            <w:hideMark/>
          </w:tcPr>
          <w:p w14:paraId="3A4F2EB5" w14:textId="77777777" w:rsidR="009A356E" w:rsidRPr="00C10545" w:rsidRDefault="009A356E" w:rsidP="009A356E">
            <w:pPr>
              <w:jc w:val="right"/>
              <w:rPr>
                <w:sz w:val="18"/>
                <w:szCs w:val="18"/>
                <w:lang w:eastAsia="en-AU"/>
              </w:rPr>
            </w:pPr>
            <w:r w:rsidRPr="00C10545">
              <w:rPr>
                <w:sz w:val="18"/>
                <w:szCs w:val="18"/>
                <w:lang w:eastAsia="en-AU"/>
              </w:rPr>
              <w:t>26.56</w:t>
            </w:r>
          </w:p>
        </w:tc>
        <w:tc>
          <w:tcPr>
            <w:tcW w:w="302" w:type="pct"/>
            <w:tcBorders>
              <w:top w:val="nil"/>
              <w:left w:val="nil"/>
              <w:bottom w:val="single" w:sz="4" w:space="0" w:color="auto"/>
              <w:right w:val="single" w:sz="4" w:space="0" w:color="auto"/>
            </w:tcBorders>
            <w:shd w:val="clear" w:color="000000" w:fill="E4DFEC"/>
            <w:noWrap/>
            <w:vAlign w:val="bottom"/>
            <w:hideMark/>
          </w:tcPr>
          <w:p w14:paraId="0ABFBBA9" w14:textId="77777777" w:rsidR="009A356E" w:rsidRPr="00C10545" w:rsidRDefault="009A356E" w:rsidP="009A356E">
            <w:pPr>
              <w:jc w:val="right"/>
              <w:rPr>
                <w:sz w:val="18"/>
                <w:szCs w:val="18"/>
                <w:lang w:eastAsia="en-AU"/>
              </w:rPr>
            </w:pPr>
            <w:r w:rsidRPr="00C10545">
              <w:rPr>
                <w:sz w:val="18"/>
                <w:szCs w:val="18"/>
                <w:lang w:eastAsia="en-AU"/>
              </w:rPr>
              <w:t>7.57</w:t>
            </w:r>
          </w:p>
        </w:tc>
        <w:tc>
          <w:tcPr>
            <w:tcW w:w="354" w:type="pct"/>
            <w:tcBorders>
              <w:top w:val="nil"/>
              <w:left w:val="nil"/>
              <w:bottom w:val="single" w:sz="4" w:space="0" w:color="auto"/>
              <w:right w:val="single" w:sz="4" w:space="0" w:color="auto"/>
            </w:tcBorders>
            <w:shd w:val="clear" w:color="000000" w:fill="E4DFEC"/>
            <w:noWrap/>
            <w:vAlign w:val="bottom"/>
            <w:hideMark/>
          </w:tcPr>
          <w:p w14:paraId="788EF711" w14:textId="77777777" w:rsidR="009A356E" w:rsidRPr="00C10545" w:rsidRDefault="009A356E" w:rsidP="009A356E">
            <w:pPr>
              <w:jc w:val="right"/>
              <w:rPr>
                <w:sz w:val="18"/>
                <w:szCs w:val="18"/>
                <w:lang w:eastAsia="en-AU"/>
              </w:rPr>
            </w:pPr>
            <w:r w:rsidRPr="00C10545">
              <w:rPr>
                <w:sz w:val="18"/>
                <w:szCs w:val="18"/>
                <w:lang w:eastAsia="en-AU"/>
              </w:rPr>
              <w:t>26.86</w:t>
            </w:r>
          </w:p>
        </w:tc>
        <w:tc>
          <w:tcPr>
            <w:tcW w:w="388" w:type="pct"/>
            <w:tcBorders>
              <w:top w:val="nil"/>
              <w:left w:val="nil"/>
              <w:bottom w:val="single" w:sz="4" w:space="0" w:color="auto"/>
              <w:right w:val="single" w:sz="4" w:space="0" w:color="auto"/>
            </w:tcBorders>
            <w:shd w:val="clear" w:color="000000" w:fill="FDE9D9"/>
            <w:noWrap/>
            <w:vAlign w:val="bottom"/>
            <w:hideMark/>
          </w:tcPr>
          <w:p w14:paraId="1FA93B9E" w14:textId="77777777" w:rsidR="009A356E" w:rsidRPr="00C10545" w:rsidRDefault="009A356E" w:rsidP="009A356E">
            <w:pPr>
              <w:jc w:val="right"/>
              <w:rPr>
                <w:sz w:val="18"/>
                <w:szCs w:val="18"/>
                <w:lang w:eastAsia="en-AU"/>
              </w:rPr>
            </w:pPr>
            <w:r w:rsidRPr="00C10545">
              <w:rPr>
                <w:sz w:val="18"/>
                <w:szCs w:val="18"/>
                <w:lang w:eastAsia="en-AU"/>
              </w:rPr>
              <w:t>24.7%</w:t>
            </w:r>
          </w:p>
        </w:tc>
        <w:tc>
          <w:tcPr>
            <w:tcW w:w="388" w:type="pct"/>
            <w:tcBorders>
              <w:top w:val="nil"/>
              <w:left w:val="nil"/>
              <w:bottom w:val="single" w:sz="4" w:space="0" w:color="auto"/>
              <w:right w:val="single" w:sz="4" w:space="0" w:color="auto"/>
            </w:tcBorders>
            <w:shd w:val="clear" w:color="000000" w:fill="DAEEF3"/>
            <w:noWrap/>
            <w:vAlign w:val="bottom"/>
            <w:hideMark/>
          </w:tcPr>
          <w:p w14:paraId="3A60DA37" w14:textId="77777777" w:rsidR="009A356E" w:rsidRPr="00C10545" w:rsidRDefault="009A356E" w:rsidP="009A356E">
            <w:pPr>
              <w:jc w:val="right"/>
              <w:rPr>
                <w:sz w:val="18"/>
                <w:szCs w:val="18"/>
                <w:lang w:eastAsia="en-AU"/>
              </w:rPr>
            </w:pPr>
            <w:r w:rsidRPr="00C10545">
              <w:rPr>
                <w:sz w:val="18"/>
                <w:szCs w:val="18"/>
                <w:lang w:eastAsia="en-AU"/>
              </w:rPr>
              <w:t>22.7%</w:t>
            </w:r>
          </w:p>
        </w:tc>
        <w:tc>
          <w:tcPr>
            <w:tcW w:w="388" w:type="pct"/>
            <w:tcBorders>
              <w:top w:val="nil"/>
              <w:left w:val="nil"/>
              <w:bottom w:val="single" w:sz="4" w:space="0" w:color="auto"/>
              <w:right w:val="single" w:sz="4" w:space="0" w:color="auto"/>
            </w:tcBorders>
            <w:shd w:val="clear" w:color="000000" w:fill="EBF1DE"/>
            <w:noWrap/>
            <w:vAlign w:val="bottom"/>
            <w:hideMark/>
          </w:tcPr>
          <w:p w14:paraId="30A04433" w14:textId="77777777" w:rsidR="009A356E" w:rsidRPr="00C10545" w:rsidRDefault="009A356E" w:rsidP="009A356E">
            <w:pPr>
              <w:jc w:val="right"/>
              <w:rPr>
                <w:sz w:val="18"/>
                <w:szCs w:val="18"/>
                <w:lang w:eastAsia="en-AU"/>
              </w:rPr>
            </w:pPr>
            <w:r w:rsidRPr="00C10545">
              <w:rPr>
                <w:sz w:val="18"/>
                <w:szCs w:val="18"/>
                <w:lang w:eastAsia="en-AU"/>
              </w:rPr>
              <w:t>27.1%</w:t>
            </w:r>
          </w:p>
        </w:tc>
        <w:tc>
          <w:tcPr>
            <w:tcW w:w="388" w:type="pct"/>
            <w:tcBorders>
              <w:top w:val="nil"/>
              <w:left w:val="nil"/>
              <w:bottom w:val="single" w:sz="4" w:space="0" w:color="auto"/>
              <w:right w:val="single" w:sz="4" w:space="0" w:color="auto"/>
            </w:tcBorders>
            <w:shd w:val="clear" w:color="000000" w:fill="E4DFEC"/>
            <w:noWrap/>
            <w:vAlign w:val="bottom"/>
            <w:hideMark/>
          </w:tcPr>
          <w:p w14:paraId="0F6538AA" w14:textId="77777777" w:rsidR="009A356E" w:rsidRPr="00C10545" w:rsidRDefault="009A356E" w:rsidP="009A356E">
            <w:pPr>
              <w:jc w:val="right"/>
              <w:rPr>
                <w:sz w:val="18"/>
                <w:szCs w:val="18"/>
                <w:lang w:eastAsia="en-AU"/>
              </w:rPr>
            </w:pPr>
            <w:r w:rsidRPr="00C10545">
              <w:rPr>
                <w:sz w:val="18"/>
                <w:szCs w:val="18"/>
                <w:lang w:eastAsia="en-AU"/>
              </w:rPr>
              <w:t>28.2%</w:t>
            </w:r>
          </w:p>
        </w:tc>
      </w:tr>
      <w:tr w:rsidR="009A356E" w:rsidRPr="00B030A2" w14:paraId="06C19413" w14:textId="77777777" w:rsidTr="009A356E">
        <w:trPr>
          <w:trHeight w:val="240"/>
        </w:trPr>
        <w:tc>
          <w:tcPr>
            <w:tcW w:w="828" w:type="pct"/>
            <w:tcBorders>
              <w:top w:val="nil"/>
              <w:left w:val="single" w:sz="4" w:space="0" w:color="auto"/>
              <w:bottom w:val="single" w:sz="4" w:space="0" w:color="auto"/>
              <w:right w:val="single" w:sz="4" w:space="0" w:color="auto"/>
            </w:tcBorders>
            <w:shd w:val="clear" w:color="auto" w:fill="auto"/>
            <w:noWrap/>
            <w:vAlign w:val="bottom"/>
            <w:hideMark/>
          </w:tcPr>
          <w:p w14:paraId="3BB53D7F" w14:textId="77777777" w:rsidR="009A356E" w:rsidRPr="00C10545" w:rsidRDefault="009A356E" w:rsidP="009A356E">
            <w:pPr>
              <w:rPr>
                <w:sz w:val="18"/>
                <w:szCs w:val="18"/>
                <w:lang w:eastAsia="en-AU"/>
              </w:rPr>
            </w:pPr>
            <w:r w:rsidRPr="00C10545">
              <w:rPr>
                <w:sz w:val="18"/>
                <w:szCs w:val="18"/>
                <w:lang w:eastAsia="en-AU"/>
              </w:rPr>
              <w:t>Latrobe</w:t>
            </w:r>
          </w:p>
        </w:tc>
        <w:tc>
          <w:tcPr>
            <w:tcW w:w="301" w:type="pct"/>
            <w:tcBorders>
              <w:top w:val="nil"/>
              <w:left w:val="nil"/>
              <w:bottom w:val="single" w:sz="4" w:space="0" w:color="auto"/>
              <w:right w:val="single" w:sz="4" w:space="0" w:color="auto"/>
            </w:tcBorders>
            <w:shd w:val="clear" w:color="000000" w:fill="FDE9D9"/>
            <w:noWrap/>
            <w:vAlign w:val="bottom"/>
            <w:hideMark/>
          </w:tcPr>
          <w:p w14:paraId="3304F878" w14:textId="77777777" w:rsidR="009A356E" w:rsidRPr="00C10545" w:rsidRDefault="009A356E" w:rsidP="009A356E">
            <w:pPr>
              <w:jc w:val="right"/>
              <w:rPr>
                <w:sz w:val="18"/>
                <w:szCs w:val="18"/>
                <w:lang w:eastAsia="en-AU"/>
              </w:rPr>
            </w:pPr>
            <w:r w:rsidRPr="00C10545">
              <w:rPr>
                <w:sz w:val="18"/>
                <w:szCs w:val="18"/>
                <w:lang w:eastAsia="en-AU"/>
              </w:rPr>
              <w:t>5.18</w:t>
            </w:r>
          </w:p>
        </w:tc>
        <w:tc>
          <w:tcPr>
            <w:tcW w:w="353" w:type="pct"/>
            <w:tcBorders>
              <w:top w:val="nil"/>
              <w:left w:val="nil"/>
              <w:bottom w:val="single" w:sz="4" w:space="0" w:color="auto"/>
              <w:right w:val="single" w:sz="4" w:space="0" w:color="auto"/>
            </w:tcBorders>
            <w:shd w:val="clear" w:color="000000" w:fill="FDE9D9"/>
            <w:noWrap/>
            <w:vAlign w:val="bottom"/>
            <w:hideMark/>
          </w:tcPr>
          <w:p w14:paraId="60BCEA6F" w14:textId="77777777" w:rsidR="009A356E" w:rsidRPr="00C10545" w:rsidRDefault="009A356E" w:rsidP="009A356E">
            <w:pPr>
              <w:jc w:val="right"/>
              <w:rPr>
                <w:sz w:val="18"/>
                <w:szCs w:val="18"/>
                <w:lang w:eastAsia="en-AU"/>
              </w:rPr>
            </w:pPr>
            <w:r w:rsidRPr="00C10545">
              <w:rPr>
                <w:sz w:val="18"/>
                <w:szCs w:val="18"/>
                <w:lang w:eastAsia="en-AU"/>
              </w:rPr>
              <w:t>20.02</w:t>
            </w:r>
          </w:p>
        </w:tc>
        <w:tc>
          <w:tcPr>
            <w:tcW w:w="301" w:type="pct"/>
            <w:tcBorders>
              <w:top w:val="nil"/>
              <w:left w:val="nil"/>
              <w:bottom w:val="single" w:sz="4" w:space="0" w:color="auto"/>
              <w:right w:val="single" w:sz="4" w:space="0" w:color="auto"/>
            </w:tcBorders>
            <w:shd w:val="clear" w:color="000000" w:fill="DAEEF3"/>
            <w:noWrap/>
            <w:vAlign w:val="bottom"/>
            <w:hideMark/>
          </w:tcPr>
          <w:p w14:paraId="4A7A922B" w14:textId="77777777" w:rsidR="009A356E" w:rsidRPr="00C10545" w:rsidRDefault="009A356E" w:rsidP="009A356E">
            <w:pPr>
              <w:jc w:val="right"/>
              <w:rPr>
                <w:sz w:val="18"/>
                <w:szCs w:val="18"/>
                <w:lang w:eastAsia="en-AU"/>
              </w:rPr>
            </w:pPr>
            <w:r w:rsidRPr="00C10545">
              <w:rPr>
                <w:sz w:val="18"/>
                <w:szCs w:val="18"/>
                <w:lang w:eastAsia="en-AU"/>
              </w:rPr>
              <w:t>4.86</w:t>
            </w:r>
          </w:p>
        </w:tc>
        <w:tc>
          <w:tcPr>
            <w:tcW w:w="353" w:type="pct"/>
            <w:tcBorders>
              <w:top w:val="nil"/>
              <w:left w:val="nil"/>
              <w:bottom w:val="single" w:sz="4" w:space="0" w:color="auto"/>
              <w:right w:val="single" w:sz="4" w:space="0" w:color="auto"/>
            </w:tcBorders>
            <w:shd w:val="clear" w:color="000000" w:fill="DAEEF3"/>
            <w:noWrap/>
            <w:vAlign w:val="bottom"/>
            <w:hideMark/>
          </w:tcPr>
          <w:p w14:paraId="5B466066" w14:textId="77777777" w:rsidR="009A356E" w:rsidRPr="00C10545" w:rsidRDefault="009A356E" w:rsidP="009A356E">
            <w:pPr>
              <w:jc w:val="right"/>
              <w:rPr>
                <w:sz w:val="18"/>
                <w:szCs w:val="18"/>
                <w:lang w:eastAsia="en-AU"/>
              </w:rPr>
            </w:pPr>
            <w:r w:rsidRPr="00C10545">
              <w:rPr>
                <w:sz w:val="18"/>
                <w:szCs w:val="18"/>
                <w:lang w:eastAsia="en-AU"/>
              </w:rPr>
              <w:t>16.55</w:t>
            </w:r>
          </w:p>
        </w:tc>
        <w:tc>
          <w:tcPr>
            <w:tcW w:w="301" w:type="pct"/>
            <w:tcBorders>
              <w:top w:val="nil"/>
              <w:left w:val="nil"/>
              <w:bottom w:val="single" w:sz="4" w:space="0" w:color="auto"/>
              <w:right w:val="single" w:sz="4" w:space="0" w:color="auto"/>
            </w:tcBorders>
            <w:shd w:val="clear" w:color="000000" w:fill="EBF1DE"/>
            <w:noWrap/>
            <w:vAlign w:val="bottom"/>
            <w:hideMark/>
          </w:tcPr>
          <w:p w14:paraId="35ED0EA9" w14:textId="77777777" w:rsidR="009A356E" w:rsidRPr="00C10545" w:rsidRDefault="009A356E" w:rsidP="009A356E">
            <w:pPr>
              <w:jc w:val="right"/>
              <w:rPr>
                <w:sz w:val="18"/>
                <w:szCs w:val="18"/>
                <w:lang w:eastAsia="en-AU"/>
              </w:rPr>
            </w:pPr>
            <w:r w:rsidRPr="00C10545">
              <w:rPr>
                <w:sz w:val="18"/>
                <w:szCs w:val="18"/>
                <w:lang w:eastAsia="en-AU"/>
              </w:rPr>
              <w:t>5.04</w:t>
            </w:r>
          </w:p>
        </w:tc>
        <w:tc>
          <w:tcPr>
            <w:tcW w:w="354" w:type="pct"/>
            <w:tcBorders>
              <w:top w:val="nil"/>
              <w:left w:val="nil"/>
              <w:bottom w:val="single" w:sz="4" w:space="0" w:color="auto"/>
              <w:right w:val="single" w:sz="4" w:space="0" w:color="auto"/>
            </w:tcBorders>
            <w:shd w:val="clear" w:color="000000" w:fill="EBF1DE"/>
            <w:noWrap/>
            <w:vAlign w:val="bottom"/>
            <w:hideMark/>
          </w:tcPr>
          <w:p w14:paraId="6258288F" w14:textId="77777777" w:rsidR="009A356E" w:rsidRPr="00C10545" w:rsidRDefault="009A356E" w:rsidP="009A356E">
            <w:pPr>
              <w:jc w:val="right"/>
              <w:rPr>
                <w:sz w:val="18"/>
                <w:szCs w:val="18"/>
                <w:lang w:eastAsia="en-AU"/>
              </w:rPr>
            </w:pPr>
            <w:r w:rsidRPr="00C10545">
              <w:rPr>
                <w:sz w:val="18"/>
                <w:szCs w:val="18"/>
                <w:lang w:eastAsia="en-AU"/>
              </w:rPr>
              <w:t>21.87</w:t>
            </w:r>
          </w:p>
        </w:tc>
        <w:tc>
          <w:tcPr>
            <w:tcW w:w="302" w:type="pct"/>
            <w:tcBorders>
              <w:top w:val="nil"/>
              <w:left w:val="nil"/>
              <w:bottom w:val="single" w:sz="4" w:space="0" w:color="auto"/>
              <w:right w:val="single" w:sz="4" w:space="0" w:color="auto"/>
            </w:tcBorders>
            <w:shd w:val="clear" w:color="000000" w:fill="E4DFEC"/>
            <w:noWrap/>
            <w:vAlign w:val="bottom"/>
            <w:hideMark/>
          </w:tcPr>
          <w:p w14:paraId="6B18D482" w14:textId="77777777" w:rsidR="009A356E" w:rsidRPr="00C10545" w:rsidRDefault="009A356E" w:rsidP="009A356E">
            <w:pPr>
              <w:jc w:val="right"/>
              <w:rPr>
                <w:sz w:val="18"/>
                <w:szCs w:val="18"/>
                <w:lang w:eastAsia="en-AU"/>
              </w:rPr>
            </w:pPr>
            <w:r w:rsidRPr="00C10545">
              <w:rPr>
                <w:sz w:val="18"/>
                <w:szCs w:val="18"/>
                <w:lang w:eastAsia="en-AU"/>
              </w:rPr>
              <w:t>4.98</w:t>
            </w:r>
          </w:p>
        </w:tc>
        <w:tc>
          <w:tcPr>
            <w:tcW w:w="354" w:type="pct"/>
            <w:tcBorders>
              <w:top w:val="nil"/>
              <w:left w:val="nil"/>
              <w:bottom w:val="single" w:sz="4" w:space="0" w:color="auto"/>
              <w:right w:val="single" w:sz="4" w:space="0" w:color="auto"/>
            </w:tcBorders>
            <w:shd w:val="clear" w:color="000000" w:fill="E4DFEC"/>
            <w:noWrap/>
            <w:vAlign w:val="bottom"/>
            <w:hideMark/>
          </w:tcPr>
          <w:p w14:paraId="329D61E9" w14:textId="77777777" w:rsidR="009A356E" w:rsidRPr="00C10545" w:rsidRDefault="009A356E" w:rsidP="009A356E">
            <w:pPr>
              <w:jc w:val="right"/>
              <w:rPr>
                <w:sz w:val="18"/>
                <w:szCs w:val="18"/>
                <w:lang w:eastAsia="en-AU"/>
              </w:rPr>
            </w:pPr>
            <w:r w:rsidRPr="00C10545">
              <w:rPr>
                <w:sz w:val="18"/>
                <w:szCs w:val="18"/>
                <w:lang w:eastAsia="en-AU"/>
              </w:rPr>
              <w:t>20.62</w:t>
            </w:r>
          </w:p>
        </w:tc>
        <w:tc>
          <w:tcPr>
            <w:tcW w:w="388" w:type="pct"/>
            <w:tcBorders>
              <w:top w:val="nil"/>
              <w:left w:val="nil"/>
              <w:bottom w:val="single" w:sz="4" w:space="0" w:color="auto"/>
              <w:right w:val="single" w:sz="4" w:space="0" w:color="auto"/>
            </w:tcBorders>
            <w:shd w:val="clear" w:color="000000" w:fill="FDE9D9"/>
            <w:noWrap/>
            <w:vAlign w:val="bottom"/>
            <w:hideMark/>
          </w:tcPr>
          <w:p w14:paraId="5AC1E3A9" w14:textId="77777777" w:rsidR="009A356E" w:rsidRPr="00C10545" w:rsidRDefault="009A356E" w:rsidP="009A356E">
            <w:pPr>
              <w:jc w:val="right"/>
              <w:rPr>
                <w:sz w:val="18"/>
                <w:szCs w:val="18"/>
                <w:lang w:eastAsia="en-AU"/>
              </w:rPr>
            </w:pPr>
            <w:r w:rsidRPr="00C10545">
              <w:rPr>
                <w:sz w:val="18"/>
                <w:szCs w:val="18"/>
                <w:lang w:eastAsia="en-AU"/>
              </w:rPr>
              <w:t>25.9%</w:t>
            </w:r>
          </w:p>
        </w:tc>
        <w:tc>
          <w:tcPr>
            <w:tcW w:w="388" w:type="pct"/>
            <w:tcBorders>
              <w:top w:val="nil"/>
              <w:left w:val="nil"/>
              <w:bottom w:val="single" w:sz="4" w:space="0" w:color="auto"/>
              <w:right w:val="single" w:sz="4" w:space="0" w:color="auto"/>
            </w:tcBorders>
            <w:shd w:val="clear" w:color="000000" w:fill="DAEEF3"/>
            <w:noWrap/>
            <w:vAlign w:val="bottom"/>
            <w:hideMark/>
          </w:tcPr>
          <w:p w14:paraId="5B47B730" w14:textId="77777777" w:rsidR="009A356E" w:rsidRPr="00C10545" w:rsidRDefault="009A356E" w:rsidP="009A356E">
            <w:pPr>
              <w:jc w:val="right"/>
              <w:rPr>
                <w:sz w:val="18"/>
                <w:szCs w:val="18"/>
                <w:lang w:eastAsia="en-AU"/>
              </w:rPr>
            </w:pPr>
            <w:r w:rsidRPr="00C10545">
              <w:rPr>
                <w:sz w:val="18"/>
                <w:szCs w:val="18"/>
                <w:lang w:eastAsia="en-AU"/>
              </w:rPr>
              <w:t>29.4%</w:t>
            </w:r>
          </w:p>
        </w:tc>
        <w:tc>
          <w:tcPr>
            <w:tcW w:w="388" w:type="pct"/>
            <w:tcBorders>
              <w:top w:val="nil"/>
              <w:left w:val="nil"/>
              <w:bottom w:val="single" w:sz="4" w:space="0" w:color="auto"/>
              <w:right w:val="single" w:sz="4" w:space="0" w:color="auto"/>
            </w:tcBorders>
            <w:shd w:val="clear" w:color="000000" w:fill="EBF1DE"/>
            <w:noWrap/>
            <w:vAlign w:val="bottom"/>
            <w:hideMark/>
          </w:tcPr>
          <w:p w14:paraId="694BA2BF" w14:textId="77777777" w:rsidR="009A356E" w:rsidRPr="00C10545" w:rsidRDefault="009A356E" w:rsidP="009A356E">
            <w:pPr>
              <w:jc w:val="right"/>
              <w:rPr>
                <w:sz w:val="18"/>
                <w:szCs w:val="18"/>
                <w:lang w:eastAsia="en-AU"/>
              </w:rPr>
            </w:pPr>
            <w:r w:rsidRPr="00C10545">
              <w:rPr>
                <w:sz w:val="18"/>
                <w:szCs w:val="18"/>
                <w:lang w:eastAsia="en-AU"/>
              </w:rPr>
              <w:t>23.1%</w:t>
            </w:r>
          </w:p>
        </w:tc>
        <w:tc>
          <w:tcPr>
            <w:tcW w:w="388" w:type="pct"/>
            <w:tcBorders>
              <w:top w:val="nil"/>
              <w:left w:val="nil"/>
              <w:bottom w:val="single" w:sz="4" w:space="0" w:color="auto"/>
              <w:right w:val="single" w:sz="4" w:space="0" w:color="auto"/>
            </w:tcBorders>
            <w:shd w:val="clear" w:color="000000" w:fill="E4DFEC"/>
            <w:noWrap/>
            <w:vAlign w:val="bottom"/>
            <w:hideMark/>
          </w:tcPr>
          <w:p w14:paraId="15AF7253" w14:textId="77777777" w:rsidR="009A356E" w:rsidRPr="00C10545" w:rsidRDefault="009A356E" w:rsidP="009A356E">
            <w:pPr>
              <w:jc w:val="right"/>
              <w:rPr>
                <w:sz w:val="18"/>
                <w:szCs w:val="18"/>
                <w:lang w:eastAsia="en-AU"/>
              </w:rPr>
            </w:pPr>
            <w:r w:rsidRPr="00C10545">
              <w:rPr>
                <w:sz w:val="18"/>
                <w:szCs w:val="18"/>
                <w:lang w:eastAsia="en-AU"/>
              </w:rPr>
              <w:t>24.1%</w:t>
            </w:r>
          </w:p>
        </w:tc>
      </w:tr>
      <w:tr w:rsidR="009A356E" w:rsidRPr="00B030A2" w14:paraId="5A81B5E5" w14:textId="77777777" w:rsidTr="009A356E">
        <w:trPr>
          <w:trHeight w:val="240"/>
        </w:trPr>
        <w:tc>
          <w:tcPr>
            <w:tcW w:w="828" w:type="pct"/>
            <w:tcBorders>
              <w:top w:val="nil"/>
              <w:left w:val="single" w:sz="4" w:space="0" w:color="auto"/>
              <w:bottom w:val="single" w:sz="4" w:space="0" w:color="auto"/>
              <w:right w:val="single" w:sz="4" w:space="0" w:color="auto"/>
            </w:tcBorders>
            <w:shd w:val="clear" w:color="auto" w:fill="auto"/>
            <w:noWrap/>
            <w:vAlign w:val="bottom"/>
            <w:hideMark/>
          </w:tcPr>
          <w:p w14:paraId="4B5A600A" w14:textId="77777777" w:rsidR="009A356E" w:rsidRPr="00C10545" w:rsidRDefault="009A356E" w:rsidP="009A356E">
            <w:pPr>
              <w:rPr>
                <w:sz w:val="18"/>
                <w:szCs w:val="18"/>
                <w:lang w:eastAsia="en-AU"/>
              </w:rPr>
            </w:pPr>
            <w:r w:rsidRPr="00C10545">
              <w:rPr>
                <w:sz w:val="18"/>
                <w:szCs w:val="18"/>
                <w:lang w:eastAsia="en-AU"/>
              </w:rPr>
              <w:t>Mildura</w:t>
            </w:r>
          </w:p>
        </w:tc>
        <w:tc>
          <w:tcPr>
            <w:tcW w:w="301" w:type="pct"/>
            <w:tcBorders>
              <w:top w:val="nil"/>
              <w:left w:val="nil"/>
              <w:bottom w:val="single" w:sz="4" w:space="0" w:color="auto"/>
              <w:right w:val="single" w:sz="4" w:space="0" w:color="auto"/>
            </w:tcBorders>
            <w:shd w:val="clear" w:color="000000" w:fill="FDE9D9"/>
            <w:noWrap/>
            <w:vAlign w:val="bottom"/>
            <w:hideMark/>
          </w:tcPr>
          <w:p w14:paraId="65232FE1" w14:textId="77777777" w:rsidR="009A356E" w:rsidRPr="00C10545" w:rsidRDefault="009A356E" w:rsidP="009A356E">
            <w:pPr>
              <w:jc w:val="right"/>
              <w:rPr>
                <w:sz w:val="18"/>
                <w:szCs w:val="18"/>
                <w:lang w:eastAsia="en-AU"/>
              </w:rPr>
            </w:pPr>
            <w:r w:rsidRPr="00C10545">
              <w:rPr>
                <w:sz w:val="18"/>
                <w:szCs w:val="18"/>
                <w:lang w:eastAsia="en-AU"/>
              </w:rPr>
              <w:t>4.99</w:t>
            </w:r>
          </w:p>
        </w:tc>
        <w:tc>
          <w:tcPr>
            <w:tcW w:w="353" w:type="pct"/>
            <w:tcBorders>
              <w:top w:val="nil"/>
              <w:left w:val="nil"/>
              <w:bottom w:val="single" w:sz="4" w:space="0" w:color="auto"/>
              <w:right w:val="single" w:sz="4" w:space="0" w:color="auto"/>
            </w:tcBorders>
            <w:shd w:val="clear" w:color="000000" w:fill="FDE9D9"/>
            <w:noWrap/>
            <w:vAlign w:val="bottom"/>
            <w:hideMark/>
          </w:tcPr>
          <w:p w14:paraId="11F0B930" w14:textId="77777777" w:rsidR="009A356E" w:rsidRPr="00C10545" w:rsidRDefault="009A356E" w:rsidP="009A356E">
            <w:pPr>
              <w:jc w:val="right"/>
              <w:rPr>
                <w:sz w:val="18"/>
                <w:szCs w:val="18"/>
                <w:lang w:eastAsia="en-AU"/>
              </w:rPr>
            </w:pPr>
            <w:r w:rsidRPr="00C10545">
              <w:rPr>
                <w:sz w:val="18"/>
                <w:szCs w:val="18"/>
                <w:lang w:eastAsia="en-AU"/>
              </w:rPr>
              <w:t>30.98</w:t>
            </w:r>
          </w:p>
        </w:tc>
        <w:tc>
          <w:tcPr>
            <w:tcW w:w="301" w:type="pct"/>
            <w:tcBorders>
              <w:top w:val="nil"/>
              <w:left w:val="nil"/>
              <w:bottom w:val="single" w:sz="4" w:space="0" w:color="auto"/>
              <w:right w:val="single" w:sz="4" w:space="0" w:color="auto"/>
            </w:tcBorders>
            <w:shd w:val="clear" w:color="000000" w:fill="DAEEF3"/>
            <w:noWrap/>
            <w:vAlign w:val="bottom"/>
            <w:hideMark/>
          </w:tcPr>
          <w:p w14:paraId="5AFD0FDF" w14:textId="77777777" w:rsidR="009A356E" w:rsidRPr="00C10545" w:rsidRDefault="009A356E" w:rsidP="009A356E">
            <w:pPr>
              <w:jc w:val="right"/>
              <w:rPr>
                <w:sz w:val="18"/>
                <w:szCs w:val="18"/>
                <w:lang w:eastAsia="en-AU"/>
              </w:rPr>
            </w:pPr>
            <w:r w:rsidRPr="00C10545">
              <w:rPr>
                <w:sz w:val="18"/>
                <w:szCs w:val="18"/>
                <w:lang w:eastAsia="en-AU"/>
              </w:rPr>
              <w:t>5.80</w:t>
            </w:r>
          </w:p>
        </w:tc>
        <w:tc>
          <w:tcPr>
            <w:tcW w:w="353" w:type="pct"/>
            <w:tcBorders>
              <w:top w:val="nil"/>
              <w:left w:val="nil"/>
              <w:bottom w:val="single" w:sz="4" w:space="0" w:color="auto"/>
              <w:right w:val="single" w:sz="4" w:space="0" w:color="auto"/>
            </w:tcBorders>
            <w:shd w:val="clear" w:color="000000" w:fill="DAEEF3"/>
            <w:noWrap/>
            <w:vAlign w:val="bottom"/>
            <w:hideMark/>
          </w:tcPr>
          <w:p w14:paraId="3956C903" w14:textId="77777777" w:rsidR="009A356E" w:rsidRPr="00C10545" w:rsidRDefault="009A356E" w:rsidP="009A356E">
            <w:pPr>
              <w:jc w:val="right"/>
              <w:rPr>
                <w:sz w:val="18"/>
                <w:szCs w:val="18"/>
                <w:lang w:eastAsia="en-AU"/>
              </w:rPr>
            </w:pPr>
            <w:r w:rsidRPr="00C10545">
              <w:rPr>
                <w:sz w:val="18"/>
                <w:szCs w:val="18"/>
                <w:lang w:eastAsia="en-AU"/>
              </w:rPr>
              <w:t>31.33</w:t>
            </w:r>
          </w:p>
        </w:tc>
        <w:tc>
          <w:tcPr>
            <w:tcW w:w="301" w:type="pct"/>
            <w:tcBorders>
              <w:top w:val="nil"/>
              <w:left w:val="nil"/>
              <w:bottom w:val="single" w:sz="4" w:space="0" w:color="auto"/>
              <w:right w:val="single" w:sz="4" w:space="0" w:color="auto"/>
            </w:tcBorders>
            <w:shd w:val="clear" w:color="000000" w:fill="EBF1DE"/>
            <w:noWrap/>
            <w:vAlign w:val="bottom"/>
            <w:hideMark/>
          </w:tcPr>
          <w:p w14:paraId="516A3A40" w14:textId="77777777" w:rsidR="009A356E" w:rsidRPr="00C10545" w:rsidRDefault="009A356E" w:rsidP="009A356E">
            <w:pPr>
              <w:jc w:val="right"/>
              <w:rPr>
                <w:sz w:val="18"/>
                <w:szCs w:val="18"/>
                <w:lang w:eastAsia="en-AU"/>
              </w:rPr>
            </w:pPr>
            <w:r w:rsidRPr="00C10545">
              <w:rPr>
                <w:sz w:val="18"/>
                <w:szCs w:val="18"/>
                <w:lang w:eastAsia="en-AU"/>
              </w:rPr>
              <w:t>5.32</w:t>
            </w:r>
          </w:p>
        </w:tc>
        <w:tc>
          <w:tcPr>
            <w:tcW w:w="354" w:type="pct"/>
            <w:tcBorders>
              <w:top w:val="nil"/>
              <w:left w:val="nil"/>
              <w:bottom w:val="single" w:sz="4" w:space="0" w:color="auto"/>
              <w:right w:val="single" w:sz="4" w:space="0" w:color="auto"/>
            </w:tcBorders>
            <w:shd w:val="clear" w:color="000000" w:fill="EBF1DE"/>
            <w:noWrap/>
            <w:vAlign w:val="bottom"/>
            <w:hideMark/>
          </w:tcPr>
          <w:p w14:paraId="734991FF" w14:textId="77777777" w:rsidR="009A356E" w:rsidRPr="00C10545" w:rsidRDefault="009A356E" w:rsidP="009A356E">
            <w:pPr>
              <w:jc w:val="right"/>
              <w:rPr>
                <w:sz w:val="18"/>
                <w:szCs w:val="18"/>
                <w:lang w:eastAsia="en-AU"/>
              </w:rPr>
            </w:pPr>
            <w:r w:rsidRPr="00C10545">
              <w:rPr>
                <w:sz w:val="18"/>
                <w:szCs w:val="18"/>
                <w:lang w:eastAsia="en-AU"/>
              </w:rPr>
              <w:t>32.67</w:t>
            </w:r>
          </w:p>
        </w:tc>
        <w:tc>
          <w:tcPr>
            <w:tcW w:w="302" w:type="pct"/>
            <w:tcBorders>
              <w:top w:val="nil"/>
              <w:left w:val="nil"/>
              <w:bottom w:val="single" w:sz="4" w:space="0" w:color="auto"/>
              <w:right w:val="single" w:sz="4" w:space="0" w:color="auto"/>
            </w:tcBorders>
            <w:shd w:val="clear" w:color="000000" w:fill="E4DFEC"/>
            <w:noWrap/>
            <w:vAlign w:val="bottom"/>
            <w:hideMark/>
          </w:tcPr>
          <w:p w14:paraId="6872E14A" w14:textId="77777777" w:rsidR="009A356E" w:rsidRPr="00C10545" w:rsidRDefault="009A356E" w:rsidP="009A356E">
            <w:pPr>
              <w:jc w:val="right"/>
              <w:rPr>
                <w:sz w:val="18"/>
                <w:szCs w:val="18"/>
                <w:lang w:eastAsia="en-AU"/>
              </w:rPr>
            </w:pPr>
            <w:r w:rsidRPr="00C10545">
              <w:rPr>
                <w:sz w:val="18"/>
                <w:szCs w:val="18"/>
                <w:lang w:eastAsia="en-AU"/>
              </w:rPr>
              <w:t>5.28</w:t>
            </w:r>
          </w:p>
        </w:tc>
        <w:tc>
          <w:tcPr>
            <w:tcW w:w="354" w:type="pct"/>
            <w:tcBorders>
              <w:top w:val="nil"/>
              <w:left w:val="nil"/>
              <w:bottom w:val="single" w:sz="4" w:space="0" w:color="auto"/>
              <w:right w:val="single" w:sz="4" w:space="0" w:color="auto"/>
            </w:tcBorders>
            <w:shd w:val="clear" w:color="000000" w:fill="E4DFEC"/>
            <w:noWrap/>
            <w:vAlign w:val="bottom"/>
            <w:hideMark/>
          </w:tcPr>
          <w:p w14:paraId="1A39C540" w14:textId="77777777" w:rsidR="009A356E" w:rsidRPr="00C10545" w:rsidRDefault="009A356E" w:rsidP="009A356E">
            <w:pPr>
              <w:jc w:val="right"/>
              <w:rPr>
                <w:sz w:val="18"/>
                <w:szCs w:val="18"/>
                <w:lang w:eastAsia="en-AU"/>
              </w:rPr>
            </w:pPr>
            <w:r w:rsidRPr="00C10545">
              <w:rPr>
                <w:sz w:val="18"/>
                <w:szCs w:val="18"/>
                <w:lang w:eastAsia="en-AU"/>
              </w:rPr>
              <w:t>33.17</w:t>
            </w:r>
          </w:p>
        </w:tc>
        <w:tc>
          <w:tcPr>
            <w:tcW w:w="388" w:type="pct"/>
            <w:tcBorders>
              <w:top w:val="nil"/>
              <w:left w:val="nil"/>
              <w:bottom w:val="single" w:sz="4" w:space="0" w:color="auto"/>
              <w:right w:val="single" w:sz="4" w:space="0" w:color="auto"/>
            </w:tcBorders>
            <w:shd w:val="clear" w:color="000000" w:fill="FDE9D9"/>
            <w:noWrap/>
            <w:vAlign w:val="bottom"/>
            <w:hideMark/>
          </w:tcPr>
          <w:p w14:paraId="3550FB46" w14:textId="77777777" w:rsidR="009A356E" w:rsidRPr="00C10545" w:rsidRDefault="009A356E" w:rsidP="009A356E">
            <w:pPr>
              <w:jc w:val="right"/>
              <w:rPr>
                <w:sz w:val="18"/>
                <w:szCs w:val="18"/>
                <w:lang w:eastAsia="en-AU"/>
              </w:rPr>
            </w:pPr>
            <w:r w:rsidRPr="00C10545">
              <w:rPr>
                <w:sz w:val="18"/>
                <w:szCs w:val="18"/>
                <w:lang w:eastAsia="en-AU"/>
              </w:rPr>
              <w:t>16.1%</w:t>
            </w:r>
          </w:p>
        </w:tc>
        <w:tc>
          <w:tcPr>
            <w:tcW w:w="388" w:type="pct"/>
            <w:tcBorders>
              <w:top w:val="nil"/>
              <w:left w:val="nil"/>
              <w:bottom w:val="single" w:sz="4" w:space="0" w:color="auto"/>
              <w:right w:val="single" w:sz="4" w:space="0" w:color="auto"/>
            </w:tcBorders>
            <w:shd w:val="clear" w:color="000000" w:fill="DAEEF3"/>
            <w:noWrap/>
            <w:vAlign w:val="bottom"/>
            <w:hideMark/>
          </w:tcPr>
          <w:p w14:paraId="7EC469CB" w14:textId="77777777" w:rsidR="009A356E" w:rsidRPr="00C10545" w:rsidRDefault="009A356E" w:rsidP="009A356E">
            <w:pPr>
              <w:jc w:val="right"/>
              <w:rPr>
                <w:sz w:val="18"/>
                <w:szCs w:val="18"/>
                <w:lang w:eastAsia="en-AU"/>
              </w:rPr>
            </w:pPr>
            <w:r w:rsidRPr="00C10545">
              <w:rPr>
                <w:sz w:val="18"/>
                <w:szCs w:val="18"/>
                <w:lang w:eastAsia="en-AU"/>
              </w:rPr>
              <w:t>18.5%</w:t>
            </w:r>
          </w:p>
        </w:tc>
        <w:tc>
          <w:tcPr>
            <w:tcW w:w="388" w:type="pct"/>
            <w:tcBorders>
              <w:top w:val="nil"/>
              <w:left w:val="nil"/>
              <w:bottom w:val="single" w:sz="4" w:space="0" w:color="auto"/>
              <w:right w:val="single" w:sz="4" w:space="0" w:color="auto"/>
            </w:tcBorders>
            <w:shd w:val="clear" w:color="000000" w:fill="EBF1DE"/>
            <w:noWrap/>
            <w:vAlign w:val="bottom"/>
            <w:hideMark/>
          </w:tcPr>
          <w:p w14:paraId="501B87E2" w14:textId="77777777" w:rsidR="009A356E" w:rsidRPr="00C10545" w:rsidRDefault="009A356E" w:rsidP="009A356E">
            <w:pPr>
              <w:jc w:val="right"/>
              <w:rPr>
                <w:sz w:val="18"/>
                <w:szCs w:val="18"/>
                <w:lang w:eastAsia="en-AU"/>
              </w:rPr>
            </w:pPr>
            <w:r w:rsidRPr="00C10545">
              <w:rPr>
                <w:sz w:val="18"/>
                <w:szCs w:val="18"/>
                <w:lang w:eastAsia="en-AU"/>
              </w:rPr>
              <w:t>16.3%</w:t>
            </w:r>
          </w:p>
        </w:tc>
        <w:tc>
          <w:tcPr>
            <w:tcW w:w="388" w:type="pct"/>
            <w:tcBorders>
              <w:top w:val="nil"/>
              <w:left w:val="nil"/>
              <w:bottom w:val="single" w:sz="4" w:space="0" w:color="auto"/>
              <w:right w:val="single" w:sz="4" w:space="0" w:color="auto"/>
            </w:tcBorders>
            <w:shd w:val="clear" w:color="000000" w:fill="E4DFEC"/>
            <w:noWrap/>
            <w:vAlign w:val="bottom"/>
            <w:hideMark/>
          </w:tcPr>
          <w:p w14:paraId="4B38BB99" w14:textId="77777777" w:rsidR="009A356E" w:rsidRPr="00C10545" w:rsidRDefault="009A356E" w:rsidP="009A356E">
            <w:pPr>
              <w:jc w:val="right"/>
              <w:rPr>
                <w:sz w:val="18"/>
                <w:szCs w:val="18"/>
                <w:lang w:eastAsia="en-AU"/>
              </w:rPr>
            </w:pPr>
            <w:r w:rsidRPr="00C10545">
              <w:rPr>
                <w:sz w:val="18"/>
                <w:szCs w:val="18"/>
                <w:lang w:eastAsia="en-AU"/>
              </w:rPr>
              <w:t>15.9%</w:t>
            </w:r>
          </w:p>
        </w:tc>
      </w:tr>
      <w:tr w:rsidR="009A356E" w:rsidRPr="00B030A2" w14:paraId="41C9C9A8" w14:textId="77777777" w:rsidTr="009A356E">
        <w:trPr>
          <w:trHeight w:val="240"/>
        </w:trPr>
        <w:tc>
          <w:tcPr>
            <w:tcW w:w="828" w:type="pct"/>
            <w:tcBorders>
              <w:top w:val="nil"/>
              <w:left w:val="single" w:sz="4" w:space="0" w:color="auto"/>
              <w:bottom w:val="single" w:sz="4" w:space="0" w:color="auto"/>
              <w:right w:val="single" w:sz="4" w:space="0" w:color="auto"/>
            </w:tcBorders>
            <w:shd w:val="clear" w:color="auto" w:fill="auto"/>
            <w:noWrap/>
            <w:vAlign w:val="bottom"/>
            <w:hideMark/>
          </w:tcPr>
          <w:p w14:paraId="3D2BFFD0" w14:textId="77777777" w:rsidR="009A356E" w:rsidRPr="00C10545" w:rsidRDefault="009A356E" w:rsidP="009A356E">
            <w:pPr>
              <w:rPr>
                <w:sz w:val="18"/>
                <w:szCs w:val="18"/>
                <w:lang w:eastAsia="en-AU"/>
              </w:rPr>
            </w:pPr>
            <w:r w:rsidRPr="00C10545">
              <w:rPr>
                <w:sz w:val="18"/>
                <w:szCs w:val="18"/>
                <w:lang w:eastAsia="en-AU"/>
              </w:rPr>
              <w:t>Mitchell</w:t>
            </w:r>
          </w:p>
        </w:tc>
        <w:tc>
          <w:tcPr>
            <w:tcW w:w="301" w:type="pct"/>
            <w:tcBorders>
              <w:top w:val="nil"/>
              <w:left w:val="nil"/>
              <w:bottom w:val="single" w:sz="4" w:space="0" w:color="auto"/>
              <w:right w:val="single" w:sz="4" w:space="0" w:color="auto"/>
            </w:tcBorders>
            <w:shd w:val="clear" w:color="000000" w:fill="FDE9D9"/>
            <w:noWrap/>
            <w:vAlign w:val="bottom"/>
            <w:hideMark/>
          </w:tcPr>
          <w:p w14:paraId="5C019E6F" w14:textId="77777777" w:rsidR="009A356E" w:rsidRPr="00C10545" w:rsidRDefault="009A356E" w:rsidP="009A356E">
            <w:pPr>
              <w:jc w:val="right"/>
              <w:rPr>
                <w:sz w:val="18"/>
                <w:szCs w:val="18"/>
                <w:lang w:eastAsia="en-AU"/>
              </w:rPr>
            </w:pPr>
            <w:r w:rsidRPr="00C10545">
              <w:rPr>
                <w:sz w:val="18"/>
                <w:szCs w:val="18"/>
                <w:lang w:eastAsia="en-AU"/>
              </w:rPr>
              <w:t>5.12</w:t>
            </w:r>
          </w:p>
        </w:tc>
        <w:tc>
          <w:tcPr>
            <w:tcW w:w="353" w:type="pct"/>
            <w:tcBorders>
              <w:top w:val="nil"/>
              <w:left w:val="nil"/>
              <w:bottom w:val="single" w:sz="4" w:space="0" w:color="auto"/>
              <w:right w:val="single" w:sz="4" w:space="0" w:color="auto"/>
            </w:tcBorders>
            <w:shd w:val="clear" w:color="000000" w:fill="FDE9D9"/>
            <w:noWrap/>
            <w:vAlign w:val="bottom"/>
            <w:hideMark/>
          </w:tcPr>
          <w:p w14:paraId="4527FA4A" w14:textId="77777777" w:rsidR="009A356E" w:rsidRPr="00C10545" w:rsidRDefault="009A356E" w:rsidP="009A356E">
            <w:pPr>
              <w:jc w:val="right"/>
              <w:rPr>
                <w:sz w:val="18"/>
                <w:szCs w:val="18"/>
                <w:lang w:eastAsia="en-AU"/>
              </w:rPr>
            </w:pPr>
            <w:r w:rsidRPr="00C10545">
              <w:rPr>
                <w:sz w:val="18"/>
                <w:szCs w:val="18"/>
                <w:lang w:eastAsia="en-AU"/>
              </w:rPr>
              <w:t>22.62</w:t>
            </w:r>
          </w:p>
        </w:tc>
        <w:tc>
          <w:tcPr>
            <w:tcW w:w="301" w:type="pct"/>
            <w:tcBorders>
              <w:top w:val="nil"/>
              <w:left w:val="nil"/>
              <w:bottom w:val="single" w:sz="4" w:space="0" w:color="auto"/>
              <w:right w:val="single" w:sz="4" w:space="0" w:color="auto"/>
            </w:tcBorders>
            <w:shd w:val="clear" w:color="000000" w:fill="DAEEF3"/>
            <w:noWrap/>
            <w:vAlign w:val="bottom"/>
            <w:hideMark/>
          </w:tcPr>
          <w:p w14:paraId="29B9CD4A" w14:textId="77777777" w:rsidR="009A356E" w:rsidRPr="00C10545" w:rsidRDefault="009A356E" w:rsidP="009A356E">
            <w:pPr>
              <w:jc w:val="right"/>
              <w:rPr>
                <w:sz w:val="18"/>
                <w:szCs w:val="18"/>
                <w:lang w:eastAsia="en-AU"/>
              </w:rPr>
            </w:pPr>
            <w:r w:rsidRPr="00C10545">
              <w:rPr>
                <w:sz w:val="18"/>
                <w:szCs w:val="18"/>
                <w:lang w:eastAsia="en-AU"/>
              </w:rPr>
              <w:t>6.68</w:t>
            </w:r>
          </w:p>
        </w:tc>
        <w:tc>
          <w:tcPr>
            <w:tcW w:w="353" w:type="pct"/>
            <w:tcBorders>
              <w:top w:val="nil"/>
              <w:left w:val="nil"/>
              <w:bottom w:val="single" w:sz="4" w:space="0" w:color="auto"/>
              <w:right w:val="single" w:sz="4" w:space="0" w:color="auto"/>
            </w:tcBorders>
            <w:shd w:val="clear" w:color="000000" w:fill="DAEEF3"/>
            <w:noWrap/>
            <w:vAlign w:val="bottom"/>
            <w:hideMark/>
          </w:tcPr>
          <w:p w14:paraId="580552A5" w14:textId="77777777" w:rsidR="009A356E" w:rsidRPr="00C10545" w:rsidRDefault="009A356E" w:rsidP="009A356E">
            <w:pPr>
              <w:jc w:val="right"/>
              <w:rPr>
                <w:sz w:val="18"/>
                <w:szCs w:val="18"/>
                <w:lang w:eastAsia="en-AU"/>
              </w:rPr>
            </w:pPr>
            <w:r w:rsidRPr="00C10545">
              <w:rPr>
                <w:sz w:val="18"/>
                <w:szCs w:val="18"/>
                <w:lang w:eastAsia="en-AU"/>
              </w:rPr>
              <w:t>34.61</w:t>
            </w:r>
          </w:p>
        </w:tc>
        <w:tc>
          <w:tcPr>
            <w:tcW w:w="301" w:type="pct"/>
            <w:tcBorders>
              <w:top w:val="nil"/>
              <w:left w:val="nil"/>
              <w:bottom w:val="single" w:sz="4" w:space="0" w:color="auto"/>
              <w:right w:val="single" w:sz="4" w:space="0" w:color="auto"/>
            </w:tcBorders>
            <w:shd w:val="clear" w:color="000000" w:fill="EBF1DE"/>
            <w:noWrap/>
            <w:vAlign w:val="bottom"/>
            <w:hideMark/>
          </w:tcPr>
          <w:p w14:paraId="5F4057B6" w14:textId="77777777" w:rsidR="009A356E" w:rsidRPr="00C10545" w:rsidRDefault="009A356E" w:rsidP="009A356E">
            <w:pPr>
              <w:jc w:val="right"/>
              <w:rPr>
                <w:sz w:val="18"/>
                <w:szCs w:val="18"/>
                <w:lang w:eastAsia="en-AU"/>
              </w:rPr>
            </w:pPr>
            <w:r w:rsidRPr="00C10545">
              <w:rPr>
                <w:sz w:val="18"/>
                <w:szCs w:val="18"/>
                <w:lang w:eastAsia="en-AU"/>
              </w:rPr>
              <w:t>5.34</w:t>
            </w:r>
          </w:p>
        </w:tc>
        <w:tc>
          <w:tcPr>
            <w:tcW w:w="354" w:type="pct"/>
            <w:tcBorders>
              <w:top w:val="nil"/>
              <w:left w:val="nil"/>
              <w:bottom w:val="single" w:sz="4" w:space="0" w:color="auto"/>
              <w:right w:val="single" w:sz="4" w:space="0" w:color="auto"/>
            </w:tcBorders>
            <w:shd w:val="clear" w:color="000000" w:fill="EBF1DE"/>
            <w:noWrap/>
            <w:vAlign w:val="bottom"/>
            <w:hideMark/>
          </w:tcPr>
          <w:p w14:paraId="4271BDCE" w14:textId="77777777" w:rsidR="009A356E" w:rsidRPr="00C10545" w:rsidRDefault="009A356E" w:rsidP="009A356E">
            <w:pPr>
              <w:jc w:val="right"/>
              <w:rPr>
                <w:sz w:val="18"/>
                <w:szCs w:val="18"/>
                <w:lang w:eastAsia="en-AU"/>
              </w:rPr>
            </w:pPr>
            <w:r w:rsidRPr="00C10545">
              <w:rPr>
                <w:sz w:val="18"/>
                <w:szCs w:val="18"/>
                <w:lang w:eastAsia="en-AU"/>
              </w:rPr>
              <w:t>27.68</w:t>
            </w:r>
          </w:p>
        </w:tc>
        <w:tc>
          <w:tcPr>
            <w:tcW w:w="302" w:type="pct"/>
            <w:tcBorders>
              <w:top w:val="nil"/>
              <w:left w:val="nil"/>
              <w:bottom w:val="single" w:sz="4" w:space="0" w:color="auto"/>
              <w:right w:val="single" w:sz="4" w:space="0" w:color="auto"/>
            </w:tcBorders>
            <w:shd w:val="clear" w:color="000000" w:fill="E4DFEC"/>
            <w:noWrap/>
            <w:vAlign w:val="bottom"/>
            <w:hideMark/>
          </w:tcPr>
          <w:p w14:paraId="208B55C3" w14:textId="77777777" w:rsidR="009A356E" w:rsidRPr="00C10545" w:rsidRDefault="009A356E" w:rsidP="009A356E">
            <w:pPr>
              <w:jc w:val="right"/>
              <w:rPr>
                <w:sz w:val="18"/>
                <w:szCs w:val="18"/>
                <w:lang w:eastAsia="en-AU"/>
              </w:rPr>
            </w:pPr>
            <w:r w:rsidRPr="00C10545">
              <w:rPr>
                <w:sz w:val="18"/>
                <w:szCs w:val="18"/>
                <w:lang w:eastAsia="en-AU"/>
              </w:rPr>
              <w:t>5.51</w:t>
            </w:r>
          </w:p>
        </w:tc>
        <w:tc>
          <w:tcPr>
            <w:tcW w:w="354" w:type="pct"/>
            <w:tcBorders>
              <w:top w:val="nil"/>
              <w:left w:val="nil"/>
              <w:bottom w:val="single" w:sz="4" w:space="0" w:color="auto"/>
              <w:right w:val="single" w:sz="4" w:space="0" w:color="auto"/>
            </w:tcBorders>
            <w:shd w:val="clear" w:color="000000" w:fill="E4DFEC"/>
            <w:noWrap/>
            <w:vAlign w:val="bottom"/>
            <w:hideMark/>
          </w:tcPr>
          <w:p w14:paraId="1C65F016" w14:textId="77777777" w:rsidR="009A356E" w:rsidRPr="00C10545" w:rsidRDefault="009A356E" w:rsidP="009A356E">
            <w:pPr>
              <w:jc w:val="right"/>
              <w:rPr>
                <w:sz w:val="18"/>
                <w:szCs w:val="18"/>
                <w:lang w:eastAsia="en-AU"/>
              </w:rPr>
            </w:pPr>
            <w:r w:rsidRPr="00C10545">
              <w:rPr>
                <w:sz w:val="18"/>
                <w:szCs w:val="18"/>
                <w:lang w:eastAsia="en-AU"/>
              </w:rPr>
              <w:t>30.10</w:t>
            </w:r>
          </w:p>
        </w:tc>
        <w:tc>
          <w:tcPr>
            <w:tcW w:w="388" w:type="pct"/>
            <w:tcBorders>
              <w:top w:val="nil"/>
              <w:left w:val="nil"/>
              <w:bottom w:val="single" w:sz="4" w:space="0" w:color="auto"/>
              <w:right w:val="single" w:sz="4" w:space="0" w:color="auto"/>
            </w:tcBorders>
            <w:shd w:val="clear" w:color="000000" w:fill="FDE9D9"/>
            <w:noWrap/>
            <w:vAlign w:val="bottom"/>
            <w:hideMark/>
          </w:tcPr>
          <w:p w14:paraId="0DB83218" w14:textId="77777777" w:rsidR="009A356E" w:rsidRPr="00C10545" w:rsidRDefault="009A356E" w:rsidP="009A356E">
            <w:pPr>
              <w:jc w:val="right"/>
              <w:rPr>
                <w:sz w:val="18"/>
                <w:szCs w:val="18"/>
                <w:lang w:eastAsia="en-AU"/>
              </w:rPr>
            </w:pPr>
            <w:r w:rsidRPr="00C10545">
              <w:rPr>
                <w:sz w:val="18"/>
                <w:szCs w:val="18"/>
                <w:lang w:eastAsia="en-AU"/>
              </w:rPr>
              <w:t>22.6%</w:t>
            </w:r>
          </w:p>
        </w:tc>
        <w:tc>
          <w:tcPr>
            <w:tcW w:w="388" w:type="pct"/>
            <w:tcBorders>
              <w:top w:val="nil"/>
              <w:left w:val="nil"/>
              <w:bottom w:val="single" w:sz="4" w:space="0" w:color="auto"/>
              <w:right w:val="single" w:sz="4" w:space="0" w:color="auto"/>
            </w:tcBorders>
            <w:shd w:val="clear" w:color="000000" w:fill="DAEEF3"/>
            <w:noWrap/>
            <w:vAlign w:val="bottom"/>
            <w:hideMark/>
          </w:tcPr>
          <w:p w14:paraId="6E667BBD" w14:textId="77777777" w:rsidR="009A356E" w:rsidRPr="00C10545" w:rsidRDefault="009A356E" w:rsidP="009A356E">
            <w:pPr>
              <w:jc w:val="right"/>
              <w:rPr>
                <w:sz w:val="18"/>
                <w:szCs w:val="18"/>
                <w:lang w:eastAsia="en-AU"/>
              </w:rPr>
            </w:pPr>
            <w:r w:rsidRPr="00C10545">
              <w:rPr>
                <w:sz w:val="18"/>
                <w:szCs w:val="18"/>
                <w:lang w:eastAsia="en-AU"/>
              </w:rPr>
              <w:t>19.3%</w:t>
            </w:r>
          </w:p>
        </w:tc>
        <w:tc>
          <w:tcPr>
            <w:tcW w:w="388" w:type="pct"/>
            <w:tcBorders>
              <w:top w:val="nil"/>
              <w:left w:val="nil"/>
              <w:bottom w:val="single" w:sz="4" w:space="0" w:color="auto"/>
              <w:right w:val="single" w:sz="4" w:space="0" w:color="auto"/>
            </w:tcBorders>
            <w:shd w:val="clear" w:color="000000" w:fill="EBF1DE"/>
            <w:noWrap/>
            <w:vAlign w:val="bottom"/>
            <w:hideMark/>
          </w:tcPr>
          <w:p w14:paraId="6CA5E443" w14:textId="77777777" w:rsidR="009A356E" w:rsidRPr="00C10545" w:rsidRDefault="009A356E" w:rsidP="009A356E">
            <w:pPr>
              <w:jc w:val="right"/>
              <w:rPr>
                <w:sz w:val="18"/>
                <w:szCs w:val="18"/>
                <w:lang w:eastAsia="en-AU"/>
              </w:rPr>
            </w:pPr>
            <w:r w:rsidRPr="00C10545">
              <w:rPr>
                <w:sz w:val="18"/>
                <w:szCs w:val="18"/>
                <w:lang w:eastAsia="en-AU"/>
              </w:rPr>
              <w:t>19.3%</w:t>
            </w:r>
          </w:p>
        </w:tc>
        <w:tc>
          <w:tcPr>
            <w:tcW w:w="388" w:type="pct"/>
            <w:tcBorders>
              <w:top w:val="nil"/>
              <w:left w:val="nil"/>
              <w:bottom w:val="single" w:sz="4" w:space="0" w:color="auto"/>
              <w:right w:val="single" w:sz="4" w:space="0" w:color="auto"/>
            </w:tcBorders>
            <w:shd w:val="clear" w:color="000000" w:fill="E4DFEC"/>
            <w:noWrap/>
            <w:vAlign w:val="bottom"/>
            <w:hideMark/>
          </w:tcPr>
          <w:p w14:paraId="3332E00B" w14:textId="77777777" w:rsidR="009A356E" w:rsidRPr="00C10545" w:rsidRDefault="009A356E" w:rsidP="009A356E">
            <w:pPr>
              <w:jc w:val="right"/>
              <w:rPr>
                <w:sz w:val="18"/>
                <w:szCs w:val="18"/>
                <w:lang w:eastAsia="en-AU"/>
              </w:rPr>
            </w:pPr>
            <w:r w:rsidRPr="00C10545">
              <w:rPr>
                <w:sz w:val="18"/>
                <w:szCs w:val="18"/>
                <w:lang w:eastAsia="en-AU"/>
              </w:rPr>
              <w:t>18.3%</w:t>
            </w:r>
          </w:p>
        </w:tc>
      </w:tr>
      <w:tr w:rsidR="009A356E" w:rsidRPr="00B030A2" w14:paraId="3E9DA839" w14:textId="77777777" w:rsidTr="009A356E">
        <w:trPr>
          <w:trHeight w:val="240"/>
        </w:trPr>
        <w:tc>
          <w:tcPr>
            <w:tcW w:w="828" w:type="pct"/>
            <w:tcBorders>
              <w:top w:val="nil"/>
              <w:left w:val="single" w:sz="4" w:space="0" w:color="auto"/>
              <w:bottom w:val="single" w:sz="4" w:space="0" w:color="auto"/>
              <w:right w:val="single" w:sz="4" w:space="0" w:color="auto"/>
            </w:tcBorders>
            <w:shd w:val="clear" w:color="auto" w:fill="auto"/>
            <w:noWrap/>
            <w:vAlign w:val="bottom"/>
            <w:hideMark/>
          </w:tcPr>
          <w:p w14:paraId="754A0CB1" w14:textId="77777777" w:rsidR="009A356E" w:rsidRPr="00C10545" w:rsidRDefault="009A356E" w:rsidP="009A356E">
            <w:pPr>
              <w:rPr>
                <w:sz w:val="18"/>
                <w:szCs w:val="18"/>
                <w:lang w:eastAsia="en-AU"/>
              </w:rPr>
            </w:pPr>
            <w:r w:rsidRPr="00C10545">
              <w:rPr>
                <w:sz w:val="18"/>
                <w:szCs w:val="18"/>
                <w:lang w:eastAsia="en-AU"/>
              </w:rPr>
              <w:t>Wellington</w:t>
            </w:r>
          </w:p>
        </w:tc>
        <w:tc>
          <w:tcPr>
            <w:tcW w:w="301" w:type="pct"/>
            <w:tcBorders>
              <w:top w:val="nil"/>
              <w:left w:val="nil"/>
              <w:bottom w:val="single" w:sz="4" w:space="0" w:color="auto"/>
              <w:right w:val="single" w:sz="4" w:space="0" w:color="auto"/>
            </w:tcBorders>
            <w:shd w:val="clear" w:color="000000" w:fill="FDE9D9"/>
            <w:noWrap/>
            <w:vAlign w:val="bottom"/>
            <w:hideMark/>
          </w:tcPr>
          <w:p w14:paraId="34D5DA43" w14:textId="77777777" w:rsidR="009A356E" w:rsidRPr="00C10545" w:rsidRDefault="009A356E" w:rsidP="009A356E">
            <w:pPr>
              <w:jc w:val="right"/>
              <w:rPr>
                <w:sz w:val="18"/>
                <w:szCs w:val="18"/>
                <w:lang w:eastAsia="en-AU"/>
              </w:rPr>
            </w:pPr>
            <w:r w:rsidRPr="00C10545">
              <w:rPr>
                <w:sz w:val="18"/>
                <w:szCs w:val="18"/>
                <w:lang w:eastAsia="en-AU"/>
              </w:rPr>
              <w:t>5.36</w:t>
            </w:r>
          </w:p>
        </w:tc>
        <w:tc>
          <w:tcPr>
            <w:tcW w:w="353" w:type="pct"/>
            <w:tcBorders>
              <w:top w:val="nil"/>
              <w:left w:val="nil"/>
              <w:bottom w:val="single" w:sz="4" w:space="0" w:color="auto"/>
              <w:right w:val="single" w:sz="4" w:space="0" w:color="auto"/>
            </w:tcBorders>
            <w:shd w:val="clear" w:color="000000" w:fill="FDE9D9"/>
            <w:noWrap/>
            <w:vAlign w:val="bottom"/>
            <w:hideMark/>
          </w:tcPr>
          <w:p w14:paraId="0B230ED7" w14:textId="77777777" w:rsidR="009A356E" w:rsidRPr="00C10545" w:rsidRDefault="009A356E" w:rsidP="009A356E">
            <w:pPr>
              <w:jc w:val="right"/>
              <w:rPr>
                <w:sz w:val="18"/>
                <w:szCs w:val="18"/>
                <w:lang w:eastAsia="en-AU"/>
              </w:rPr>
            </w:pPr>
            <w:r w:rsidRPr="00C10545">
              <w:rPr>
                <w:sz w:val="18"/>
                <w:szCs w:val="18"/>
                <w:lang w:eastAsia="en-AU"/>
              </w:rPr>
              <w:t>18.05</w:t>
            </w:r>
          </w:p>
        </w:tc>
        <w:tc>
          <w:tcPr>
            <w:tcW w:w="301" w:type="pct"/>
            <w:tcBorders>
              <w:top w:val="nil"/>
              <w:left w:val="nil"/>
              <w:bottom w:val="single" w:sz="4" w:space="0" w:color="auto"/>
              <w:right w:val="single" w:sz="4" w:space="0" w:color="auto"/>
            </w:tcBorders>
            <w:shd w:val="clear" w:color="000000" w:fill="DAEEF3"/>
            <w:noWrap/>
            <w:vAlign w:val="bottom"/>
            <w:hideMark/>
          </w:tcPr>
          <w:p w14:paraId="5AFD010E" w14:textId="77777777" w:rsidR="009A356E" w:rsidRPr="00C10545" w:rsidRDefault="009A356E" w:rsidP="009A356E">
            <w:pPr>
              <w:jc w:val="right"/>
              <w:rPr>
                <w:sz w:val="18"/>
                <w:szCs w:val="18"/>
                <w:lang w:eastAsia="en-AU"/>
              </w:rPr>
            </w:pPr>
            <w:r w:rsidRPr="00C10545">
              <w:rPr>
                <w:sz w:val="18"/>
                <w:szCs w:val="18"/>
                <w:lang w:eastAsia="en-AU"/>
              </w:rPr>
              <w:t>5.46</w:t>
            </w:r>
          </w:p>
        </w:tc>
        <w:tc>
          <w:tcPr>
            <w:tcW w:w="353" w:type="pct"/>
            <w:tcBorders>
              <w:top w:val="nil"/>
              <w:left w:val="nil"/>
              <w:bottom w:val="single" w:sz="4" w:space="0" w:color="auto"/>
              <w:right w:val="single" w:sz="4" w:space="0" w:color="auto"/>
            </w:tcBorders>
            <w:shd w:val="clear" w:color="000000" w:fill="DAEEF3"/>
            <w:noWrap/>
            <w:vAlign w:val="bottom"/>
            <w:hideMark/>
          </w:tcPr>
          <w:p w14:paraId="371E63B5" w14:textId="77777777" w:rsidR="009A356E" w:rsidRPr="00C10545" w:rsidRDefault="009A356E" w:rsidP="009A356E">
            <w:pPr>
              <w:jc w:val="right"/>
              <w:rPr>
                <w:sz w:val="18"/>
                <w:szCs w:val="18"/>
                <w:lang w:eastAsia="en-AU"/>
              </w:rPr>
            </w:pPr>
            <w:r w:rsidRPr="00C10545">
              <w:rPr>
                <w:sz w:val="18"/>
                <w:szCs w:val="18"/>
                <w:lang w:eastAsia="en-AU"/>
              </w:rPr>
              <w:t>24.57</w:t>
            </w:r>
          </w:p>
        </w:tc>
        <w:tc>
          <w:tcPr>
            <w:tcW w:w="301" w:type="pct"/>
            <w:tcBorders>
              <w:top w:val="nil"/>
              <w:left w:val="nil"/>
              <w:bottom w:val="single" w:sz="4" w:space="0" w:color="auto"/>
              <w:right w:val="single" w:sz="4" w:space="0" w:color="auto"/>
            </w:tcBorders>
            <w:shd w:val="clear" w:color="000000" w:fill="EBF1DE"/>
            <w:noWrap/>
            <w:vAlign w:val="bottom"/>
            <w:hideMark/>
          </w:tcPr>
          <w:p w14:paraId="23E3E6A1" w14:textId="77777777" w:rsidR="009A356E" w:rsidRPr="00C10545" w:rsidRDefault="009A356E" w:rsidP="009A356E">
            <w:pPr>
              <w:jc w:val="right"/>
              <w:rPr>
                <w:sz w:val="18"/>
                <w:szCs w:val="18"/>
                <w:lang w:eastAsia="en-AU"/>
              </w:rPr>
            </w:pPr>
            <w:r w:rsidRPr="00C10545">
              <w:rPr>
                <w:sz w:val="18"/>
                <w:szCs w:val="18"/>
                <w:lang w:eastAsia="en-AU"/>
              </w:rPr>
              <w:t>5.48</w:t>
            </w:r>
          </w:p>
        </w:tc>
        <w:tc>
          <w:tcPr>
            <w:tcW w:w="354" w:type="pct"/>
            <w:tcBorders>
              <w:top w:val="nil"/>
              <w:left w:val="nil"/>
              <w:bottom w:val="single" w:sz="4" w:space="0" w:color="auto"/>
              <w:right w:val="single" w:sz="4" w:space="0" w:color="auto"/>
            </w:tcBorders>
            <w:shd w:val="clear" w:color="000000" w:fill="EBF1DE"/>
            <w:noWrap/>
            <w:vAlign w:val="bottom"/>
            <w:hideMark/>
          </w:tcPr>
          <w:p w14:paraId="79137A16" w14:textId="77777777" w:rsidR="009A356E" w:rsidRPr="00C10545" w:rsidRDefault="009A356E" w:rsidP="009A356E">
            <w:pPr>
              <w:jc w:val="right"/>
              <w:rPr>
                <w:sz w:val="18"/>
                <w:szCs w:val="18"/>
                <w:lang w:eastAsia="en-AU"/>
              </w:rPr>
            </w:pPr>
            <w:r w:rsidRPr="00C10545">
              <w:rPr>
                <w:sz w:val="18"/>
                <w:szCs w:val="18"/>
                <w:lang w:eastAsia="en-AU"/>
              </w:rPr>
              <w:t>25.47</w:t>
            </w:r>
          </w:p>
        </w:tc>
        <w:tc>
          <w:tcPr>
            <w:tcW w:w="302" w:type="pct"/>
            <w:tcBorders>
              <w:top w:val="nil"/>
              <w:left w:val="nil"/>
              <w:bottom w:val="single" w:sz="4" w:space="0" w:color="auto"/>
              <w:right w:val="single" w:sz="4" w:space="0" w:color="auto"/>
            </w:tcBorders>
            <w:shd w:val="clear" w:color="000000" w:fill="E4DFEC"/>
            <w:noWrap/>
            <w:vAlign w:val="bottom"/>
            <w:hideMark/>
          </w:tcPr>
          <w:p w14:paraId="7B3FA8C2" w14:textId="77777777" w:rsidR="009A356E" w:rsidRPr="00C10545" w:rsidRDefault="009A356E" w:rsidP="009A356E">
            <w:pPr>
              <w:jc w:val="right"/>
              <w:rPr>
                <w:sz w:val="18"/>
                <w:szCs w:val="18"/>
                <w:lang w:eastAsia="en-AU"/>
              </w:rPr>
            </w:pPr>
            <w:r w:rsidRPr="00C10545">
              <w:rPr>
                <w:sz w:val="18"/>
                <w:szCs w:val="18"/>
                <w:lang w:eastAsia="en-AU"/>
              </w:rPr>
              <w:t>5.49</w:t>
            </w:r>
          </w:p>
        </w:tc>
        <w:tc>
          <w:tcPr>
            <w:tcW w:w="354" w:type="pct"/>
            <w:tcBorders>
              <w:top w:val="nil"/>
              <w:left w:val="nil"/>
              <w:bottom w:val="single" w:sz="4" w:space="0" w:color="auto"/>
              <w:right w:val="single" w:sz="4" w:space="0" w:color="auto"/>
            </w:tcBorders>
            <w:shd w:val="clear" w:color="000000" w:fill="E4DFEC"/>
            <w:noWrap/>
            <w:vAlign w:val="bottom"/>
            <w:hideMark/>
          </w:tcPr>
          <w:p w14:paraId="543A039A" w14:textId="77777777" w:rsidR="009A356E" w:rsidRPr="00C10545" w:rsidRDefault="009A356E" w:rsidP="009A356E">
            <w:pPr>
              <w:jc w:val="right"/>
              <w:rPr>
                <w:sz w:val="18"/>
                <w:szCs w:val="18"/>
                <w:lang w:eastAsia="en-AU"/>
              </w:rPr>
            </w:pPr>
            <w:r w:rsidRPr="00C10545">
              <w:rPr>
                <w:sz w:val="18"/>
                <w:szCs w:val="18"/>
                <w:lang w:eastAsia="en-AU"/>
              </w:rPr>
              <w:t>24.63</w:t>
            </w:r>
          </w:p>
        </w:tc>
        <w:tc>
          <w:tcPr>
            <w:tcW w:w="388" w:type="pct"/>
            <w:tcBorders>
              <w:top w:val="nil"/>
              <w:left w:val="nil"/>
              <w:bottom w:val="single" w:sz="4" w:space="0" w:color="auto"/>
              <w:right w:val="single" w:sz="4" w:space="0" w:color="auto"/>
            </w:tcBorders>
            <w:shd w:val="clear" w:color="000000" w:fill="FDE9D9"/>
            <w:noWrap/>
            <w:vAlign w:val="bottom"/>
            <w:hideMark/>
          </w:tcPr>
          <w:p w14:paraId="50A8FECA" w14:textId="77777777" w:rsidR="009A356E" w:rsidRPr="00C10545" w:rsidRDefault="009A356E" w:rsidP="009A356E">
            <w:pPr>
              <w:jc w:val="right"/>
              <w:rPr>
                <w:sz w:val="18"/>
                <w:szCs w:val="18"/>
                <w:lang w:eastAsia="en-AU"/>
              </w:rPr>
            </w:pPr>
            <w:r w:rsidRPr="00C10545">
              <w:rPr>
                <w:sz w:val="18"/>
                <w:szCs w:val="18"/>
                <w:lang w:eastAsia="en-AU"/>
              </w:rPr>
              <w:t>29.7%</w:t>
            </w:r>
          </w:p>
        </w:tc>
        <w:tc>
          <w:tcPr>
            <w:tcW w:w="388" w:type="pct"/>
            <w:tcBorders>
              <w:top w:val="nil"/>
              <w:left w:val="nil"/>
              <w:bottom w:val="single" w:sz="4" w:space="0" w:color="auto"/>
              <w:right w:val="single" w:sz="4" w:space="0" w:color="auto"/>
            </w:tcBorders>
            <w:shd w:val="clear" w:color="000000" w:fill="DAEEF3"/>
            <w:noWrap/>
            <w:vAlign w:val="bottom"/>
            <w:hideMark/>
          </w:tcPr>
          <w:p w14:paraId="7E436F09" w14:textId="77777777" w:rsidR="009A356E" w:rsidRPr="00C10545" w:rsidRDefault="009A356E" w:rsidP="009A356E">
            <w:pPr>
              <w:jc w:val="right"/>
              <w:rPr>
                <w:sz w:val="18"/>
                <w:szCs w:val="18"/>
                <w:lang w:eastAsia="en-AU"/>
              </w:rPr>
            </w:pPr>
            <w:r w:rsidRPr="00C10545">
              <w:rPr>
                <w:sz w:val="18"/>
                <w:szCs w:val="18"/>
                <w:lang w:eastAsia="en-AU"/>
              </w:rPr>
              <w:t>22.2%</w:t>
            </w:r>
          </w:p>
        </w:tc>
        <w:tc>
          <w:tcPr>
            <w:tcW w:w="388" w:type="pct"/>
            <w:tcBorders>
              <w:top w:val="nil"/>
              <w:left w:val="nil"/>
              <w:bottom w:val="single" w:sz="4" w:space="0" w:color="auto"/>
              <w:right w:val="single" w:sz="4" w:space="0" w:color="auto"/>
            </w:tcBorders>
            <w:shd w:val="clear" w:color="000000" w:fill="EBF1DE"/>
            <w:noWrap/>
            <w:vAlign w:val="bottom"/>
            <w:hideMark/>
          </w:tcPr>
          <w:p w14:paraId="7C079C6F" w14:textId="77777777" w:rsidR="009A356E" w:rsidRPr="00C10545" w:rsidRDefault="009A356E" w:rsidP="009A356E">
            <w:pPr>
              <w:jc w:val="right"/>
              <w:rPr>
                <w:sz w:val="18"/>
                <w:szCs w:val="18"/>
                <w:lang w:eastAsia="en-AU"/>
              </w:rPr>
            </w:pPr>
            <w:r w:rsidRPr="00C10545">
              <w:rPr>
                <w:sz w:val="18"/>
                <w:szCs w:val="18"/>
                <w:lang w:eastAsia="en-AU"/>
              </w:rPr>
              <w:t>21.5%</w:t>
            </w:r>
          </w:p>
        </w:tc>
        <w:tc>
          <w:tcPr>
            <w:tcW w:w="388" w:type="pct"/>
            <w:tcBorders>
              <w:top w:val="nil"/>
              <w:left w:val="nil"/>
              <w:bottom w:val="single" w:sz="4" w:space="0" w:color="auto"/>
              <w:right w:val="single" w:sz="4" w:space="0" w:color="auto"/>
            </w:tcBorders>
            <w:shd w:val="clear" w:color="000000" w:fill="E4DFEC"/>
            <w:noWrap/>
            <w:vAlign w:val="bottom"/>
            <w:hideMark/>
          </w:tcPr>
          <w:p w14:paraId="4B094B61" w14:textId="77777777" w:rsidR="009A356E" w:rsidRPr="00C10545" w:rsidRDefault="009A356E" w:rsidP="009A356E">
            <w:pPr>
              <w:jc w:val="right"/>
              <w:rPr>
                <w:sz w:val="18"/>
                <w:szCs w:val="18"/>
                <w:lang w:eastAsia="en-AU"/>
              </w:rPr>
            </w:pPr>
            <w:r w:rsidRPr="00C10545">
              <w:rPr>
                <w:sz w:val="18"/>
                <w:szCs w:val="18"/>
                <w:lang w:eastAsia="en-AU"/>
              </w:rPr>
              <w:t>22.3%</w:t>
            </w:r>
          </w:p>
        </w:tc>
      </w:tr>
      <w:tr w:rsidR="009A356E" w:rsidRPr="00B030A2" w14:paraId="6773012B" w14:textId="77777777" w:rsidTr="009A356E">
        <w:trPr>
          <w:trHeight w:val="240"/>
        </w:trPr>
        <w:tc>
          <w:tcPr>
            <w:tcW w:w="828" w:type="pct"/>
            <w:tcBorders>
              <w:top w:val="nil"/>
              <w:left w:val="single" w:sz="4" w:space="0" w:color="auto"/>
              <w:bottom w:val="single" w:sz="4" w:space="0" w:color="auto"/>
              <w:right w:val="single" w:sz="4" w:space="0" w:color="auto"/>
            </w:tcBorders>
            <w:shd w:val="clear" w:color="auto" w:fill="auto"/>
            <w:noWrap/>
            <w:vAlign w:val="bottom"/>
            <w:hideMark/>
          </w:tcPr>
          <w:p w14:paraId="414B6055" w14:textId="77777777" w:rsidR="009A356E" w:rsidRPr="00C10545" w:rsidRDefault="009A356E" w:rsidP="009A356E">
            <w:pPr>
              <w:rPr>
                <w:sz w:val="18"/>
                <w:szCs w:val="18"/>
                <w:lang w:eastAsia="en-AU"/>
              </w:rPr>
            </w:pPr>
            <w:r w:rsidRPr="00C10545">
              <w:rPr>
                <w:sz w:val="18"/>
                <w:szCs w:val="18"/>
                <w:lang w:eastAsia="en-AU"/>
              </w:rPr>
              <w:lastRenderedPageBreak/>
              <w:t>West Gippsland</w:t>
            </w:r>
          </w:p>
        </w:tc>
        <w:tc>
          <w:tcPr>
            <w:tcW w:w="301" w:type="pct"/>
            <w:tcBorders>
              <w:top w:val="nil"/>
              <w:left w:val="nil"/>
              <w:bottom w:val="single" w:sz="4" w:space="0" w:color="auto"/>
              <w:right w:val="single" w:sz="4" w:space="0" w:color="auto"/>
            </w:tcBorders>
            <w:shd w:val="clear" w:color="000000" w:fill="FDE9D9"/>
            <w:noWrap/>
            <w:vAlign w:val="bottom"/>
            <w:hideMark/>
          </w:tcPr>
          <w:p w14:paraId="03BB7D9E" w14:textId="77777777" w:rsidR="009A356E" w:rsidRPr="00C10545" w:rsidRDefault="009A356E" w:rsidP="009A356E">
            <w:pPr>
              <w:jc w:val="right"/>
              <w:rPr>
                <w:sz w:val="18"/>
                <w:szCs w:val="18"/>
                <w:lang w:eastAsia="en-AU"/>
              </w:rPr>
            </w:pPr>
            <w:r w:rsidRPr="00C10545">
              <w:rPr>
                <w:sz w:val="18"/>
                <w:szCs w:val="18"/>
                <w:lang w:eastAsia="en-AU"/>
              </w:rPr>
              <w:t>5.32</w:t>
            </w:r>
          </w:p>
        </w:tc>
        <w:tc>
          <w:tcPr>
            <w:tcW w:w="353" w:type="pct"/>
            <w:tcBorders>
              <w:top w:val="nil"/>
              <w:left w:val="nil"/>
              <w:bottom w:val="single" w:sz="4" w:space="0" w:color="auto"/>
              <w:right w:val="single" w:sz="4" w:space="0" w:color="auto"/>
            </w:tcBorders>
            <w:shd w:val="clear" w:color="000000" w:fill="FDE9D9"/>
            <w:noWrap/>
            <w:vAlign w:val="bottom"/>
            <w:hideMark/>
          </w:tcPr>
          <w:p w14:paraId="4ACEB69E" w14:textId="77777777" w:rsidR="009A356E" w:rsidRPr="00C10545" w:rsidRDefault="009A356E" w:rsidP="009A356E">
            <w:pPr>
              <w:jc w:val="right"/>
              <w:rPr>
                <w:sz w:val="18"/>
                <w:szCs w:val="18"/>
                <w:lang w:eastAsia="en-AU"/>
              </w:rPr>
            </w:pPr>
            <w:r w:rsidRPr="00C10545">
              <w:rPr>
                <w:sz w:val="18"/>
                <w:szCs w:val="18"/>
                <w:lang w:eastAsia="en-AU"/>
              </w:rPr>
              <w:t>26.34</w:t>
            </w:r>
          </w:p>
        </w:tc>
        <w:tc>
          <w:tcPr>
            <w:tcW w:w="301" w:type="pct"/>
            <w:tcBorders>
              <w:top w:val="nil"/>
              <w:left w:val="nil"/>
              <w:bottom w:val="single" w:sz="4" w:space="0" w:color="auto"/>
              <w:right w:val="single" w:sz="4" w:space="0" w:color="auto"/>
            </w:tcBorders>
            <w:shd w:val="clear" w:color="000000" w:fill="DAEEF3"/>
            <w:noWrap/>
            <w:vAlign w:val="bottom"/>
            <w:hideMark/>
          </w:tcPr>
          <w:p w14:paraId="7740A948" w14:textId="77777777" w:rsidR="009A356E" w:rsidRPr="00C10545" w:rsidRDefault="009A356E" w:rsidP="009A356E">
            <w:pPr>
              <w:jc w:val="right"/>
              <w:rPr>
                <w:sz w:val="18"/>
                <w:szCs w:val="18"/>
                <w:lang w:eastAsia="en-AU"/>
              </w:rPr>
            </w:pPr>
            <w:r w:rsidRPr="00C10545">
              <w:rPr>
                <w:sz w:val="18"/>
                <w:szCs w:val="18"/>
                <w:lang w:eastAsia="en-AU"/>
              </w:rPr>
              <w:t>6.27</w:t>
            </w:r>
          </w:p>
        </w:tc>
        <w:tc>
          <w:tcPr>
            <w:tcW w:w="353" w:type="pct"/>
            <w:tcBorders>
              <w:top w:val="nil"/>
              <w:left w:val="nil"/>
              <w:bottom w:val="single" w:sz="4" w:space="0" w:color="auto"/>
              <w:right w:val="single" w:sz="4" w:space="0" w:color="auto"/>
            </w:tcBorders>
            <w:shd w:val="clear" w:color="000000" w:fill="DAEEF3"/>
            <w:noWrap/>
            <w:vAlign w:val="bottom"/>
            <w:hideMark/>
          </w:tcPr>
          <w:p w14:paraId="06AB1FDA" w14:textId="77777777" w:rsidR="009A356E" w:rsidRPr="00C10545" w:rsidRDefault="009A356E" w:rsidP="009A356E">
            <w:pPr>
              <w:jc w:val="right"/>
              <w:rPr>
                <w:sz w:val="18"/>
                <w:szCs w:val="18"/>
                <w:lang w:eastAsia="en-AU"/>
              </w:rPr>
            </w:pPr>
            <w:r w:rsidRPr="00C10545">
              <w:rPr>
                <w:sz w:val="18"/>
                <w:szCs w:val="18"/>
                <w:lang w:eastAsia="en-AU"/>
              </w:rPr>
              <w:t>31.03</w:t>
            </w:r>
          </w:p>
        </w:tc>
        <w:tc>
          <w:tcPr>
            <w:tcW w:w="301" w:type="pct"/>
            <w:tcBorders>
              <w:top w:val="nil"/>
              <w:left w:val="nil"/>
              <w:bottom w:val="single" w:sz="4" w:space="0" w:color="auto"/>
              <w:right w:val="single" w:sz="4" w:space="0" w:color="auto"/>
            </w:tcBorders>
            <w:shd w:val="clear" w:color="000000" w:fill="EBF1DE"/>
            <w:noWrap/>
            <w:vAlign w:val="bottom"/>
            <w:hideMark/>
          </w:tcPr>
          <w:p w14:paraId="6DF1A8DD" w14:textId="77777777" w:rsidR="009A356E" w:rsidRPr="00C10545" w:rsidRDefault="009A356E" w:rsidP="009A356E">
            <w:pPr>
              <w:jc w:val="right"/>
              <w:rPr>
                <w:sz w:val="18"/>
                <w:szCs w:val="18"/>
                <w:lang w:eastAsia="en-AU"/>
              </w:rPr>
            </w:pPr>
            <w:r w:rsidRPr="00C10545">
              <w:rPr>
                <w:sz w:val="18"/>
                <w:szCs w:val="18"/>
                <w:lang w:eastAsia="en-AU"/>
              </w:rPr>
              <w:t>5.56</w:t>
            </w:r>
          </w:p>
        </w:tc>
        <w:tc>
          <w:tcPr>
            <w:tcW w:w="354" w:type="pct"/>
            <w:tcBorders>
              <w:top w:val="nil"/>
              <w:left w:val="nil"/>
              <w:bottom w:val="single" w:sz="4" w:space="0" w:color="auto"/>
              <w:right w:val="single" w:sz="4" w:space="0" w:color="auto"/>
            </w:tcBorders>
            <w:shd w:val="clear" w:color="000000" w:fill="EBF1DE"/>
            <w:noWrap/>
            <w:vAlign w:val="bottom"/>
            <w:hideMark/>
          </w:tcPr>
          <w:p w14:paraId="6AE808BD" w14:textId="77777777" w:rsidR="009A356E" w:rsidRPr="00C10545" w:rsidRDefault="009A356E" w:rsidP="009A356E">
            <w:pPr>
              <w:jc w:val="right"/>
              <w:rPr>
                <w:sz w:val="18"/>
                <w:szCs w:val="18"/>
                <w:lang w:eastAsia="en-AU"/>
              </w:rPr>
            </w:pPr>
            <w:r w:rsidRPr="00C10545">
              <w:rPr>
                <w:sz w:val="18"/>
                <w:szCs w:val="18"/>
                <w:lang w:eastAsia="en-AU"/>
              </w:rPr>
              <w:t>33.89</w:t>
            </w:r>
          </w:p>
        </w:tc>
        <w:tc>
          <w:tcPr>
            <w:tcW w:w="302" w:type="pct"/>
            <w:tcBorders>
              <w:top w:val="nil"/>
              <w:left w:val="nil"/>
              <w:bottom w:val="single" w:sz="4" w:space="0" w:color="auto"/>
              <w:right w:val="single" w:sz="4" w:space="0" w:color="auto"/>
            </w:tcBorders>
            <w:shd w:val="clear" w:color="000000" w:fill="E4DFEC"/>
            <w:noWrap/>
            <w:vAlign w:val="bottom"/>
            <w:hideMark/>
          </w:tcPr>
          <w:p w14:paraId="62A42E6C" w14:textId="77777777" w:rsidR="009A356E" w:rsidRPr="00C10545" w:rsidRDefault="009A356E" w:rsidP="009A356E">
            <w:pPr>
              <w:jc w:val="right"/>
              <w:rPr>
                <w:sz w:val="18"/>
                <w:szCs w:val="18"/>
                <w:lang w:eastAsia="en-AU"/>
              </w:rPr>
            </w:pPr>
            <w:r w:rsidRPr="00C10545">
              <w:rPr>
                <w:sz w:val="18"/>
                <w:szCs w:val="18"/>
                <w:lang w:eastAsia="en-AU"/>
              </w:rPr>
              <w:t>5.61</w:t>
            </w:r>
          </w:p>
        </w:tc>
        <w:tc>
          <w:tcPr>
            <w:tcW w:w="354" w:type="pct"/>
            <w:tcBorders>
              <w:top w:val="nil"/>
              <w:left w:val="nil"/>
              <w:bottom w:val="single" w:sz="4" w:space="0" w:color="auto"/>
              <w:right w:val="single" w:sz="4" w:space="0" w:color="auto"/>
            </w:tcBorders>
            <w:shd w:val="clear" w:color="000000" w:fill="E4DFEC"/>
            <w:noWrap/>
            <w:vAlign w:val="bottom"/>
            <w:hideMark/>
          </w:tcPr>
          <w:p w14:paraId="4F95D780" w14:textId="77777777" w:rsidR="009A356E" w:rsidRPr="00C10545" w:rsidRDefault="009A356E" w:rsidP="009A356E">
            <w:pPr>
              <w:jc w:val="right"/>
              <w:rPr>
                <w:sz w:val="18"/>
                <w:szCs w:val="18"/>
                <w:lang w:eastAsia="en-AU"/>
              </w:rPr>
            </w:pPr>
            <w:r w:rsidRPr="00C10545">
              <w:rPr>
                <w:sz w:val="18"/>
                <w:szCs w:val="18"/>
                <w:lang w:eastAsia="en-AU"/>
              </w:rPr>
              <w:t>36.50</w:t>
            </w:r>
          </w:p>
        </w:tc>
        <w:tc>
          <w:tcPr>
            <w:tcW w:w="388" w:type="pct"/>
            <w:tcBorders>
              <w:top w:val="nil"/>
              <w:left w:val="nil"/>
              <w:bottom w:val="single" w:sz="4" w:space="0" w:color="auto"/>
              <w:right w:val="single" w:sz="4" w:space="0" w:color="auto"/>
            </w:tcBorders>
            <w:shd w:val="clear" w:color="000000" w:fill="FDE9D9"/>
            <w:noWrap/>
            <w:vAlign w:val="bottom"/>
            <w:hideMark/>
          </w:tcPr>
          <w:p w14:paraId="4279236A" w14:textId="77777777" w:rsidR="009A356E" w:rsidRPr="00C10545" w:rsidRDefault="009A356E" w:rsidP="009A356E">
            <w:pPr>
              <w:jc w:val="right"/>
              <w:rPr>
                <w:sz w:val="18"/>
                <w:szCs w:val="18"/>
                <w:lang w:eastAsia="en-AU"/>
              </w:rPr>
            </w:pPr>
            <w:r w:rsidRPr="00C10545">
              <w:rPr>
                <w:sz w:val="18"/>
                <w:szCs w:val="18"/>
                <w:lang w:eastAsia="en-AU"/>
              </w:rPr>
              <w:t>20.2%</w:t>
            </w:r>
          </w:p>
        </w:tc>
        <w:tc>
          <w:tcPr>
            <w:tcW w:w="388" w:type="pct"/>
            <w:tcBorders>
              <w:top w:val="nil"/>
              <w:left w:val="nil"/>
              <w:bottom w:val="single" w:sz="4" w:space="0" w:color="auto"/>
              <w:right w:val="single" w:sz="4" w:space="0" w:color="auto"/>
            </w:tcBorders>
            <w:shd w:val="clear" w:color="000000" w:fill="DAEEF3"/>
            <w:noWrap/>
            <w:vAlign w:val="bottom"/>
            <w:hideMark/>
          </w:tcPr>
          <w:p w14:paraId="3C507226" w14:textId="77777777" w:rsidR="009A356E" w:rsidRPr="00C10545" w:rsidRDefault="009A356E" w:rsidP="009A356E">
            <w:pPr>
              <w:jc w:val="right"/>
              <w:rPr>
                <w:sz w:val="18"/>
                <w:szCs w:val="18"/>
                <w:lang w:eastAsia="en-AU"/>
              </w:rPr>
            </w:pPr>
            <w:r w:rsidRPr="00C10545">
              <w:rPr>
                <w:sz w:val="18"/>
                <w:szCs w:val="18"/>
                <w:lang w:eastAsia="en-AU"/>
              </w:rPr>
              <w:t>20.2%</w:t>
            </w:r>
          </w:p>
        </w:tc>
        <w:tc>
          <w:tcPr>
            <w:tcW w:w="388" w:type="pct"/>
            <w:tcBorders>
              <w:top w:val="nil"/>
              <w:left w:val="nil"/>
              <w:bottom w:val="single" w:sz="4" w:space="0" w:color="auto"/>
              <w:right w:val="single" w:sz="4" w:space="0" w:color="auto"/>
            </w:tcBorders>
            <w:shd w:val="clear" w:color="000000" w:fill="EBF1DE"/>
            <w:noWrap/>
            <w:vAlign w:val="bottom"/>
            <w:hideMark/>
          </w:tcPr>
          <w:p w14:paraId="7537F112" w14:textId="77777777" w:rsidR="009A356E" w:rsidRPr="00C10545" w:rsidRDefault="009A356E" w:rsidP="009A356E">
            <w:pPr>
              <w:jc w:val="right"/>
              <w:rPr>
                <w:sz w:val="18"/>
                <w:szCs w:val="18"/>
                <w:lang w:eastAsia="en-AU"/>
              </w:rPr>
            </w:pPr>
            <w:r w:rsidRPr="00C10545">
              <w:rPr>
                <w:sz w:val="18"/>
                <w:szCs w:val="18"/>
                <w:lang w:eastAsia="en-AU"/>
              </w:rPr>
              <w:t>16.4%</w:t>
            </w:r>
          </w:p>
        </w:tc>
        <w:tc>
          <w:tcPr>
            <w:tcW w:w="388" w:type="pct"/>
            <w:tcBorders>
              <w:top w:val="nil"/>
              <w:left w:val="nil"/>
              <w:bottom w:val="single" w:sz="4" w:space="0" w:color="auto"/>
              <w:right w:val="single" w:sz="4" w:space="0" w:color="auto"/>
            </w:tcBorders>
            <w:shd w:val="clear" w:color="000000" w:fill="E4DFEC"/>
            <w:noWrap/>
            <w:vAlign w:val="bottom"/>
            <w:hideMark/>
          </w:tcPr>
          <w:p w14:paraId="7E283480" w14:textId="77777777" w:rsidR="009A356E" w:rsidRPr="00C10545" w:rsidRDefault="009A356E" w:rsidP="009A356E">
            <w:pPr>
              <w:jc w:val="right"/>
              <w:rPr>
                <w:sz w:val="18"/>
                <w:szCs w:val="18"/>
                <w:lang w:eastAsia="en-AU"/>
              </w:rPr>
            </w:pPr>
            <w:r w:rsidRPr="00C10545">
              <w:rPr>
                <w:sz w:val="18"/>
                <w:szCs w:val="18"/>
                <w:lang w:eastAsia="en-AU"/>
              </w:rPr>
              <w:t>15.4%</w:t>
            </w:r>
          </w:p>
        </w:tc>
      </w:tr>
      <w:tr w:rsidR="009A356E" w:rsidRPr="00B030A2" w14:paraId="28416114" w14:textId="77777777" w:rsidTr="009A356E">
        <w:trPr>
          <w:trHeight w:val="240"/>
        </w:trPr>
        <w:tc>
          <w:tcPr>
            <w:tcW w:w="828" w:type="pct"/>
            <w:tcBorders>
              <w:top w:val="nil"/>
              <w:left w:val="single" w:sz="4" w:space="0" w:color="auto"/>
              <w:bottom w:val="single" w:sz="4" w:space="0" w:color="auto"/>
              <w:right w:val="single" w:sz="4" w:space="0" w:color="auto"/>
            </w:tcBorders>
            <w:shd w:val="clear" w:color="auto" w:fill="auto"/>
            <w:noWrap/>
            <w:vAlign w:val="bottom"/>
            <w:hideMark/>
          </w:tcPr>
          <w:p w14:paraId="4200B366" w14:textId="77777777" w:rsidR="009A356E" w:rsidRPr="00C10545" w:rsidRDefault="009A356E" w:rsidP="009A356E">
            <w:pPr>
              <w:rPr>
                <w:sz w:val="18"/>
                <w:szCs w:val="18"/>
                <w:lang w:eastAsia="en-AU"/>
              </w:rPr>
            </w:pPr>
            <w:r w:rsidRPr="00C10545">
              <w:rPr>
                <w:sz w:val="18"/>
                <w:szCs w:val="18"/>
                <w:lang w:eastAsia="en-AU"/>
              </w:rPr>
              <w:t>Wimmera</w:t>
            </w:r>
          </w:p>
        </w:tc>
        <w:tc>
          <w:tcPr>
            <w:tcW w:w="301" w:type="pct"/>
            <w:tcBorders>
              <w:top w:val="nil"/>
              <w:left w:val="nil"/>
              <w:bottom w:val="single" w:sz="4" w:space="0" w:color="auto"/>
              <w:right w:val="single" w:sz="4" w:space="0" w:color="auto"/>
            </w:tcBorders>
            <w:shd w:val="clear" w:color="000000" w:fill="FDE9D9"/>
            <w:noWrap/>
            <w:vAlign w:val="bottom"/>
            <w:hideMark/>
          </w:tcPr>
          <w:p w14:paraId="2FEF35A9" w14:textId="77777777" w:rsidR="009A356E" w:rsidRPr="00C10545" w:rsidRDefault="009A356E" w:rsidP="009A356E">
            <w:pPr>
              <w:jc w:val="right"/>
              <w:rPr>
                <w:sz w:val="18"/>
                <w:szCs w:val="18"/>
                <w:lang w:eastAsia="en-AU"/>
              </w:rPr>
            </w:pPr>
            <w:r w:rsidRPr="00C10545">
              <w:rPr>
                <w:sz w:val="18"/>
                <w:szCs w:val="18"/>
                <w:lang w:eastAsia="en-AU"/>
              </w:rPr>
              <w:t>6.33</w:t>
            </w:r>
          </w:p>
        </w:tc>
        <w:tc>
          <w:tcPr>
            <w:tcW w:w="353" w:type="pct"/>
            <w:tcBorders>
              <w:top w:val="nil"/>
              <w:left w:val="nil"/>
              <w:bottom w:val="single" w:sz="4" w:space="0" w:color="auto"/>
              <w:right w:val="single" w:sz="4" w:space="0" w:color="auto"/>
            </w:tcBorders>
            <w:shd w:val="clear" w:color="000000" w:fill="FDE9D9"/>
            <w:noWrap/>
            <w:vAlign w:val="bottom"/>
            <w:hideMark/>
          </w:tcPr>
          <w:p w14:paraId="06EA5390" w14:textId="77777777" w:rsidR="009A356E" w:rsidRPr="00C10545" w:rsidRDefault="009A356E" w:rsidP="009A356E">
            <w:pPr>
              <w:jc w:val="right"/>
              <w:rPr>
                <w:sz w:val="18"/>
                <w:szCs w:val="18"/>
                <w:lang w:eastAsia="en-AU"/>
              </w:rPr>
            </w:pPr>
            <w:r w:rsidRPr="00C10545">
              <w:rPr>
                <w:sz w:val="18"/>
                <w:szCs w:val="18"/>
                <w:lang w:eastAsia="en-AU"/>
              </w:rPr>
              <w:t>24.24</w:t>
            </w:r>
          </w:p>
        </w:tc>
        <w:tc>
          <w:tcPr>
            <w:tcW w:w="301" w:type="pct"/>
            <w:tcBorders>
              <w:top w:val="nil"/>
              <w:left w:val="nil"/>
              <w:bottom w:val="single" w:sz="4" w:space="0" w:color="auto"/>
              <w:right w:val="single" w:sz="4" w:space="0" w:color="auto"/>
            </w:tcBorders>
            <w:shd w:val="clear" w:color="000000" w:fill="DAEEF3"/>
            <w:noWrap/>
            <w:vAlign w:val="bottom"/>
            <w:hideMark/>
          </w:tcPr>
          <w:p w14:paraId="66947382" w14:textId="77777777" w:rsidR="009A356E" w:rsidRPr="00C10545" w:rsidRDefault="009A356E" w:rsidP="009A356E">
            <w:pPr>
              <w:jc w:val="right"/>
              <w:rPr>
                <w:sz w:val="18"/>
                <w:szCs w:val="18"/>
                <w:lang w:eastAsia="en-AU"/>
              </w:rPr>
            </w:pPr>
            <w:r w:rsidRPr="00C10545">
              <w:rPr>
                <w:sz w:val="18"/>
                <w:szCs w:val="18"/>
                <w:lang w:eastAsia="en-AU"/>
              </w:rPr>
              <w:t>8.46</w:t>
            </w:r>
          </w:p>
        </w:tc>
        <w:tc>
          <w:tcPr>
            <w:tcW w:w="353" w:type="pct"/>
            <w:tcBorders>
              <w:top w:val="nil"/>
              <w:left w:val="nil"/>
              <w:bottom w:val="single" w:sz="4" w:space="0" w:color="auto"/>
              <w:right w:val="single" w:sz="4" w:space="0" w:color="auto"/>
            </w:tcBorders>
            <w:shd w:val="clear" w:color="000000" w:fill="DAEEF3"/>
            <w:noWrap/>
            <w:vAlign w:val="bottom"/>
            <w:hideMark/>
          </w:tcPr>
          <w:p w14:paraId="682024E8" w14:textId="77777777" w:rsidR="009A356E" w:rsidRPr="00C10545" w:rsidRDefault="009A356E" w:rsidP="009A356E">
            <w:pPr>
              <w:jc w:val="right"/>
              <w:rPr>
                <w:sz w:val="18"/>
                <w:szCs w:val="18"/>
                <w:lang w:eastAsia="en-AU"/>
              </w:rPr>
            </w:pPr>
            <w:r w:rsidRPr="00C10545">
              <w:rPr>
                <w:sz w:val="18"/>
                <w:szCs w:val="18"/>
                <w:lang w:eastAsia="en-AU"/>
              </w:rPr>
              <w:t>38.16</w:t>
            </w:r>
          </w:p>
        </w:tc>
        <w:tc>
          <w:tcPr>
            <w:tcW w:w="301" w:type="pct"/>
            <w:tcBorders>
              <w:top w:val="nil"/>
              <w:left w:val="nil"/>
              <w:bottom w:val="single" w:sz="4" w:space="0" w:color="auto"/>
              <w:right w:val="single" w:sz="4" w:space="0" w:color="auto"/>
            </w:tcBorders>
            <w:shd w:val="clear" w:color="000000" w:fill="EBF1DE"/>
            <w:noWrap/>
            <w:vAlign w:val="bottom"/>
            <w:hideMark/>
          </w:tcPr>
          <w:p w14:paraId="3434BA97" w14:textId="77777777" w:rsidR="009A356E" w:rsidRPr="00C10545" w:rsidRDefault="009A356E" w:rsidP="009A356E">
            <w:pPr>
              <w:jc w:val="right"/>
              <w:rPr>
                <w:sz w:val="18"/>
                <w:szCs w:val="18"/>
                <w:lang w:eastAsia="en-AU"/>
              </w:rPr>
            </w:pPr>
            <w:r w:rsidRPr="00C10545">
              <w:rPr>
                <w:sz w:val="18"/>
                <w:szCs w:val="18"/>
                <w:lang w:eastAsia="en-AU"/>
              </w:rPr>
              <w:t>8.51</w:t>
            </w:r>
          </w:p>
        </w:tc>
        <w:tc>
          <w:tcPr>
            <w:tcW w:w="354" w:type="pct"/>
            <w:tcBorders>
              <w:top w:val="nil"/>
              <w:left w:val="nil"/>
              <w:bottom w:val="single" w:sz="4" w:space="0" w:color="auto"/>
              <w:right w:val="single" w:sz="4" w:space="0" w:color="auto"/>
            </w:tcBorders>
            <w:shd w:val="clear" w:color="000000" w:fill="EBF1DE"/>
            <w:noWrap/>
            <w:vAlign w:val="bottom"/>
            <w:hideMark/>
          </w:tcPr>
          <w:p w14:paraId="65E6F251" w14:textId="77777777" w:rsidR="009A356E" w:rsidRPr="00C10545" w:rsidRDefault="009A356E" w:rsidP="009A356E">
            <w:pPr>
              <w:jc w:val="right"/>
              <w:rPr>
                <w:sz w:val="18"/>
                <w:szCs w:val="18"/>
                <w:lang w:eastAsia="en-AU"/>
              </w:rPr>
            </w:pPr>
            <w:r w:rsidRPr="00C10545">
              <w:rPr>
                <w:sz w:val="18"/>
                <w:szCs w:val="18"/>
                <w:lang w:eastAsia="en-AU"/>
              </w:rPr>
              <w:t>31.20</w:t>
            </w:r>
          </w:p>
        </w:tc>
        <w:tc>
          <w:tcPr>
            <w:tcW w:w="302" w:type="pct"/>
            <w:tcBorders>
              <w:top w:val="nil"/>
              <w:left w:val="nil"/>
              <w:bottom w:val="single" w:sz="4" w:space="0" w:color="auto"/>
              <w:right w:val="single" w:sz="4" w:space="0" w:color="auto"/>
            </w:tcBorders>
            <w:shd w:val="clear" w:color="000000" w:fill="E4DFEC"/>
            <w:noWrap/>
            <w:vAlign w:val="bottom"/>
            <w:hideMark/>
          </w:tcPr>
          <w:p w14:paraId="67EB07DB" w14:textId="77777777" w:rsidR="009A356E" w:rsidRPr="00C10545" w:rsidRDefault="009A356E" w:rsidP="009A356E">
            <w:pPr>
              <w:jc w:val="right"/>
              <w:rPr>
                <w:sz w:val="18"/>
                <w:szCs w:val="18"/>
                <w:lang w:eastAsia="en-AU"/>
              </w:rPr>
            </w:pPr>
            <w:r w:rsidRPr="00C10545">
              <w:rPr>
                <w:sz w:val="18"/>
                <w:szCs w:val="18"/>
                <w:lang w:eastAsia="en-AU"/>
              </w:rPr>
              <w:t>9.73</w:t>
            </w:r>
          </w:p>
        </w:tc>
        <w:tc>
          <w:tcPr>
            <w:tcW w:w="354" w:type="pct"/>
            <w:tcBorders>
              <w:top w:val="nil"/>
              <w:left w:val="nil"/>
              <w:bottom w:val="single" w:sz="4" w:space="0" w:color="auto"/>
              <w:right w:val="single" w:sz="4" w:space="0" w:color="auto"/>
            </w:tcBorders>
            <w:shd w:val="clear" w:color="000000" w:fill="E4DFEC"/>
            <w:noWrap/>
            <w:vAlign w:val="bottom"/>
            <w:hideMark/>
          </w:tcPr>
          <w:p w14:paraId="3E99551E" w14:textId="77777777" w:rsidR="009A356E" w:rsidRPr="00C10545" w:rsidRDefault="009A356E" w:rsidP="009A356E">
            <w:pPr>
              <w:jc w:val="right"/>
              <w:rPr>
                <w:sz w:val="18"/>
                <w:szCs w:val="18"/>
                <w:lang w:eastAsia="en-AU"/>
              </w:rPr>
            </w:pPr>
            <w:r w:rsidRPr="00C10545">
              <w:rPr>
                <w:sz w:val="18"/>
                <w:szCs w:val="18"/>
                <w:lang w:eastAsia="en-AU"/>
              </w:rPr>
              <w:t>32.86</w:t>
            </w:r>
          </w:p>
        </w:tc>
        <w:tc>
          <w:tcPr>
            <w:tcW w:w="388" w:type="pct"/>
            <w:tcBorders>
              <w:top w:val="nil"/>
              <w:left w:val="nil"/>
              <w:bottom w:val="single" w:sz="4" w:space="0" w:color="auto"/>
              <w:right w:val="single" w:sz="4" w:space="0" w:color="auto"/>
            </w:tcBorders>
            <w:shd w:val="clear" w:color="000000" w:fill="FDE9D9"/>
            <w:noWrap/>
            <w:vAlign w:val="bottom"/>
            <w:hideMark/>
          </w:tcPr>
          <w:p w14:paraId="1B6343B5" w14:textId="77777777" w:rsidR="009A356E" w:rsidRPr="00C10545" w:rsidRDefault="009A356E" w:rsidP="009A356E">
            <w:pPr>
              <w:jc w:val="right"/>
              <w:rPr>
                <w:sz w:val="18"/>
                <w:szCs w:val="18"/>
                <w:lang w:eastAsia="en-AU"/>
              </w:rPr>
            </w:pPr>
            <w:r w:rsidRPr="00C10545">
              <w:rPr>
                <w:sz w:val="18"/>
                <w:szCs w:val="18"/>
                <w:lang w:eastAsia="en-AU"/>
              </w:rPr>
              <w:t>26.1%</w:t>
            </w:r>
          </w:p>
        </w:tc>
        <w:tc>
          <w:tcPr>
            <w:tcW w:w="388" w:type="pct"/>
            <w:tcBorders>
              <w:top w:val="nil"/>
              <w:left w:val="nil"/>
              <w:bottom w:val="single" w:sz="4" w:space="0" w:color="auto"/>
              <w:right w:val="single" w:sz="4" w:space="0" w:color="auto"/>
            </w:tcBorders>
            <w:shd w:val="clear" w:color="000000" w:fill="DAEEF3"/>
            <w:noWrap/>
            <w:vAlign w:val="bottom"/>
            <w:hideMark/>
          </w:tcPr>
          <w:p w14:paraId="4A292822" w14:textId="77777777" w:rsidR="009A356E" w:rsidRPr="00C10545" w:rsidRDefault="009A356E" w:rsidP="009A356E">
            <w:pPr>
              <w:jc w:val="right"/>
              <w:rPr>
                <w:sz w:val="18"/>
                <w:szCs w:val="18"/>
                <w:lang w:eastAsia="en-AU"/>
              </w:rPr>
            </w:pPr>
            <w:r w:rsidRPr="00C10545">
              <w:rPr>
                <w:sz w:val="18"/>
                <w:szCs w:val="18"/>
                <w:lang w:eastAsia="en-AU"/>
              </w:rPr>
              <w:t>22.2%</w:t>
            </w:r>
          </w:p>
        </w:tc>
        <w:tc>
          <w:tcPr>
            <w:tcW w:w="388" w:type="pct"/>
            <w:tcBorders>
              <w:top w:val="nil"/>
              <w:left w:val="nil"/>
              <w:bottom w:val="single" w:sz="4" w:space="0" w:color="auto"/>
              <w:right w:val="single" w:sz="4" w:space="0" w:color="auto"/>
            </w:tcBorders>
            <w:shd w:val="clear" w:color="000000" w:fill="EBF1DE"/>
            <w:noWrap/>
            <w:vAlign w:val="bottom"/>
            <w:hideMark/>
          </w:tcPr>
          <w:p w14:paraId="27F56EBA" w14:textId="77777777" w:rsidR="009A356E" w:rsidRPr="00C10545" w:rsidRDefault="009A356E" w:rsidP="009A356E">
            <w:pPr>
              <w:jc w:val="right"/>
              <w:rPr>
                <w:sz w:val="18"/>
                <w:szCs w:val="18"/>
                <w:lang w:eastAsia="en-AU"/>
              </w:rPr>
            </w:pPr>
            <w:r w:rsidRPr="00C10545">
              <w:rPr>
                <w:sz w:val="18"/>
                <w:szCs w:val="18"/>
                <w:lang w:eastAsia="en-AU"/>
              </w:rPr>
              <w:t>27.3%</w:t>
            </w:r>
          </w:p>
        </w:tc>
        <w:tc>
          <w:tcPr>
            <w:tcW w:w="388" w:type="pct"/>
            <w:tcBorders>
              <w:top w:val="nil"/>
              <w:left w:val="nil"/>
              <w:bottom w:val="single" w:sz="4" w:space="0" w:color="auto"/>
              <w:right w:val="single" w:sz="4" w:space="0" w:color="auto"/>
            </w:tcBorders>
            <w:shd w:val="clear" w:color="000000" w:fill="E4DFEC"/>
            <w:noWrap/>
            <w:vAlign w:val="bottom"/>
            <w:hideMark/>
          </w:tcPr>
          <w:p w14:paraId="0DA5AF43" w14:textId="77777777" w:rsidR="009A356E" w:rsidRPr="00C10545" w:rsidRDefault="009A356E" w:rsidP="009A356E">
            <w:pPr>
              <w:jc w:val="right"/>
              <w:rPr>
                <w:sz w:val="18"/>
                <w:szCs w:val="18"/>
                <w:lang w:eastAsia="en-AU"/>
              </w:rPr>
            </w:pPr>
            <w:r w:rsidRPr="00C10545">
              <w:rPr>
                <w:sz w:val="18"/>
                <w:szCs w:val="18"/>
                <w:lang w:eastAsia="en-AU"/>
              </w:rPr>
              <w:t>29.6%</w:t>
            </w:r>
          </w:p>
        </w:tc>
      </w:tr>
    </w:tbl>
    <w:p w14:paraId="6F35F788" w14:textId="77777777" w:rsidR="009A356E" w:rsidRPr="00BA2B70" w:rsidRDefault="009A356E" w:rsidP="009A356E">
      <w:pPr>
        <w:rPr>
          <w:sz w:val="16"/>
          <w:szCs w:val="16"/>
        </w:rPr>
      </w:pPr>
      <w:r w:rsidRPr="00BA2B70">
        <w:rPr>
          <w:sz w:val="16"/>
          <w:szCs w:val="16"/>
        </w:rPr>
        <w:t># includes library collection costs</w:t>
      </w:r>
    </w:p>
    <w:p w14:paraId="04661040" w14:textId="77777777" w:rsidR="009A356E" w:rsidRPr="00BA2B70" w:rsidRDefault="009A356E" w:rsidP="009A356E">
      <w:pPr>
        <w:rPr>
          <w:sz w:val="16"/>
          <w:szCs w:val="16"/>
        </w:rPr>
      </w:pPr>
      <w:r w:rsidRPr="00BA2B70">
        <w:rPr>
          <w:sz w:val="16"/>
          <w:szCs w:val="16"/>
        </w:rPr>
        <w:t>Deflated by CPI</w:t>
      </w:r>
    </w:p>
    <w:p w14:paraId="5A8A13AE" w14:textId="77777777" w:rsidR="009A356E" w:rsidRDefault="009A356E" w:rsidP="009A356E"/>
    <w:p w14:paraId="7E21EF65" w14:textId="77777777" w:rsidR="009A356E" w:rsidRDefault="009A356E" w:rsidP="009A356E">
      <w:r>
        <w:t>Despite technological innovation that has worked to improve efficiencies in public libraries, for example machine sorting of books and self-check-out, a number of trends have influenced service provision costs:</w:t>
      </w:r>
    </w:p>
    <w:p w14:paraId="1F3F16F9" w14:textId="77777777" w:rsidR="005E1192" w:rsidRDefault="005E1192" w:rsidP="009A356E"/>
    <w:p w14:paraId="76E9F930" w14:textId="77777777" w:rsidR="009A356E" w:rsidRDefault="009A356E" w:rsidP="009A356E">
      <w:pPr>
        <w:pStyle w:val="ListParagraph"/>
        <w:numPr>
          <w:ilvl w:val="0"/>
          <w:numId w:val="40"/>
        </w:numPr>
        <w:spacing w:after="200" w:line="276" w:lineRule="auto"/>
      </w:pPr>
      <w:r>
        <w:t>l</w:t>
      </w:r>
      <w:r w:rsidRPr="00417C15">
        <w:t xml:space="preserve">ibraries have grown in popularity and </w:t>
      </w:r>
      <w:r>
        <w:t>so have the services they offer;</w:t>
      </w:r>
    </w:p>
    <w:p w14:paraId="09099E40" w14:textId="77777777" w:rsidR="009A356E" w:rsidRDefault="009A356E" w:rsidP="009A356E">
      <w:pPr>
        <w:pStyle w:val="ListParagraph"/>
        <w:numPr>
          <w:ilvl w:val="0"/>
          <w:numId w:val="40"/>
        </w:numPr>
        <w:spacing w:after="200" w:line="276" w:lineRule="auto"/>
      </w:pPr>
      <w:r>
        <w:t>opening times and hours have been extended to cater for demand that arises from increased flexibility and expansion in workplace hours in society generally;</w:t>
      </w:r>
    </w:p>
    <w:p w14:paraId="5108C1CF" w14:textId="77777777" w:rsidR="009A356E" w:rsidRDefault="009A356E" w:rsidP="009A356E">
      <w:pPr>
        <w:pStyle w:val="ListParagraph"/>
        <w:numPr>
          <w:ilvl w:val="0"/>
          <w:numId w:val="40"/>
        </w:numPr>
        <w:spacing w:after="200" w:line="276" w:lineRule="auto"/>
      </w:pPr>
      <w:r>
        <w:t>library roles as educational and community hubs are increasing;</w:t>
      </w:r>
    </w:p>
    <w:p w14:paraId="580003C1" w14:textId="77777777" w:rsidR="009A356E" w:rsidRDefault="009A356E" w:rsidP="009A356E">
      <w:pPr>
        <w:pStyle w:val="ListParagraph"/>
        <w:numPr>
          <w:ilvl w:val="0"/>
          <w:numId w:val="40"/>
        </w:numPr>
        <w:spacing w:after="200" w:line="276" w:lineRule="auto"/>
      </w:pPr>
      <w:r>
        <w:t>there is increasing demand for material in new forms (e.g. e-books) while there has been only a slight decrease in the demand for printed books;</w:t>
      </w:r>
    </w:p>
    <w:p w14:paraId="139CEFFD" w14:textId="77777777" w:rsidR="009A356E" w:rsidRDefault="009A356E" w:rsidP="009A356E">
      <w:pPr>
        <w:pStyle w:val="ListParagraph"/>
        <w:numPr>
          <w:ilvl w:val="0"/>
          <w:numId w:val="40"/>
        </w:numPr>
        <w:spacing w:after="200" w:line="276" w:lineRule="auto"/>
      </w:pPr>
      <w:r>
        <w:t>changes in the composition of collections necessitates a redesign of library spaces;</w:t>
      </w:r>
    </w:p>
    <w:p w14:paraId="06AF6D78" w14:textId="77777777" w:rsidR="009A356E" w:rsidRDefault="009A356E" w:rsidP="009A356E">
      <w:pPr>
        <w:pStyle w:val="ListParagraph"/>
        <w:numPr>
          <w:ilvl w:val="0"/>
          <w:numId w:val="40"/>
        </w:numPr>
        <w:spacing w:after="200" w:line="276" w:lineRule="auto"/>
      </w:pPr>
      <w:r>
        <w:t>increased reliance on electronic resources requires additional support for employees to train in the use of new technology – library staff require both basic technological knowledge and more advanced expertise with a variety of products; and</w:t>
      </w:r>
    </w:p>
    <w:p w14:paraId="13073CAF" w14:textId="77777777" w:rsidR="009A356E" w:rsidRDefault="009A356E" w:rsidP="009A356E">
      <w:pPr>
        <w:pStyle w:val="ListParagraph"/>
        <w:numPr>
          <w:ilvl w:val="0"/>
          <w:numId w:val="40"/>
        </w:numPr>
        <w:spacing w:after="200" w:line="276" w:lineRule="auto"/>
      </w:pPr>
      <w:r>
        <w:t>there is a constant increase in demand for increased bandwidth and more computers with many libraries having to improve connection speeds and provide more public access computers.</w:t>
      </w:r>
    </w:p>
    <w:p w14:paraId="17AFBFDF" w14:textId="77777777" w:rsidR="009A356E" w:rsidRDefault="009A356E" w:rsidP="009A356E">
      <w:pPr>
        <w:rPr>
          <w:b/>
        </w:rPr>
      </w:pPr>
    </w:p>
    <w:p w14:paraId="4C608DA0" w14:textId="3C0E8CA5" w:rsidR="009A356E" w:rsidRPr="002A09EB" w:rsidRDefault="009A356E" w:rsidP="00671FD6">
      <w:pPr>
        <w:pStyle w:val="Heading3"/>
      </w:pPr>
      <w:r w:rsidRPr="002A09EB">
        <w:t>HACC</w:t>
      </w:r>
    </w:p>
    <w:p w14:paraId="2CA548DC" w14:textId="77777777" w:rsidR="00671FD6" w:rsidRDefault="00671FD6" w:rsidP="009A356E"/>
    <w:p w14:paraId="2F261522" w14:textId="182D4342" w:rsidR="009A356E" w:rsidRDefault="009A356E" w:rsidP="009A356E">
      <w:r>
        <w:t xml:space="preserve">Historically </w:t>
      </w:r>
      <w:r w:rsidR="00C836B5">
        <w:t>Home and Community Care (</w:t>
      </w:r>
      <w:r>
        <w:t>HACC</w:t>
      </w:r>
      <w:r w:rsidR="00C836B5">
        <w:t>)</w:t>
      </w:r>
      <w:r>
        <w:t xml:space="preserve"> has been funded as an output purchasing scheme under which the State Government pays councils a unit price for service delivery. This price has never fully compensated councils. </w:t>
      </w:r>
      <w:r w:rsidRPr="00E63A6A">
        <w:t>Major funding responsibility for HACC has now shifted from the State to the Commonwealth</w:t>
      </w:r>
      <w:r>
        <w:t>. Notwithstanding this HACC has been a major focus for Victorian local government. Whether future arrangements under the Commonwealth will improve the lot of councils continuing to retain a role in HACC will be particularly important.</w:t>
      </w:r>
    </w:p>
    <w:p w14:paraId="6BA5BFFB" w14:textId="77777777" w:rsidR="00C836B5" w:rsidRDefault="00C836B5" w:rsidP="009A356E"/>
    <w:p w14:paraId="6305834E" w14:textId="77777777" w:rsidR="009A356E" w:rsidRPr="00E63A6A" w:rsidRDefault="009A356E" w:rsidP="009A356E">
      <w:r>
        <w:t>MAV a</w:t>
      </w:r>
      <w:r w:rsidRPr="00E63A6A">
        <w:t>nalysis of HACC has consistently found it characterised by:</w:t>
      </w:r>
    </w:p>
    <w:p w14:paraId="53BDA9F0" w14:textId="77777777" w:rsidR="00C836B5" w:rsidRPr="00E63A6A" w:rsidRDefault="00C836B5" w:rsidP="009A356E"/>
    <w:p w14:paraId="658B2BE3" w14:textId="77777777" w:rsidR="009A356E" w:rsidRPr="00E63A6A" w:rsidRDefault="009A356E" w:rsidP="009A356E">
      <w:pPr>
        <w:pStyle w:val="ListParagraph"/>
        <w:numPr>
          <w:ilvl w:val="0"/>
          <w:numId w:val="42"/>
        </w:numPr>
        <w:spacing w:after="200" w:line="276" w:lineRule="auto"/>
      </w:pPr>
      <w:r w:rsidRPr="00E63A6A">
        <w:t xml:space="preserve">State output prices </w:t>
      </w:r>
      <w:r>
        <w:t xml:space="preserve">with </w:t>
      </w:r>
      <w:r w:rsidRPr="00E63A6A">
        <w:t>little relation to service provision costs;</w:t>
      </w:r>
    </w:p>
    <w:p w14:paraId="271F9A87" w14:textId="33FB9473" w:rsidR="009A356E" w:rsidRPr="00E63A6A" w:rsidRDefault="009A356E" w:rsidP="009A356E">
      <w:pPr>
        <w:pStyle w:val="ListParagraph"/>
        <w:numPr>
          <w:ilvl w:val="0"/>
          <w:numId w:val="42"/>
        </w:numPr>
        <w:spacing w:after="200" w:line="276" w:lineRule="auto"/>
      </w:pPr>
      <w:r w:rsidRPr="00E63A6A">
        <w:t xml:space="preserve">variations in funding outcomes difficult to reconcile with the similarities in, or differences between, councils; </w:t>
      </w:r>
      <w:r w:rsidR="008A695E">
        <w:t>and</w:t>
      </w:r>
    </w:p>
    <w:p w14:paraId="4F87D679" w14:textId="77777777" w:rsidR="009A356E" w:rsidRPr="00E63A6A" w:rsidRDefault="009A356E" w:rsidP="009A356E">
      <w:pPr>
        <w:pStyle w:val="ListParagraph"/>
        <w:numPr>
          <w:ilvl w:val="0"/>
          <w:numId w:val="42"/>
        </w:numPr>
        <w:spacing w:after="200" w:line="276" w:lineRule="auto"/>
      </w:pPr>
      <w:r w:rsidRPr="00E63A6A">
        <w:t xml:space="preserve">less than intended service growth </w:t>
      </w:r>
      <w:r>
        <w:t xml:space="preserve">that has </w:t>
      </w:r>
      <w:r w:rsidRPr="00E63A6A">
        <w:t xml:space="preserve">not </w:t>
      </w:r>
      <w:r>
        <w:t xml:space="preserve">been </w:t>
      </w:r>
      <w:r w:rsidRPr="00E63A6A">
        <w:t>keeping pace with demand</w:t>
      </w:r>
      <w:r>
        <w:t xml:space="preserve"> - data for about one half of Victorian councils show that despite </w:t>
      </w:r>
      <w:r>
        <w:lastRenderedPageBreak/>
        <w:t>“growth funding” there has been a decline in the number of units of core HACC services over time.</w:t>
      </w:r>
    </w:p>
    <w:p w14:paraId="4390EC19" w14:textId="55AFA9DD" w:rsidR="00437C6F" w:rsidRDefault="00437C6F" w:rsidP="009A356E">
      <w:r>
        <w:t xml:space="preserve">Major changes in the output funding prices in </w:t>
      </w:r>
      <w:r w:rsidR="008A695E">
        <w:t>2015-16</w:t>
      </w:r>
      <w:r>
        <w:t xml:space="preserve"> partially overcame the issue with under-priced output purchase prices being offset by the delivery of fewer funded hours. The current prices have improved, although there has been no additional funding provided, implying that this reform has improved the transparency of the funding program delivery without necessarily materially influencing the contribution of local government.  </w:t>
      </w:r>
    </w:p>
    <w:p w14:paraId="04F51D1C" w14:textId="77777777" w:rsidR="00437C6F" w:rsidRDefault="00437C6F" w:rsidP="009A356E"/>
    <w:p w14:paraId="293BCD35" w14:textId="365EB04E" w:rsidR="009A356E" w:rsidRDefault="009A356E" w:rsidP="009A356E">
      <w:r>
        <w:t>MAV analysis</w:t>
      </w:r>
      <w:r w:rsidR="00437C6F">
        <w:t xml:space="preserve"> from 2013-14 data</w:t>
      </w:r>
      <w:r>
        <w:t xml:space="preserve"> has shown output prices for domestic assistance, personal care, respite and property maintenance do not cover the labour and related on-costs of the direct care workers involved, let alone travel allowances, other direct costs, overheads, administration, coordination and management costs. The subsidy for delivered meals also continues to be less than meals delivery costs, which the State claims is its purpose and, in terms of the cost of a delivered meal, is minimal.</w:t>
      </w:r>
    </w:p>
    <w:p w14:paraId="153658EE" w14:textId="77777777" w:rsidR="00671FD6" w:rsidRDefault="00671FD6" w:rsidP="009A356E"/>
    <w:p w14:paraId="763C2E49" w14:textId="417208DE" w:rsidR="009A356E" w:rsidRDefault="009A356E" w:rsidP="009A356E">
      <w:r>
        <w:t>Unit prices paid by the State for its HACC purchases accounted only for between 50% to 60% of the reasonable unit cost of domestic assistance, personal care and respite and less than 70% for property maintenance. The subsidy for a delivered meal represents 9% of the estimated reasonable cost. The funding of assessment at the nursing rate, while on face-value appears generous, is difficult to evaluate because it is funded on the basis of three hours per client when councils are spending four hours. The indirect hours involved in assessment are also an issue.</w:t>
      </w:r>
    </w:p>
    <w:p w14:paraId="15495D9D" w14:textId="77777777" w:rsidR="009A356E" w:rsidRPr="00671FD6" w:rsidRDefault="009A356E" w:rsidP="009A356E"/>
    <w:p w14:paraId="3A990503" w14:textId="77777777" w:rsidR="009A356E" w:rsidRPr="00C10545" w:rsidRDefault="009A356E" w:rsidP="009A356E">
      <w:pPr>
        <w:rPr>
          <w:b/>
          <w:sz w:val="20"/>
        </w:rPr>
      </w:pPr>
      <w:r w:rsidRPr="00C10545">
        <w:rPr>
          <w:b/>
          <w:sz w:val="20"/>
        </w:rPr>
        <w:t>Table</w:t>
      </w:r>
      <w:r>
        <w:rPr>
          <w:b/>
          <w:sz w:val="20"/>
        </w:rPr>
        <w:t xml:space="preserve"> 12</w:t>
      </w:r>
      <w:r w:rsidRPr="00C10545">
        <w:rPr>
          <w:b/>
          <w:sz w:val="20"/>
        </w:rPr>
        <w:t xml:space="preserve">: Reasonable Unit Costs and </w:t>
      </w:r>
      <w:proofErr w:type="spellStart"/>
      <w:r w:rsidRPr="00C10545">
        <w:rPr>
          <w:b/>
          <w:sz w:val="20"/>
        </w:rPr>
        <w:t>DoH</w:t>
      </w:r>
      <w:proofErr w:type="spellEnd"/>
      <w:r w:rsidRPr="00C10545">
        <w:rPr>
          <w:b/>
          <w:sz w:val="20"/>
        </w:rPr>
        <w:t xml:space="preserve"> Unit Output Prices 2013-14</w:t>
      </w:r>
    </w:p>
    <w:tbl>
      <w:tblPr>
        <w:tblW w:w="5000" w:type="pct"/>
        <w:tblLook w:val="04A0" w:firstRow="1" w:lastRow="0" w:firstColumn="1" w:lastColumn="0" w:noHBand="0" w:noVBand="1"/>
      </w:tblPr>
      <w:tblGrid>
        <w:gridCol w:w="1977"/>
        <w:gridCol w:w="2462"/>
        <w:gridCol w:w="1319"/>
        <w:gridCol w:w="2771"/>
      </w:tblGrid>
      <w:tr w:rsidR="009A356E" w:rsidRPr="003C1378" w14:paraId="499FA369" w14:textId="77777777" w:rsidTr="009A356E">
        <w:trPr>
          <w:trHeight w:val="238"/>
        </w:trPr>
        <w:tc>
          <w:tcPr>
            <w:tcW w:w="749" w:type="pct"/>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14:paraId="1B6207AD" w14:textId="77777777" w:rsidR="009A356E" w:rsidRPr="00C10545" w:rsidRDefault="009A356E" w:rsidP="009A356E">
            <w:pPr>
              <w:rPr>
                <w:color w:val="000000"/>
                <w:sz w:val="18"/>
                <w:szCs w:val="18"/>
                <w:lang w:eastAsia="en-AU"/>
              </w:rPr>
            </w:pPr>
            <w:r w:rsidRPr="00C10545">
              <w:rPr>
                <w:color w:val="000000"/>
                <w:sz w:val="18"/>
                <w:szCs w:val="18"/>
                <w:lang w:eastAsia="en-AU"/>
              </w:rPr>
              <w:t> </w:t>
            </w:r>
          </w:p>
        </w:tc>
        <w:tc>
          <w:tcPr>
            <w:tcW w:w="1580" w:type="pct"/>
            <w:tcBorders>
              <w:top w:val="single" w:sz="4" w:space="0" w:color="auto"/>
              <w:left w:val="nil"/>
              <w:bottom w:val="single" w:sz="4" w:space="0" w:color="auto"/>
              <w:right w:val="single" w:sz="4" w:space="0" w:color="auto"/>
            </w:tcBorders>
            <w:shd w:val="clear" w:color="auto" w:fill="auto"/>
            <w:vAlign w:val="bottom"/>
            <w:hideMark/>
          </w:tcPr>
          <w:p w14:paraId="1ACD4B8C" w14:textId="77777777" w:rsidR="009A356E" w:rsidRPr="00C10545" w:rsidRDefault="009A356E" w:rsidP="009A356E">
            <w:pPr>
              <w:jc w:val="center"/>
              <w:rPr>
                <w:b/>
                <w:bCs/>
                <w:color w:val="000000"/>
                <w:sz w:val="18"/>
                <w:szCs w:val="18"/>
                <w:lang w:eastAsia="en-AU"/>
              </w:rPr>
            </w:pPr>
            <w:r w:rsidRPr="00C10545">
              <w:rPr>
                <w:b/>
                <w:bCs/>
                <w:color w:val="000000"/>
                <w:sz w:val="18"/>
                <w:szCs w:val="18"/>
                <w:lang w:eastAsia="en-AU"/>
              </w:rPr>
              <w:t>Reasonable Unit Cost (RUC)</w:t>
            </w:r>
          </w:p>
        </w:tc>
        <w:tc>
          <w:tcPr>
            <w:tcW w:w="910" w:type="pct"/>
            <w:tcBorders>
              <w:top w:val="single" w:sz="4" w:space="0" w:color="auto"/>
              <w:left w:val="nil"/>
              <w:bottom w:val="single" w:sz="4" w:space="0" w:color="auto"/>
              <w:right w:val="single" w:sz="4" w:space="0" w:color="auto"/>
            </w:tcBorders>
            <w:shd w:val="clear" w:color="auto" w:fill="auto"/>
            <w:vAlign w:val="bottom"/>
            <w:hideMark/>
          </w:tcPr>
          <w:p w14:paraId="50D7E937" w14:textId="77777777" w:rsidR="009A356E" w:rsidRPr="00C10545" w:rsidRDefault="009A356E" w:rsidP="009A356E">
            <w:pPr>
              <w:jc w:val="center"/>
              <w:rPr>
                <w:b/>
                <w:bCs/>
                <w:color w:val="000000"/>
                <w:sz w:val="18"/>
                <w:szCs w:val="18"/>
                <w:lang w:eastAsia="en-AU"/>
              </w:rPr>
            </w:pPr>
            <w:proofErr w:type="spellStart"/>
            <w:r w:rsidRPr="00C10545">
              <w:rPr>
                <w:b/>
                <w:bCs/>
                <w:color w:val="000000"/>
                <w:sz w:val="18"/>
                <w:szCs w:val="18"/>
                <w:lang w:eastAsia="en-AU"/>
              </w:rPr>
              <w:t>DoH</w:t>
            </w:r>
            <w:proofErr w:type="spellEnd"/>
            <w:r w:rsidRPr="00C10545">
              <w:rPr>
                <w:b/>
                <w:bCs/>
                <w:color w:val="000000"/>
                <w:sz w:val="18"/>
                <w:szCs w:val="18"/>
                <w:lang w:eastAsia="en-AU"/>
              </w:rPr>
              <w:t xml:space="preserve"> Unit Price</w:t>
            </w:r>
          </w:p>
        </w:tc>
        <w:tc>
          <w:tcPr>
            <w:tcW w:w="1761" w:type="pct"/>
            <w:tcBorders>
              <w:top w:val="single" w:sz="4" w:space="0" w:color="auto"/>
              <w:left w:val="nil"/>
              <w:bottom w:val="single" w:sz="4" w:space="0" w:color="auto"/>
              <w:right w:val="single" w:sz="4" w:space="0" w:color="auto"/>
            </w:tcBorders>
            <w:shd w:val="clear" w:color="auto" w:fill="auto"/>
            <w:vAlign w:val="bottom"/>
            <w:hideMark/>
          </w:tcPr>
          <w:p w14:paraId="061AB508" w14:textId="77777777" w:rsidR="009A356E" w:rsidRPr="00C10545" w:rsidRDefault="009A356E" w:rsidP="009A356E">
            <w:pPr>
              <w:jc w:val="center"/>
              <w:rPr>
                <w:b/>
                <w:bCs/>
                <w:color w:val="000000"/>
                <w:sz w:val="18"/>
                <w:szCs w:val="18"/>
                <w:lang w:eastAsia="en-AU"/>
              </w:rPr>
            </w:pPr>
            <w:r w:rsidRPr="00C10545">
              <w:rPr>
                <w:b/>
                <w:bCs/>
                <w:color w:val="000000"/>
                <w:sz w:val="18"/>
                <w:szCs w:val="18"/>
                <w:lang w:eastAsia="en-AU"/>
              </w:rPr>
              <w:t>RUC as % Reasonable Unit Cost</w:t>
            </w:r>
          </w:p>
        </w:tc>
      </w:tr>
      <w:tr w:rsidR="009A356E" w:rsidRPr="003C1378" w14:paraId="6E88E88F" w14:textId="77777777" w:rsidTr="009A356E">
        <w:trPr>
          <w:trHeight w:val="238"/>
        </w:trPr>
        <w:tc>
          <w:tcPr>
            <w:tcW w:w="749" w:type="pct"/>
            <w:tcBorders>
              <w:top w:val="nil"/>
              <w:left w:val="single" w:sz="4" w:space="0" w:color="auto"/>
              <w:bottom w:val="single" w:sz="4" w:space="0" w:color="auto"/>
              <w:right w:val="single" w:sz="4" w:space="0" w:color="auto"/>
            </w:tcBorders>
            <w:shd w:val="clear" w:color="auto" w:fill="auto"/>
            <w:noWrap/>
            <w:vAlign w:val="bottom"/>
            <w:hideMark/>
          </w:tcPr>
          <w:p w14:paraId="0C4CD322" w14:textId="77777777" w:rsidR="009A356E" w:rsidRPr="00C10545" w:rsidRDefault="009A356E" w:rsidP="009A356E">
            <w:pPr>
              <w:rPr>
                <w:color w:val="000000"/>
                <w:sz w:val="18"/>
                <w:szCs w:val="18"/>
                <w:lang w:eastAsia="en-AU"/>
              </w:rPr>
            </w:pPr>
            <w:r w:rsidRPr="00C10545">
              <w:rPr>
                <w:color w:val="000000"/>
                <w:sz w:val="18"/>
                <w:szCs w:val="18"/>
                <w:lang w:eastAsia="en-AU"/>
              </w:rPr>
              <w:t>Domestic Assistance</w:t>
            </w:r>
          </w:p>
        </w:tc>
        <w:tc>
          <w:tcPr>
            <w:tcW w:w="1580" w:type="pct"/>
            <w:tcBorders>
              <w:top w:val="nil"/>
              <w:left w:val="nil"/>
              <w:bottom w:val="single" w:sz="4" w:space="0" w:color="auto"/>
              <w:right w:val="single" w:sz="4" w:space="0" w:color="auto"/>
            </w:tcBorders>
            <w:shd w:val="clear" w:color="auto" w:fill="auto"/>
            <w:noWrap/>
            <w:vAlign w:val="bottom"/>
            <w:hideMark/>
          </w:tcPr>
          <w:p w14:paraId="7A4C669C" w14:textId="77777777" w:rsidR="009A356E" w:rsidRPr="00C10545" w:rsidRDefault="009A356E" w:rsidP="009A356E">
            <w:pPr>
              <w:jc w:val="center"/>
              <w:rPr>
                <w:color w:val="000000"/>
                <w:sz w:val="18"/>
                <w:szCs w:val="18"/>
                <w:lang w:eastAsia="en-AU"/>
              </w:rPr>
            </w:pPr>
            <w:r w:rsidRPr="00C10545">
              <w:rPr>
                <w:color w:val="000000"/>
                <w:sz w:val="18"/>
                <w:szCs w:val="18"/>
                <w:lang w:eastAsia="en-AU"/>
              </w:rPr>
              <w:t>56.79</w:t>
            </w:r>
          </w:p>
        </w:tc>
        <w:tc>
          <w:tcPr>
            <w:tcW w:w="910" w:type="pct"/>
            <w:tcBorders>
              <w:top w:val="nil"/>
              <w:left w:val="nil"/>
              <w:bottom w:val="single" w:sz="4" w:space="0" w:color="auto"/>
              <w:right w:val="single" w:sz="4" w:space="0" w:color="auto"/>
            </w:tcBorders>
            <w:shd w:val="clear" w:color="auto" w:fill="auto"/>
            <w:noWrap/>
            <w:vAlign w:val="bottom"/>
            <w:hideMark/>
          </w:tcPr>
          <w:p w14:paraId="600975C4" w14:textId="77777777" w:rsidR="009A356E" w:rsidRPr="00C10545" w:rsidRDefault="009A356E" w:rsidP="009A356E">
            <w:pPr>
              <w:jc w:val="center"/>
              <w:rPr>
                <w:color w:val="000000"/>
                <w:sz w:val="18"/>
                <w:szCs w:val="18"/>
                <w:lang w:eastAsia="en-AU"/>
              </w:rPr>
            </w:pPr>
            <w:r w:rsidRPr="00C10545">
              <w:rPr>
                <w:color w:val="000000"/>
                <w:sz w:val="18"/>
                <w:szCs w:val="18"/>
                <w:lang w:eastAsia="en-AU"/>
              </w:rPr>
              <w:t>31.51</w:t>
            </w:r>
          </w:p>
        </w:tc>
        <w:tc>
          <w:tcPr>
            <w:tcW w:w="1761" w:type="pct"/>
            <w:tcBorders>
              <w:top w:val="nil"/>
              <w:left w:val="nil"/>
              <w:bottom w:val="single" w:sz="4" w:space="0" w:color="auto"/>
              <w:right w:val="single" w:sz="4" w:space="0" w:color="auto"/>
            </w:tcBorders>
            <w:shd w:val="clear" w:color="auto" w:fill="auto"/>
            <w:noWrap/>
            <w:vAlign w:val="bottom"/>
            <w:hideMark/>
          </w:tcPr>
          <w:p w14:paraId="65F7CD39" w14:textId="77777777" w:rsidR="009A356E" w:rsidRPr="00C10545" w:rsidRDefault="009A356E" w:rsidP="009A356E">
            <w:pPr>
              <w:jc w:val="center"/>
              <w:rPr>
                <w:color w:val="000000"/>
                <w:sz w:val="18"/>
                <w:szCs w:val="18"/>
                <w:lang w:eastAsia="en-AU"/>
              </w:rPr>
            </w:pPr>
            <w:r w:rsidRPr="00C10545">
              <w:rPr>
                <w:color w:val="000000"/>
                <w:sz w:val="18"/>
                <w:szCs w:val="18"/>
                <w:lang w:eastAsia="en-AU"/>
              </w:rPr>
              <w:t>55%</w:t>
            </w:r>
          </w:p>
        </w:tc>
      </w:tr>
      <w:tr w:rsidR="009A356E" w:rsidRPr="003C1378" w14:paraId="6BF09B23" w14:textId="77777777" w:rsidTr="009A356E">
        <w:trPr>
          <w:trHeight w:val="238"/>
        </w:trPr>
        <w:tc>
          <w:tcPr>
            <w:tcW w:w="749" w:type="pct"/>
            <w:tcBorders>
              <w:top w:val="nil"/>
              <w:left w:val="single" w:sz="4" w:space="0" w:color="auto"/>
              <w:bottom w:val="single" w:sz="4" w:space="0" w:color="auto"/>
              <w:right w:val="single" w:sz="4" w:space="0" w:color="auto"/>
            </w:tcBorders>
            <w:shd w:val="clear" w:color="auto" w:fill="auto"/>
            <w:noWrap/>
            <w:vAlign w:val="bottom"/>
            <w:hideMark/>
          </w:tcPr>
          <w:p w14:paraId="154EA286" w14:textId="77777777" w:rsidR="009A356E" w:rsidRPr="00C10545" w:rsidRDefault="009A356E" w:rsidP="009A356E">
            <w:pPr>
              <w:rPr>
                <w:color w:val="000000"/>
                <w:sz w:val="18"/>
                <w:szCs w:val="18"/>
                <w:lang w:eastAsia="en-AU"/>
              </w:rPr>
            </w:pPr>
            <w:r w:rsidRPr="00C10545">
              <w:rPr>
                <w:color w:val="000000"/>
                <w:sz w:val="18"/>
                <w:szCs w:val="18"/>
                <w:lang w:eastAsia="en-AU"/>
              </w:rPr>
              <w:t>Personal Care</w:t>
            </w:r>
          </w:p>
        </w:tc>
        <w:tc>
          <w:tcPr>
            <w:tcW w:w="1580" w:type="pct"/>
            <w:tcBorders>
              <w:top w:val="nil"/>
              <w:left w:val="nil"/>
              <w:bottom w:val="single" w:sz="4" w:space="0" w:color="auto"/>
              <w:right w:val="single" w:sz="4" w:space="0" w:color="auto"/>
            </w:tcBorders>
            <w:shd w:val="clear" w:color="auto" w:fill="auto"/>
            <w:noWrap/>
            <w:vAlign w:val="bottom"/>
            <w:hideMark/>
          </w:tcPr>
          <w:p w14:paraId="04BDA9CD" w14:textId="77777777" w:rsidR="009A356E" w:rsidRPr="00C10545" w:rsidRDefault="009A356E" w:rsidP="009A356E">
            <w:pPr>
              <w:jc w:val="center"/>
              <w:rPr>
                <w:color w:val="000000"/>
                <w:sz w:val="18"/>
                <w:szCs w:val="18"/>
                <w:lang w:eastAsia="en-AU"/>
              </w:rPr>
            </w:pPr>
            <w:r w:rsidRPr="00C10545">
              <w:rPr>
                <w:color w:val="000000"/>
                <w:sz w:val="18"/>
                <w:szCs w:val="18"/>
                <w:lang w:eastAsia="en-AU"/>
              </w:rPr>
              <w:t>68.91</w:t>
            </w:r>
          </w:p>
        </w:tc>
        <w:tc>
          <w:tcPr>
            <w:tcW w:w="910" w:type="pct"/>
            <w:tcBorders>
              <w:top w:val="nil"/>
              <w:left w:val="nil"/>
              <w:bottom w:val="single" w:sz="4" w:space="0" w:color="auto"/>
              <w:right w:val="single" w:sz="4" w:space="0" w:color="auto"/>
            </w:tcBorders>
            <w:shd w:val="clear" w:color="auto" w:fill="auto"/>
            <w:noWrap/>
            <w:vAlign w:val="bottom"/>
            <w:hideMark/>
          </w:tcPr>
          <w:p w14:paraId="7B27DD02" w14:textId="77777777" w:rsidR="009A356E" w:rsidRPr="00C10545" w:rsidRDefault="009A356E" w:rsidP="009A356E">
            <w:pPr>
              <w:jc w:val="center"/>
              <w:rPr>
                <w:color w:val="000000"/>
                <w:sz w:val="18"/>
                <w:szCs w:val="18"/>
                <w:lang w:eastAsia="en-AU"/>
              </w:rPr>
            </w:pPr>
            <w:r w:rsidRPr="00C10545">
              <w:rPr>
                <w:color w:val="000000"/>
                <w:sz w:val="18"/>
                <w:szCs w:val="18"/>
                <w:lang w:eastAsia="en-AU"/>
              </w:rPr>
              <w:t>36.00</w:t>
            </w:r>
          </w:p>
        </w:tc>
        <w:tc>
          <w:tcPr>
            <w:tcW w:w="1761" w:type="pct"/>
            <w:tcBorders>
              <w:top w:val="nil"/>
              <w:left w:val="nil"/>
              <w:bottom w:val="single" w:sz="4" w:space="0" w:color="auto"/>
              <w:right w:val="single" w:sz="4" w:space="0" w:color="auto"/>
            </w:tcBorders>
            <w:shd w:val="clear" w:color="auto" w:fill="auto"/>
            <w:noWrap/>
            <w:vAlign w:val="bottom"/>
            <w:hideMark/>
          </w:tcPr>
          <w:p w14:paraId="43569721" w14:textId="77777777" w:rsidR="009A356E" w:rsidRPr="00C10545" w:rsidRDefault="009A356E" w:rsidP="009A356E">
            <w:pPr>
              <w:jc w:val="center"/>
              <w:rPr>
                <w:color w:val="000000"/>
                <w:sz w:val="18"/>
                <w:szCs w:val="18"/>
                <w:lang w:eastAsia="en-AU"/>
              </w:rPr>
            </w:pPr>
            <w:r w:rsidRPr="00C10545">
              <w:rPr>
                <w:color w:val="000000"/>
                <w:sz w:val="18"/>
                <w:szCs w:val="18"/>
                <w:lang w:eastAsia="en-AU"/>
              </w:rPr>
              <w:t>52%</w:t>
            </w:r>
          </w:p>
        </w:tc>
      </w:tr>
      <w:tr w:rsidR="009A356E" w:rsidRPr="003C1378" w14:paraId="1F7151DE" w14:textId="77777777" w:rsidTr="009A356E">
        <w:trPr>
          <w:trHeight w:val="238"/>
        </w:trPr>
        <w:tc>
          <w:tcPr>
            <w:tcW w:w="749" w:type="pct"/>
            <w:tcBorders>
              <w:top w:val="nil"/>
              <w:left w:val="single" w:sz="4" w:space="0" w:color="auto"/>
              <w:bottom w:val="single" w:sz="4" w:space="0" w:color="auto"/>
              <w:right w:val="single" w:sz="4" w:space="0" w:color="auto"/>
            </w:tcBorders>
            <w:shd w:val="clear" w:color="auto" w:fill="auto"/>
            <w:noWrap/>
            <w:vAlign w:val="bottom"/>
            <w:hideMark/>
          </w:tcPr>
          <w:p w14:paraId="087C78DE" w14:textId="77777777" w:rsidR="009A356E" w:rsidRPr="00C10545" w:rsidRDefault="009A356E" w:rsidP="009A356E">
            <w:pPr>
              <w:rPr>
                <w:color w:val="000000"/>
                <w:sz w:val="18"/>
                <w:szCs w:val="18"/>
                <w:lang w:eastAsia="en-AU"/>
              </w:rPr>
            </w:pPr>
            <w:r w:rsidRPr="00C10545">
              <w:rPr>
                <w:color w:val="000000"/>
                <w:sz w:val="18"/>
                <w:szCs w:val="18"/>
                <w:lang w:eastAsia="en-AU"/>
              </w:rPr>
              <w:t>Respite</w:t>
            </w:r>
          </w:p>
        </w:tc>
        <w:tc>
          <w:tcPr>
            <w:tcW w:w="1580" w:type="pct"/>
            <w:tcBorders>
              <w:top w:val="nil"/>
              <w:left w:val="nil"/>
              <w:bottom w:val="single" w:sz="4" w:space="0" w:color="auto"/>
              <w:right w:val="single" w:sz="4" w:space="0" w:color="auto"/>
            </w:tcBorders>
            <w:shd w:val="clear" w:color="auto" w:fill="auto"/>
            <w:noWrap/>
            <w:vAlign w:val="bottom"/>
            <w:hideMark/>
          </w:tcPr>
          <w:p w14:paraId="2A358663" w14:textId="77777777" w:rsidR="009A356E" w:rsidRPr="00C10545" w:rsidRDefault="009A356E" w:rsidP="009A356E">
            <w:pPr>
              <w:jc w:val="center"/>
              <w:rPr>
                <w:color w:val="000000"/>
                <w:sz w:val="18"/>
                <w:szCs w:val="18"/>
                <w:lang w:eastAsia="en-AU"/>
              </w:rPr>
            </w:pPr>
            <w:r w:rsidRPr="00C10545">
              <w:rPr>
                <w:color w:val="000000"/>
                <w:sz w:val="18"/>
                <w:szCs w:val="18"/>
                <w:lang w:eastAsia="en-AU"/>
              </w:rPr>
              <w:t>57.23</w:t>
            </w:r>
          </w:p>
        </w:tc>
        <w:tc>
          <w:tcPr>
            <w:tcW w:w="910" w:type="pct"/>
            <w:tcBorders>
              <w:top w:val="nil"/>
              <w:left w:val="nil"/>
              <w:bottom w:val="single" w:sz="4" w:space="0" w:color="auto"/>
              <w:right w:val="single" w:sz="4" w:space="0" w:color="auto"/>
            </w:tcBorders>
            <w:shd w:val="clear" w:color="auto" w:fill="auto"/>
            <w:noWrap/>
            <w:vAlign w:val="bottom"/>
            <w:hideMark/>
          </w:tcPr>
          <w:p w14:paraId="62713E1C" w14:textId="77777777" w:rsidR="009A356E" w:rsidRPr="00C10545" w:rsidRDefault="009A356E" w:rsidP="009A356E">
            <w:pPr>
              <w:jc w:val="center"/>
              <w:rPr>
                <w:color w:val="000000"/>
                <w:sz w:val="18"/>
                <w:szCs w:val="18"/>
                <w:lang w:eastAsia="en-AU"/>
              </w:rPr>
            </w:pPr>
            <w:r w:rsidRPr="00C10545">
              <w:rPr>
                <w:color w:val="000000"/>
                <w:sz w:val="18"/>
                <w:szCs w:val="18"/>
                <w:lang w:eastAsia="en-AU"/>
              </w:rPr>
              <w:t>32.54</w:t>
            </w:r>
          </w:p>
        </w:tc>
        <w:tc>
          <w:tcPr>
            <w:tcW w:w="1761" w:type="pct"/>
            <w:tcBorders>
              <w:top w:val="nil"/>
              <w:left w:val="nil"/>
              <w:bottom w:val="single" w:sz="4" w:space="0" w:color="auto"/>
              <w:right w:val="single" w:sz="4" w:space="0" w:color="auto"/>
            </w:tcBorders>
            <w:shd w:val="clear" w:color="auto" w:fill="auto"/>
            <w:noWrap/>
            <w:vAlign w:val="bottom"/>
            <w:hideMark/>
          </w:tcPr>
          <w:p w14:paraId="2D689037" w14:textId="77777777" w:rsidR="009A356E" w:rsidRPr="00C10545" w:rsidRDefault="009A356E" w:rsidP="009A356E">
            <w:pPr>
              <w:jc w:val="center"/>
              <w:rPr>
                <w:color w:val="000000"/>
                <w:sz w:val="18"/>
                <w:szCs w:val="18"/>
                <w:lang w:eastAsia="en-AU"/>
              </w:rPr>
            </w:pPr>
            <w:r w:rsidRPr="00C10545">
              <w:rPr>
                <w:color w:val="000000"/>
                <w:sz w:val="18"/>
                <w:szCs w:val="18"/>
                <w:lang w:eastAsia="en-AU"/>
              </w:rPr>
              <w:t>57%</w:t>
            </w:r>
          </w:p>
        </w:tc>
      </w:tr>
      <w:tr w:rsidR="009A356E" w:rsidRPr="003C1378" w14:paraId="4748B6D5" w14:textId="77777777" w:rsidTr="009A356E">
        <w:trPr>
          <w:trHeight w:val="238"/>
        </w:trPr>
        <w:tc>
          <w:tcPr>
            <w:tcW w:w="749" w:type="pct"/>
            <w:tcBorders>
              <w:top w:val="nil"/>
              <w:left w:val="single" w:sz="4" w:space="0" w:color="auto"/>
              <w:bottom w:val="single" w:sz="4" w:space="0" w:color="auto"/>
              <w:right w:val="single" w:sz="4" w:space="0" w:color="auto"/>
            </w:tcBorders>
            <w:shd w:val="clear" w:color="auto" w:fill="auto"/>
            <w:noWrap/>
            <w:vAlign w:val="bottom"/>
            <w:hideMark/>
          </w:tcPr>
          <w:p w14:paraId="595E7ADA" w14:textId="77777777" w:rsidR="009A356E" w:rsidRPr="00C10545" w:rsidRDefault="009A356E" w:rsidP="009A356E">
            <w:pPr>
              <w:rPr>
                <w:color w:val="000000"/>
                <w:sz w:val="18"/>
                <w:szCs w:val="18"/>
                <w:lang w:eastAsia="en-AU"/>
              </w:rPr>
            </w:pPr>
            <w:r w:rsidRPr="00C10545">
              <w:rPr>
                <w:color w:val="000000"/>
                <w:sz w:val="18"/>
                <w:szCs w:val="18"/>
                <w:lang w:eastAsia="en-AU"/>
              </w:rPr>
              <w:t>Property Maintenance</w:t>
            </w:r>
          </w:p>
        </w:tc>
        <w:tc>
          <w:tcPr>
            <w:tcW w:w="1580" w:type="pct"/>
            <w:tcBorders>
              <w:top w:val="nil"/>
              <w:left w:val="nil"/>
              <w:bottom w:val="single" w:sz="4" w:space="0" w:color="auto"/>
              <w:right w:val="single" w:sz="4" w:space="0" w:color="auto"/>
            </w:tcBorders>
            <w:shd w:val="clear" w:color="auto" w:fill="auto"/>
            <w:noWrap/>
            <w:vAlign w:val="bottom"/>
            <w:hideMark/>
          </w:tcPr>
          <w:p w14:paraId="189BE8CC" w14:textId="77777777" w:rsidR="009A356E" w:rsidRPr="00C10545" w:rsidRDefault="009A356E" w:rsidP="009A356E">
            <w:pPr>
              <w:jc w:val="center"/>
              <w:rPr>
                <w:color w:val="000000"/>
                <w:sz w:val="18"/>
                <w:szCs w:val="18"/>
                <w:lang w:eastAsia="en-AU"/>
              </w:rPr>
            </w:pPr>
            <w:r w:rsidRPr="00C10545">
              <w:rPr>
                <w:color w:val="000000"/>
                <w:sz w:val="18"/>
                <w:szCs w:val="18"/>
                <w:lang w:eastAsia="en-AU"/>
              </w:rPr>
              <w:t>66.86</w:t>
            </w:r>
          </w:p>
        </w:tc>
        <w:tc>
          <w:tcPr>
            <w:tcW w:w="910" w:type="pct"/>
            <w:tcBorders>
              <w:top w:val="nil"/>
              <w:left w:val="nil"/>
              <w:bottom w:val="single" w:sz="4" w:space="0" w:color="auto"/>
              <w:right w:val="single" w:sz="4" w:space="0" w:color="auto"/>
            </w:tcBorders>
            <w:shd w:val="clear" w:color="auto" w:fill="auto"/>
            <w:noWrap/>
            <w:vAlign w:val="bottom"/>
            <w:hideMark/>
          </w:tcPr>
          <w:p w14:paraId="303E874B" w14:textId="77777777" w:rsidR="009A356E" w:rsidRPr="00C10545" w:rsidRDefault="009A356E" w:rsidP="009A356E">
            <w:pPr>
              <w:jc w:val="center"/>
              <w:rPr>
                <w:color w:val="000000"/>
                <w:sz w:val="18"/>
                <w:szCs w:val="18"/>
                <w:lang w:eastAsia="en-AU"/>
              </w:rPr>
            </w:pPr>
            <w:r w:rsidRPr="00C10545">
              <w:rPr>
                <w:color w:val="000000"/>
                <w:sz w:val="18"/>
                <w:szCs w:val="18"/>
                <w:lang w:eastAsia="en-AU"/>
              </w:rPr>
              <w:t>45.82</w:t>
            </w:r>
          </w:p>
        </w:tc>
        <w:tc>
          <w:tcPr>
            <w:tcW w:w="1761" w:type="pct"/>
            <w:tcBorders>
              <w:top w:val="nil"/>
              <w:left w:val="nil"/>
              <w:bottom w:val="single" w:sz="4" w:space="0" w:color="auto"/>
              <w:right w:val="single" w:sz="4" w:space="0" w:color="auto"/>
            </w:tcBorders>
            <w:shd w:val="clear" w:color="auto" w:fill="auto"/>
            <w:noWrap/>
            <w:vAlign w:val="bottom"/>
            <w:hideMark/>
          </w:tcPr>
          <w:p w14:paraId="69D91006" w14:textId="77777777" w:rsidR="009A356E" w:rsidRPr="00C10545" w:rsidRDefault="009A356E" w:rsidP="009A356E">
            <w:pPr>
              <w:jc w:val="center"/>
              <w:rPr>
                <w:color w:val="000000"/>
                <w:sz w:val="18"/>
                <w:szCs w:val="18"/>
                <w:lang w:eastAsia="en-AU"/>
              </w:rPr>
            </w:pPr>
            <w:r w:rsidRPr="00C10545">
              <w:rPr>
                <w:color w:val="000000"/>
                <w:sz w:val="18"/>
                <w:szCs w:val="18"/>
                <w:lang w:eastAsia="en-AU"/>
              </w:rPr>
              <w:t>69%</w:t>
            </w:r>
          </w:p>
        </w:tc>
      </w:tr>
      <w:tr w:rsidR="009A356E" w:rsidRPr="003C1378" w14:paraId="4C9E572B" w14:textId="77777777" w:rsidTr="009A356E">
        <w:trPr>
          <w:trHeight w:val="238"/>
        </w:trPr>
        <w:tc>
          <w:tcPr>
            <w:tcW w:w="749" w:type="pct"/>
            <w:tcBorders>
              <w:top w:val="nil"/>
              <w:left w:val="single" w:sz="4" w:space="0" w:color="auto"/>
              <w:bottom w:val="single" w:sz="4" w:space="0" w:color="auto"/>
              <w:right w:val="single" w:sz="4" w:space="0" w:color="auto"/>
            </w:tcBorders>
            <w:shd w:val="clear" w:color="auto" w:fill="auto"/>
            <w:noWrap/>
            <w:vAlign w:val="bottom"/>
            <w:hideMark/>
          </w:tcPr>
          <w:p w14:paraId="4B9ADE7F" w14:textId="77777777" w:rsidR="009A356E" w:rsidRPr="00C10545" w:rsidRDefault="009A356E" w:rsidP="009A356E">
            <w:pPr>
              <w:rPr>
                <w:color w:val="000000"/>
                <w:sz w:val="18"/>
                <w:szCs w:val="18"/>
                <w:lang w:eastAsia="en-AU"/>
              </w:rPr>
            </w:pPr>
            <w:r w:rsidRPr="00C10545">
              <w:rPr>
                <w:color w:val="000000"/>
                <w:sz w:val="18"/>
                <w:szCs w:val="18"/>
                <w:lang w:eastAsia="en-AU"/>
              </w:rPr>
              <w:t>Meals</w:t>
            </w:r>
          </w:p>
        </w:tc>
        <w:tc>
          <w:tcPr>
            <w:tcW w:w="1580" w:type="pct"/>
            <w:tcBorders>
              <w:top w:val="nil"/>
              <w:left w:val="nil"/>
              <w:bottom w:val="single" w:sz="4" w:space="0" w:color="auto"/>
              <w:right w:val="single" w:sz="4" w:space="0" w:color="auto"/>
            </w:tcBorders>
            <w:shd w:val="clear" w:color="auto" w:fill="auto"/>
            <w:noWrap/>
            <w:vAlign w:val="bottom"/>
            <w:hideMark/>
          </w:tcPr>
          <w:p w14:paraId="0F56952B" w14:textId="77777777" w:rsidR="009A356E" w:rsidRPr="00C10545" w:rsidRDefault="009A356E" w:rsidP="009A356E">
            <w:pPr>
              <w:jc w:val="center"/>
              <w:rPr>
                <w:color w:val="000000"/>
                <w:sz w:val="18"/>
                <w:szCs w:val="18"/>
                <w:lang w:eastAsia="en-AU"/>
              </w:rPr>
            </w:pPr>
            <w:r w:rsidRPr="00C10545">
              <w:rPr>
                <w:color w:val="000000"/>
                <w:sz w:val="18"/>
                <w:szCs w:val="18"/>
                <w:lang w:eastAsia="en-AU"/>
              </w:rPr>
              <w:t>17.00</w:t>
            </w:r>
          </w:p>
        </w:tc>
        <w:tc>
          <w:tcPr>
            <w:tcW w:w="910" w:type="pct"/>
            <w:tcBorders>
              <w:top w:val="nil"/>
              <w:left w:val="nil"/>
              <w:bottom w:val="single" w:sz="4" w:space="0" w:color="auto"/>
              <w:right w:val="single" w:sz="4" w:space="0" w:color="auto"/>
            </w:tcBorders>
            <w:shd w:val="clear" w:color="auto" w:fill="auto"/>
            <w:noWrap/>
            <w:vAlign w:val="bottom"/>
            <w:hideMark/>
          </w:tcPr>
          <w:p w14:paraId="07A53CBC" w14:textId="77777777" w:rsidR="009A356E" w:rsidRPr="00C10545" w:rsidRDefault="009A356E" w:rsidP="009A356E">
            <w:pPr>
              <w:jc w:val="center"/>
              <w:rPr>
                <w:color w:val="000000"/>
                <w:sz w:val="18"/>
                <w:szCs w:val="18"/>
                <w:lang w:eastAsia="en-AU"/>
              </w:rPr>
            </w:pPr>
            <w:r w:rsidRPr="00C10545">
              <w:rPr>
                <w:color w:val="000000"/>
                <w:sz w:val="18"/>
                <w:szCs w:val="18"/>
                <w:lang w:eastAsia="en-AU"/>
              </w:rPr>
              <w:t>1.61</w:t>
            </w:r>
          </w:p>
        </w:tc>
        <w:tc>
          <w:tcPr>
            <w:tcW w:w="1761" w:type="pct"/>
            <w:tcBorders>
              <w:top w:val="nil"/>
              <w:left w:val="nil"/>
              <w:bottom w:val="single" w:sz="4" w:space="0" w:color="auto"/>
              <w:right w:val="single" w:sz="4" w:space="0" w:color="auto"/>
            </w:tcBorders>
            <w:shd w:val="clear" w:color="auto" w:fill="auto"/>
            <w:noWrap/>
            <w:vAlign w:val="bottom"/>
            <w:hideMark/>
          </w:tcPr>
          <w:p w14:paraId="6917AEEB" w14:textId="77777777" w:rsidR="009A356E" w:rsidRPr="00C10545" w:rsidRDefault="009A356E" w:rsidP="009A356E">
            <w:pPr>
              <w:jc w:val="center"/>
              <w:rPr>
                <w:color w:val="000000"/>
                <w:sz w:val="18"/>
                <w:szCs w:val="18"/>
                <w:lang w:eastAsia="en-AU"/>
              </w:rPr>
            </w:pPr>
            <w:r w:rsidRPr="00C10545">
              <w:rPr>
                <w:color w:val="000000"/>
                <w:sz w:val="18"/>
                <w:szCs w:val="18"/>
                <w:lang w:eastAsia="en-AU"/>
              </w:rPr>
              <w:t>9%</w:t>
            </w:r>
          </w:p>
        </w:tc>
      </w:tr>
      <w:tr w:rsidR="009A356E" w:rsidRPr="003C1378" w14:paraId="61F93511" w14:textId="77777777" w:rsidTr="009A356E">
        <w:trPr>
          <w:trHeight w:val="238"/>
        </w:trPr>
        <w:tc>
          <w:tcPr>
            <w:tcW w:w="749" w:type="pct"/>
            <w:tcBorders>
              <w:top w:val="nil"/>
              <w:left w:val="single" w:sz="4" w:space="0" w:color="auto"/>
              <w:bottom w:val="single" w:sz="4" w:space="0" w:color="auto"/>
              <w:right w:val="single" w:sz="4" w:space="0" w:color="auto"/>
            </w:tcBorders>
            <w:shd w:val="clear" w:color="auto" w:fill="auto"/>
            <w:noWrap/>
            <w:vAlign w:val="bottom"/>
            <w:hideMark/>
          </w:tcPr>
          <w:p w14:paraId="7182F8BD" w14:textId="77777777" w:rsidR="009A356E" w:rsidRPr="00C10545" w:rsidRDefault="009A356E" w:rsidP="009A356E">
            <w:pPr>
              <w:rPr>
                <w:color w:val="000000"/>
                <w:sz w:val="18"/>
                <w:szCs w:val="18"/>
                <w:lang w:eastAsia="en-AU"/>
              </w:rPr>
            </w:pPr>
            <w:r w:rsidRPr="00C10545">
              <w:rPr>
                <w:color w:val="000000"/>
                <w:sz w:val="18"/>
                <w:szCs w:val="18"/>
                <w:lang w:eastAsia="en-AU"/>
              </w:rPr>
              <w:t>PAGs Core</w:t>
            </w:r>
          </w:p>
        </w:tc>
        <w:tc>
          <w:tcPr>
            <w:tcW w:w="1580" w:type="pct"/>
            <w:tcBorders>
              <w:top w:val="nil"/>
              <w:left w:val="nil"/>
              <w:bottom w:val="single" w:sz="4" w:space="0" w:color="auto"/>
              <w:right w:val="single" w:sz="4" w:space="0" w:color="auto"/>
            </w:tcBorders>
            <w:shd w:val="clear" w:color="auto" w:fill="auto"/>
            <w:noWrap/>
            <w:vAlign w:val="bottom"/>
            <w:hideMark/>
          </w:tcPr>
          <w:p w14:paraId="488D6EFC" w14:textId="77777777" w:rsidR="009A356E" w:rsidRPr="00C10545" w:rsidRDefault="009A356E" w:rsidP="009A356E">
            <w:pPr>
              <w:jc w:val="center"/>
              <w:rPr>
                <w:color w:val="000000"/>
                <w:sz w:val="18"/>
                <w:szCs w:val="18"/>
                <w:lang w:eastAsia="en-AU"/>
              </w:rPr>
            </w:pPr>
            <w:r w:rsidRPr="00C10545">
              <w:rPr>
                <w:color w:val="000000"/>
                <w:sz w:val="18"/>
                <w:szCs w:val="18"/>
                <w:lang w:eastAsia="en-AU"/>
              </w:rPr>
              <w:t>18.83</w:t>
            </w:r>
          </w:p>
        </w:tc>
        <w:tc>
          <w:tcPr>
            <w:tcW w:w="910" w:type="pct"/>
            <w:tcBorders>
              <w:top w:val="nil"/>
              <w:left w:val="nil"/>
              <w:bottom w:val="single" w:sz="4" w:space="0" w:color="auto"/>
              <w:right w:val="single" w:sz="4" w:space="0" w:color="auto"/>
            </w:tcBorders>
            <w:shd w:val="clear" w:color="auto" w:fill="auto"/>
            <w:noWrap/>
            <w:vAlign w:val="bottom"/>
            <w:hideMark/>
          </w:tcPr>
          <w:p w14:paraId="74E78AD7" w14:textId="77777777" w:rsidR="009A356E" w:rsidRPr="00C10545" w:rsidRDefault="009A356E" w:rsidP="009A356E">
            <w:pPr>
              <w:jc w:val="center"/>
              <w:rPr>
                <w:color w:val="000000"/>
                <w:sz w:val="18"/>
                <w:szCs w:val="18"/>
                <w:lang w:eastAsia="en-AU"/>
              </w:rPr>
            </w:pPr>
            <w:r w:rsidRPr="00C10545">
              <w:rPr>
                <w:color w:val="000000"/>
                <w:sz w:val="18"/>
                <w:szCs w:val="18"/>
                <w:lang w:eastAsia="en-AU"/>
              </w:rPr>
              <w:t>12.80</w:t>
            </w:r>
          </w:p>
        </w:tc>
        <w:tc>
          <w:tcPr>
            <w:tcW w:w="1761" w:type="pct"/>
            <w:tcBorders>
              <w:top w:val="nil"/>
              <w:left w:val="nil"/>
              <w:bottom w:val="single" w:sz="4" w:space="0" w:color="auto"/>
              <w:right w:val="single" w:sz="4" w:space="0" w:color="auto"/>
            </w:tcBorders>
            <w:shd w:val="clear" w:color="auto" w:fill="auto"/>
            <w:noWrap/>
            <w:vAlign w:val="bottom"/>
            <w:hideMark/>
          </w:tcPr>
          <w:p w14:paraId="71C65D61" w14:textId="77777777" w:rsidR="009A356E" w:rsidRPr="00C10545" w:rsidRDefault="009A356E" w:rsidP="009A356E">
            <w:pPr>
              <w:jc w:val="center"/>
              <w:rPr>
                <w:color w:val="000000"/>
                <w:sz w:val="18"/>
                <w:szCs w:val="18"/>
                <w:lang w:eastAsia="en-AU"/>
              </w:rPr>
            </w:pPr>
            <w:r w:rsidRPr="00C10545">
              <w:rPr>
                <w:color w:val="000000"/>
                <w:sz w:val="18"/>
                <w:szCs w:val="18"/>
                <w:lang w:eastAsia="en-AU"/>
              </w:rPr>
              <w:t>68%</w:t>
            </w:r>
          </w:p>
        </w:tc>
      </w:tr>
      <w:tr w:rsidR="009A356E" w:rsidRPr="003C1378" w14:paraId="0D90A7AA" w14:textId="77777777" w:rsidTr="009A356E">
        <w:trPr>
          <w:trHeight w:val="238"/>
        </w:trPr>
        <w:tc>
          <w:tcPr>
            <w:tcW w:w="749" w:type="pct"/>
            <w:tcBorders>
              <w:top w:val="nil"/>
              <w:left w:val="single" w:sz="4" w:space="0" w:color="auto"/>
              <w:bottom w:val="single" w:sz="4" w:space="0" w:color="auto"/>
              <w:right w:val="single" w:sz="4" w:space="0" w:color="auto"/>
            </w:tcBorders>
            <w:shd w:val="clear" w:color="auto" w:fill="auto"/>
            <w:noWrap/>
            <w:vAlign w:val="bottom"/>
            <w:hideMark/>
          </w:tcPr>
          <w:p w14:paraId="3075BD7F" w14:textId="77777777" w:rsidR="009A356E" w:rsidRPr="00C10545" w:rsidRDefault="009A356E" w:rsidP="009A356E">
            <w:pPr>
              <w:rPr>
                <w:color w:val="000000"/>
                <w:sz w:val="18"/>
                <w:szCs w:val="18"/>
                <w:lang w:eastAsia="en-AU"/>
              </w:rPr>
            </w:pPr>
            <w:r w:rsidRPr="00C10545">
              <w:rPr>
                <w:color w:val="000000"/>
                <w:sz w:val="18"/>
                <w:szCs w:val="18"/>
                <w:lang w:eastAsia="en-AU"/>
              </w:rPr>
              <w:t>PAGs High</w:t>
            </w:r>
          </w:p>
        </w:tc>
        <w:tc>
          <w:tcPr>
            <w:tcW w:w="1580" w:type="pct"/>
            <w:tcBorders>
              <w:top w:val="nil"/>
              <w:left w:val="nil"/>
              <w:bottom w:val="single" w:sz="4" w:space="0" w:color="auto"/>
              <w:right w:val="single" w:sz="4" w:space="0" w:color="auto"/>
            </w:tcBorders>
            <w:shd w:val="clear" w:color="auto" w:fill="auto"/>
            <w:noWrap/>
            <w:vAlign w:val="bottom"/>
            <w:hideMark/>
          </w:tcPr>
          <w:p w14:paraId="2FF36F54" w14:textId="77777777" w:rsidR="009A356E" w:rsidRPr="00C10545" w:rsidRDefault="009A356E" w:rsidP="009A356E">
            <w:pPr>
              <w:jc w:val="center"/>
              <w:rPr>
                <w:color w:val="000000"/>
                <w:sz w:val="18"/>
                <w:szCs w:val="18"/>
                <w:lang w:eastAsia="en-AU"/>
              </w:rPr>
            </w:pPr>
            <w:r w:rsidRPr="00C10545">
              <w:rPr>
                <w:color w:val="000000"/>
                <w:sz w:val="18"/>
                <w:szCs w:val="18"/>
                <w:lang w:eastAsia="en-AU"/>
              </w:rPr>
              <w:t>21.19</w:t>
            </w:r>
          </w:p>
        </w:tc>
        <w:tc>
          <w:tcPr>
            <w:tcW w:w="910" w:type="pct"/>
            <w:tcBorders>
              <w:top w:val="nil"/>
              <w:left w:val="nil"/>
              <w:bottom w:val="single" w:sz="4" w:space="0" w:color="auto"/>
              <w:right w:val="single" w:sz="4" w:space="0" w:color="auto"/>
            </w:tcBorders>
            <w:shd w:val="clear" w:color="auto" w:fill="auto"/>
            <w:noWrap/>
            <w:vAlign w:val="bottom"/>
            <w:hideMark/>
          </w:tcPr>
          <w:p w14:paraId="2902BA37" w14:textId="77777777" w:rsidR="009A356E" w:rsidRPr="00C10545" w:rsidRDefault="009A356E" w:rsidP="009A356E">
            <w:pPr>
              <w:jc w:val="center"/>
              <w:rPr>
                <w:color w:val="000000"/>
                <w:sz w:val="18"/>
                <w:szCs w:val="18"/>
                <w:lang w:eastAsia="en-AU"/>
              </w:rPr>
            </w:pPr>
            <w:r w:rsidRPr="00C10545">
              <w:rPr>
                <w:color w:val="000000"/>
                <w:sz w:val="18"/>
                <w:szCs w:val="18"/>
                <w:lang w:eastAsia="en-AU"/>
              </w:rPr>
              <w:t>18.03</w:t>
            </w:r>
          </w:p>
        </w:tc>
        <w:tc>
          <w:tcPr>
            <w:tcW w:w="1761" w:type="pct"/>
            <w:tcBorders>
              <w:top w:val="nil"/>
              <w:left w:val="nil"/>
              <w:bottom w:val="single" w:sz="4" w:space="0" w:color="auto"/>
              <w:right w:val="single" w:sz="4" w:space="0" w:color="auto"/>
            </w:tcBorders>
            <w:shd w:val="clear" w:color="auto" w:fill="auto"/>
            <w:noWrap/>
            <w:vAlign w:val="bottom"/>
            <w:hideMark/>
          </w:tcPr>
          <w:p w14:paraId="68AE9B82" w14:textId="77777777" w:rsidR="009A356E" w:rsidRPr="00C10545" w:rsidRDefault="009A356E" w:rsidP="009A356E">
            <w:pPr>
              <w:jc w:val="center"/>
              <w:rPr>
                <w:color w:val="000000"/>
                <w:sz w:val="18"/>
                <w:szCs w:val="18"/>
                <w:lang w:eastAsia="en-AU"/>
              </w:rPr>
            </w:pPr>
            <w:r w:rsidRPr="00C10545">
              <w:rPr>
                <w:color w:val="000000"/>
                <w:sz w:val="18"/>
                <w:szCs w:val="18"/>
                <w:lang w:eastAsia="en-AU"/>
              </w:rPr>
              <w:t>85%</w:t>
            </w:r>
          </w:p>
        </w:tc>
      </w:tr>
      <w:tr w:rsidR="009A356E" w:rsidRPr="003C1378" w14:paraId="0E341C71" w14:textId="77777777" w:rsidTr="009A356E">
        <w:trPr>
          <w:trHeight w:val="300"/>
        </w:trPr>
        <w:tc>
          <w:tcPr>
            <w:tcW w:w="749" w:type="pct"/>
            <w:tcBorders>
              <w:top w:val="nil"/>
              <w:left w:val="single" w:sz="4" w:space="0" w:color="auto"/>
              <w:bottom w:val="single" w:sz="4" w:space="0" w:color="auto"/>
              <w:right w:val="single" w:sz="4" w:space="0" w:color="auto"/>
            </w:tcBorders>
            <w:shd w:val="clear" w:color="auto" w:fill="auto"/>
            <w:noWrap/>
            <w:vAlign w:val="bottom"/>
            <w:hideMark/>
          </w:tcPr>
          <w:p w14:paraId="017CEBA5" w14:textId="77777777" w:rsidR="009A356E" w:rsidRPr="00C10545" w:rsidRDefault="009A356E" w:rsidP="009A356E">
            <w:pPr>
              <w:rPr>
                <w:color w:val="000000"/>
                <w:sz w:val="18"/>
                <w:szCs w:val="18"/>
                <w:lang w:eastAsia="en-AU"/>
              </w:rPr>
            </w:pPr>
            <w:r w:rsidRPr="00C10545">
              <w:rPr>
                <w:color w:val="000000"/>
                <w:sz w:val="18"/>
                <w:szCs w:val="18"/>
                <w:lang w:eastAsia="en-AU"/>
              </w:rPr>
              <w:t>Assessment</w:t>
            </w:r>
          </w:p>
        </w:tc>
        <w:tc>
          <w:tcPr>
            <w:tcW w:w="1580" w:type="pct"/>
            <w:tcBorders>
              <w:top w:val="nil"/>
              <w:left w:val="nil"/>
              <w:bottom w:val="single" w:sz="4" w:space="0" w:color="auto"/>
              <w:right w:val="single" w:sz="4" w:space="0" w:color="auto"/>
            </w:tcBorders>
            <w:shd w:val="clear" w:color="auto" w:fill="auto"/>
            <w:noWrap/>
            <w:vAlign w:val="bottom"/>
            <w:hideMark/>
          </w:tcPr>
          <w:p w14:paraId="3068C5F9" w14:textId="77777777" w:rsidR="009A356E" w:rsidRPr="00C10545" w:rsidRDefault="009A356E" w:rsidP="009A356E">
            <w:pPr>
              <w:jc w:val="center"/>
              <w:rPr>
                <w:color w:val="000000"/>
                <w:sz w:val="18"/>
                <w:szCs w:val="18"/>
                <w:lang w:eastAsia="en-AU"/>
              </w:rPr>
            </w:pPr>
            <w:r w:rsidRPr="00C10545">
              <w:rPr>
                <w:color w:val="000000"/>
                <w:sz w:val="18"/>
                <w:szCs w:val="18"/>
                <w:lang w:eastAsia="en-AU"/>
              </w:rPr>
              <w:t>72.52</w:t>
            </w:r>
          </w:p>
        </w:tc>
        <w:tc>
          <w:tcPr>
            <w:tcW w:w="910" w:type="pct"/>
            <w:tcBorders>
              <w:top w:val="nil"/>
              <w:left w:val="nil"/>
              <w:bottom w:val="single" w:sz="4" w:space="0" w:color="auto"/>
              <w:right w:val="single" w:sz="4" w:space="0" w:color="auto"/>
            </w:tcBorders>
            <w:shd w:val="clear" w:color="auto" w:fill="auto"/>
            <w:noWrap/>
            <w:vAlign w:val="bottom"/>
            <w:hideMark/>
          </w:tcPr>
          <w:p w14:paraId="3E7FC1AB" w14:textId="77777777" w:rsidR="009A356E" w:rsidRPr="00C10545" w:rsidRDefault="009A356E" w:rsidP="009A356E">
            <w:pPr>
              <w:jc w:val="center"/>
              <w:rPr>
                <w:color w:val="000000"/>
                <w:sz w:val="18"/>
                <w:szCs w:val="18"/>
                <w:lang w:eastAsia="en-AU"/>
              </w:rPr>
            </w:pPr>
            <w:r w:rsidRPr="00C10545">
              <w:rPr>
                <w:color w:val="000000"/>
                <w:sz w:val="18"/>
                <w:szCs w:val="18"/>
                <w:lang w:eastAsia="en-AU"/>
              </w:rPr>
              <w:t>87.66</w:t>
            </w:r>
          </w:p>
        </w:tc>
        <w:tc>
          <w:tcPr>
            <w:tcW w:w="1761" w:type="pct"/>
            <w:tcBorders>
              <w:top w:val="nil"/>
              <w:left w:val="nil"/>
              <w:bottom w:val="single" w:sz="4" w:space="0" w:color="auto"/>
              <w:right w:val="single" w:sz="4" w:space="0" w:color="auto"/>
            </w:tcBorders>
            <w:shd w:val="clear" w:color="auto" w:fill="auto"/>
            <w:noWrap/>
            <w:vAlign w:val="bottom"/>
            <w:hideMark/>
          </w:tcPr>
          <w:p w14:paraId="463584CA" w14:textId="77777777" w:rsidR="009A356E" w:rsidRPr="00C10545" w:rsidRDefault="009A356E" w:rsidP="009A356E">
            <w:pPr>
              <w:jc w:val="center"/>
              <w:rPr>
                <w:color w:val="000000"/>
                <w:sz w:val="18"/>
                <w:szCs w:val="18"/>
                <w:lang w:eastAsia="en-AU"/>
              </w:rPr>
            </w:pPr>
            <w:r w:rsidRPr="00C10545">
              <w:rPr>
                <w:color w:val="000000"/>
                <w:sz w:val="18"/>
                <w:szCs w:val="18"/>
                <w:lang w:eastAsia="en-AU"/>
              </w:rPr>
              <w:t>121%</w:t>
            </w:r>
          </w:p>
        </w:tc>
      </w:tr>
    </w:tbl>
    <w:p w14:paraId="0033D37A" w14:textId="739BECDE" w:rsidR="009A356E" w:rsidRPr="003C1378" w:rsidRDefault="009A356E" w:rsidP="009A356E">
      <w:pPr>
        <w:rPr>
          <w:sz w:val="20"/>
        </w:rPr>
      </w:pPr>
      <w:r w:rsidRPr="003C1378">
        <w:rPr>
          <w:sz w:val="20"/>
        </w:rPr>
        <w:t>Note: Assessment is based on 3 hours however council average is 4 hours</w:t>
      </w:r>
    </w:p>
    <w:p w14:paraId="583201A5" w14:textId="77777777" w:rsidR="00671FD6" w:rsidRDefault="00671FD6" w:rsidP="009A356E"/>
    <w:p w14:paraId="5F449A2D" w14:textId="77777777" w:rsidR="009A356E" w:rsidRDefault="009A356E" w:rsidP="009A356E">
      <w:r>
        <w:t>Information on t</w:t>
      </w:r>
      <w:r w:rsidRPr="002350A1">
        <w:t>he reasonable unit cost</w:t>
      </w:r>
      <w:r>
        <w:t xml:space="preserve">, </w:t>
      </w:r>
      <w:r w:rsidRPr="002350A1">
        <w:t xml:space="preserve">output prices </w:t>
      </w:r>
      <w:r>
        <w:t xml:space="preserve">and </w:t>
      </w:r>
      <w:r w:rsidRPr="002350A1">
        <w:t>unit revenues can be used to establish how the cost</w:t>
      </w:r>
      <w:r>
        <w:t xml:space="preserve"> of services is</w:t>
      </w:r>
      <w:r w:rsidRPr="002350A1">
        <w:t xml:space="preserve"> borne. </w:t>
      </w:r>
      <w:r>
        <w:t xml:space="preserve">This is provided in Table 13. The council contribution to services is a function of councils’ unit costs, the mix of services being provided and the effects of under-supply of </w:t>
      </w:r>
      <w:proofErr w:type="spellStart"/>
      <w:r>
        <w:t>DoH</w:t>
      </w:r>
      <w:proofErr w:type="spellEnd"/>
      <w:r>
        <w:t xml:space="preserve"> purchase volumes in the case of a number of councils.</w:t>
      </w:r>
    </w:p>
    <w:p w14:paraId="65DBACA7" w14:textId="77777777" w:rsidR="009A356E" w:rsidRDefault="009A356E" w:rsidP="009A356E"/>
    <w:p w14:paraId="377B7802" w14:textId="77777777" w:rsidR="009A356E" w:rsidRPr="00C10545" w:rsidRDefault="009A356E" w:rsidP="009A356E">
      <w:pPr>
        <w:rPr>
          <w:b/>
          <w:sz w:val="20"/>
        </w:rPr>
      </w:pPr>
      <w:r w:rsidRPr="00C10545">
        <w:rPr>
          <w:b/>
          <w:sz w:val="20"/>
        </w:rPr>
        <w:t>Table</w:t>
      </w:r>
      <w:r>
        <w:rPr>
          <w:b/>
          <w:sz w:val="20"/>
        </w:rPr>
        <w:t xml:space="preserve"> 13</w:t>
      </w:r>
      <w:r w:rsidRPr="00C10545">
        <w:rPr>
          <w:b/>
          <w:sz w:val="20"/>
        </w:rPr>
        <w:t>: Council Contribution to HACC Based on RUC and Median Unit Client Fees</w:t>
      </w:r>
    </w:p>
    <w:tbl>
      <w:tblPr>
        <w:tblW w:w="5000" w:type="pct"/>
        <w:tblLook w:val="04A0" w:firstRow="1" w:lastRow="0" w:firstColumn="1" w:lastColumn="0" w:noHBand="0" w:noVBand="1"/>
      </w:tblPr>
      <w:tblGrid>
        <w:gridCol w:w="1863"/>
        <w:gridCol w:w="1333"/>
        <w:gridCol w:w="1333"/>
        <w:gridCol w:w="1333"/>
        <w:gridCol w:w="1333"/>
        <w:gridCol w:w="1334"/>
      </w:tblGrid>
      <w:tr w:rsidR="009A356E" w:rsidRPr="004B5E40" w14:paraId="2713C8DA" w14:textId="77777777" w:rsidTr="00437C6F">
        <w:trPr>
          <w:trHeight w:val="780"/>
          <w:tblHeader/>
        </w:trPr>
        <w:tc>
          <w:tcPr>
            <w:tcW w:w="969"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6B7A970" w14:textId="77777777" w:rsidR="009A356E" w:rsidRPr="00D4251B" w:rsidRDefault="009A356E" w:rsidP="009A356E">
            <w:pPr>
              <w:rPr>
                <w:rFonts w:ascii="Calibri" w:hAnsi="Calibri"/>
                <w:color w:val="000000"/>
                <w:sz w:val="18"/>
                <w:szCs w:val="18"/>
                <w:lang w:eastAsia="en-AU"/>
              </w:rPr>
            </w:pPr>
            <w:r w:rsidRPr="00D4251B">
              <w:rPr>
                <w:rFonts w:ascii="Calibri" w:hAnsi="Calibri"/>
                <w:color w:val="000000"/>
                <w:sz w:val="18"/>
                <w:szCs w:val="18"/>
                <w:lang w:eastAsia="en-AU"/>
              </w:rPr>
              <w:t> </w:t>
            </w:r>
          </w:p>
        </w:tc>
        <w:tc>
          <w:tcPr>
            <w:tcW w:w="806" w:type="pct"/>
            <w:tcBorders>
              <w:top w:val="single" w:sz="8" w:space="0" w:color="auto"/>
              <w:left w:val="nil"/>
              <w:bottom w:val="single" w:sz="8" w:space="0" w:color="auto"/>
              <w:right w:val="single" w:sz="8" w:space="0" w:color="auto"/>
            </w:tcBorders>
            <w:shd w:val="clear" w:color="auto" w:fill="auto"/>
            <w:vAlign w:val="center"/>
            <w:hideMark/>
          </w:tcPr>
          <w:p w14:paraId="1EEBF6D2" w14:textId="77777777" w:rsidR="009A356E" w:rsidRPr="00D4251B" w:rsidRDefault="009A356E" w:rsidP="009A356E">
            <w:pPr>
              <w:jc w:val="center"/>
              <w:rPr>
                <w:rFonts w:ascii="Calibri" w:hAnsi="Calibri"/>
                <w:b/>
                <w:bCs/>
                <w:color w:val="000000"/>
                <w:sz w:val="18"/>
                <w:szCs w:val="18"/>
                <w:lang w:eastAsia="en-AU"/>
              </w:rPr>
            </w:pPr>
            <w:r w:rsidRPr="00D4251B">
              <w:rPr>
                <w:rFonts w:ascii="Calibri" w:hAnsi="Calibri"/>
                <w:b/>
                <w:bCs/>
                <w:color w:val="000000"/>
                <w:sz w:val="18"/>
                <w:szCs w:val="18"/>
                <w:lang w:eastAsia="en-AU"/>
              </w:rPr>
              <w:t>Reasonable Unit Cost (RUC)</w:t>
            </w:r>
          </w:p>
        </w:tc>
        <w:tc>
          <w:tcPr>
            <w:tcW w:w="806" w:type="pct"/>
            <w:tcBorders>
              <w:top w:val="single" w:sz="8" w:space="0" w:color="auto"/>
              <w:left w:val="nil"/>
              <w:bottom w:val="single" w:sz="8" w:space="0" w:color="auto"/>
              <w:right w:val="single" w:sz="8" w:space="0" w:color="auto"/>
            </w:tcBorders>
            <w:shd w:val="clear" w:color="auto" w:fill="auto"/>
            <w:vAlign w:val="center"/>
            <w:hideMark/>
          </w:tcPr>
          <w:p w14:paraId="5D68948E" w14:textId="77777777" w:rsidR="009A356E" w:rsidRPr="00D4251B" w:rsidRDefault="009A356E" w:rsidP="009A356E">
            <w:pPr>
              <w:jc w:val="center"/>
              <w:rPr>
                <w:rFonts w:ascii="Calibri" w:hAnsi="Calibri"/>
                <w:b/>
                <w:bCs/>
                <w:color w:val="000000"/>
                <w:sz w:val="18"/>
                <w:szCs w:val="18"/>
                <w:lang w:eastAsia="en-AU"/>
              </w:rPr>
            </w:pPr>
            <w:proofErr w:type="spellStart"/>
            <w:r w:rsidRPr="00D4251B">
              <w:rPr>
                <w:rFonts w:ascii="Calibri" w:hAnsi="Calibri"/>
                <w:b/>
                <w:bCs/>
                <w:color w:val="000000"/>
                <w:sz w:val="18"/>
                <w:szCs w:val="18"/>
                <w:lang w:eastAsia="en-AU"/>
              </w:rPr>
              <w:t>DoH</w:t>
            </w:r>
            <w:proofErr w:type="spellEnd"/>
            <w:r w:rsidRPr="00D4251B">
              <w:rPr>
                <w:rFonts w:ascii="Calibri" w:hAnsi="Calibri"/>
                <w:b/>
                <w:bCs/>
                <w:color w:val="000000"/>
                <w:sz w:val="18"/>
                <w:szCs w:val="18"/>
                <w:lang w:eastAsia="en-AU"/>
              </w:rPr>
              <w:t xml:space="preserve"> Unit Price</w:t>
            </w:r>
          </w:p>
        </w:tc>
        <w:tc>
          <w:tcPr>
            <w:tcW w:w="806" w:type="pct"/>
            <w:tcBorders>
              <w:top w:val="single" w:sz="8" w:space="0" w:color="auto"/>
              <w:left w:val="nil"/>
              <w:bottom w:val="single" w:sz="8" w:space="0" w:color="auto"/>
              <w:right w:val="single" w:sz="8" w:space="0" w:color="auto"/>
            </w:tcBorders>
            <w:shd w:val="clear" w:color="auto" w:fill="auto"/>
            <w:vAlign w:val="center"/>
            <w:hideMark/>
          </w:tcPr>
          <w:p w14:paraId="1017E341" w14:textId="77777777" w:rsidR="009A356E" w:rsidRPr="00D4251B" w:rsidRDefault="009A356E" w:rsidP="009A356E">
            <w:pPr>
              <w:jc w:val="center"/>
              <w:rPr>
                <w:rFonts w:ascii="Calibri" w:hAnsi="Calibri"/>
                <w:b/>
                <w:bCs/>
                <w:color w:val="000000"/>
                <w:sz w:val="18"/>
                <w:szCs w:val="18"/>
                <w:lang w:eastAsia="en-AU"/>
              </w:rPr>
            </w:pPr>
            <w:r w:rsidRPr="00D4251B">
              <w:rPr>
                <w:rFonts w:ascii="Calibri" w:hAnsi="Calibri"/>
                <w:b/>
                <w:bCs/>
                <w:color w:val="000000"/>
                <w:sz w:val="18"/>
                <w:szCs w:val="18"/>
                <w:lang w:eastAsia="en-AU"/>
              </w:rPr>
              <w:t>Client Fee</w:t>
            </w:r>
          </w:p>
        </w:tc>
        <w:tc>
          <w:tcPr>
            <w:tcW w:w="806" w:type="pct"/>
            <w:tcBorders>
              <w:top w:val="single" w:sz="8" w:space="0" w:color="auto"/>
              <w:left w:val="nil"/>
              <w:bottom w:val="single" w:sz="8" w:space="0" w:color="auto"/>
              <w:right w:val="single" w:sz="8" w:space="0" w:color="auto"/>
            </w:tcBorders>
            <w:shd w:val="clear" w:color="auto" w:fill="auto"/>
            <w:vAlign w:val="center"/>
            <w:hideMark/>
          </w:tcPr>
          <w:p w14:paraId="7F75FC04" w14:textId="77777777" w:rsidR="009A356E" w:rsidRPr="00D4251B" w:rsidRDefault="009A356E" w:rsidP="009A356E">
            <w:pPr>
              <w:jc w:val="center"/>
              <w:rPr>
                <w:rFonts w:ascii="Calibri" w:hAnsi="Calibri"/>
                <w:b/>
                <w:bCs/>
                <w:color w:val="000000"/>
                <w:sz w:val="18"/>
                <w:szCs w:val="18"/>
                <w:lang w:eastAsia="en-AU"/>
              </w:rPr>
            </w:pPr>
            <w:r w:rsidRPr="00D4251B">
              <w:rPr>
                <w:rFonts w:ascii="Calibri" w:hAnsi="Calibri"/>
                <w:b/>
                <w:bCs/>
                <w:color w:val="000000"/>
                <w:sz w:val="18"/>
                <w:szCs w:val="18"/>
                <w:lang w:eastAsia="en-AU"/>
              </w:rPr>
              <w:t>Council Contribution</w:t>
            </w:r>
          </w:p>
        </w:tc>
        <w:tc>
          <w:tcPr>
            <w:tcW w:w="806" w:type="pct"/>
            <w:tcBorders>
              <w:top w:val="single" w:sz="8" w:space="0" w:color="auto"/>
              <w:left w:val="nil"/>
              <w:bottom w:val="single" w:sz="8" w:space="0" w:color="auto"/>
              <w:right w:val="single" w:sz="8" w:space="0" w:color="auto"/>
            </w:tcBorders>
            <w:shd w:val="clear" w:color="auto" w:fill="auto"/>
            <w:vAlign w:val="center"/>
            <w:hideMark/>
          </w:tcPr>
          <w:p w14:paraId="6C5229A0" w14:textId="77777777" w:rsidR="009A356E" w:rsidRPr="00D4251B" w:rsidRDefault="009A356E" w:rsidP="009A356E">
            <w:pPr>
              <w:jc w:val="center"/>
              <w:rPr>
                <w:rFonts w:ascii="Calibri" w:hAnsi="Calibri"/>
                <w:b/>
                <w:bCs/>
                <w:color w:val="000000"/>
                <w:sz w:val="18"/>
                <w:szCs w:val="18"/>
                <w:lang w:eastAsia="en-AU"/>
              </w:rPr>
            </w:pPr>
            <w:r w:rsidRPr="00D4251B">
              <w:rPr>
                <w:rFonts w:ascii="Calibri" w:hAnsi="Calibri"/>
                <w:b/>
                <w:bCs/>
                <w:color w:val="000000"/>
                <w:sz w:val="18"/>
                <w:szCs w:val="18"/>
                <w:lang w:eastAsia="en-AU"/>
              </w:rPr>
              <w:t>% Council Contribution</w:t>
            </w:r>
          </w:p>
        </w:tc>
      </w:tr>
      <w:tr w:rsidR="009A356E" w:rsidRPr="004B5E40" w14:paraId="53328685" w14:textId="77777777" w:rsidTr="009A356E">
        <w:trPr>
          <w:trHeight w:val="315"/>
        </w:trPr>
        <w:tc>
          <w:tcPr>
            <w:tcW w:w="969" w:type="pct"/>
            <w:tcBorders>
              <w:top w:val="nil"/>
              <w:left w:val="single" w:sz="8" w:space="0" w:color="auto"/>
              <w:bottom w:val="single" w:sz="8" w:space="0" w:color="auto"/>
              <w:right w:val="single" w:sz="8" w:space="0" w:color="auto"/>
            </w:tcBorders>
            <w:shd w:val="clear" w:color="auto" w:fill="auto"/>
            <w:noWrap/>
            <w:vAlign w:val="center"/>
            <w:hideMark/>
          </w:tcPr>
          <w:p w14:paraId="3D0D1210" w14:textId="77777777" w:rsidR="009A356E" w:rsidRPr="00D4251B" w:rsidRDefault="009A356E" w:rsidP="009A356E">
            <w:pPr>
              <w:rPr>
                <w:rFonts w:ascii="Calibri" w:hAnsi="Calibri"/>
                <w:color w:val="000000"/>
                <w:sz w:val="18"/>
                <w:szCs w:val="18"/>
                <w:lang w:eastAsia="en-AU"/>
              </w:rPr>
            </w:pPr>
            <w:r w:rsidRPr="00D4251B">
              <w:rPr>
                <w:rFonts w:ascii="Calibri" w:hAnsi="Calibri"/>
                <w:color w:val="000000"/>
                <w:sz w:val="18"/>
                <w:szCs w:val="18"/>
                <w:lang w:eastAsia="en-AU"/>
              </w:rPr>
              <w:t>Domestic Assistance</w:t>
            </w:r>
          </w:p>
        </w:tc>
        <w:tc>
          <w:tcPr>
            <w:tcW w:w="806" w:type="pct"/>
            <w:tcBorders>
              <w:top w:val="nil"/>
              <w:left w:val="nil"/>
              <w:bottom w:val="single" w:sz="8" w:space="0" w:color="auto"/>
              <w:right w:val="single" w:sz="8" w:space="0" w:color="auto"/>
            </w:tcBorders>
            <w:shd w:val="clear" w:color="auto" w:fill="auto"/>
            <w:noWrap/>
            <w:vAlign w:val="center"/>
            <w:hideMark/>
          </w:tcPr>
          <w:p w14:paraId="397AB280" w14:textId="77777777" w:rsidR="009A356E" w:rsidRPr="00D4251B" w:rsidRDefault="009A356E" w:rsidP="009A356E">
            <w:pPr>
              <w:jc w:val="center"/>
              <w:rPr>
                <w:rFonts w:ascii="Calibri" w:hAnsi="Calibri"/>
                <w:color w:val="000000"/>
                <w:sz w:val="18"/>
                <w:szCs w:val="18"/>
                <w:lang w:eastAsia="en-AU"/>
              </w:rPr>
            </w:pPr>
            <w:r w:rsidRPr="00D4251B">
              <w:rPr>
                <w:rFonts w:ascii="Calibri" w:hAnsi="Calibri"/>
                <w:color w:val="000000"/>
                <w:sz w:val="18"/>
                <w:szCs w:val="18"/>
                <w:lang w:eastAsia="en-AU"/>
              </w:rPr>
              <w:t>56.79</w:t>
            </w:r>
          </w:p>
        </w:tc>
        <w:tc>
          <w:tcPr>
            <w:tcW w:w="806" w:type="pct"/>
            <w:tcBorders>
              <w:top w:val="nil"/>
              <w:left w:val="nil"/>
              <w:bottom w:val="single" w:sz="8" w:space="0" w:color="auto"/>
              <w:right w:val="single" w:sz="8" w:space="0" w:color="auto"/>
            </w:tcBorders>
            <w:shd w:val="clear" w:color="auto" w:fill="auto"/>
            <w:noWrap/>
            <w:vAlign w:val="center"/>
            <w:hideMark/>
          </w:tcPr>
          <w:p w14:paraId="331EA54D" w14:textId="77777777" w:rsidR="009A356E" w:rsidRPr="00D4251B" w:rsidRDefault="009A356E" w:rsidP="009A356E">
            <w:pPr>
              <w:jc w:val="center"/>
              <w:rPr>
                <w:rFonts w:ascii="Calibri" w:hAnsi="Calibri"/>
                <w:color w:val="000000"/>
                <w:sz w:val="18"/>
                <w:szCs w:val="18"/>
                <w:lang w:eastAsia="en-AU"/>
              </w:rPr>
            </w:pPr>
            <w:r w:rsidRPr="00D4251B">
              <w:rPr>
                <w:rFonts w:ascii="Calibri" w:hAnsi="Calibri"/>
                <w:color w:val="000000"/>
                <w:sz w:val="18"/>
                <w:szCs w:val="18"/>
                <w:lang w:eastAsia="en-AU"/>
              </w:rPr>
              <w:t>31.51</w:t>
            </w:r>
          </w:p>
        </w:tc>
        <w:tc>
          <w:tcPr>
            <w:tcW w:w="806" w:type="pct"/>
            <w:tcBorders>
              <w:top w:val="nil"/>
              <w:left w:val="nil"/>
              <w:bottom w:val="single" w:sz="8" w:space="0" w:color="auto"/>
              <w:right w:val="single" w:sz="8" w:space="0" w:color="auto"/>
            </w:tcBorders>
            <w:shd w:val="clear" w:color="auto" w:fill="auto"/>
            <w:noWrap/>
            <w:vAlign w:val="center"/>
            <w:hideMark/>
          </w:tcPr>
          <w:p w14:paraId="39B85BC8" w14:textId="77777777" w:rsidR="009A356E" w:rsidRPr="00D4251B" w:rsidRDefault="009A356E" w:rsidP="009A356E">
            <w:pPr>
              <w:jc w:val="center"/>
              <w:rPr>
                <w:rFonts w:ascii="Calibri" w:hAnsi="Calibri"/>
                <w:color w:val="000000"/>
                <w:sz w:val="18"/>
                <w:szCs w:val="18"/>
                <w:lang w:eastAsia="en-AU"/>
              </w:rPr>
            </w:pPr>
            <w:r w:rsidRPr="00D4251B">
              <w:rPr>
                <w:rFonts w:ascii="Calibri" w:hAnsi="Calibri"/>
                <w:color w:val="000000"/>
                <w:sz w:val="18"/>
                <w:szCs w:val="18"/>
                <w:lang w:eastAsia="en-AU"/>
              </w:rPr>
              <w:t>5.7</w:t>
            </w:r>
          </w:p>
        </w:tc>
        <w:tc>
          <w:tcPr>
            <w:tcW w:w="806" w:type="pct"/>
            <w:tcBorders>
              <w:top w:val="nil"/>
              <w:left w:val="nil"/>
              <w:bottom w:val="single" w:sz="8" w:space="0" w:color="auto"/>
              <w:right w:val="single" w:sz="8" w:space="0" w:color="auto"/>
            </w:tcBorders>
            <w:shd w:val="clear" w:color="auto" w:fill="auto"/>
            <w:noWrap/>
            <w:vAlign w:val="center"/>
            <w:hideMark/>
          </w:tcPr>
          <w:p w14:paraId="70A5D534" w14:textId="77777777" w:rsidR="009A356E" w:rsidRPr="00D4251B" w:rsidRDefault="009A356E" w:rsidP="009A356E">
            <w:pPr>
              <w:jc w:val="center"/>
              <w:rPr>
                <w:rFonts w:ascii="Calibri" w:hAnsi="Calibri"/>
                <w:color w:val="000000"/>
                <w:sz w:val="18"/>
                <w:szCs w:val="18"/>
                <w:lang w:eastAsia="en-AU"/>
              </w:rPr>
            </w:pPr>
            <w:r w:rsidRPr="00D4251B">
              <w:rPr>
                <w:rFonts w:ascii="Calibri" w:hAnsi="Calibri"/>
                <w:color w:val="000000"/>
                <w:sz w:val="18"/>
                <w:szCs w:val="18"/>
                <w:lang w:eastAsia="en-AU"/>
              </w:rPr>
              <w:t>19.58</w:t>
            </w:r>
          </w:p>
        </w:tc>
        <w:tc>
          <w:tcPr>
            <w:tcW w:w="806" w:type="pct"/>
            <w:tcBorders>
              <w:top w:val="nil"/>
              <w:left w:val="nil"/>
              <w:bottom w:val="single" w:sz="8" w:space="0" w:color="auto"/>
              <w:right w:val="single" w:sz="8" w:space="0" w:color="auto"/>
            </w:tcBorders>
            <w:shd w:val="clear" w:color="auto" w:fill="auto"/>
            <w:noWrap/>
            <w:vAlign w:val="center"/>
            <w:hideMark/>
          </w:tcPr>
          <w:p w14:paraId="24F12C05" w14:textId="77777777" w:rsidR="009A356E" w:rsidRPr="00D4251B" w:rsidRDefault="009A356E" w:rsidP="009A356E">
            <w:pPr>
              <w:jc w:val="center"/>
              <w:rPr>
                <w:rFonts w:ascii="Calibri" w:hAnsi="Calibri"/>
                <w:color w:val="000000"/>
                <w:sz w:val="18"/>
                <w:szCs w:val="18"/>
                <w:lang w:eastAsia="en-AU"/>
              </w:rPr>
            </w:pPr>
            <w:r w:rsidRPr="00D4251B">
              <w:rPr>
                <w:rFonts w:ascii="Calibri" w:hAnsi="Calibri"/>
                <w:color w:val="000000"/>
                <w:sz w:val="18"/>
                <w:szCs w:val="18"/>
                <w:lang w:eastAsia="en-AU"/>
              </w:rPr>
              <w:t>34%</w:t>
            </w:r>
          </w:p>
        </w:tc>
      </w:tr>
      <w:tr w:rsidR="009A356E" w:rsidRPr="004B5E40" w14:paraId="4AE6D9B8" w14:textId="77777777" w:rsidTr="009A356E">
        <w:trPr>
          <w:trHeight w:val="315"/>
        </w:trPr>
        <w:tc>
          <w:tcPr>
            <w:tcW w:w="969" w:type="pct"/>
            <w:tcBorders>
              <w:top w:val="nil"/>
              <w:left w:val="single" w:sz="8" w:space="0" w:color="auto"/>
              <w:bottom w:val="single" w:sz="8" w:space="0" w:color="auto"/>
              <w:right w:val="single" w:sz="8" w:space="0" w:color="auto"/>
            </w:tcBorders>
            <w:shd w:val="clear" w:color="auto" w:fill="auto"/>
            <w:noWrap/>
            <w:vAlign w:val="center"/>
            <w:hideMark/>
          </w:tcPr>
          <w:p w14:paraId="545F79D3" w14:textId="77777777" w:rsidR="009A356E" w:rsidRPr="00D4251B" w:rsidRDefault="009A356E" w:rsidP="009A356E">
            <w:pPr>
              <w:rPr>
                <w:rFonts w:ascii="Calibri" w:hAnsi="Calibri"/>
                <w:color w:val="000000"/>
                <w:sz w:val="18"/>
                <w:szCs w:val="18"/>
                <w:lang w:eastAsia="en-AU"/>
              </w:rPr>
            </w:pPr>
            <w:r w:rsidRPr="00D4251B">
              <w:rPr>
                <w:rFonts w:ascii="Calibri" w:hAnsi="Calibri"/>
                <w:color w:val="000000"/>
                <w:sz w:val="18"/>
                <w:szCs w:val="18"/>
                <w:lang w:eastAsia="en-AU"/>
              </w:rPr>
              <w:t>Personal Care</w:t>
            </w:r>
          </w:p>
        </w:tc>
        <w:tc>
          <w:tcPr>
            <w:tcW w:w="806" w:type="pct"/>
            <w:tcBorders>
              <w:top w:val="nil"/>
              <w:left w:val="nil"/>
              <w:bottom w:val="single" w:sz="8" w:space="0" w:color="auto"/>
              <w:right w:val="single" w:sz="8" w:space="0" w:color="auto"/>
            </w:tcBorders>
            <w:shd w:val="clear" w:color="auto" w:fill="auto"/>
            <w:noWrap/>
            <w:vAlign w:val="center"/>
            <w:hideMark/>
          </w:tcPr>
          <w:p w14:paraId="6DD187DD" w14:textId="77777777" w:rsidR="009A356E" w:rsidRPr="00D4251B" w:rsidRDefault="009A356E" w:rsidP="009A356E">
            <w:pPr>
              <w:jc w:val="center"/>
              <w:rPr>
                <w:rFonts w:ascii="Calibri" w:hAnsi="Calibri"/>
                <w:color w:val="000000"/>
                <w:sz w:val="18"/>
                <w:szCs w:val="18"/>
                <w:lang w:eastAsia="en-AU"/>
              </w:rPr>
            </w:pPr>
            <w:r w:rsidRPr="00D4251B">
              <w:rPr>
                <w:rFonts w:ascii="Calibri" w:hAnsi="Calibri"/>
                <w:color w:val="000000"/>
                <w:sz w:val="18"/>
                <w:szCs w:val="18"/>
                <w:lang w:eastAsia="en-AU"/>
              </w:rPr>
              <w:t>68.91</w:t>
            </w:r>
          </w:p>
        </w:tc>
        <w:tc>
          <w:tcPr>
            <w:tcW w:w="806" w:type="pct"/>
            <w:tcBorders>
              <w:top w:val="nil"/>
              <w:left w:val="nil"/>
              <w:bottom w:val="single" w:sz="8" w:space="0" w:color="auto"/>
              <w:right w:val="single" w:sz="8" w:space="0" w:color="auto"/>
            </w:tcBorders>
            <w:shd w:val="clear" w:color="auto" w:fill="auto"/>
            <w:noWrap/>
            <w:vAlign w:val="center"/>
            <w:hideMark/>
          </w:tcPr>
          <w:p w14:paraId="1A561EED" w14:textId="77777777" w:rsidR="009A356E" w:rsidRPr="00D4251B" w:rsidRDefault="009A356E" w:rsidP="009A356E">
            <w:pPr>
              <w:jc w:val="center"/>
              <w:rPr>
                <w:rFonts w:ascii="Calibri" w:hAnsi="Calibri"/>
                <w:color w:val="000000"/>
                <w:sz w:val="18"/>
                <w:szCs w:val="18"/>
                <w:lang w:eastAsia="en-AU"/>
              </w:rPr>
            </w:pPr>
            <w:r w:rsidRPr="00D4251B">
              <w:rPr>
                <w:rFonts w:ascii="Calibri" w:hAnsi="Calibri"/>
                <w:color w:val="000000"/>
                <w:sz w:val="18"/>
                <w:szCs w:val="18"/>
                <w:lang w:eastAsia="en-AU"/>
              </w:rPr>
              <w:t>36</w:t>
            </w:r>
          </w:p>
        </w:tc>
        <w:tc>
          <w:tcPr>
            <w:tcW w:w="806" w:type="pct"/>
            <w:tcBorders>
              <w:top w:val="nil"/>
              <w:left w:val="nil"/>
              <w:bottom w:val="single" w:sz="8" w:space="0" w:color="auto"/>
              <w:right w:val="single" w:sz="8" w:space="0" w:color="auto"/>
            </w:tcBorders>
            <w:shd w:val="clear" w:color="auto" w:fill="auto"/>
            <w:noWrap/>
            <w:vAlign w:val="center"/>
            <w:hideMark/>
          </w:tcPr>
          <w:p w14:paraId="74ED2450" w14:textId="77777777" w:rsidR="009A356E" w:rsidRPr="00D4251B" w:rsidRDefault="009A356E" w:rsidP="009A356E">
            <w:pPr>
              <w:jc w:val="center"/>
              <w:rPr>
                <w:rFonts w:ascii="Calibri" w:hAnsi="Calibri"/>
                <w:color w:val="000000"/>
                <w:sz w:val="18"/>
                <w:szCs w:val="18"/>
                <w:lang w:eastAsia="en-AU"/>
              </w:rPr>
            </w:pPr>
            <w:r w:rsidRPr="00D4251B">
              <w:rPr>
                <w:rFonts w:ascii="Calibri" w:hAnsi="Calibri"/>
                <w:color w:val="000000"/>
                <w:sz w:val="18"/>
                <w:szCs w:val="18"/>
                <w:lang w:eastAsia="en-AU"/>
              </w:rPr>
              <w:t>4.3</w:t>
            </w:r>
          </w:p>
        </w:tc>
        <w:tc>
          <w:tcPr>
            <w:tcW w:w="806" w:type="pct"/>
            <w:tcBorders>
              <w:top w:val="nil"/>
              <w:left w:val="nil"/>
              <w:bottom w:val="single" w:sz="8" w:space="0" w:color="auto"/>
              <w:right w:val="single" w:sz="8" w:space="0" w:color="auto"/>
            </w:tcBorders>
            <w:shd w:val="clear" w:color="auto" w:fill="auto"/>
            <w:noWrap/>
            <w:vAlign w:val="center"/>
            <w:hideMark/>
          </w:tcPr>
          <w:p w14:paraId="4897166F" w14:textId="77777777" w:rsidR="009A356E" w:rsidRPr="00D4251B" w:rsidRDefault="009A356E" w:rsidP="009A356E">
            <w:pPr>
              <w:jc w:val="center"/>
              <w:rPr>
                <w:rFonts w:ascii="Calibri" w:hAnsi="Calibri"/>
                <w:color w:val="000000"/>
                <w:sz w:val="18"/>
                <w:szCs w:val="18"/>
                <w:lang w:eastAsia="en-AU"/>
              </w:rPr>
            </w:pPr>
            <w:r w:rsidRPr="00D4251B">
              <w:rPr>
                <w:rFonts w:ascii="Calibri" w:hAnsi="Calibri"/>
                <w:color w:val="000000"/>
                <w:sz w:val="18"/>
                <w:szCs w:val="18"/>
                <w:lang w:eastAsia="en-AU"/>
              </w:rPr>
              <w:t>28.61</w:t>
            </w:r>
          </w:p>
        </w:tc>
        <w:tc>
          <w:tcPr>
            <w:tcW w:w="806" w:type="pct"/>
            <w:tcBorders>
              <w:top w:val="nil"/>
              <w:left w:val="nil"/>
              <w:bottom w:val="single" w:sz="8" w:space="0" w:color="auto"/>
              <w:right w:val="single" w:sz="8" w:space="0" w:color="auto"/>
            </w:tcBorders>
            <w:shd w:val="clear" w:color="auto" w:fill="auto"/>
            <w:noWrap/>
            <w:vAlign w:val="center"/>
            <w:hideMark/>
          </w:tcPr>
          <w:p w14:paraId="67448673" w14:textId="77777777" w:rsidR="009A356E" w:rsidRPr="00D4251B" w:rsidRDefault="009A356E" w:rsidP="009A356E">
            <w:pPr>
              <w:jc w:val="center"/>
              <w:rPr>
                <w:rFonts w:ascii="Calibri" w:hAnsi="Calibri"/>
                <w:color w:val="000000"/>
                <w:sz w:val="18"/>
                <w:szCs w:val="18"/>
                <w:lang w:eastAsia="en-AU"/>
              </w:rPr>
            </w:pPr>
            <w:r w:rsidRPr="00D4251B">
              <w:rPr>
                <w:rFonts w:ascii="Calibri" w:hAnsi="Calibri"/>
                <w:color w:val="000000"/>
                <w:sz w:val="18"/>
                <w:szCs w:val="18"/>
                <w:lang w:eastAsia="en-AU"/>
              </w:rPr>
              <w:t>42%</w:t>
            </w:r>
          </w:p>
        </w:tc>
      </w:tr>
      <w:tr w:rsidR="009A356E" w:rsidRPr="004B5E40" w14:paraId="514C3FAE" w14:textId="77777777" w:rsidTr="009A356E">
        <w:trPr>
          <w:trHeight w:val="315"/>
        </w:trPr>
        <w:tc>
          <w:tcPr>
            <w:tcW w:w="969" w:type="pct"/>
            <w:tcBorders>
              <w:top w:val="nil"/>
              <w:left w:val="single" w:sz="8" w:space="0" w:color="auto"/>
              <w:bottom w:val="single" w:sz="8" w:space="0" w:color="auto"/>
              <w:right w:val="single" w:sz="8" w:space="0" w:color="auto"/>
            </w:tcBorders>
            <w:shd w:val="clear" w:color="auto" w:fill="auto"/>
            <w:noWrap/>
            <w:vAlign w:val="center"/>
            <w:hideMark/>
          </w:tcPr>
          <w:p w14:paraId="153B4FEC" w14:textId="77777777" w:rsidR="009A356E" w:rsidRPr="00D4251B" w:rsidRDefault="009A356E" w:rsidP="009A356E">
            <w:pPr>
              <w:rPr>
                <w:rFonts w:ascii="Calibri" w:hAnsi="Calibri"/>
                <w:color w:val="000000"/>
                <w:sz w:val="18"/>
                <w:szCs w:val="18"/>
                <w:lang w:eastAsia="en-AU"/>
              </w:rPr>
            </w:pPr>
            <w:r w:rsidRPr="00D4251B">
              <w:rPr>
                <w:rFonts w:ascii="Calibri" w:hAnsi="Calibri"/>
                <w:color w:val="000000"/>
                <w:sz w:val="18"/>
                <w:szCs w:val="18"/>
                <w:lang w:eastAsia="en-AU"/>
              </w:rPr>
              <w:t xml:space="preserve">Respite </w:t>
            </w:r>
          </w:p>
        </w:tc>
        <w:tc>
          <w:tcPr>
            <w:tcW w:w="806" w:type="pct"/>
            <w:tcBorders>
              <w:top w:val="nil"/>
              <w:left w:val="nil"/>
              <w:bottom w:val="single" w:sz="8" w:space="0" w:color="auto"/>
              <w:right w:val="single" w:sz="8" w:space="0" w:color="auto"/>
            </w:tcBorders>
            <w:shd w:val="clear" w:color="auto" w:fill="auto"/>
            <w:noWrap/>
            <w:vAlign w:val="center"/>
            <w:hideMark/>
          </w:tcPr>
          <w:p w14:paraId="1F75CFAD" w14:textId="77777777" w:rsidR="009A356E" w:rsidRPr="00D4251B" w:rsidRDefault="009A356E" w:rsidP="009A356E">
            <w:pPr>
              <w:jc w:val="center"/>
              <w:rPr>
                <w:rFonts w:ascii="Calibri" w:hAnsi="Calibri"/>
                <w:color w:val="000000"/>
                <w:sz w:val="18"/>
                <w:szCs w:val="18"/>
                <w:lang w:eastAsia="en-AU"/>
              </w:rPr>
            </w:pPr>
            <w:r w:rsidRPr="00D4251B">
              <w:rPr>
                <w:rFonts w:ascii="Calibri" w:hAnsi="Calibri"/>
                <w:color w:val="000000"/>
                <w:sz w:val="18"/>
                <w:szCs w:val="18"/>
                <w:lang w:eastAsia="en-AU"/>
              </w:rPr>
              <w:t>57.23</w:t>
            </w:r>
          </w:p>
        </w:tc>
        <w:tc>
          <w:tcPr>
            <w:tcW w:w="806" w:type="pct"/>
            <w:tcBorders>
              <w:top w:val="nil"/>
              <w:left w:val="nil"/>
              <w:bottom w:val="single" w:sz="8" w:space="0" w:color="auto"/>
              <w:right w:val="single" w:sz="8" w:space="0" w:color="auto"/>
            </w:tcBorders>
            <w:shd w:val="clear" w:color="auto" w:fill="auto"/>
            <w:noWrap/>
            <w:vAlign w:val="center"/>
            <w:hideMark/>
          </w:tcPr>
          <w:p w14:paraId="05ACE982" w14:textId="77777777" w:rsidR="009A356E" w:rsidRPr="00D4251B" w:rsidRDefault="009A356E" w:rsidP="009A356E">
            <w:pPr>
              <w:jc w:val="center"/>
              <w:rPr>
                <w:rFonts w:ascii="Calibri" w:hAnsi="Calibri"/>
                <w:color w:val="000000"/>
                <w:sz w:val="18"/>
                <w:szCs w:val="18"/>
                <w:lang w:eastAsia="en-AU"/>
              </w:rPr>
            </w:pPr>
            <w:r w:rsidRPr="00D4251B">
              <w:rPr>
                <w:rFonts w:ascii="Calibri" w:hAnsi="Calibri"/>
                <w:color w:val="000000"/>
                <w:sz w:val="18"/>
                <w:szCs w:val="18"/>
                <w:lang w:eastAsia="en-AU"/>
              </w:rPr>
              <w:t>32.54</w:t>
            </w:r>
          </w:p>
        </w:tc>
        <w:tc>
          <w:tcPr>
            <w:tcW w:w="806" w:type="pct"/>
            <w:tcBorders>
              <w:top w:val="nil"/>
              <w:left w:val="nil"/>
              <w:bottom w:val="single" w:sz="8" w:space="0" w:color="auto"/>
              <w:right w:val="single" w:sz="8" w:space="0" w:color="auto"/>
            </w:tcBorders>
            <w:shd w:val="clear" w:color="auto" w:fill="auto"/>
            <w:noWrap/>
            <w:vAlign w:val="center"/>
            <w:hideMark/>
          </w:tcPr>
          <w:p w14:paraId="5586C28B" w14:textId="77777777" w:rsidR="009A356E" w:rsidRPr="00D4251B" w:rsidRDefault="009A356E" w:rsidP="009A356E">
            <w:pPr>
              <w:jc w:val="center"/>
              <w:rPr>
                <w:rFonts w:ascii="Calibri" w:hAnsi="Calibri"/>
                <w:color w:val="000000"/>
                <w:sz w:val="18"/>
                <w:szCs w:val="18"/>
                <w:lang w:eastAsia="en-AU"/>
              </w:rPr>
            </w:pPr>
            <w:r w:rsidRPr="00D4251B">
              <w:rPr>
                <w:rFonts w:ascii="Calibri" w:hAnsi="Calibri"/>
                <w:color w:val="000000"/>
                <w:sz w:val="18"/>
                <w:szCs w:val="18"/>
                <w:lang w:eastAsia="en-AU"/>
              </w:rPr>
              <w:t>3.1</w:t>
            </w:r>
          </w:p>
        </w:tc>
        <w:tc>
          <w:tcPr>
            <w:tcW w:w="806" w:type="pct"/>
            <w:tcBorders>
              <w:top w:val="nil"/>
              <w:left w:val="nil"/>
              <w:bottom w:val="single" w:sz="8" w:space="0" w:color="auto"/>
              <w:right w:val="single" w:sz="8" w:space="0" w:color="auto"/>
            </w:tcBorders>
            <w:shd w:val="clear" w:color="auto" w:fill="auto"/>
            <w:noWrap/>
            <w:vAlign w:val="center"/>
            <w:hideMark/>
          </w:tcPr>
          <w:p w14:paraId="2DE22FAE" w14:textId="77777777" w:rsidR="009A356E" w:rsidRPr="00D4251B" w:rsidRDefault="009A356E" w:rsidP="009A356E">
            <w:pPr>
              <w:jc w:val="center"/>
              <w:rPr>
                <w:rFonts w:ascii="Calibri" w:hAnsi="Calibri"/>
                <w:color w:val="000000"/>
                <w:sz w:val="18"/>
                <w:szCs w:val="18"/>
                <w:lang w:eastAsia="en-AU"/>
              </w:rPr>
            </w:pPr>
            <w:r w:rsidRPr="00D4251B">
              <w:rPr>
                <w:rFonts w:ascii="Calibri" w:hAnsi="Calibri"/>
                <w:color w:val="000000"/>
                <w:sz w:val="18"/>
                <w:szCs w:val="18"/>
                <w:lang w:eastAsia="en-AU"/>
              </w:rPr>
              <w:t>21.59</w:t>
            </w:r>
          </w:p>
        </w:tc>
        <w:tc>
          <w:tcPr>
            <w:tcW w:w="806" w:type="pct"/>
            <w:tcBorders>
              <w:top w:val="nil"/>
              <w:left w:val="nil"/>
              <w:bottom w:val="single" w:sz="8" w:space="0" w:color="auto"/>
              <w:right w:val="single" w:sz="8" w:space="0" w:color="auto"/>
            </w:tcBorders>
            <w:shd w:val="clear" w:color="auto" w:fill="auto"/>
            <w:noWrap/>
            <w:vAlign w:val="center"/>
            <w:hideMark/>
          </w:tcPr>
          <w:p w14:paraId="594BF03D" w14:textId="77777777" w:rsidR="009A356E" w:rsidRPr="00D4251B" w:rsidRDefault="009A356E" w:rsidP="009A356E">
            <w:pPr>
              <w:jc w:val="center"/>
              <w:rPr>
                <w:rFonts w:ascii="Calibri" w:hAnsi="Calibri"/>
                <w:color w:val="000000"/>
                <w:sz w:val="18"/>
                <w:szCs w:val="18"/>
                <w:lang w:eastAsia="en-AU"/>
              </w:rPr>
            </w:pPr>
            <w:r w:rsidRPr="00D4251B">
              <w:rPr>
                <w:rFonts w:ascii="Calibri" w:hAnsi="Calibri"/>
                <w:color w:val="000000"/>
                <w:sz w:val="18"/>
                <w:szCs w:val="18"/>
                <w:lang w:eastAsia="en-AU"/>
              </w:rPr>
              <w:t>38%</w:t>
            </w:r>
          </w:p>
        </w:tc>
      </w:tr>
      <w:tr w:rsidR="009A356E" w:rsidRPr="004B5E40" w14:paraId="40764BA0" w14:textId="77777777" w:rsidTr="009A356E">
        <w:trPr>
          <w:trHeight w:val="315"/>
        </w:trPr>
        <w:tc>
          <w:tcPr>
            <w:tcW w:w="969" w:type="pct"/>
            <w:tcBorders>
              <w:top w:val="nil"/>
              <w:left w:val="single" w:sz="8" w:space="0" w:color="auto"/>
              <w:bottom w:val="single" w:sz="8" w:space="0" w:color="auto"/>
              <w:right w:val="single" w:sz="8" w:space="0" w:color="auto"/>
            </w:tcBorders>
            <w:shd w:val="clear" w:color="auto" w:fill="auto"/>
            <w:noWrap/>
            <w:vAlign w:val="center"/>
            <w:hideMark/>
          </w:tcPr>
          <w:p w14:paraId="7533E926" w14:textId="77777777" w:rsidR="009A356E" w:rsidRPr="00D4251B" w:rsidRDefault="009A356E" w:rsidP="009A356E">
            <w:pPr>
              <w:rPr>
                <w:rFonts w:ascii="Calibri" w:hAnsi="Calibri"/>
                <w:color w:val="000000"/>
                <w:sz w:val="18"/>
                <w:szCs w:val="18"/>
                <w:lang w:eastAsia="en-AU"/>
              </w:rPr>
            </w:pPr>
            <w:r w:rsidRPr="00D4251B">
              <w:rPr>
                <w:rFonts w:ascii="Calibri" w:hAnsi="Calibri"/>
                <w:color w:val="000000"/>
                <w:sz w:val="18"/>
                <w:szCs w:val="18"/>
                <w:lang w:eastAsia="en-AU"/>
              </w:rPr>
              <w:t>Property Maintenance</w:t>
            </w:r>
          </w:p>
        </w:tc>
        <w:tc>
          <w:tcPr>
            <w:tcW w:w="806" w:type="pct"/>
            <w:tcBorders>
              <w:top w:val="nil"/>
              <w:left w:val="nil"/>
              <w:bottom w:val="single" w:sz="8" w:space="0" w:color="auto"/>
              <w:right w:val="single" w:sz="8" w:space="0" w:color="auto"/>
            </w:tcBorders>
            <w:shd w:val="clear" w:color="auto" w:fill="auto"/>
            <w:noWrap/>
            <w:vAlign w:val="center"/>
            <w:hideMark/>
          </w:tcPr>
          <w:p w14:paraId="63844912" w14:textId="77777777" w:rsidR="009A356E" w:rsidRPr="00D4251B" w:rsidRDefault="009A356E" w:rsidP="009A356E">
            <w:pPr>
              <w:jc w:val="center"/>
              <w:rPr>
                <w:rFonts w:ascii="Calibri" w:hAnsi="Calibri"/>
                <w:color w:val="000000"/>
                <w:sz w:val="18"/>
                <w:szCs w:val="18"/>
                <w:lang w:eastAsia="en-AU"/>
              </w:rPr>
            </w:pPr>
            <w:r w:rsidRPr="00D4251B">
              <w:rPr>
                <w:rFonts w:ascii="Calibri" w:hAnsi="Calibri"/>
                <w:color w:val="000000"/>
                <w:sz w:val="18"/>
                <w:szCs w:val="18"/>
                <w:lang w:eastAsia="en-AU"/>
              </w:rPr>
              <w:t>66.86</w:t>
            </w:r>
          </w:p>
        </w:tc>
        <w:tc>
          <w:tcPr>
            <w:tcW w:w="806" w:type="pct"/>
            <w:tcBorders>
              <w:top w:val="nil"/>
              <w:left w:val="nil"/>
              <w:bottom w:val="single" w:sz="8" w:space="0" w:color="auto"/>
              <w:right w:val="single" w:sz="8" w:space="0" w:color="auto"/>
            </w:tcBorders>
            <w:shd w:val="clear" w:color="auto" w:fill="auto"/>
            <w:noWrap/>
            <w:vAlign w:val="center"/>
            <w:hideMark/>
          </w:tcPr>
          <w:p w14:paraId="64F41187" w14:textId="77777777" w:rsidR="009A356E" w:rsidRPr="00D4251B" w:rsidRDefault="009A356E" w:rsidP="009A356E">
            <w:pPr>
              <w:jc w:val="center"/>
              <w:rPr>
                <w:rFonts w:ascii="Calibri" w:hAnsi="Calibri"/>
                <w:color w:val="000000"/>
                <w:sz w:val="18"/>
                <w:szCs w:val="18"/>
                <w:lang w:eastAsia="en-AU"/>
              </w:rPr>
            </w:pPr>
            <w:r w:rsidRPr="00D4251B">
              <w:rPr>
                <w:rFonts w:ascii="Calibri" w:hAnsi="Calibri"/>
                <w:color w:val="000000"/>
                <w:sz w:val="18"/>
                <w:szCs w:val="18"/>
                <w:lang w:eastAsia="en-AU"/>
              </w:rPr>
              <w:t>45.82</w:t>
            </w:r>
          </w:p>
        </w:tc>
        <w:tc>
          <w:tcPr>
            <w:tcW w:w="806" w:type="pct"/>
            <w:tcBorders>
              <w:top w:val="nil"/>
              <w:left w:val="nil"/>
              <w:bottom w:val="single" w:sz="8" w:space="0" w:color="auto"/>
              <w:right w:val="single" w:sz="8" w:space="0" w:color="auto"/>
            </w:tcBorders>
            <w:shd w:val="clear" w:color="auto" w:fill="auto"/>
            <w:noWrap/>
            <w:vAlign w:val="center"/>
            <w:hideMark/>
          </w:tcPr>
          <w:p w14:paraId="025147A8" w14:textId="77777777" w:rsidR="009A356E" w:rsidRPr="00D4251B" w:rsidRDefault="009A356E" w:rsidP="009A356E">
            <w:pPr>
              <w:jc w:val="center"/>
              <w:rPr>
                <w:rFonts w:ascii="Calibri" w:hAnsi="Calibri"/>
                <w:color w:val="000000"/>
                <w:sz w:val="18"/>
                <w:szCs w:val="18"/>
                <w:lang w:eastAsia="en-AU"/>
              </w:rPr>
            </w:pPr>
            <w:r w:rsidRPr="00D4251B">
              <w:rPr>
                <w:rFonts w:ascii="Calibri" w:hAnsi="Calibri"/>
                <w:color w:val="000000"/>
                <w:sz w:val="18"/>
                <w:szCs w:val="18"/>
                <w:lang w:eastAsia="en-AU"/>
              </w:rPr>
              <w:t>11.4</w:t>
            </w:r>
          </w:p>
        </w:tc>
        <w:tc>
          <w:tcPr>
            <w:tcW w:w="806" w:type="pct"/>
            <w:tcBorders>
              <w:top w:val="nil"/>
              <w:left w:val="nil"/>
              <w:bottom w:val="single" w:sz="8" w:space="0" w:color="auto"/>
              <w:right w:val="single" w:sz="8" w:space="0" w:color="auto"/>
            </w:tcBorders>
            <w:shd w:val="clear" w:color="auto" w:fill="auto"/>
            <w:noWrap/>
            <w:vAlign w:val="center"/>
            <w:hideMark/>
          </w:tcPr>
          <w:p w14:paraId="0336A2D2" w14:textId="77777777" w:rsidR="009A356E" w:rsidRPr="00D4251B" w:rsidRDefault="009A356E" w:rsidP="009A356E">
            <w:pPr>
              <w:jc w:val="center"/>
              <w:rPr>
                <w:rFonts w:ascii="Calibri" w:hAnsi="Calibri"/>
                <w:color w:val="000000"/>
                <w:sz w:val="18"/>
                <w:szCs w:val="18"/>
                <w:lang w:eastAsia="en-AU"/>
              </w:rPr>
            </w:pPr>
            <w:r w:rsidRPr="00D4251B">
              <w:rPr>
                <w:rFonts w:ascii="Calibri" w:hAnsi="Calibri"/>
                <w:color w:val="000000"/>
                <w:sz w:val="18"/>
                <w:szCs w:val="18"/>
                <w:lang w:eastAsia="en-AU"/>
              </w:rPr>
              <w:t>9.64</w:t>
            </w:r>
          </w:p>
        </w:tc>
        <w:tc>
          <w:tcPr>
            <w:tcW w:w="806" w:type="pct"/>
            <w:tcBorders>
              <w:top w:val="nil"/>
              <w:left w:val="nil"/>
              <w:bottom w:val="single" w:sz="8" w:space="0" w:color="auto"/>
              <w:right w:val="single" w:sz="8" w:space="0" w:color="auto"/>
            </w:tcBorders>
            <w:shd w:val="clear" w:color="auto" w:fill="auto"/>
            <w:noWrap/>
            <w:vAlign w:val="center"/>
            <w:hideMark/>
          </w:tcPr>
          <w:p w14:paraId="6210FAE7" w14:textId="77777777" w:rsidR="009A356E" w:rsidRPr="00D4251B" w:rsidRDefault="009A356E" w:rsidP="009A356E">
            <w:pPr>
              <w:jc w:val="center"/>
              <w:rPr>
                <w:rFonts w:ascii="Calibri" w:hAnsi="Calibri"/>
                <w:color w:val="000000"/>
                <w:sz w:val="18"/>
                <w:szCs w:val="18"/>
                <w:lang w:eastAsia="en-AU"/>
              </w:rPr>
            </w:pPr>
            <w:r w:rsidRPr="00D4251B">
              <w:rPr>
                <w:rFonts w:ascii="Calibri" w:hAnsi="Calibri"/>
                <w:color w:val="000000"/>
                <w:sz w:val="18"/>
                <w:szCs w:val="18"/>
                <w:lang w:eastAsia="en-AU"/>
              </w:rPr>
              <w:t>14%</w:t>
            </w:r>
          </w:p>
        </w:tc>
      </w:tr>
      <w:tr w:rsidR="009A356E" w:rsidRPr="004B5E40" w14:paraId="382A1C90" w14:textId="77777777" w:rsidTr="009A356E">
        <w:trPr>
          <w:trHeight w:val="315"/>
        </w:trPr>
        <w:tc>
          <w:tcPr>
            <w:tcW w:w="969" w:type="pct"/>
            <w:tcBorders>
              <w:top w:val="nil"/>
              <w:left w:val="single" w:sz="8" w:space="0" w:color="auto"/>
              <w:bottom w:val="single" w:sz="8" w:space="0" w:color="auto"/>
              <w:right w:val="single" w:sz="8" w:space="0" w:color="auto"/>
            </w:tcBorders>
            <w:shd w:val="clear" w:color="auto" w:fill="auto"/>
            <w:noWrap/>
            <w:vAlign w:val="center"/>
            <w:hideMark/>
          </w:tcPr>
          <w:p w14:paraId="154017EA" w14:textId="77777777" w:rsidR="009A356E" w:rsidRPr="00D4251B" w:rsidRDefault="009A356E" w:rsidP="009A356E">
            <w:pPr>
              <w:rPr>
                <w:rFonts w:ascii="Calibri" w:hAnsi="Calibri"/>
                <w:color w:val="000000"/>
                <w:sz w:val="18"/>
                <w:szCs w:val="18"/>
                <w:lang w:eastAsia="en-AU"/>
              </w:rPr>
            </w:pPr>
            <w:r w:rsidRPr="00D4251B">
              <w:rPr>
                <w:rFonts w:ascii="Calibri" w:hAnsi="Calibri"/>
                <w:color w:val="000000"/>
                <w:sz w:val="18"/>
                <w:szCs w:val="18"/>
                <w:lang w:eastAsia="en-AU"/>
              </w:rPr>
              <w:lastRenderedPageBreak/>
              <w:t>Meals</w:t>
            </w:r>
          </w:p>
        </w:tc>
        <w:tc>
          <w:tcPr>
            <w:tcW w:w="806" w:type="pct"/>
            <w:tcBorders>
              <w:top w:val="nil"/>
              <w:left w:val="nil"/>
              <w:bottom w:val="single" w:sz="8" w:space="0" w:color="auto"/>
              <w:right w:val="single" w:sz="8" w:space="0" w:color="auto"/>
            </w:tcBorders>
            <w:shd w:val="clear" w:color="auto" w:fill="auto"/>
            <w:noWrap/>
            <w:vAlign w:val="center"/>
            <w:hideMark/>
          </w:tcPr>
          <w:p w14:paraId="56E216DE" w14:textId="77777777" w:rsidR="009A356E" w:rsidRPr="00D4251B" w:rsidRDefault="009A356E" w:rsidP="009A356E">
            <w:pPr>
              <w:jc w:val="center"/>
              <w:rPr>
                <w:rFonts w:ascii="Calibri" w:hAnsi="Calibri"/>
                <w:color w:val="000000"/>
                <w:sz w:val="18"/>
                <w:szCs w:val="18"/>
                <w:lang w:eastAsia="en-AU"/>
              </w:rPr>
            </w:pPr>
            <w:r w:rsidRPr="00D4251B">
              <w:rPr>
                <w:rFonts w:ascii="Calibri" w:hAnsi="Calibri"/>
                <w:color w:val="000000"/>
                <w:sz w:val="18"/>
                <w:szCs w:val="18"/>
                <w:lang w:eastAsia="en-AU"/>
              </w:rPr>
              <w:t>17.00</w:t>
            </w:r>
          </w:p>
        </w:tc>
        <w:tc>
          <w:tcPr>
            <w:tcW w:w="806" w:type="pct"/>
            <w:tcBorders>
              <w:top w:val="nil"/>
              <w:left w:val="nil"/>
              <w:bottom w:val="single" w:sz="8" w:space="0" w:color="auto"/>
              <w:right w:val="single" w:sz="8" w:space="0" w:color="auto"/>
            </w:tcBorders>
            <w:shd w:val="clear" w:color="auto" w:fill="auto"/>
            <w:noWrap/>
            <w:vAlign w:val="center"/>
            <w:hideMark/>
          </w:tcPr>
          <w:p w14:paraId="3A941898" w14:textId="77777777" w:rsidR="009A356E" w:rsidRPr="00D4251B" w:rsidRDefault="009A356E" w:rsidP="009A356E">
            <w:pPr>
              <w:jc w:val="center"/>
              <w:rPr>
                <w:rFonts w:ascii="Calibri" w:hAnsi="Calibri"/>
                <w:color w:val="000000"/>
                <w:sz w:val="18"/>
                <w:szCs w:val="18"/>
                <w:lang w:eastAsia="en-AU"/>
              </w:rPr>
            </w:pPr>
            <w:r w:rsidRPr="00D4251B">
              <w:rPr>
                <w:rFonts w:ascii="Calibri" w:hAnsi="Calibri"/>
                <w:color w:val="000000"/>
                <w:sz w:val="18"/>
                <w:szCs w:val="18"/>
                <w:lang w:eastAsia="en-AU"/>
              </w:rPr>
              <w:t>1.61</w:t>
            </w:r>
          </w:p>
        </w:tc>
        <w:tc>
          <w:tcPr>
            <w:tcW w:w="806" w:type="pct"/>
            <w:tcBorders>
              <w:top w:val="nil"/>
              <w:left w:val="nil"/>
              <w:bottom w:val="single" w:sz="8" w:space="0" w:color="auto"/>
              <w:right w:val="single" w:sz="8" w:space="0" w:color="auto"/>
            </w:tcBorders>
            <w:shd w:val="clear" w:color="auto" w:fill="auto"/>
            <w:noWrap/>
            <w:vAlign w:val="center"/>
            <w:hideMark/>
          </w:tcPr>
          <w:p w14:paraId="5E803FCE" w14:textId="77777777" w:rsidR="009A356E" w:rsidRPr="00D4251B" w:rsidRDefault="009A356E" w:rsidP="009A356E">
            <w:pPr>
              <w:jc w:val="center"/>
              <w:rPr>
                <w:rFonts w:ascii="Calibri" w:hAnsi="Calibri"/>
                <w:color w:val="000000"/>
                <w:sz w:val="18"/>
                <w:szCs w:val="18"/>
                <w:lang w:eastAsia="en-AU"/>
              </w:rPr>
            </w:pPr>
            <w:r w:rsidRPr="00D4251B">
              <w:rPr>
                <w:rFonts w:ascii="Calibri" w:hAnsi="Calibri"/>
                <w:color w:val="000000"/>
                <w:sz w:val="18"/>
                <w:szCs w:val="18"/>
                <w:lang w:eastAsia="en-AU"/>
              </w:rPr>
              <w:t>8.0</w:t>
            </w:r>
          </w:p>
        </w:tc>
        <w:tc>
          <w:tcPr>
            <w:tcW w:w="806" w:type="pct"/>
            <w:tcBorders>
              <w:top w:val="nil"/>
              <w:left w:val="nil"/>
              <w:bottom w:val="single" w:sz="8" w:space="0" w:color="auto"/>
              <w:right w:val="single" w:sz="8" w:space="0" w:color="auto"/>
            </w:tcBorders>
            <w:shd w:val="clear" w:color="auto" w:fill="auto"/>
            <w:noWrap/>
            <w:vAlign w:val="center"/>
            <w:hideMark/>
          </w:tcPr>
          <w:p w14:paraId="791CB1B3" w14:textId="77777777" w:rsidR="009A356E" w:rsidRPr="00D4251B" w:rsidRDefault="009A356E" w:rsidP="009A356E">
            <w:pPr>
              <w:jc w:val="center"/>
              <w:rPr>
                <w:rFonts w:ascii="Calibri" w:hAnsi="Calibri"/>
                <w:color w:val="000000"/>
                <w:sz w:val="18"/>
                <w:szCs w:val="18"/>
                <w:lang w:eastAsia="en-AU"/>
              </w:rPr>
            </w:pPr>
            <w:r w:rsidRPr="00D4251B">
              <w:rPr>
                <w:rFonts w:ascii="Calibri" w:hAnsi="Calibri"/>
                <w:color w:val="000000"/>
                <w:sz w:val="18"/>
                <w:szCs w:val="18"/>
                <w:lang w:eastAsia="en-AU"/>
              </w:rPr>
              <w:t>7.39</w:t>
            </w:r>
          </w:p>
        </w:tc>
        <w:tc>
          <w:tcPr>
            <w:tcW w:w="806" w:type="pct"/>
            <w:tcBorders>
              <w:top w:val="nil"/>
              <w:left w:val="nil"/>
              <w:bottom w:val="single" w:sz="8" w:space="0" w:color="auto"/>
              <w:right w:val="single" w:sz="8" w:space="0" w:color="auto"/>
            </w:tcBorders>
            <w:shd w:val="clear" w:color="auto" w:fill="auto"/>
            <w:noWrap/>
            <w:vAlign w:val="center"/>
            <w:hideMark/>
          </w:tcPr>
          <w:p w14:paraId="5CDA277F" w14:textId="77777777" w:rsidR="009A356E" w:rsidRPr="00D4251B" w:rsidRDefault="009A356E" w:rsidP="009A356E">
            <w:pPr>
              <w:jc w:val="center"/>
              <w:rPr>
                <w:rFonts w:ascii="Calibri" w:hAnsi="Calibri"/>
                <w:color w:val="000000"/>
                <w:sz w:val="18"/>
                <w:szCs w:val="18"/>
                <w:lang w:eastAsia="en-AU"/>
              </w:rPr>
            </w:pPr>
            <w:r w:rsidRPr="00D4251B">
              <w:rPr>
                <w:rFonts w:ascii="Calibri" w:hAnsi="Calibri"/>
                <w:color w:val="000000"/>
                <w:sz w:val="18"/>
                <w:szCs w:val="18"/>
                <w:lang w:eastAsia="en-AU"/>
              </w:rPr>
              <w:t>43%</w:t>
            </w:r>
          </w:p>
        </w:tc>
      </w:tr>
      <w:tr w:rsidR="009A356E" w:rsidRPr="004B5E40" w14:paraId="7320E3EB" w14:textId="77777777" w:rsidTr="009A356E">
        <w:trPr>
          <w:trHeight w:val="315"/>
        </w:trPr>
        <w:tc>
          <w:tcPr>
            <w:tcW w:w="969" w:type="pct"/>
            <w:tcBorders>
              <w:top w:val="nil"/>
              <w:left w:val="single" w:sz="8" w:space="0" w:color="auto"/>
              <w:bottom w:val="single" w:sz="8" w:space="0" w:color="auto"/>
              <w:right w:val="single" w:sz="8" w:space="0" w:color="auto"/>
            </w:tcBorders>
            <w:shd w:val="clear" w:color="auto" w:fill="auto"/>
            <w:noWrap/>
            <w:vAlign w:val="center"/>
            <w:hideMark/>
          </w:tcPr>
          <w:p w14:paraId="42968998" w14:textId="77777777" w:rsidR="009A356E" w:rsidRPr="00D4251B" w:rsidRDefault="009A356E" w:rsidP="009A356E">
            <w:pPr>
              <w:rPr>
                <w:rFonts w:ascii="Calibri" w:hAnsi="Calibri"/>
                <w:color w:val="000000"/>
                <w:sz w:val="18"/>
                <w:szCs w:val="18"/>
                <w:lang w:eastAsia="en-AU"/>
              </w:rPr>
            </w:pPr>
            <w:r w:rsidRPr="00D4251B">
              <w:rPr>
                <w:rFonts w:ascii="Calibri" w:hAnsi="Calibri"/>
                <w:color w:val="000000"/>
                <w:sz w:val="18"/>
                <w:szCs w:val="18"/>
                <w:lang w:eastAsia="en-AU"/>
              </w:rPr>
              <w:t>PAGs Core</w:t>
            </w:r>
          </w:p>
        </w:tc>
        <w:tc>
          <w:tcPr>
            <w:tcW w:w="806" w:type="pct"/>
            <w:tcBorders>
              <w:top w:val="nil"/>
              <w:left w:val="nil"/>
              <w:bottom w:val="single" w:sz="8" w:space="0" w:color="auto"/>
              <w:right w:val="single" w:sz="8" w:space="0" w:color="auto"/>
            </w:tcBorders>
            <w:shd w:val="clear" w:color="auto" w:fill="auto"/>
            <w:noWrap/>
            <w:vAlign w:val="center"/>
            <w:hideMark/>
          </w:tcPr>
          <w:p w14:paraId="2429586C" w14:textId="77777777" w:rsidR="009A356E" w:rsidRPr="00D4251B" w:rsidRDefault="009A356E" w:rsidP="009A356E">
            <w:pPr>
              <w:jc w:val="center"/>
              <w:rPr>
                <w:rFonts w:ascii="Calibri" w:hAnsi="Calibri"/>
                <w:color w:val="000000"/>
                <w:sz w:val="18"/>
                <w:szCs w:val="18"/>
                <w:lang w:eastAsia="en-AU"/>
              </w:rPr>
            </w:pPr>
            <w:r w:rsidRPr="00D4251B">
              <w:rPr>
                <w:rFonts w:ascii="Calibri" w:hAnsi="Calibri"/>
                <w:color w:val="000000"/>
                <w:sz w:val="18"/>
                <w:szCs w:val="18"/>
                <w:lang w:eastAsia="en-AU"/>
              </w:rPr>
              <w:t>18.83</w:t>
            </w:r>
          </w:p>
        </w:tc>
        <w:tc>
          <w:tcPr>
            <w:tcW w:w="806" w:type="pct"/>
            <w:tcBorders>
              <w:top w:val="nil"/>
              <w:left w:val="nil"/>
              <w:bottom w:val="single" w:sz="8" w:space="0" w:color="auto"/>
              <w:right w:val="single" w:sz="8" w:space="0" w:color="auto"/>
            </w:tcBorders>
            <w:shd w:val="clear" w:color="auto" w:fill="auto"/>
            <w:noWrap/>
            <w:vAlign w:val="center"/>
            <w:hideMark/>
          </w:tcPr>
          <w:p w14:paraId="6131F6A8" w14:textId="77777777" w:rsidR="009A356E" w:rsidRPr="00D4251B" w:rsidRDefault="009A356E" w:rsidP="009A356E">
            <w:pPr>
              <w:jc w:val="center"/>
              <w:rPr>
                <w:rFonts w:ascii="Calibri" w:hAnsi="Calibri"/>
                <w:color w:val="000000"/>
                <w:sz w:val="18"/>
                <w:szCs w:val="18"/>
                <w:lang w:eastAsia="en-AU"/>
              </w:rPr>
            </w:pPr>
            <w:r w:rsidRPr="00D4251B">
              <w:rPr>
                <w:rFonts w:ascii="Calibri" w:hAnsi="Calibri"/>
                <w:color w:val="000000"/>
                <w:sz w:val="18"/>
                <w:szCs w:val="18"/>
                <w:lang w:eastAsia="en-AU"/>
              </w:rPr>
              <w:t>12.80</w:t>
            </w:r>
          </w:p>
        </w:tc>
        <w:tc>
          <w:tcPr>
            <w:tcW w:w="806" w:type="pct"/>
            <w:tcBorders>
              <w:top w:val="nil"/>
              <w:left w:val="nil"/>
              <w:bottom w:val="single" w:sz="8" w:space="0" w:color="auto"/>
              <w:right w:val="single" w:sz="8" w:space="0" w:color="auto"/>
            </w:tcBorders>
            <w:shd w:val="clear" w:color="auto" w:fill="auto"/>
            <w:noWrap/>
            <w:vAlign w:val="center"/>
            <w:hideMark/>
          </w:tcPr>
          <w:p w14:paraId="54D0798D" w14:textId="77777777" w:rsidR="009A356E" w:rsidRPr="00D4251B" w:rsidRDefault="009A356E" w:rsidP="009A356E">
            <w:pPr>
              <w:jc w:val="center"/>
              <w:rPr>
                <w:rFonts w:ascii="Calibri" w:hAnsi="Calibri"/>
                <w:color w:val="000000"/>
                <w:sz w:val="18"/>
                <w:szCs w:val="18"/>
                <w:lang w:eastAsia="en-AU"/>
              </w:rPr>
            </w:pPr>
            <w:r w:rsidRPr="00D4251B">
              <w:rPr>
                <w:rFonts w:ascii="Calibri" w:hAnsi="Calibri"/>
                <w:color w:val="000000"/>
                <w:sz w:val="18"/>
                <w:szCs w:val="18"/>
                <w:lang w:eastAsia="en-AU"/>
              </w:rPr>
              <w:t>2.0</w:t>
            </w:r>
          </w:p>
        </w:tc>
        <w:tc>
          <w:tcPr>
            <w:tcW w:w="806" w:type="pct"/>
            <w:tcBorders>
              <w:top w:val="nil"/>
              <w:left w:val="nil"/>
              <w:bottom w:val="single" w:sz="8" w:space="0" w:color="auto"/>
              <w:right w:val="single" w:sz="8" w:space="0" w:color="auto"/>
            </w:tcBorders>
            <w:shd w:val="clear" w:color="auto" w:fill="auto"/>
            <w:noWrap/>
            <w:vAlign w:val="center"/>
            <w:hideMark/>
          </w:tcPr>
          <w:p w14:paraId="5CD3ECFD" w14:textId="77777777" w:rsidR="009A356E" w:rsidRPr="00D4251B" w:rsidRDefault="009A356E" w:rsidP="009A356E">
            <w:pPr>
              <w:jc w:val="center"/>
              <w:rPr>
                <w:rFonts w:ascii="Calibri" w:hAnsi="Calibri"/>
                <w:color w:val="000000"/>
                <w:sz w:val="18"/>
                <w:szCs w:val="18"/>
                <w:lang w:eastAsia="en-AU"/>
              </w:rPr>
            </w:pPr>
            <w:r w:rsidRPr="00D4251B">
              <w:rPr>
                <w:rFonts w:ascii="Calibri" w:hAnsi="Calibri"/>
                <w:color w:val="000000"/>
                <w:sz w:val="18"/>
                <w:szCs w:val="18"/>
                <w:lang w:eastAsia="en-AU"/>
              </w:rPr>
              <w:t>4.03</w:t>
            </w:r>
          </w:p>
        </w:tc>
        <w:tc>
          <w:tcPr>
            <w:tcW w:w="806" w:type="pct"/>
            <w:tcBorders>
              <w:top w:val="nil"/>
              <w:left w:val="nil"/>
              <w:bottom w:val="single" w:sz="8" w:space="0" w:color="auto"/>
              <w:right w:val="single" w:sz="8" w:space="0" w:color="auto"/>
            </w:tcBorders>
            <w:shd w:val="clear" w:color="auto" w:fill="auto"/>
            <w:noWrap/>
            <w:vAlign w:val="center"/>
            <w:hideMark/>
          </w:tcPr>
          <w:p w14:paraId="49378CC9" w14:textId="77777777" w:rsidR="009A356E" w:rsidRPr="00D4251B" w:rsidRDefault="009A356E" w:rsidP="009A356E">
            <w:pPr>
              <w:jc w:val="center"/>
              <w:rPr>
                <w:rFonts w:ascii="Calibri" w:hAnsi="Calibri"/>
                <w:color w:val="000000"/>
                <w:sz w:val="18"/>
                <w:szCs w:val="18"/>
                <w:lang w:eastAsia="en-AU"/>
              </w:rPr>
            </w:pPr>
            <w:r w:rsidRPr="00D4251B">
              <w:rPr>
                <w:rFonts w:ascii="Calibri" w:hAnsi="Calibri"/>
                <w:color w:val="000000"/>
                <w:sz w:val="18"/>
                <w:szCs w:val="18"/>
                <w:lang w:eastAsia="en-AU"/>
              </w:rPr>
              <w:t>21%</w:t>
            </w:r>
          </w:p>
        </w:tc>
      </w:tr>
      <w:tr w:rsidR="009A356E" w:rsidRPr="004B5E40" w14:paraId="4F068FFA" w14:textId="77777777" w:rsidTr="009A356E">
        <w:trPr>
          <w:trHeight w:val="315"/>
        </w:trPr>
        <w:tc>
          <w:tcPr>
            <w:tcW w:w="969" w:type="pct"/>
            <w:tcBorders>
              <w:top w:val="nil"/>
              <w:left w:val="single" w:sz="8" w:space="0" w:color="auto"/>
              <w:bottom w:val="single" w:sz="8" w:space="0" w:color="auto"/>
              <w:right w:val="single" w:sz="8" w:space="0" w:color="auto"/>
            </w:tcBorders>
            <w:shd w:val="clear" w:color="auto" w:fill="auto"/>
            <w:noWrap/>
            <w:vAlign w:val="center"/>
            <w:hideMark/>
          </w:tcPr>
          <w:p w14:paraId="4FD49399" w14:textId="77777777" w:rsidR="009A356E" w:rsidRPr="00D4251B" w:rsidRDefault="009A356E" w:rsidP="009A356E">
            <w:pPr>
              <w:rPr>
                <w:rFonts w:ascii="Calibri" w:hAnsi="Calibri"/>
                <w:color w:val="000000"/>
                <w:sz w:val="18"/>
                <w:szCs w:val="18"/>
                <w:lang w:eastAsia="en-AU"/>
              </w:rPr>
            </w:pPr>
            <w:r w:rsidRPr="00D4251B">
              <w:rPr>
                <w:rFonts w:ascii="Calibri" w:hAnsi="Calibri"/>
                <w:color w:val="000000"/>
                <w:sz w:val="18"/>
                <w:szCs w:val="18"/>
                <w:lang w:eastAsia="en-AU"/>
              </w:rPr>
              <w:t>PAGs High</w:t>
            </w:r>
          </w:p>
        </w:tc>
        <w:tc>
          <w:tcPr>
            <w:tcW w:w="806" w:type="pct"/>
            <w:tcBorders>
              <w:top w:val="nil"/>
              <w:left w:val="nil"/>
              <w:bottom w:val="single" w:sz="8" w:space="0" w:color="auto"/>
              <w:right w:val="single" w:sz="8" w:space="0" w:color="auto"/>
            </w:tcBorders>
            <w:shd w:val="clear" w:color="auto" w:fill="auto"/>
            <w:noWrap/>
            <w:vAlign w:val="center"/>
            <w:hideMark/>
          </w:tcPr>
          <w:p w14:paraId="292F3DB5" w14:textId="77777777" w:rsidR="009A356E" w:rsidRPr="00D4251B" w:rsidRDefault="009A356E" w:rsidP="009A356E">
            <w:pPr>
              <w:jc w:val="center"/>
              <w:rPr>
                <w:rFonts w:ascii="Calibri" w:hAnsi="Calibri"/>
                <w:color w:val="000000"/>
                <w:sz w:val="18"/>
                <w:szCs w:val="18"/>
                <w:lang w:eastAsia="en-AU"/>
              </w:rPr>
            </w:pPr>
            <w:r w:rsidRPr="00D4251B">
              <w:rPr>
                <w:rFonts w:ascii="Calibri" w:hAnsi="Calibri"/>
                <w:color w:val="000000"/>
                <w:sz w:val="18"/>
                <w:szCs w:val="18"/>
                <w:lang w:eastAsia="en-AU"/>
              </w:rPr>
              <w:t>21.19</w:t>
            </w:r>
          </w:p>
        </w:tc>
        <w:tc>
          <w:tcPr>
            <w:tcW w:w="806" w:type="pct"/>
            <w:tcBorders>
              <w:top w:val="nil"/>
              <w:left w:val="nil"/>
              <w:bottom w:val="single" w:sz="8" w:space="0" w:color="auto"/>
              <w:right w:val="single" w:sz="8" w:space="0" w:color="auto"/>
            </w:tcBorders>
            <w:shd w:val="clear" w:color="auto" w:fill="auto"/>
            <w:noWrap/>
            <w:vAlign w:val="center"/>
            <w:hideMark/>
          </w:tcPr>
          <w:p w14:paraId="145F1C87" w14:textId="77777777" w:rsidR="009A356E" w:rsidRPr="00D4251B" w:rsidRDefault="009A356E" w:rsidP="009A356E">
            <w:pPr>
              <w:jc w:val="center"/>
              <w:rPr>
                <w:rFonts w:ascii="Calibri" w:hAnsi="Calibri"/>
                <w:color w:val="000000"/>
                <w:sz w:val="18"/>
                <w:szCs w:val="18"/>
                <w:lang w:eastAsia="en-AU"/>
              </w:rPr>
            </w:pPr>
            <w:r w:rsidRPr="00D4251B">
              <w:rPr>
                <w:rFonts w:ascii="Calibri" w:hAnsi="Calibri"/>
                <w:color w:val="000000"/>
                <w:sz w:val="18"/>
                <w:szCs w:val="18"/>
                <w:lang w:eastAsia="en-AU"/>
              </w:rPr>
              <w:t>18.03</w:t>
            </w:r>
          </w:p>
        </w:tc>
        <w:tc>
          <w:tcPr>
            <w:tcW w:w="806" w:type="pct"/>
            <w:tcBorders>
              <w:top w:val="nil"/>
              <w:left w:val="nil"/>
              <w:bottom w:val="single" w:sz="8" w:space="0" w:color="auto"/>
              <w:right w:val="single" w:sz="8" w:space="0" w:color="auto"/>
            </w:tcBorders>
            <w:shd w:val="clear" w:color="auto" w:fill="auto"/>
            <w:noWrap/>
            <w:vAlign w:val="center"/>
            <w:hideMark/>
          </w:tcPr>
          <w:p w14:paraId="1FD61D5E" w14:textId="77777777" w:rsidR="009A356E" w:rsidRPr="00D4251B" w:rsidRDefault="009A356E" w:rsidP="009A356E">
            <w:pPr>
              <w:jc w:val="center"/>
              <w:rPr>
                <w:rFonts w:ascii="Calibri" w:hAnsi="Calibri"/>
                <w:color w:val="000000"/>
                <w:sz w:val="18"/>
                <w:szCs w:val="18"/>
                <w:lang w:eastAsia="en-AU"/>
              </w:rPr>
            </w:pPr>
            <w:r w:rsidRPr="00D4251B">
              <w:rPr>
                <w:rFonts w:ascii="Calibri" w:hAnsi="Calibri"/>
                <w:color w:val="000000"/>
                <w:sz w:val="18"/>
                <w:szCs w:val="18"/>
                <w:lang w:eastAsia="en-AU"/>
              </w:rPr>
              <w:t>2.0</w:t>
            </w:r>
          </w:p>
        </w:tc>
        <w:tc>
          <w:tcPr>
            <w:tcW w:w="806" w:type="pct"/>
            <w:tcBorders>
              <w:top w:val="nil"/>
              <w:left w:val="nil"/>
              <w:bottom w:val="single" w:sz="8" w:space="0" w:color="auto"/>
              <w:right w:val="single" w:sz="8" w:space="0" w:color="auto"/>
            </w:tcBorders>
            <w:shd w:val="clear" w:color="auto" w:fill="auto"/>
            <w:noWrap/>
            <w:vAlign w:val="center"/>
            <w:hideMark/>
          </w:tcPr>
          <w:p w14:paraId="74316D12" w14:textId="77777777" w:rsidR="009A356E" w:rsidRPr="00D4251B" w:rsidRDefault="009A356E" w:rsidP="009A356E">
            <w:pPr>
              <w:jc w:val="center"/>
              <w:rPr>
                <w:rFonts w:ascii="Calibri" w:hAnsi="Calibri"/>
                <w:color w:val="000000"/>
                <w:sz w:val="18"/>
                <w:szCs w:val="18"/>
                <w:lang w:eastAsia="en-AU"/>
              </w:rPr>
            </w:pPr>
            <w:r w:rsidRPr="00D4251B">
              <w:rPr>
                <w:rFonts w:ascii="Calibri" w:hAnsi="Calibri"/>
                <w:color w:val="000000"/>
                <w:sz w:val="18"/>
                <w:szCs w:val="18"/>
                <w:lang w:eastAsia="en-AU"/>
              </w:rPr>
              <w:t>1.16</w:t>
            </w:r>
          </w:p>
        </w:tc>
        <w:tc>
          <w:tcPr>
            <w:tcW w:w="806" w:type="pct"/>
            <w:tcBorders>
              <w:top w:val="nil"/>
              <w:left w:val="nil"/>
              <w:bottom w:val="single" w:sz="8" w:space="0" w:color="auto"/>
              <w:right w:val="single" w:sz="8" w:space="0" w:color="auto"/>
            </w:tcBorders>
            <w:shd w:val="clear" w:color="auto" w:fill="auto"/>
            <w:noWrap/>
            <w:vAlign w:val="center"/>
            <w:hideMark/>
          </w:tcPr>
          <w:p w14:paraId="27324826" w14:textId="77777777" w:rsidR="009A356E" w:rsidRPr="00D4251B" w:rsidRDefault="009A356E" w:rsidP="009A356E">
            <w:pPr>
              <w:jc w:val="center"/>
              <w:rPr>
                <w:rFonts w:ascii="Calibri" w:hAnsi="Calibri"/>
                <w:color w:val="000000"/>
                <w:sz w:val="18"/>
                <w:szCs w:val="18"/>
                <w:lang w:eastAsia="en-AU"/>
              </w:rPr>
            </w:pPr>
            <w:r w:rsidRPr="00D4251B">
              <w:rPr>
                <w:rFonts w:ascii="Calibri" w:hAnsi="Calibri"/>
                <w:color w:val="000000"/>
                <w:sz w:val="18"/>
                <w:szCs w:val="18"/>
                <w:lang w:eastAsia="en-AU"/>
              </w:rPr>
              <w:t>5%</w:t>
            </w:r>
          </w:p>
        </w:tc>
      </w:tr>
      <w:tr w:rsidR="009A356E" w:rsidRPr="004B5E40" w14:paraId="15474D8C" w14:textId="77777777" w:rsidTr="009A356E">
        <w:trPr>
          <w:trHeight w:val="315"/>
        </w:trPr>
        <w:tc>
          <w:tcPr>
            <w:tcW w:w="969" w:type="pct"/>
            <w:tcBorders>
              <w:top w:val="nil"/>
              <w:left w:val="single" w:sz="8" w:space="0" w:color="auto"/>
              <w:bottom w:val="single" w:sz="8" w:space="0" w:color="auto"/>
              <w:right w:val="single" w:sz="8" w:space="0" w:color="auto"/>
            </w:tcBorders>
            <w:shd w:val="clear" w:color="auto" w:fill="auto"/>
            <w:noWrap/>
            <w:vAlign w:val="center"/>
            <w:hideMark/>
          </w:tcPr>
          <w:p w14:paraId="49CE502C" w14:textId="77777777" w:rsidR="009A356E" w:rsidRPr="00D4251B" w:rsidRDefault="009A356E" w:rsidP="009A356E">
            <w:pPr>
              <w:rPr>
                <w:rFonts w:ascii="Calibri" w:hAnsi="Calibri"/>
                <w:color w:val="000000"/>
                <w:sz w:val="18"/>
                <w:szCs w:val="18"/>
                <w:lang w:eastAsia="en-AU"/>
              </w:rPr>
            </w:pPr>
            <w:r w:rsidRPr="00D4251B">
              <w:rPr>
                <w:rFonts w:ascii="Calibri" w:hAnsi="Calibri"/>
                <w:color w:val="000000"/>
                <w:sz w:val="18"/>
                <w:szCs w:val="18"/>
                <w:lang w:eastAsia="en-AU"/>
              </w:rPr>
              <w:t>Assessment</w:t>
            </w:r>
          </w:p>
        </w:tc>
        <w:tc>
          <w:tcPr>
            <w:tcW w:w="806" w:type="pct"/>
            <w:tcBorders>
              <w:top w:val="nil"/>
              <w:left w:val="nil"/>
              <w:bottom w:val="single" w:sz="8" w:space="0" w:color="auto"/>
              <w:right w:val="single" w:sz="8" w:space="0" w:color="auto"/>
            </w:tcBorders>
            <w:shd w:val="clear" w:color="auto" w:fill="auto"/>
            <w:noWrap/>
            <w:vAlign w:val="center"/>
            <w:hideMark/>
          </w:tcPr>
          <w:p w14:paraId="0AE68679" w14:textId="77777777" w:rsidR="009A356E" w:rsidRPr="00D4251B" w:rsidRDefault="009A356E" w:rsidP="009A356E">
            <w:pPr>
              <w:jc w:val="center"/>
              <w:rPr>
                <w:rFonts w:ascii="Calibri" w:hAnsi="Calibri"/>
                <w:color w:val="000000"/>
                <w:sz w:val="18"/>
                <w:szCs w:val="18"/>
                <w:lang w:eastAsia="en-AU"/>
              </w:rPr>
            </w:pPr>
            <w:r w:rsidRPr="00D4251B">
              <w:rPr>
                <w:rFonts w:ascii="Calibri" w:hAnsi="Calibri"/>
                <w:color w:val="000000"/>
                <w:sz w:val="18"/>
                <w:szCs w:val="18"/>
                <w:lang w:eastAsia="en-AU"/>
              </w:rPr>
              <w:t>72.52</w:t>
            </w:r>
          </w:p>
        </w:tc>
        <w:tc>
          <w:tcPr>
            <w:tcW w:w="806" w:type="pct"/>
            <w:tcBorders>
              <w:top w:val="nil"/>
              <w:left w:val="nil"/>
              <w:bottom w:val="single" w:sz="8" w:space="0" w:color="auto"/>
              <w:right w:val="single" w:sz="8" w:space="0" w:color="auto"/>
            </w:tcBorders>
            <w:shd w:val="clear" w:color="auto" w:fill="auto"/>
            <w:noWrap/>
            <w:vAlign w:val="center"/>
            <w:hideMark/>
          </w:tcPr>
          <w:p w14:paraId="48C1854E" w14:textId="77777777" w:rsidR="009A356E" w:rsidRPr="00D4251B" w:rsidRDefault="009A356E" w:rsidP="009A356E">
            <w:pPr>
              <w:jc w:val="center"/>
              <w:rPr>
                <w:rFonts w:ascii="Calibri" w:hAnsi="Calibri"/>
                <w:color w:val="000000"/>
                <w:sz w:val="18"/>
                <w:szCs w:val="18"/>
                <w:lang w:eastAsia="en-AU"/>
              </w:rPr>
            </w:pPr>
            <w:r w:rsidRPr="00D4251B">
              <w:rPr>
                <w:rFonts w:ascii="Calibri" w:hAnsi="Calibri"/>
                <w:color w:val="000000"/>
                <w:sz w:val="18"/>
                <w:szCs w:val="18"/>
                <w:lang w:eastAsia="en-AU"/>
              </w:rPr>
              <w:t>87.66</w:t>
            </w:r>
          </w:p>
        </w:tc>
        <w:tc>
          <w:tcPr>
            <w:tcW w:w="806" w:type="pct"/>
            <w:tcBorders>
              <w:top w:val="nil"/>
              <w:left w:val="nil"/>
              <w:bottom w:val="single" w:sz="8" w:space="0" w:color="auto"/>
              <w:right w:val="single" w:sz="8" w:space="0" w:color="auto"/>
            </w:tcBorders>
            <w:shd w:val="clear" w:color="auto" w:fill="auto"/>
            <w:noWrap/>
            <w:vAlign w:val="center"/>
            <w:hideMark/>
          </w:tcPr>
          <w:p w14:paraId="4323E7C3" w14:textId="77777777" w:rsidR="009A356E" w:rsidRPr="00D4251B" w:rsidRDefault="009A356E" w:rsidP="009A356E">
            <w:pPr>
              <w:jc w:val="center"/>
              <w:rPr>
                <w:rFonts w:ascii="Calibri" w:hAnsi="Calibri"/>
                <w:color w:val="000000"/>
                <w:sz w:val="18"/>
                <w:szCs w:val="18"/>
                <w:lang w:eastAsia="en-AU"/>
              </w:rPr>
            </w:pPr>
            <w:r w:rsidRPr="00D4251B">
              <w:rPr>
                <w:rFonts w:ascii="Calibri" w:hAnsi="Calibri"/>
                <w:color w:val="000000"/>
                <w:sz w:val="18"/>
                <w:szCs w:val="18"/>
                <w:lang w:eastAsia="en-AU"/>
              </w:rPr>
              <w:t>0.0</w:t>
            </w:r>
          </w:p>
        </w:tc>
        <w:tc>
          <w:tcPr>
            <w:tcW w:w="806" w:type="pct"/>
            <w:tcBorders>
              <w:top w:val="nil"/>
              <w:left w:val="nil"/>
              <w:bottom w:val="single" w:sz="8" w:space="0" w:color="auto"/>
              <w:right w:val="single" w:sz="8" w:space="0" w:color="auto"/>
            </w:tcBorders>
            <w:shd w:val="clear" w:color="auto" w:fill="auto"/>
            <w:noWrap/>
            <w:vAlign w:val="center"/>
            <w:hideMark/>
          </w:tcPr>
          <w:p w14:paraId="537F094B" w14:textId="77777777" w:rsidR="009A356E" w:rsidRPr="00D4251B" w:rsidRDefault="009A356E" w:rsidP="009A356E">
            <w:pPr>
              <w:jc w:val="center"/>
              <w:rPr>
                <w:rFonts w:ascii="Calibri" w:hAnsi="Calibri"/>
                <w:color w:val="000000"/>
                <w:sz w:val="18"/>
                <w:szCs w:val="18"/>
                <w:lang w:eastAsia="en-AU"/>
              </w:rPr>
            </w:pPr>
            <w:r w:rsidRPr="00D4251B">
              <w:rPr>
                <w:rFonts w:ascii="Calibri" w:hAnsi="Calibri"/>
                <w:color w:val="000000"/>
                <w:sz w:val="18"/>
                <w:szCs w:val="18"/>
                <w:lang w:eastAsia="en-AU"/>
              </w:rPr>
              <w:t>-15.14</w:t>
            </w:r>
          </w:p>
        </w:tc>
        <w:tc>
          <w:tcPr>
            <w:tcW w:w="806" w:type="pct"/>
            <w:tcBorders>
              <w:top w:val="nil"/>
              <w:left w:val="nil"/>
              <w:bottom w:val="single" w:sz="8" w:space="0" w:color="auto"/>
              <w:right w:val="single" w:sz="8" w:space="0" w:color="auto"/>
            </w:tcBorders>
            <w:shd w:val="clear" w:color="auto" w:fill="auto"/>
            <w:noWrap/>
            <w:vAlign w:val="center"/>
            <w:hideMark/>
          </w:tcPr>
          <w:p w14:paraId="4B9459D6" w14:textId="77777777" w:rsidR="009A356E" w:rsidRPr="00D4251B" w:rsidRDefault="009A356E" w:rsidP="009A356E">
            <w:pPr>
              <w:jc w:val="center"/>
              <w:rPr>
                <w:rFonts w:ascii="Calibri" w:hAnsi="Calibri"/>
                <w:color w:val="000000"/>
                <w:sz w:val="18"/>
                <w:szCs w:val="18"/>
                <w:lang w:eastAsia="en-AU"/>
              </w:rPr>
            </w:pPr>
            <w:r w:rsidRPr="00D4251B">
              <w:rPr>
                <w:rFonts w:ascii="Calibri" w:hAnsi="Calibri"/>
                <w:color w:val="000000"/>
                <w:sz w:val="18"/>
                <w:szCs w:val="18"/>
                <w:lang w:eastAsia="en-AU"/>
              </w:rPr>
              <w:t>-21%</w:t>
            </w:r>
          </w:p>
        </w:tc>
      </w:tr>
    </w:tbl>
    <w:p w14:paraId="6B76AF6D" w14:textId="77777777" w:rsidR="009A356E" w:rsidRPr="003C75FA" w:rsidRDefault="009A356E" w:rsidP="009A356E">
      <w:pPr>
        <w:rPr>
          <w:sz w:val="18"/>
          <w:szCs w:val="18"/>
        </w:rPr>
      </w:pPr>
      <w:r w:rsidRPr="003C75FA">
        <w:rPr>
          <w:sz w:val="18"/>
          <w:szCs w:val="18"/>
        </w:rPr>
        <w:t xml:space="preserve">Note: </w:t>
      </w:r>
      <w:proofErr w:type="spellStart"/>
      <w:r w:rsidRPr="003C75FA">
        <w:rPr>
          <w:sz w:val="18"/>
          <w:szCs w:val="18"/>
        </w:rPr>
        <w:t>DoH</w:t>
      </w:r>
      <w:proofErr w:type="spellEnd"/>
      <w:r w:rsidRPr="003C75FA">
        <w:rPr>
          <w:sz w:val="18"/>
          <w:szCs w:val="18"/>
        </w:rPr>
        <w:t xml:space="preserve"> Assessment Funding Based on Provision of 3 hours whereas councils provide 4 hours</w:t>
      </w:r>
    </w:p>
    <w:p w14:paraId="4334D1F2" w14:textId="77777777" w:rsidR="009A356E" w:rsidRDefault="009A356E" w:rsidP="009A356E"/>
    <w:p w14:paraId="5C671996" w14:textId="77777777" w:rsidR="009A356E" w:rsidRDefault="009A356E" w:rsidP="009A356E">
      <w:r w:rsidRPr="008B72D1">
        <w:t xml:space="preserve">Purely based on </w:t>
      </w:r>
      <w:r>
        <w:t xml:space="preserve">councils’ </w:t>
      </w:r>
      <w:r w:rsidRPr="008B72D1">
        <w:t>reasonable unit cost</w:t>
      </w:r>
      <w:r>
        <w:t xml:space="preserve">, the </w:t>
      </w:r>
      <w:proofErr w:type="spellStart"/>
      <w:r w:rsidRPr="008B72D1">
        <w:t>DoH’s</w:t>
      </w:r>
      <w:proofErr w:type="spellEnd"/>
      <w:r w:rsidRPr="008B72D1">
        <w:t xml:space="preserve"> output prices and </w:t>
      </w:r>
      <w:r>
        <w:t xml:space="preserve">its </w:t>
      </w:r>
      <w:r w:rsidRPr="008B72D1">
        <w:t xml:space="preserve">nominal </w:t>
      </w:r>
      <w:r>
        <w:t>purchases</w:t>
      </w:r>
      <w:r w:rsidRPr="008B72D1">
        <w:t xml:space="preserve"> there was a quantum deficiency of about $174m</w:t>
      </w:r>
      <w:r>
        <w:t xml:space="preserve"> in 2013-14</w:t>
      </w:r>
      <w:r w:rsidRPr="008B72D1">
        <w:t xml:space="preserve">. </w:t>
      </w:r>
      <w:r>
        <w:t xml:space="preserve">Excluding funding for </w:t>
      </w:r>
      <w:r w:rsidRPr="008B72D1">
        <w:t xml:space="preserve">Service System Resourcing </w:t>
      </w:r>
      <w:r>
        <w:t>which may at least partially offset some administration and management costs brings the deficiency to somewhere between $163m and $174m.</w:t>
      </w:r>
    </w:p>
    <w:p w14:paraId="0B2161C4" w14:textId="3FDB07E5" w:rsidR="009A356E" w:rsidRDefault="009A356E" w:rsidP="009A356E">
      <w:pPr>
        <w:rPr>
          <w:b/>
          <w:sz w:val="20"/>
        </w:rPr>
      </w:pPr>
    </w:p>
    <w:p w14:paraId="1AB04198" w14:textId="77777777" w:rsidR="009A356E" w:rsidRPr="00C10545" w:rsidRDefault="009A356E" w:rsidP="009A356E">
      <w:pPr>
        <w:rPr>
          <w:b/>
          <w:sz w:val="20"/>
        </w:rPr>
      </w:pPr>
      <w:r>
        <w:rPr>
          <w:b/>
          <w:sz w:val="20"/>
        </w:rPr>
        <w:t>Table 14</w:t>
      </w:r>
      <w:r w:rsidRPr="00C10545">
        <w:rPr>
          <w:b/>
          <w:sz w:val="20"/>
        </w:rPr>
        <w:t xml:space="preserve">: Quantum Deficiency Based on </w:t>
      </w:r>
      <w:proofErr w:type="spellStart"/>
      <w:r w:rsidRPr="00C10545">
        <w:rPr>
          <w:b/>
          <w:sz w:val="20"/>
        </w:rPr>
        <w:t>DoH</w:t>
      </w:r>
      <w:proofErr w:type="spellEnd"/>
      <w:r w:rsidRPr="00C10545">
        <w:rPr>
          <w:b/>
          <w:sz w:val="20"/>
        </w:rPr>
        <w:t xml:space="preserve"> Service Volumes &amp; Reasonable Unit Cost 2013-14</w:t>
      </w:r>
    </w:p>
    <w:tbl>
      <w:tblPr>
        <w:tblW w:w="5000" w:type="pct"/>
        <w:tblLook w:val="04A0" w:firstRow="1" w:lastRow="0" w:firstColumn="1" w:lastColumn="0" w:noHBand="0" w:noVBand="1"/>
      </w:tblPr>
      <w:tblGrid>
        <w:gridCol w:w="1977"/>
        <w:gridCol w:w="1666"/>
        <w:gridCol w:w="1777"/>
        <w:gridCol w:w="1565"/>
        <w:gridCol w:w="1544"/>
      </w:tblGrid>
      <w:tr w:rsidR="009A356E" w:rsidRPr="003C1378" w14:paraId="353D7A68" w14:textId="77777777" w:rsidTr="009A356E">
        <w:trPr>
          <w:trHeight w:val="405"/>
        </w:trPr>
        <w:tc>
          <w:tcPr>
            <w:tcW w:w="9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D13031" w14:textId="77777777" w:rsidR="009A356E" w:rsidRPr="00C10545" w:rsidRDefault="009A356E" w:rsidP="009A356E">
            <w:pPr>
              <w:rPr>
                <w:color w:val="000000"/>
                <w:sz w:val="18"/>
                <w:szCs w:val="18"/>
                <w:lang w:eastAsia="en-AU"/>
              </w:rPr>
            </w:pPr>
            <w:r w:rsidRPr="00C10545">
              <w:rPr>
                <w:color w:val="000000"/>
                <w:sz w:val="18"/>
                <w:szCs w:val="18"/>
                <w:lang w:eastAsia="en-AU"/>
              </w:rPr>
              <w:t> </w:t>
            </w:r>
          </w:p>
        </w:tc>
        <w:tc>
          <w:tcPr>
            <w:tcW w:w="1033" w:type="pct"/>
            <w:tcBorders>
              <w:top w:val="single" w:sz="4" w:space="0" w:color="auto"/>
              <w:left w:val="nil"/>
              <w:bottom w:val="single" w:sz="4" w:space="0" w:color="auto"/>
              <w:right w:val="single" w:sz="4" w:space="0" w:color="auto"/>
            </w:tcBorders>
            <w:shd w:val="clear" w:color="auto" w:fill="auto"/>
            <w:vAlign w:val="bottom"/>
            <w:hideMark/>
          </w:tcPr>
          <w:p w14:paraId="5232CF0C" w14:textId="77777777" w:rsidR="009A356E" w:rsidRPr="00C10545" w:rsidRDefault="009A356E" w:rsidP="009A356E">
            <w:pPr>
              <w:jc w:val="center"/>
              <w:rPr>
                <w:b/>
                <w:bCs/>
                <w:color w:val="000000"/>
                <w:sz w:val="18"/>
                <w:szCs w:val="18"/>
                <w:lang w:eastAsia="en-AU"/>
              </w:rPr>
            </w:pPr>
            <w:r w:rsidRPr="00C10545">
              <w:rPr>
                <w:b/>
                <w:bCs/>
                <w:color w:val="000000"/>
                <w:sz w:val="18"/>
                <w:szCs w:val="18"/>
                <w:lang w:eastAsia="en-AU"/>
              </w:rPr>
              <w:t>Total Units (millions)</w:t>
            </w:r>
          </w:p>
        </w:tc>
        <w:tc>
          <w:tcPr>
            <w:tcW w:w="1098" w:type="pct"/>
            <w:tcBorders>
              <w:top w:val="single" w:sz="4" w:space="0" w:color="auto"/>
              <w:left w:val="nil"/>
              <w:bottom w:val="single" w:sz="4" w:space="0" w:color="auto"/>
              <w:right w:val="single" w:sz="4" w:space="0" w:color="auto"/>
            </w:tcBorders>
            <w:shd w:val="clear" w:color="auto" w:fill="auto"/>
            <w:vAlign w:val="bottom"/>
            <w:hideMark/>
          </w:tcPr>
          <w:p w14:paraId="023DD3F5" w14:textId="77777777" w:rsidR="009A356E" w:rsidRPr="00C10545" w:rsidRDefault="009A356E" w:rsidP="009A356E">
            <w:pPr>
              <w:jc w:val="center"/>
              <w:rPr>
                <w:b/>
                <w:bCs/>
                <w:color w:val="000000"/>
                <w:sz w:val="18"/>
                <w:szCs w:val="18"/>
                <w:lang w:eastAsia="en-AU"/>
              </w:rPr>
            </w:pPr>
            <w:r w:rsidRPr="00C10545">
              <w:rPr>
                <w:b/>
                <w:bCs/>
                <w:color w:val="000000"/>
                <w:sz w:val="18"/>
                <w:szCs w:val="18"/>
                <w:lang w:eastAsia="en-AU"/>
              </w:rPr>
              <w:t>Total Council Cost at RUC ($m)</w:t>
            </w:r>
          </w:p>
        </w:tc>
        <w:tc>
          <w:tcPr>
            <w:tcW w:w="974" w:type="pct"/>
            <w:tcBorders>
              <w:top w:val="single" w:sz="4" w:space="0" w:color="auto"/>
              <w:left w:val="nil"/>
              <w:bottom w:val="single" w:sz="4" w:space="0" w:color="auto"/>
              <w:right w:val="single" w:sz="4" w:space="0" w:color="auto"/>
            </w:tcBorders>
            <w:shd w:val="clear" w:color="auto" w:fill="auto"/>
            <w:vAlign w:val="bottom"/>
            <w:hideMark/>
          </w:tcPr>
          <w:p w14:paraId="18F91441" w14:textId="77777777" w:rsidR="009A356E" w:rsidRPr="00C10545" w:rsidRDefault="009A356E" w:rsidP="009A356E">
            <w:pPr>
              <w:jc w:val="center"/>
              <w:rPr>
                <w:b/>
                <w:bCs/>
                <w:color w:val="000000"/>
                <w:sz w:val="18"/>
                <w:szCs w:val="18"/>
                <w:lang w:eastAsia="en-AU"/>
              </w:rPr>
            </w:pPr>
            <w:r w:rsidRPr="00C10545">
              <w:rPr>
                <w:b/>
                <w:bCs/>
                <w:color w:val="000000"/>
                <w:sz w:val="18"/>
                <w:szCs w:val="18"/>
                <w:lang w:eastAsia="en-AU"/>
              </w:rPr>
              <w:t>Total Cost at Output Price ($m)</w:t>
            </w:r>
          </w:p>
        </w:tc>
        <w:tc>
          <w:tcPr>
            <w:tcW w:w="961" w:type="pct"/>
            <w:tcBorders>
              <w:top w:val="single" w:sz="4" w:space="0" w:color="auto"/>
              <w:left w:val="nil"/>
              <w:bottom w:val="single" w:sz="4" w:space="0" w:color="auto"/>
              <w:right w:val="single" w:sz="4" w:space="0" w:color="auto"/>
            </w:tcBorders>
            <w:shd w:val="clear" w:color="auto" w:fill="auto"/>
            <w:vAlign w:val="bottom"/>
            <w:hideMark/>
          </w:tcPr>
          <w:p w14:paraId="268AC893" w14:textId="77777777" w:rsidR="009A356E" w:rsidRPr="00C10545" w:rsidRDefault="009A356E" w:rsidP="009A356E">
            <w:pPr>
              <w:jc w:val="center"/>
              <w:rPr>
                <w:b/>
                <w:bCs/>
                <w:color w:val="000000"/>
                <w:sz w:val="18"/>
                <w:szCs w:val="18"/>
                <w:lang w:eastAsia="en-AU"/>
              </w:rPr>
            </w:pPr>
            <w:r w:rsidRPr="00C10545">
              <w:rPr>
                <w:b/>
                <w:bCs/>
                <w:color w:val="000000"/>
                <w:sz w:val="18"/>
                <w:szCs w:val="18"/>
                <w:lang w:eastAsia="en-AU"/>
              </w:rPr>
              <w:t>Deficiency ($m)</w:t>
            </w:r>
          </w:p>
        </w:tc>
      </w:tr>
      <w:tr w:rsidR="009A356E" w:rsidRPr="003C1378" w14:paraId="61841096" w14:textId="77777777" w:rsidTr="009A356E">
        <w:trPr>
          <w:trHeight w:val="300"/>
        </w:trPr>
        <w:tc>
          <w:tcPr>
            <w:tcW w:w="934" w:type="pct"/>
            <w:tcBorders>
              <w:top w:val="nil"/>
              <w:left w:val="single" w:sz="4" w:space="0" w:color="auto"/>
              <w:bottom w:val="single" w:sz="4" w:space="0" w:color="auto"/>
              <w:right w:val="single" w:sz="4" w:space="0" w:color="auto"/>
            </w:tcBorders>
            <w:shd w:val="clear" w:color="auto" w:fill="auto"/>
            <w:noWrap/>
            <w:vAlign w:val="bottom"/>
            <w:hideMark/>
          </w:tcPr>
          <w:p w14:paraId="128DBACE" w14:textId="77777777" w:rsidR="009A356E" w:rsidRPr="00C10545" w:rsidRDefault="009A356E" w:rsidP="009A356E">
            <w:pPr>
              <w:rPr>
                <w:bCs/>
                <w:color w:val="000000"/>
                <w:sz w:val="18"/>
                <w:szCs w:val="18"/>
                <w:lang w:eastAsia="en-AU"/>
              </w:rPr>
            </w:pPr>
            <w:r w:rsidRPr="00C10545">
              <w:rPr>
                <w:bCs/>
                <w:color w:val="000000"/>
                <w:sz w:val="18"/>
                <w:szCs w:val="18"/>
                <w:lang w:eastAsia="en-AU"/>
              </w:rPr>
              <w:t>Domestic Assistance</w:t>
            </w:r>
          </w:p>
        </w:tc>
        <w:tc>
          <w:tcPr>
            <w:tcW w:w="1033" w:type="pct"/>
            <w:tcBorders>
              <w:top w:val="nil"/>
              <w:left w:val="nil"/>
              <w:bottom w:val="single" w:sz="4" w:space="0" w:color="auto"/>
              <w:right w:val="single" w:sz="4" w:space="0" w:color="auto"/>
            </w:tcBorders>
            <w:shd w:val="clear" w:color="auto" w:fill="auto"/>
            <w:noWrap/>
            <w:vAlign w:val="bottom"/>
            <w:hideMark/>
          </w:tcPr>
          <w:p w14:paraId="62442E33" w14:textId="15559F8F" w:rsidR="009A356E" w:rsidRPr="00C10545" w:rsidRDefault="009A356E" w:rsidP="009A356E">
            <w:pPr>
              <w:rPr>
                <w:color w:val="000000"/>
                <w:sz w:val="18"/>
                <w:szCs w:val="18"/>
                <w:lang w:eastAsia="en-AU"/>
              </w:rPr>
            </w:pPr>
            <w:r w:rsidRPr="00C10545">
              <w:rPr>
                <w:color w:val="000000"/>
                <w:sz w:val="18"/>
                <w:szCs w:val="18"/>
                <w:lang w:eastAsia="en-AU"/>
              </w:rPr>
              <w:t xml:space="preserve">2.47 </w:t>
            </w:r>
          </w:p>
        </w:tc>
        <w:tc>
          <w:tcPr>
            <w:tcW w:w="1098" w:type="pct"/>
            <w:tcBorders>
              <w:top w:val="nil"/>
              <w:left w:val="nil"/>
              <w:bottom w:val="single" w:sz="4" w:space="0" w:color="auto"/>
              <w:right w:val="single" w:sz="4" w:space="0" w:color="auto"/>
            </w:tcBorders>
            <w:shd w:val="clear" w:color="auto" w:fill="auto"/>
            <w:noWrap/>
            <w:vAlign w:val="bottom"/>
            <w:hideMark/>
          </w:tcPr>
          <w:p w14:paraId="6CAD51A9" w14:textId="22BA9C29" w:rsidR="009A356E" w:rsidRPr="00C10545" w:rsidRDefault="009A356E" w:rsidP="009A356E">
            <w:pPr>
              <w:rPr>
                <w:color w:val="000000"/>
                <w:sz w:val="18"/>
                <w:szCs w:val="18"/>
                <w:lang w:eastAsia="en-AU"/>
              </w:rPr>
            </w:pPr>
            <w:r w:rsidRPr="00C10545">
              <w:rPr>
                <w:color w:val="000000"/>
                <w:sz w:val="18"/>
                <w:szCs w:val="18"/>
                <w:lang w:eastAsia="en-AU"/>
              </w:rPr>
              <w:t xml:space="preserve"> 140.24 </w:t>
            </w:r>
          </w:p>
        </w:tc>
        <w:tc>
          <w:tcPr>
            <w:tcW w:w="974" w:type="pct"/>
            <w:tcBorders>
              <w:top w:val="nil"/>
              <w:left w:val="nil"/>
              <w:bottom w:val="single" w:sz="4" w:space="0" w:color="auto"/>
              <w:right w:val="single" w:sz="4" w:space="0" w:color="auto"/>
            </w:tcBorders>
            <w:shd w:val="clear" w:color="auto" w:fill="auto"/>
            <w:noWrap/>
            <w:vAlign w:val="bottom"/>
            <w:hideMark/>
          </w:tcPr>
          <w:p w14:paraId="5022B941" w14:textId="396D316B" w:rsidR="009A356E" w:rsidRPr="00C10545" w:rsidRDefault="009A356E" w:rsidP="009A356E">
            <w:pPr>
              <w:rPr>
                <w:color w:val="000000"/>
                <w:sz w:val="18"/>
                <w:szCs w:val="18"/>
                <w:lang w:eastAsia="en-AU"/>
              </w:rPr>
            </w:pPr>
            <w:r w:rsidRPr="00C10545">
              <w:rPr>
                <w:color w:val="000000"/>
                <w:sz w:val="18"/>
                <w:szCs w:val="18"/>
                <w:lang w:eastAsia="en-AU"/>
              </w:rPr>
              <w:t xml:space="preserve">77.82 </w:t>
            </w:r>
          </w:p>
        </w:tc>
        <w:tc>
          <w:tcPr>
            <w:tcW w:w="961" w:type="pct"/>
            <w:tcBorders>
              <w:top w:val="nil"/>
              <w:left w:val="nil"/>
              <w:bottom w:val="single" w:sz="4" w:space="0" w:color="auto"/>
              <w:right w:val="single" w:sz="4" w:space="0" w:color="auto"/>
            </w:tcBorders>
            <w:shd w:val="clear" w:color="auto" w:fill="auto"/>
            <w:noWrap/>
            <w:vAlign w:val="bottom"/>
            <w:hideMark/>
          </w:tcPr>
          <w:p w14:paraId="5F29CC00" w14:textId="77777777" w:rsidR="009A356E" w:rsidRPr="00C10545" w:rsidRDefault="009A356E" w:rsidP="009A356E">
            <w:pPr>
              <w:jc w:val="center"/>
              <w:rPr>
                <w:color w:val="000000"/>
                <w:sz w:val="18"/>
                <w:szCs w:val="18"/>
                <w:lang w:eastAsia="en-AU"/>
              </w:rPr>
            </w:pPr>
            <w:r w:rsidRPr="00C10545">
              <w:rPr>
                <w:color w:val="000000"/>
                <w:sz w:val="18"/>
                <w:szCs w:val="18"/>
                <w:lang w:eastAsia="en-AU"/>
              </w:rPr>
              <w:t>- 62.43</w:t>
            </w:r>
          </w:p>
        </w:tc>
      </w:tr>
      <w:tr w:rsidR="009A356E" w:rsidRPr="003C1378" w14:paraId="1A17B163" w14:textId="77777777" w:rsidTr="009A356E">
        <w:trPr>
          <w:trHeight w:val="300"/>
        </w:trPr>
        <w:tc>
          <w:tcPr>
            <w:tcW w:w="934" w:type="pct"/>
            <w:tcBorders>
              <w:top w:val="nil"/>
              <w:left w:val="single" w:sz="4" w:space="0" w:color="auto"/>
              <w:bottom w:val="single" w:sz="4" w:space="0" w:color="auto"/>
              <w:right w:val="single" w:sz="4" w:space="0" w:color="auto"/>
            </w:tcBorders>
            <w:shd w:val="clear" w:color="auto" w:fill="auto"/>
            <w:noWrap/>
            <w:vAlign w:val="bottom"/>
            <w:hideMark/>
          </w:tcPr>
          <w:p w14:paraId="227D3C9C" w14:textId="77777777" w:rsidR="009A356E" w:rsidRPr="00C10545" w:rsidRDefault="009A356E" w:rsidP="009A356E">
            <w:pPr>
              <w:rPr>
                <w:bCs/>
                <w:color w:val="000000"/>
                <w:sz w:val="18"/>
                <w:szCs w:val="18"/>
                <w:lang w:eastAsia="en-AU"/>
              </w:rPr>
            </w:pPr>
            <w:r w:rsidRPr="00C10545">
              <w:rPr>
                <w:bCs/>
                <w:color w:val="000000"/>
                <w:sz w:val="18"/>
                <w:szCs w:val="18"/>
                <w:lang w:eastAsia="en-AU"/>
              </w:rPr>
              <w:t>Personal Care</w:t>
            </w:r>
          </w:p>
        </w:tc>
        <w:tc>
          <w:tcPr>
            <w:tcW w:w="1033" w:type="pct"/>
            <w:tcBorders>
              <w:top w:val="nil"/>
              <w:left w:val="nil"/>
              <w:bottom w:val="single" w:sz="4" w:space="0" w:color="auto"/>
              <w:right w:val="single" w:sz="4" w:space="0" w:color="auto"/>
            </w:tcBorders>
            <w:shd w:val="clear" w:color="auto" w:fill="auto"/>
            <w:noWrap/>
            <w:vAlign w:val="bottom"/>
            <w:hideMark/>
          </w:tcPr>
          <w:p w14:paraId="398AF8A6" w14:textId="175B4F9C" w:rsidR="009A356E" w:rsidRPr="00C10545" w:rsidRDefault="009A356E" w:rsidP="009A356E">
            <w:pPr>
              <w:rPr>
                <w:color w:val="000000"/>
                <w:sz w:val="18"/>
                <w:szCs w:val="18"/>
                <w:lang w:eastAsia="en-AU"/>
              </w:rPr>
            </w:pPr>
            <w:r w:rsidRPr="00C10545">
              <w:rPr>
                <w:color w:val="000000"/>
                <w:sz w:val="18"/>
                <w:szCs w:val="18"/>
                <w:lang w:eastAsia="en-AU"/>
              </w:rPr>
              <w:t xml:space="preserve">1.14 </w:t>
            </w:r>
          </w:p>
        </w:tc>
        <w:tc>
          <w:tcPr>
            <w:tcW w:w="1098" w:type="pct"/>
            <w:tcBorders>
              <w:top w:val="nil"/>
              <w:left w:val="nil"/>
              <w:bottom w:val="single" w:sz="4" w:space="0" w:color="auto"/>
              <w:right w:val="single" w:sz="4" w:space="0" w:color="auto"/>
            </w:tcBorders>
            <w:shd w:val="clear" w:color="auto" w:fill="auto"/>
            <w:noWrap/>
            <w:vAlign w:val="bottom"/>
            <w:hideMark/>
          </w:tcPr>
          <w:p w14:paraId="2371D930" w14:textId="60BCDA6A" w:rsidR="009A356E" w:rsidRPr="00C10545" w:rsidRDefault="009A356E" w:rsidP="009A356E">
            <w:pPr>
              <w:rPr>
                <w:color w:val="000000"/>
                <w:sz w:val="18"/>
                <w:szCs w:val="18"/>
                <w:lang w:eastAsia="en-AU"/>
              </w:rPr>
            </w:pPr>
            <w:r w:rsidRPr="00C10545">
              <w:rPr>
                <w:color w:val="000000"/>
                <w:sz w:val="18"/>
                <w:szCs w:val="18"/>
                <w:lang w:eastAsia="en-AU"/>
              </w:rPr>
              <w:t xml:space="preserve">78.81 </w:t>
            </w:r>
          </w:p>
        </w:tc>
        <w:tc>
          <w:tcPr>
            <w:tcW w:w="974" w:type="pct"/>
            <w:tcBorders>
              <w:top w:val="nil"/>
              <w:left w:val="nil"/>
              <w:bottom w:val="single" w:sz="4" w:space="0" w:color="auto"/>
              <w:right w:val="single" w:sz="4" w:space="0" w:color="auto"/>
            </w:tcBorders>
            <w:shd w:val="clear" w:color="auto" w:fill="auto"/>
            <w:noWrap/>
            <w:vAlign w:val="bottom"/>
            <w:hideMark/>
          </w:tcPr>
          <w:p w14:paraId="61A5DAF4" w14:textId="2F2DDD69" w:rsidR="009A356E" w:rsidRPr="00C10545" w:rsidRDefault="009A356E" w:rsidP="009A356E">
            <w:pPr>
              <w:rPr>
                <w:color w:val="000000"/>
                <w:sz w:val="18"/>
                <w:szCs w:val="18"/>
                <w:lang w:eastAsia="en-AU"/>
              </w:rPr>
            </w:pPr>
            <w:r w:rsidRPr="00C10545">
              <w:rPr>
                <w:color w:val="000000"/>
                <w:sz w:val="18"/>
                <w:szCs w:val="18"/>
                <w:lang w:eastAsia="en-AU"/>
              </w:rPr>
              <w:t xml:space="preserve">41.17 </w:t>
            </w:r>
          </w:p>
        </w:tc>
        <w:tc>
          <w:tcPr>
            <w:tcW w:w="961" w:type="pct"/>
            <w:tcBorders>
              <w:top w:val="nil"/>
              <w:left w:val="nil"/>
              <w:bottom w:val="single" w:sz="4" w:space="0" w:color="auto"/>
              <w:right w:val="single" w:sz="4" w:space="0" w:color="auto"/>
            </w:tcBorders>
            <w:shd w:val="clear" w:color="auto" w:fill="auto"/>
            <w:noWrap/>
            <w:vAlign w:val="bottom"/>
            <w:hideMark/>
          </w:tcPr>
          <w:p w14:paraId="32CDBEA6" w14:textId="77777777" w:rsidR="009A356E" w:rsidRPr="00C10545" w:rsidRDefault="009A356E" w:rsidP="009A356E">
            <w:pPr>
              <w:jc w:val="center"/>
              <w:rPr>
                <w:color w:val="000000"/>
                <w:sz w:val="18"/>
                <w:szCs w:val="18"/>
                <w:lang w:eastAsia="en-AU"/>
              </w:rPr>
            </w:pPr>
            <w:r w:rsidRPr="00C10545">
              <w:rPr>
                <w:color w:val="000000"/>
                <w:sz w:val="18"/>
                <w:szCs w:val="18"/>
                <w:lang w:eastAsia="en-AU"/>
              </w:rPr>
              <w:t>- 37.64</w:t>
            </w:r>
          </w:p>
        </w:tc>
      </w:tr>
      <w:tr w:rsidR="009A356E" w:rsidRPr="003C1378" w14:paraId="1C83FD82" w14:textId="77777777" w:rsidTr="009A356E">
        <w:trPr>
          <w:trHeight w:val="300"/>
        </w:trPr>
        <w:tc>
          <w:tcPr>
            <w:tcW w:w="934" w:type="pct"/>
            <w:tcBorders>
              <w:top w:val="nil"/>
              <w:left w:val="single" w:sz="4" w:space="0" w:color="auto"/>
              <w:bottom w:val="single" w:sz="4" w:space="0" w:color="auto"/>
              <w:right w:val="single" w:sz="4" w:space="0" w:color="auto"/>
            </w:tcBorders>
            <w:shd w:val="clear" w:color="auto" w:fill="auto"/>
            <w:noWrap/>
            <w:vAlign w:val="bottom"/>
            <w:hideMark/>
          </w:tcPr>
          <w:p w14:paraId="19FCD698" w14:textId="77777777" w:rsidR="009A356E" w:rsidRPr="00C10545" w:rsidRDefault="009A356E" w:rsidP="009A356E">
            <w:pPr>
              <w:rPr>
                <w:bCs/>
                <w:color w:val="000000"/>
                <w:sz w:val="18"/>
                <w:szCs w:val="18"/>
                <w:lang w:eastAsia="en-AU"/>
              </w:rPr>
            </w:pPr>
            <w:r w:rsidRPr="00C10545">
              <w:rPr>
                <w:bCs/>
                <w:color w:val="000000"/>
                <w:sz w:val="18"/>
                <w:szCs w:val="18"/>
                <w:lang w:eastAsia="en-AU"/>
              </w:rPr>
              <w:t>Respite Care</w:t>
            </w:r>
          </w:p>
        </w:tc>
        <w:tc>
          <w:tcPr>
            <w:tcW w:w="1033" w:type="pct"/>
            <w:tcBorders>
              <w:top w:val="nil"/>
              <w:left w:val="nil"/>
              <w:bottom w:val="single" w:sz="4" w:space="0" w:color="auto"/>
              <w:right w:val="single" w:sz="4" w:space="0" w:color="auto"/>
            </w:tcBorders>
            <w:shd w:val="clear" w:color="auto" w:fill="auto"/>
            <w:noWrap/>
            <w:vAlign w:val="bottom"/>
            <w:hideMark/>
          </w:tcPr>
          <w:p w14:paraId="13C13E78" w14:textId="01A83F8C" w:rsidR="009A356E" w:rsidRPr="00C10545" w:rsidRDefault="009A356E" w:rsidP="009A356E">
            <w:pPr>
              <w:rPr>
                <w:color w:val="000000"/>
                <w:sz w:val="18"/>
                <w:szCs w:val="18"/>
                <w:lang w:eastAsia="en-AU"/>
              </w:rPr>
            </w:pPr>
            <w:r w:rsidRPr="00C10545">
              <w:rPr>
                <w:color w:val="000000"/>
                <w:sz w:val="18"/>
                <w:szCs w:val="18"/>
                <w:lang w:eastAsia="en-AU"/>
              </w:rPr>
              <w:t xml:space="preserve">0.72 </w:t>
            </w:r>
          </w:p>
        </w:tc>
        <w:tc>
          <w:tcPr>
            <w:tcW w:w="1098" w:type="pct"/>
            <w:tcBorders>
              <w:top w:val="nil"/>
              <w:left w:val="nil"/>
              <w:bottom w:val="single" w:sz="4" w:space="0" w:color="auto"/>
              <w:right w:val="single" w:sz="4" w:space="0" w:color="auto"/>
            </w:tcBorders>
            <w:shd w:val="clear" w:color="auto" w:fill="auto"/>
            <w:noWrap/>
            <w:vAlign w:val="bottom"/>
            <w:hideMark/>
          </w:tcPr>
          <w:p w14:paraId="77862C60" w14:textId="362F9D4A" w:rsidR="009A356E" w:rsidRPr="00C10545" w:rsidRDefault="009A356E" w:rsidP="009A356E">
            <w:pPr>
              <w:rPr>
                <w:color w:val="000000"/>
                <w:sz w:val="18"/>
                <w:szCs w:val="18"/>
                <w:lang w:eastAsia="en-AU"/>
              </w:rPr>
            </w:pPr>
            <w:r w:rsidRPr="00C10545">
              <w:rPr>
                <w:color w:val="000000"/>
                <w:sz w:val="18"/>
                <w:szCs w:val="18"/>
                <w:lang w:eastAsia="en-AU"/>
              </w:rPr>
              <w:t xml:space="preserve">41.11 </w:t>
            </w:r>
          </w:p>
        </w:tc>
        <w:tc>
          <w:tcPr>
            <w:tcW w:w="974" w:type="pct"/>
            <w:tcBorders>
              <w:top w:val="nil"/>
              <w:left w:val="nil"/>
              <w:bottom w:val="single" w:sz="4" w:space="0" w:color="auto"/>
              <w:right w:val="single" w:sz="4" w:space="0" w:color="auto"/>
            </w:tcBorders>
            <w:shd w:val="clear" w:color="auto" w:fill="auto"/>
            <w:noWrap/>
            <w:vAlign w:val="bottom"/>
            <w:hideMark/>
          </w:tcPr>
          <w:p w14:paraId="71615436" w14:textId="768BBAB7" w:rsidR="009A356E" w:rsidRPr="00C10545" w:rsidRDefault="009A356E" w:rsidP="009A356E">
            <w:pPr>
              <w:rPr>
                <w:color w:val="000000"/>
                <w:sz w:val="18"/>
                <w:szCs w:val="18"/>
                <w:lang w:eastAsia="en-AU"/>
              </w:rPr>
            </w:pPr>
            <w:r w:rsidRPr="00C10545">
              <w:rPr>
                <w:color w:val="000000"/>
                <w:sz w:val="18"/>
                <w:szCs w:val="18"/>
                <w:lang w:eastAsia="en-AU"/>
              </w:rPr>
              <w:t xml:space="preserve">23.38 </w:t>
            </w:r>
          </w:p>
        </w:tc>
        <w:tc>
          <w:tcPr>
            <w:tcW w:w="961" w:type="pct"/>
            <w:tcBorders>
              <w:top w:val="nil"/>
              <w:left w:val="nil"/>
              <w:bottom w:val="single" w:sz="4" w:space="0" w:color="auto"/>
              <w:right w:val="single" w:sz="4" w:space="0" w:color="auto"/>
            </w:tcBorders>
            <w:shd w:val="clear" w:color="auto" w:fill="auto"/>
            <w:noWrap/>
            <w:vAlign w:val="bottom"/>
            <w:hideMark/>
          </w:tcPr>
          <w:p w14:paraId="3DE886B1" w14:textId="77777777" w:rsidR="009A356E" w:rsidRPr="00C10545" w:rsidRDefault="009A356E" w:rsidP="009A356E">
            <w:pPr>
              <w:jc w:val="center"/>
              <w:rPr>
                <w:color w:val="000000"/>
                <w:sz w:val="18"/>
                <w:szCs w:val="18"/>
                <w:lang w:eastAsia="en-AU"/>
              </w:rPr>
            </w:pPr>
            <w:r w:rsidRPr="00C10545">
              <w:rPr>
                <w:color w:val="000000"/>
                <w:sz w:val="18"/>
                <w:szCs w:val="18"/>
                <w:lang w:eastAsia="en-AU"/>
              </w:rPr>
              <w:t>- 17.74</w:t>
            </w:r>
          </w:p>
        </w:tc>
      </w:tr>
      <w:tr w:rsidR="009A356E" w:rsidRPr="003C1378" w14:paraId="0CEB077A" w14:textId="77777777" w:rsidTr="009A356E">
        <w:trPr>
          <w:trHeight w:val="300"/>
        </w:trPr>
        <w:tc>
          <w:tcPr>
            <w:tcW w:w="934" w:type="pct"/>
            <w:tcBorders>
              <w:top w:val="nil"/>
              <w:left w:val="single" w:sz="4" w:space="0" w:color="auto"/>
              <w:bottom w:val="single" w:sz="4" w:space="0" w:color="auto"/>
              <w:right w:val="single" w:sz="4" w:space="0" w:color="auto"/>
            </w:tcBorders>
            <w:shd w:val="clear" w:color="auto" w:fill="auto"/>
            <w:noWrap/>
            <w:vAlign w:val="bottom"/>
            <w:hideMark/>
          </w:tcPr>
          <w:p w14:paraId="0EA12977" w14:textId="77777777" w:rsidR="009A356E" w:rsidRPr="00C10545" w:rsidRDefault="009A356E" w:rsidP="009A356E">
            <w:pPr>
              <w:rPr>
                <w:bCs/>
                <w:color w:val="000000"/>
                <w:sz w:val="18"/>
                <w:szCs w:val="18"/>
                <w:lang w:eastAsia="en-AU"/>
              </w:rPr>
            </w:pPr>
            <w:r w:rsidRPr="00C10545">
              <w:rPr>
                <w:bCs/>
                <w:color w:val="000000"/>
                <w:sz w:val="18"/>
                <w:szCs w:val="18"/>
                <w:lang w:eastAsia="en-AU"/>
              </w:rPr>
              <w:t>Property Maintenance</w:t>
            </w:r>
          </w:p>
        </w:tc>
        <w:tc>
          <w:tcPr>
            <w:tcW w:w="1033" w:type="pct"/>
            <w:tcBorders>
              <w:top w:val="nil"/>
              <w:left w:val="nil"/>
              <w:bottom w:val="single" w:sz="4" w:space="0" w:color="auto"/>
              <w:right w:val="single" w:sz="4" w:space="0" w:color="auto"/>
            </w:tcBorders>
            <w:shd w:val="clear" w:color="auto" w:fill="auto"/>
            <w:noWrap/>
            <w:vAlign w:val="bottom"/>
            <w:hideMark/>
          </w:tcPr>
          <w:p w14:paraId="57C06769" w14:textId="250416C0" w:rsidR="009A356E" w:rsidRPr="00C10545" w:rsidRDefault="009A356E" w:rsidP="009A356E">
            <w:pPr>
              <w:rPr>
                <w:color w:val="000000"/>
                <w:sz w:val="18"/>
                <w:szCs w:val="18"/>
                <w:lang w:eastAsia="en-AU"/>
              </w:rPr>
            </w:pPr>
            <w:r w:rsidRPr="00C10545">
              <w:rPr>
                <w:color w:val="000000"/>
                <w:sz w:val="18"/>
                <w:szCs w:val="18"/>
                <w:lang w:eastAsia="en-AU"/>
              </w:rPr>
              <w:t xml:space="preserve">0.26 </w:t>
            </w:r>
          </w:p>
        </w:tc>
        <w:tc>
          <w:tcPr>
            <w:tcW w:w="1098" w:type="pct"/>
            <w:tcBorders>
              <w:top w:val="nil"/>
              <w:left w:val="nil"/>
              <w:bottom w:val="single" w:sz="4" w:space="0" w:color="auto"/>
              <w:right w:val="single" w:sz="4" w:space="0" w:color="auto"/>
            </w:tcBorders>
            <w:shd w:val="clear" w:color="auto" w:fill="auto"/>
            <w:noWrap/>
            <w:vAlign w:val="bottom"/>
            <w:hideMark/>
          </w:tcPr>
          <w:p w14:paraId="0B4C154B" w14:textId="46EDFB2D" w:rsidR="009A356E" w:rsidRPr="00C10545" w:rsidRDefault="009A356E" w:rsidP="009A356E">
            <w:pPr>
              <w:rPr>
                <w:color w:val="000000"/>
                <w:sz w:val="18"/>
                <w:szCs w:val="18"/>
                <w:lang w:eastAsia="en-AU"/>
              </w:rPr>
            </w:pPr>
            <w:r w:rsidRPr="00C10545">
              <w:rPr>
                <w:color w:val="000000"/>
                <w:sz w:val="18"/>
                <w:szCs w:val="18"/>
                <w:lang w:eastAsia="en-AU"/>
              </w:rPr>
              <w:t xml:space="preserve">17.59 </w:t>
            </w:r>
          </w:p>
        </w:tc>
        <w:tc>
          <w:tcPr>
            <w:tcW w:w="974" w:type="pct"/>
            <w:tcBorders>
              <w:top w:val="nil"/>
              <w:left w:val="nil"/>
              <w:bottom w:val="single" w:sz="4" w:space="0" w:color="auto"/>
              <w:right w:val="single" w:sz="4" w:space="0" w:color="auto"/>
            </w:tcBorders>
            <w:shd w:val="clear" w:color="auto" w:fill="auto"/>
            <w:noWrap/>
            <w:vAlign w:val="bottom"/>
            <w:hideMark/>
          </w:tcPr>
          <w:p w14:paraId="00D9922D" w14:textId="5908D9C7" w:rsidR="009A356E" w:rsidRPr="00C10545" w:rsidRDefault="009A356E" w:rsidP="009A356E">
            <w:pPr>
              <w:rPr>
                <w:color w:val="000000"/>
                <w:sz w:val="18"/>
                <w:szCs w:val="18"/>
                <w:lang w:eastAsia="en-AU"/>
              </w:rPr>
            </w:pPr>
            <w:r w:rsidRPr="00C10545">
              <w:rPr>
                <w:color w:val="000000"/>
                <w:sz w:val="18"/>
                <w:szCs w:val="18"/>
                <w:lang w:eastAsia="en-AU"/>
              </w:rPr>
              <w:t xml:space="preserve">12.05 </w:t>
            </w:r>
          </w:p>
        </w:tc>
        <w:tc>
          <w:tcPr>
            <w:tcW w:w="961" w:type="pct"/>
            <w:tcBorders>
              <w:top w:val="nil"/>
              <w:left w:val="nil"/>
              <w:bottom w:val="single" w:sz="4" w:space="0" w:color="auto"/>
              <w:right w:val="single" w:sz="4" w:space="0" w:color="auto"/>
            </w:tcBorders>
            <w:shd w:val="clear" w:color="auto" w:fill="auto"/>
            <w:noWrap/>
            <w:vAlign w:val="bottom"/>
            <w:hideMark/>
          </w:tcPr>
          <w:p w14:paraId="35C9771B" w14:textId="77777777" w:rsidR="009A356E" w:rsidRPr="00C10545" w:rsidRDefault="009A356E" w:rsidP="009A356E">
            <w:pPr>
              <w:jc w:val="center"/>
              <w:rPr>
                <w:color w:val="000000"/>
                <w:sz w:val="18"/>
                <w:szCs w:val="18"/>
                <w:lang w:eastAsia="en-AU"/>
              </w:rPr>
            </w:pPr>
            <w:r w:rsidRPr="00C10545">
              <w:rPr>
                <w:color w:val="000000"/>
                <w:sz w:val="18"/>
                <w:szCs w:val="18"/>
                <w:lang w:eastAsia="en-AU"/>
              </w:rPr>
              <w:t>- 5.53</w:t>
            </w:r>
          </w:p>
        </w:tc>
      </w:tr>
      <w:tr w:rsidR="009A356E" w:rsidRPr="003C1378" w14:paraId="5FB64B22" w14:textId="77777777" w:rsidTr="009A356E">
        <w:trPr>
          <w:trHeight w:val="300"/>
        </w:trPr>
        <w:tc>
          <w:tcPr>
            <w:tcW w:w="934" w:type="pct"/>
            <w:tcBorders>
              <w:top w:val="nil"/>
              <w:left w:val="single" w:sz="4" w:space="0" w:color="auto"/>
              <w:bottom w:val="single" w:sz="4" w:space="0" w:color="auto"/>
              <w:right w:val="single" w:sz="4" w:space="0" w:color="auto"/>
            </w:tcBorders>
            <w:shd w:val="clear" w:color="auto" w:fill="auto"/>
            <w:noWrap/>
            <w:vAlign w:val="bottom"/>
            <w:hideMark/>
          </w:tcPr>
          <w:p w14:paraId="2F8A88E5" w14:textId="77777777" w:rsidR="009A356E" w:rsidRPr="00C10545" w:rsidRDefault="009A356E" w:rsidP="009A356E">
            <w:pPr>
              <w:rPr>
                <w:bCs/>
                <w:color w:val="000000"/>
                <w:sz w:val="18"/>
                <w:szCs w:val="18"/>
                <w:lang w:eastAsia="en-AU"/>
              </w:rPr>
            </w:pPr>
            <w:r w:rsidRPr="00C10545">
              <w:rPr>
                <w:bCs/>
                <w:color w:val="000000"/>
                <w:sz w:val="18"/>
                <w:szCs w:val="18"/>
                <w:lang w:eastAsia="en-AU"/>
              </w:rPr>
              <w:t>Meals</w:t>
            </w:r>
          </w:p>
        </w:tc>
        <w:tc>
          <w:tcPr>
            <w:tcW w:w="1033" w:type="pct"/>
            <w:tcBorders>
              <w:top w:val="nil"/>
              <w:left w:val="nil"/>
              <w:bottom w:val="single" w:sz="4" w:space="0" w:color="auto"/>
              <w:right w:val="single" w:sz="4" w:space="0" w:color="auto"/>
            </w:tcBorders>
            <w:shd w:val="clear" w:color="auto" w:fill="auto"/>
            <w:noWrap/>
            <w:vAlign w:val="bottom"/>
            <w:hideMark/>
          </w:tcPr>
          <w:p w14:paraId="70B28E28" w14:textId="7096F8EB" w:rsidR="009A356E" w:rsidRPr="00C10545" w:rsidRDefault="009A356E" w:rsidP="009A356E">
            <w:pPr>
              <w:rPr>
                <w:color w:val="000000"/>
                <w:sz w:val="18"/>
                <w:szCs w:val="18"/>
                <w:lang w:eastAsia="en-AU"/>
              </w:rPr>
            </w:pPr>
            <w:r w:rsidRPr="00C10545">
              <w:rPr>
                <w:color w:val="000000"/>
                <w:sz w:val="18"/>
                <w:szCs w:val="18"/>
                <w:lang w:eastAsia="en-AU"/>
              </w:rPr>
              <w:t xml:space="preserve">3.38 </w:t>
            </w:r>
          </w:p>
        </w:tc>
        <w:tc>
          <w:tcPr>
            <w:tcW w:w="1098" w:type="pct"/>
            <w:tcBorders>
              <w:top w:val="nil"/>
              <w:left w:val="nil"/>
              <w:bottom w:val="single" w:sz="4" w:space="0" w:color="auto"/>
              <w:right w:val="single" w:sz="4" w:space="0" w:color="auto"/>
            </w:tcBorders>
            <w:shd w:val="clear" w:color="auto" w:fill="auto"/>
            <w:noWrap/>
            <w:vAlign w:val="bottom"/>
            <w:hideMark/>
          </w:tcPr>
          <w:p w14:paraId="0D0493FD" w14:textId="07F28012" w:rsidR="009A356E" w:rsidRPr="00C10545" w:rsidRDefault="009A356E" w:rsidP="009A356E">
            <w:pPr>
              <w:rPr>
                <w:color w:val="000000"/>
                <w:sz w:val="18"/>
                <w:szCs w:val="18"/>
                <w:lang w:eastAsia="en-AU"/>
              </w:rPr>
            </w:pPr>
            <w:r w:rsidRPr="00C10545">
              <w:rPr>
                <w:color w:val="000000"/>
                <w:sz w:val="18"/>
                <w:szCs w:val="18"/>
                <w:lang w:eastAsia="en-AU"/>
              </w:rPr>
              <w:t xml:space="preserve">57.45 </w:t>
            </w:r>
          </w:p>
        </w:tc>
        <w:tc>
          <w:tcPr>
            <w:tcW w:w="974" w:type="pct"/>
            <w:tcBorders>
              <w:top w:val="nil"/>
              <w:left w:val="nil"/>
              <w:bottom w:val="single" w:sz="4" w:space="0" w:color="auto"/>
              <w:right w:val="single" w:sz="4" w:space="0" w:color="auto"/>
            </w:tcBorders>
            <w:shd w:val="clear" w:color="auto" w:fill="auto"/>
            <w:noWrap/>
            <w:vAlign w:val="bottom"/>
            <w:hideMark/>
          </w:tcPr>
          <w:p w14:paraId="03AE0357" w14:textId="68B6B67D" w:rsidR="009A356E" w:rsidRPr="00C10545" w:rsidRDefault="009A356E" w:rsidP="009A356E">
            <w:pPr>
              <w:rPr>
                <w:color w:val="000000"/>
                <w:sz w:val="18"/>
                <w:szCs w:val="18"/>
                <w:lang w:eastAsia="en-AU"/>
              </w:rPr>
            </w:pPr>
            <w:r w:rsidRPr="00C10545">
              <w:rPr>
                <w:color w:val="000000"/>
                <w:sz w:val="18"/>
                <w:szCs w:val="18"/>
                <w:lang w:eastAsia="en-AU"/>
              </w:rPr>
              <w:t xml:space="preserve">5.44 </w:t>
            </w:r>
          </w:p>
        </w:tc>
        <w:tc>
          <w:tcPr>
            <w:tcW w:w="961" w:type="pct"/>
            <w:tcBorders>
              <w:top w:val="nil"/>
              <w:left w:val="nil"/>
              <w:bottom w:val="single" w:sz="4" w:space="0" w:color="auto"/>
              <w:right w:val="single" w:sz="4" w:space="0" w:color="auto"/>
            </w:tcBorders>
            <w:shd w:val="clear" w:color="auto" w:fill="auto"/>
            <w:noWrap/>
            <w:vAlign w:val="bottom"/>
            <w:hideMark/>
          </w:tcPr>
          <w:p w14:paraId="45C2DD72" w14:textId="77777777" w:rsidR="009A356E" w:rsidRPr="00C10545" w:rsidRDefault="009A356E" w:rsidP="009A356E">
            <w:pPr>
              <w:jc w:val="center"/>
              <w:rPr>
                <w:color w:val="000000"/>
                <w:sz w:val="18"/>
                <w:szCs w:val="18"/>
                <w:lang w:eastAsia="en-AU"/>
              </w:rPr>
            </w:pPr>
            <w:r w:rsidRPr="00C10545">
              <w:rPr>
                <w:color w:val="000000"/>
                <w:sz w:val="18"/>
                <w:szCs w:val="18"/>
                <w:lang w:eastAsia="en-AU"/>
              </w:rPr>
              <w:t>- 52.01</w:t>
            </w:r>
          </w:p>
        </w:tc>
      </w:tr>
      <w:tr w:rsidR="009A356E" w:rsidRPr="003C1378" w14:paraId="43D1CDB8" w14:textId="77777777" w:rsidTr="009A356E">
        <w:trPr>
          <w:trHeight w:val="300"/>
        </w:trPr>
        <w:tc>
          <w:tcPr>
            <w:tcW w:w="934" w:type="pct"/>
            <w:tcBorders>
              <w:top w:val="nil"/>
              <w:left w:val="single" w:sz="4" w:space="0" w:color="auto"/>
              <w:bottom w:val="single" w:sz="4" w:space="0" w:color="auto"/>
              <w:right w:val="single" w:sz="4" w:space="0" w:color="auto"/>
            </w:tcBorders>
            <w:shd w:val="clear" w:color="auto" w:fill="auto"/>
            <w:noWrap/>
            <w:vAlign w:val="bottom"/>
            <w:hideMark/>
          </w:tcPr>
          <w:p w14:paraId="6F6D46B1" w14:textId="77777777" w:rsidR="009A356E" w:rsidRPr="00C10545" w:rsidRDefault="009A356E" w:rsidP="009A356E">
            <w:pPr>
              <w:rPr>
                <w:bCs/>
                <w:color w:val="000000"/>
                <w:sz w:val="18"/>
                <w:szCs w:val="18"/>
                <w:lang w:eastAsia="en-AU"/>
              </w:rPr>
            </w:pPr>
            <w:r w:rsidRPr="00C10545">
              <w:rPr>
                <w:bCs/>
                <w:color w:val="000000"/>
                <w:sz w:val="18"/>
                <w:szCs w:val="18"/>
                <w:lang w:eastAsia="en-AU"/>
              </w:rPr>
              <w:t>PAGs Core</w:t>
            </w:r>
          </w:p>
        </w:tc>
        <w:tc>
          <w:tcPr>
            <w:tcW w:w="1033" w:type="pct"/>
            <w:tcBorders>
              <w:top w:val="nil"/>
              <w:left w:val="nil"/>
              <w:bottom w:val="single" w:sz="4" w:space="0" w:color="auto"/>
              <w:right w:val="single" w:sz="4" w:space="0" w:color="auto"/>
            </w:tcBorders>
            <w:shd w:val="clear" w:color="auto" w:fill="auto"/>
            <w:noWrap/>
            <w:vAlign w:val="bottom"/>
            <w:hideMark/>
          </w:tcPr>
          <w:p w14:paraId="4E3DF15B" w14:textId="78D0CBFF" w:rsidR="009A356E" w:rsidRPr="00C10545" w:rsidRDefault="009A356E" w:rsidP="009A356E">
            <w:pPr>
              <w:rPr>
                <w:color w:val="000000"/>
                <w:sz w:val="18"/>
                <w:szCs w:val="18"/>
                <w:lang w:eastAsia="en-AU"/>
              </w:rPr>
            </w:pPr>
            <w:r w:rsidRPr="00C10545">
              <w:rPr>
                <w:color w:val="000000"/>
                <w:sz w:val="18"/>
                <w:szCs w:val="18"/>
                <w:lang w:eastAsia="en-AU"/>
              </w:rPr>
              <w:t xml:space="preserve">0.58 </w:t>
            </w:r>
          </w:p>
        </w:tc>
        <w:tc>
          <w:tcPr>
            <w:tcW w:w="1098" w:type="pct"/>
            <w:tcBorders>
              <w:top w:val="nil"/>
              <w:left w:val="nil"/>
              <w:bottom w:val="single" w:sz="4" w:space="0" w:color="auto"/>
              <w:right w:val="single" w:sz="4" w:space="0" w:color="auto"/>
            </w:tcBorders>
            <w:shd w:val="clear" w:color="auto" w:fill="auto"/>
            <w:noWrap/>
            <w:vAlign w:val="bottom"/>
            <w:hideMark/>
          </w:tcPr>
          <w:p w14:paraId="3961100B" w14:textId="7EDBB1F4" w:rsidR="009A356E" w:rsidRPr="00C10545" w:rsidRDefault="009A356E" w:rsidP="009A356E">
            <w:pPr>
              <w:rPr>
                <w:color w:val="000000"/>
                <w:sz w:val="18"/>
                <w:szCs w:val="18"/>
                <w:lang w:eastAsia="en-AU"/>
              </w:rPr>
            </w:pPr>
            <w:r w:rsidRPr="00C10545">
              <w:rPr>
                <w:color w:val="000000"/>
                <w:sz w:val="18"/>
                <w:szCs w:val="18"/>
                <w:lang w:eastAsia="en-AU"/>
              </w:rPr>
              <w:t xml:space="preserve">10.85 </w:t>
            </w:r>
          </w:p>
        </w:tc>
        <w:tc>
          <w:tcPr>
            <w:tcW w:w="974" w:type="pct"/>
            <w:tcBorders>
              <w:top w:val="nil"/>
              <w:left w:val="nil"/>
              <w:bottom w:val="single" w:sz="4" w:space="0" w:color="auto"/>
              <w:right w:val="single" w:sz="4" w:space="0" w:color="auto"/>
            </w:tcBorders>
            <w:shd w:val="clear" w:color="auto" w:fill="auto"/>
            <w:noWrap/>
            <w:vAlign w:val="bottom"/>
            <w:hideMark/>
          </w:tcPr>
          <w:p w14:paraId="5BB1439F" w14:textId="48EA6671" w:rsidR="009A356E" w:rsidRPr="00C10545" w:rsidRDefault="009A356E" w:rsidP="009A356E">
            <w:pPr>
              <w:rPr>
                <w:color w:val="000000"/>
                <w:sz w:val="18"/>
                <w:szCs w:val="18"/>
                <w:lang w:eastAsia="en-AU"/>
              </w:rPr>
            </w:pPr>
            <w:r w:rsidRPr="00C10545">
              <w:rPr>
                <w:color w:val="000000"/>
                <w:sz w:val="18"/>
                <w:szCs w:val="18"/>
                <w:lang w:eastAsia="en-AU"/>
              </w:rPr>
              <w:t xml:space="preserve">7.37 </w:t>
            </w:r>
          </w:p>
        </w:tc>
        <w:tc>
          <w:tcPr>
            <w:tcW w:w="961" w:type="pct"/>
            <w:tcBorders>
              <w:top w:val="nil"/>
              <w:left w:val="nil"/>
              <w:bottom w:val="single" w:sz="4" w:space="0" w:color="auto"/>
              <w:right w:val="single" w:sz="4" w:space="0" w:color="auto"/>
            </w:tcBorders>
            <w:shd w:val="clear" w:color="auto" w:fill="auto"/>
            <w:noWrap/>
            <w:vAlign w:val="bottom"/>
            <w:hideMark/>
          </w:tcPr>
          <w:p w14:paraId="3A7C0B7F" w14:textId="77777777" w:rsidR="009A356E" w:rsidRPr="00C10545" w:rsidRDefault="009A356E" w:rsidP="009A356E">
            <w:pPr>
              <w:jc w:val="center"/>
              <w:rPr>
                <w:color w:val="000000"/>
                <w:sz w:val="18"/>
                <w:szCs w:val="18"/>
                <w:lang w:eastAsia="en-AU"/>
              </w:rPr>
            </w:pPr>
            <w:r w:rsidRPr="00C10545">
              <w:rPr>
                <w:color w:val="000000"/>
                <w:sz w:val="18"/>
                <w:szCs w:val="18"/>
                <w:lang w:eastAsia="en-AU"/>
              </w:rPr>
              <w:t>- 3.48</w:t>
            </w:r>
          </w:p>
        </w:tc>
      </w:tr>
      <w:tr w:rsidR="009A356E" w:rsidRPr="003C1378" w14:paraId="5C2A38F6" w14:textId="77777777" w:rsidTr="009A356E">
        <w:trPr>
          <w:trHeight w:val="300"/>
        </w:trPr>
        <w:tc>
          <w:tcPr>
            <w:tcW w:w="934" w:type="pct"/>
            <w:tcBorders>
              <w:top w:val="nil"/>
              <w:left w:val="single" w:sz="4" w:space="0" w:color="auto"/>
              <w:bottom w:val="single" w:sz="4" w:space="0" w:color="auto"/>
              <w:right w:val="single" w:sz="4" w:space="0" w:color="auto"/>
            </w:tcBorders>
            <w:shd w:val="clear" w:color="auto" w:fill="auto"/>
            <w:noWrap/>
            <w:vAlign w:val="bottom"/>
            <w:hideMark/>
          </w:tcPr>
          <w:p w14:paraId="62CDE9BA" w14:textId="77777777" w:rsidR="009A356E" w:rsidRPr="00C10545" w:rsidRDefault="009A356E" w:rsidP="009A356E">
            <w:pPr>
              <w:rPr>
                <w:bCs/>
                <w:color w:val="000000"/>
                <w:sz w:val="18"/>
                <w:szCs w:val="18"/>
                <w:lang w:eastAsia="en-AU"/>
              </w:rPr>
            </w:pPr>
            <w:r w:rsidRPr="00C10545">
              <w:rPr>
                <w:bCs/>
                <w:color w:val="000000"/>
                <w:sz w:val="18"/>
                <w:szCs w:val="18"/>
                <w:lang w:eastAsia="en-AU"/>
              </w:rPr>
              <w:t>PAGs High</w:t>
            </w:r>
          </w:p>
        </w:tc>
        <w:tc>
          <w:tcPr>
            <w:tcW w:w="1033" w:type="pct"/>
            <w:tcBorders>
              <w:top w:val="nil"/>
              <w:left w:val="nil"/>
              <w:bottom w:val="single" w:sz="4" w:space="0" w:color="auto"/>
              <w:right w:val="single" w:sz="4" w:space="0" w:color="auto"/>
            </w:tcBorders>
            <w:shd w:val="clear" w:color="auto" w:fill="auto"/>
            <w:noWrap/>
            <w:vAlign w:val="bottom"/>
            <w:hideMark/>
          </w:tcPr>
          <w:p w14:paraId="108C7544" w14:textId="4D802AB2" w:rsidR="009A356E" w:rsidRPr="00C10545" w:rsidRDefault="009A356E" w:rsidP="009A356E">
            <w:pPr>
              <w:rPr>
                <w:color w:val="000000"/>
                <w:sz w:val="18"/>
                <w:szCs w:val="18"/>
                <w:lang w:eastAsia="en-AU"/>
              </w:rPr>
            </w:pPr>
            <w:r w:rsidRPr="00C10545">
              <w:rPr>
                <w:color w:val="000000"/>
                <w:sz w:val="18"/>
                <w:szCs w:val="18"/>
                <w:lang w:eastAsia="en-AU"/>
              </w:rPr>
              <w:t xml:space="preserve">0.42 </w:t>
            </w:r>
          </w:p>
        </w:tc>
        <w:tc>
          <w:tcPr>
            <w:tcW w:w="1098" w:type="pct"/>
            <w:tcBorders>
              <w:top w:val="nil"/>
              <w:left w:val="nil"/>
              <w:bottom w:val="single" w:sz="4" w:space="0" w:color="auto"/>
              <w:right w:val="single" w:sz="4" w:space="0" w:color="auto"/>
            </w:tcBorders>
            <w:shd w:val="clear" w:color="auto" w:fill="auto"/>
            <w:noWrap/>
            <w:vAlign w:val="bottom"/>
            <w:hideMark/>
          </w:tcPr>
          <w:p w14:paraId="777B6C5E" w14:textId="150AC24B" w:rsidR="009A356E" w:rsidRPr="00C10545" w:rsidRDefault="009A356E" w:rsidP="009A356E">
            <w:pPr>
              <w:rPr>
                <w:color w:val="000000"/>
                <w:sz w:val="18"/>
                <w:szCs w:val="18"/>
                <w:lang w:eastAsia="en-AU"/>
              </w:rPr>
            </w:pPr>
            <w:r w:rsidRPr="00C10545">
              <w:rPr>
                <w:color w:val="000000"/>
                <w:sz w:val="18"/>
                <w:szCs w:val="18"/>
                <w:lang w:eastAsia="en-AU"/>
              </w:rPr>
              <w:t xml:space="preserve">8.86 </w:t>
            </w:r>
          </w:p>
        </w:tc>
        <w:tc>
          <w:tcPr>
            <w:tcW w:w="974" w:type="pct"/>
            <w:tcBorders>
              <w:top w:val="nil"/>
              <w:left w:val="nil"/>
              <w:bottom w:val="single" w:sz="4" w:space="0" w:color="auto"/>
              <w:right w:val="single" w:sz="4" w:space="0" w:color="auto"/>
            </w:tcBorders>
            <w:shd w:val="clear" w:color="auto" w:fill="auto"/>
            <w:noWrap/>
            <w:vAlign w:val="bottom"/>
            <w:hideMark/>
          </w:tcPr>
          <w:p w14:paraId="54F95AF7" w14:textId="40D38809" w:rsidR="009A356E" w:rsidRPr="00C10545" w:rsidRDefault="009A356E" w:rsidP="009A356E">
            <w:pPr>
              <w:rPr>
                <w:color w:val="000000"/>
                <w:sz w:val="18"/>
                <w:szCs w:val="18"/>
                <w:lang w:eastAsia="en-AU"/>
              </w:rPr>
            </w:pPr>
            <w:r w:rsidRPr="00C10545">
              <w:rPr>
                <w:color w:val="000000"/>
                <w:sz w:val="18"/>
                <w:szCs w:val="18"/>
                <w:lang w:eastAsia="en-AU"/>
              </w:rPr>
              <w:t xml:space="preserve">7.54 </w:t>
            </w:r>
          </w:p>
        </w:tc>
        <w:tc>
          <w:tcPr>
            <w:tcW w:w="961" w:type="pct"/>
            <w:tcBorders>
              <w:top w:val="nil"/>
              <w:left w:val="nil"/>
              <w:bottom w:val="single" w:sz="4" w:space="0" w:color="auto"/>
              <w:right w:val="single" w:sz="4" w:space="0" w:color="auto"/>
            </w:tcBorders>
            <w:shd w:val="clear" w:color="auto" w:fill="auto"/>
            <w:noWrap/>
            <w:vAlign w:val="bottom"/>
            <w:hideMark/>
          </w:tcPr>
          <w:p w14:paraId="7D23A97E" w14:textId="77777777" w:rsidR="009A356E" w:rsidRPr="00C10545" w:rsidRDefault="009A356E" w:rsidP="009A356E">
            <w:pPr>
              <w:jc w:val="center"/>
              <w:rPr>
                <w:color w:val="000000"/>
                <w:sz w:val="18"/>
                <w:szCs w:val="18"/>
                <w:lang w:eastAsia="en-AU"/>
              </w:rPr>
            </w:pPr>
            <w:r w:rsidRPr="00C10545">
              <w:rPr>
                <w:color w:val="000000"/>
                <w:sz w:val="18"/>
                <w:szCs w:val="18"/>
                <w:lang w:eastAsia="en-AU"/>
              </w:rPr>
              <w:t>- 1.32</w:t>
            </w:r>
          </w:p>
        </w:tc>
      </w:tr>
      <w:tr w:rsidR="009A356E" w:rsidRPr="003C1378" w14:paraId="3558B9C7" w14:textId="77777777" w:rsidTr="009A356E">
        <w:trPr>
          <w:trHeight w:val="300"/>
        </w:trPr>
        <w:tc>
          <w:tcPr>
            <w:tcW w:w="934" w:type="pct"/>
            <w:tcBorders>
              <w:top w:val="nil"/>
              <w:left w:val="single" w:sz="4" w:space="0" w:color="auto"/>
              <w:bottom w:val="single" w:sz="4" w:space="0" w:color="auto"/>
              <w:right w:val="single" w:sz="4" w:space="0" w:color="auto"/>
            </w:tcBorders>
            <w:shd w:val="clear" w:color="auto" w:fill="auto"/>
            <w:noWrap/>
            <w:vAlign w:val="bottom"/>
            <w:hideMark/>
          </w:tcPr>
          <w:p w14:paraId="5AD82EAD" w14:textId="77777777" w:rsidR="009A356E" w:rsidRPr="00C10545" w:rsidRDefault="009A356E" w:rsidP="009A356E">
            <w:pPr>
              <w:rPr>
                <w:bCs/>
                <w:color w:val="000000"/>
                <w:sz w:val="18"/>
                <w:szCs w:val="18"/>
                <w:lang w:eastAsia="en-AU"/>
              </w:rPr>
            </w:pPr>
            <w:r w:rsidRPr="00C10545">
              <w:rPr>
                <w:bCs/>
                <w:color w:val="000000"/>
                <w:sz w:val="18"/>
                <w:szCs w:val="18"/>
                <w:lang w:eastAsia="en-AU"/>
              </w:rPr>
              <w:t>Assessment</w:t>
            </w:r>
          </w:p>
        </w:tc>
        <w:tc>
          <w:tcPr>
            <w:tcW w:w="1033" w:type="pct"/>
            <w:tcBorders>
              <w:top w:val="nil"/>
              <w:left w:val="nil"/>
              <w:bottom w:val="single" w:sz="4" w:space="0" w:color="auto"/>
              <w:right w:val="single" w:sz="4" w:space="0" w:color="auto"/>
            </w:tcBorders>
            <w:shd w:val="clear" w:color="auto" w:fill="auto"/>
            <w:noWrap/>
            <w:vAlign w:val="bottom"/>
            <w:hideMark/>
          </w:tcPr>
          <w:p w14:paraId="32837F9C" w14:textId="5D038249" w:rsidR="009A356E" w:rsidRPr="00C10545" w:rsidRDefault="009A356E" w:rsidP="009A356E">
            <w:pPr>
              <w:rPr>
                <w:color w:val="000000"/>
                <w:sz w:val="18"/>
                <w:szCs w:val="18"/>
                <w:lang w:eastAsia="en-AU"/>
              </w:rPr>
            </w:pPr>
            <w:r w:rsidRPr="00C10545">
              <w:rPr>
                <w:color w:val="000000"/>
                <w:sz w:val="18"/>
                <w:szCs w:val="18"/>
                <w:lang w:eastAsia="en-AU"/>
              </w:rPr>
              <w:t xml:space="preserve">0.37 </w:t>
            </w:r>
          </w:p>
        </w:tc>
        <w:tc>
          <w:tcPr>
            <w:tcW w:w="1098" w:type="pct"/>
            <w:tcBorders>
              <w:top w:val="nil"/>
              <w:left w:val="nil"/>
              <w:bottom w:val="single" w:sz="4" w:space="0" w:color="auto"/>
              <w:right w:val="single" w:sz="4" w:space="0" w:color="auto"/>
            </w:tcBorders>
            <w:shd w:val="clear" w:color="auto" w:fill="auto"/>
            <w:noWrap/>
            <w:vAlign w:val="bottom"/>
            <w:hideMark/>
          </w:tcPr>
          <w:p w14:paraId="79C35890" w14:textId="011D1ADF" w:rsidR="009A356E" w:rsidRPr="00C10545" w:rsidRDefault="009A356E" w:rsidP="009A356E">
            <w:pPr>
              <w:rPr>
                <w:color w:val="000000"/>
                <w:sz w:val="18"/>
                <w:szCs w:val="18"/>
                <w:lang w:eastAsia="en-AU"/>
              </w:rPr>
            </w:pPr>
            <w:r w:rsidRPr="00C10545">
              <w:rPr>
                <w:color w:val="000000"/>
                <w:sz w:val="18"/>
                <w:szCs w:val="18"/>
                <w:lang w:eastAsia="en-AU"/>
              </w:rPr>
              <w:t xml:space="preserve">27.06 </w:t>
            </w:r>
          </w:p>
        </w:tc>
        <w:tc>
          <w:tcPr>
            <w:tcW w:w="974" w:type="pct"/>
            <w:tcBorders>
              <w:top w:val="nil"/>
              <w:left w:val="nil"/>
              <w:bottom w:val="single" w:sz="4" w:space="0" w:color="auto"/>
              <w:right w:val="single" w:sz="4" w:space="0" w:color="auto"/>
            </w:tcBorders>
            <w:shd w:val="clear" w:color="auto" w:fill="auto"/>
            <w:noWrap/>
            <w:vAlign w:val="bottom"/>
            <w:hideMark/>
          </w:tcPr>
          <w:p w14:paraId="562984CC" w14:textId="46111092" w:rsidR="009A356E" w:rsidRPr="00C10545" w:rsidRDefault="009A356E" w:rsidP="009A356E">
            <w:pPr>
              <w:rPr>
                <w:color w:val="000000"/>
                <w:sz w:val="18"/>
                <w:szCs w:val="18"/>
                <w:lang w:eastAsia="en-AU"/>
              </w:rPr>
            </w:pPr>
            <w:r w:rsidRPr="00C10545">
              <w:rPr>
                <w:color w:val="000000"/>
                <w:sz w:val="18"/>
                <w:szCs w:val="18"/>
                <w:lang w:eastAsia="en-AU"/>
              </w:rPr>
              <w:t xml:space="preserve">32.71 </w:t>
            </w:r>
          </w:p>
        </w:tc>
        <w:tc>
          <w:tcPr>
            <w:tcW w:w="961" w:type="pct"/>
            <w:tcBorders>
              <w:top w:val="nil"/>
              <w:left w:val="nil"/>
              <w:bottom w:val="single" w:sz="4" w:space="0" w:color="auto"/>
              <w:right w:val="single" w:sz="4" w:space="0" w:color="auto"/>
            </w:tcBorders>
            <w:shd w:val="clear" w:color="auto" w:fill="auto"/>
            <w:noWrap/>
            <w:vAlign w:val="bottom"/>
            <w:hideMark/>
          </w:tcPr>
          <w:p w14:paraId="11D862F3" w14:textId="77777777" w:rsidR="009A356E" w:rsidRPr="00C10545" w:rsidRDefault="009A356E" w:rsidP="009A356E">
            <w:pPr>
              <w:jc w:val="center"/>
              <w:rPr>
                <w:color w:val="000000"/>
                <w:sz w:val="18"/>
                <w:szCs w:val="18"/>
                <w:lang w:eastAsia="en-AU"/>
              </w:rPr>
            </w:pPr>
            <w:r w:rsidRPr="00C10545">
              <w:rPr>
                <w:color w:val="000000"/>
                <w:sz w:val="18"/>
                <w:szCs w:val="18"/>
                <w:lang w:eastAsia="en-AU"/>
              </w:rPr>
              <w:t>5.65</w:t>
            </w:r>
          </w:p>
        </w:tc>
      </w:tr>
      <w:tr w:rsidR="009A356E" w:rsidRPr="003C1378" w14:paraId="353F0E44" w14:textId="77777777" w:rsidTr="009A356E">
        <w:trPr>
          <w:trHeight w:val="300"/>
        </w:trPr>
        <w:tc>
          <w:tcPr>
            <w:tcW w:w="934" w:type="pct"/>
            <w:tcBorders>
              <w:top w:val="nil"/>
              <w:left w:val="single" w:sz="4" w:space="0" w:color="auto"/>
              <w:bottom w:val="single" w:sz="4" w:space="0" w:color="auto"/>
              <w:right w:val="single" w:sz="4" w:space="0" w:color="auto"/>
            </w:tcBorders>
            <w:shd w:val="clear" w:color="000000" w:fill="000000"/>
            <w:noWrap/>
            <w:vAlign w:val="bottom"/>
            <w:hideMark/>
          </w:tcPr>
          <w:p w14:paraId="27DBD54C" w14:textId="77777777" w:rsidR="009A356E" w:rsidRPr="00C10545" w:rsidRDefault="009A356E" w:rsidP="009A356E">
            <w:pPr>
              <w:rPr>
                <w:color w:val="000000"/>
                <w:sz w:val="18"/>
                <w:szCs w:val="18"/>
                <w:lang w:eastAsia="en-AU"/>
              </w:rPr>
            </w:pPr>
            <w:r w:rsidRPr="00C10545">
              <w:rPr>
                <w:color w:val="000000"/>
                <w:sz w:val="18"/>
                <w:szCs w:val="18"/>
                <w:lang w:eastAsia="en-AU"/>
              </w:rPr>
              <w:t> </w:t>
            </w:r>
          </w:p>
        </w:tc>
        <w:tc>
          <w:tcPr>
            <w:tcW w:w="1033" w:type="pct"/>
            <w:tcBorders>
              <w:top w:val="nil"/>
              <w:left w:val="nil"/>
              <w:bottom w:val="single" w:sz="4" w:space="0" w:color="auto"/>
              <w:right w:val="single" w:sz="4" w:space="0" w:color="auto"/>
            </w:tcBorders>
            <w:shd w:val="clear" w:color="000000" w:fill="000000"/>
            <w:noWrap/>
            <w:vAlign w:val="bottom"/>
            <w:hideMark/>
          </w:tcPr>
          <w:p w14:paraId="37927B75" w14:textId="77777777" w:rsidR="009A356E" w:rsidRPr="00C10545" w:rsidRDefault="009A356E" w:rsidP="009A356E">
            <w:pPr>
              <w:rPr>
                <w:color w:val="000000"/>
                <w:sz w:val="18"/>
                <w:szCs w:val="18"/>
                <w:lang w:eastAsia="en-AU"/>
              </w:rPr>
            </w:pPr>
            <w:r w:rsidRPr="00C10545">
              <w:rPr>
                <w:color w:val="000000"/>
                <w:sz w:val="18"/>
                <w:szCs w:val="18"/>
                <w:lang w:eastAsia="en-AU"/>
              </w:rPr>
              <w:t> </w:t>
            </w:r>
          </w:p>
        </w:tc>
        <w:tc>
          <w:tcPr>
            <w:tcW w:w="1098" w:type="pct"/>
            <w:tcBorders>
              <w:top w:val="nil"/>
              <w:left w:val="nil"/>
              <w:bottom w:val="single" w:sz="4" w:space="0" w:color="auto"/>
              <w:right w:val="single" w:sz="4" w:space="0" w:color="auto"/>
            </w:tcBorders>
            <w:shd w:val="clear" w:color="000000" w:fill="000000"/>
            <w:noWrap/>
            <w:vAlign w:val="bottom"/>
            <w:hideMark/>
          </w:tcPr>
          <w:p w14:paraId="09970FD9" w14:textId="77777777" w:rsidR="009A356E" w:rsidRPr="00C10545" w:rsidRDefault="009A356E" w:rsidP="009A356E">
            <w:pPr>
              <w:rPr>
                <w:color w:val="000000"/>
                <w:sz w:val="18"/>
                <w:szCs w:val="18"/>
                <w:lang w:eastAsia="en-AU"/>
              </w:rPr>
            </w:pPr>
            <w:r w:rsidRPr="00C10545">
              <w:rPr>
                <w:color w:val="000000"/>
                <w:sz w:val="18"/>
                <w:szCs w:val="18"/>
                <w:lang w:eastAsia="en-AU"/>
              </w:rPr>
              <w:t> </w:t>
            </w:r>
          </w:p>
        </w:tc>
        <w:tc>
          <w:tcPr>
            <w:tcW w:w="974" w:type="pct"/>
            <w:tcBorders>
              <w:top w:val="nil"/>
              <w:left w:val="nil"/>
              <w:bottom w:val="single" w:sz="4" w:space="0" w:color="auto"/>
              <w:right w:val="single" w:sz="4" w:space="0" w:color="auto"/>
            </w:tcBorders>
            <w:shd w:val="clear" w:color="000000" w:fill="000000"/>
            <w:noWrap/>
            <w:vAlign w:val="bottom"/>
            <w:hideMark/>
          </w:tcPr>
          <w:p w14:paraId="0347B13B" w14:textId="77777777" w:rsidR="009A356E" w:rsidRPr="00C10545" w:rsidRDefault="009A356E" w:rsidP="009A356E">
            <w:pPr>
              <w:rPr>
                <w:color w:val="000000"/>
                <w:sz w:val="18"/>
                <w:szCs w:val="18"/>
                <w:lang w:eastAsia="en-AU"/>
              </w:rPr>
            </w:pPr>
            <w:r w:rsidRPr="00C10545">
              <w:rPr>
                <w:color w:val="000000"/>
                <w:sz w:val="18"/>
                <w:szCs w:val="18"/>
                <w:lang w:eastAsia="en-AU"/>
              </w:rPr>
              <w:t> </w:t>
            </w:r>
          </w:p>
        </w:tc>
        <w:tc>
          <w:tcPr>
            <w:tcW w:w="961" w:type="pct"/>
            <w:tcBorders>
              <w:top w:val="nil"/>
              <w:left w:val="nil"/>
              <w:bottom w:val="single" w:sz="4" w:space="0" w:color="auto"/>
              <w:right w:val="single" w:sz="4" w:space="0" w:color="auto"/>
            </w:tcBorders>
            <w:shd w:val="clear" w:color="auto" w:fill="auto"/>
            <w:noWrap/>
            <w:vAlign w:val="bottom"/>
            <w:hideMark/>
          </w:tcPr>
          <w:p w14:paraId="7066DD27" w14:textId="77777777" w:rsidR="009A356E" w:rsidRPr="00C10545" w:rsidRDefault="009A356E" w:rsidP="009A356E">
            <w:pPr>
              <w:jc w:val="center"/>
              <w:rPr>
                <w:color w:val="000000"/>
                <w:sz w:val="18"/>
                <w:szCs w:val="18"/>
                <w:lang w:eastAsia="en-AU"/>
              </w:rPr>
            </w:pPr>
            <w:r w:rsidRPr="00C10545">
              <w:rPr>
                <w:color w:val="000000"/>
                <w:sz w:val="18"/>
                <w:szCs w:val="18"/>
                <w:lang w:eastAsia="en-AU"/>
              </w:rPr>
              <w:t>- 174.49</w:t>
            </w:r>
          </w:p>
        </w:tc>
      </w:tr>
      <w:tr w:rsidR="009A356E" w:rsidRPr="003C1378" w14:paraId="25060C82" w14:textId="77777777" w:rsidTr="009A356E">
        <w:trPr>
          <w:trHeight w:val="300"/>
        </w:trPr>
        <w:tc>
          <w:tcPr>
            <w:tcW w:w="934" w:type="pct"/>
            <w:tcBorders>
              <w:top w:val="nil"/>
              <w:left w:val="single" w:sz="4" w:space="0" w:color="auto"/>
              <w:bottom w:val="single" w:sz="4" w:space="0" w:color="auto"/>
              <w:right w:val="single" w:sz="4" w:space="0" w:color="auto"/>
            </w:tcBorders>
            <w:shd w:val="clear" w:color="auto" w:fill="auto"/>
            <w:noWrap/>
            <w:vAlign w:val="bottom"/>
            <w:hideMark/>
          </w:tcPr>
          <w:p w14:paraId="4F132317" w14:textId="77777777" w:rsidR="009A356E" w:rsidRPr="00C10545" w:rsidRDefault="009A356E" w:rsidP="009A356E">
            <w:pPr>
              <w:rPr>
                <w:bCs/>
                <w:color w:val="000000"/>
                <w:sz w:val="18"/>
                <w:szCs w:val="18"/>
                <w:lang w:eastAsia="en-AU"/>
              </w:rPr>
            </w:pPr>
            <w:r w:rsidRPr="00C10545">
              <w:rPr>
                <w:bCs/>
                <w:color w:val="000000"/>
                <w:sz w:val="18"/>
                <w:szCs w:val="18"/>
                <w:lang w:eastAsia="en-AU"/>
              </w:rPr>
              <w:t>SSR</w:t>
            </w:r>
          </w:p>
        </w:tc>
        <w:tc>
          <w:tcPr>
            <w:tcW w:w="1033" w:type="pct"/>
            <w:tcBorders>
              <w:top w:val="nil"/>
              <w:left w:val="nil"/>
              <w:bottom w:val="single" w:sz="4" w:space="0" w:color="auto"/>
              <w:right w:val="single" w:sz="4" w:space="0" w:color="auto"/>
            </w:tcBorders>
            <w:shd w:val="clear" w:color="000000" w:fill="000000"/>
            <w:noWrap/>
            <w:vAlign w:val="bottom"/>
            <w:hideMark/>
          </w:tcPr>
          <w:p w14:paraId="2C3601C6" w14:textId="77777777" w:rsidR="009A356E" w:rsidRPr="00C10545" w:rsidRDefault="009A356E" w:rsidP="009A356E">
            <w:pPr>
              <w:rPr>
                <w:color w:val="000000"/>
                <w:sz w:val="18"/>
                <w:szCs w:val="18"/>
                <w:lang w:eastAsia="en-AU"/>
              </w:rPr>
            </w:pPr>
            <w:r w:rsidRPr="00C10545">
              <w:rPr>
                <w:color w:val="000000"/>
                <w:sz w:val="18"/>
                <w:szCs w:val="18"/>
                <w:lang w:eastAsia="en-AU"/>
              </w:rPr>
              <w:t> </w:t>
            </w:r>
          </w:p>
        </w:tc>
        <w:tc>
          <w:tcPr>
            <w:tcW w:w="1098" w:type="pct"/>
            <w:tcBorders>
              <w:top w:val="nil"/>
              <w:left w:val="nil"/>
              <w:bottom w:val="single" w:sz="4" w:space="0" w:color="auto"/>
              <w:right w:val="single" w:sz="4" w:space="0" w:color="auto"/>
            </w:tcBorders>
            <w:shd w:val="clear" w:color="000000" w:fill="000000"/>
            <w:noWrap/>
            <w:vAlign w:val="bottom"/>
            <w:hideMark/>
          </w:tcPr>
          <w:p w14:paraId="2EEEC94B" w14:textId="77777777" w:rsidR="009A356E" w:rsidRPr="00C10545" w:rsidRDefault="009A356E" w:rsidP="009A356E">
            <w:pPr>
              <w:rPr>
                <w:color w:val="000000"/>
                <w:sz w:val="18"/>
                <w:szCs w:val="18"/>
                <w:lang w:eastAsia="en-AU"/>
              </w:rPr>
            </w:pPr>
            <w:r w:rsidRPr="00C10545">
              <w:rPr>
                <w:color w:val="000000"/>
                <w:sz w:val="18"/>
                <w:szCs w:val="18"/>
                <w:lang w:eastAsia="en-AU"/>
              </w:rPr>
              <w:t> </w:t>
            </w:r>
          </w:p>
        </w:tc>
        <w:tc>
          <w:tcPr>
            <w:tcW w:w="974" w:type="pct"/>
            <w:tcBorders>
              <w:top w:val="nil"/>
              <w:left w:val="nil"/>
              <w:bottom w:val="single" w:sz="4" w:space="0" w:color="auto"/>
              <w:right w:val="single" w:sz="4" w:space="0" w:color="auto"/>
            </w:tcBorders>
            <w:shd w:val="clear" w:color="000000" w:fill="000000"/>
            <w:noWrap/>
            <w:vAlign w:val="bottom"/>
            <w:hideMark/>
          </w:tcPr>
          <w:p w14:paraId="19AD1D36" w14:textId="77777777" w:rsidR="009A356E" w:rsidRPr="00C10545" w:rsidRDefault="009A356E" w:rsidP="009A356E">
            <w:pPr>
              <w:rPr>
                <w:color w:val="000000"/>
                <w:sz w:val="18"/>
                <w:szCs w:val="18"/>
                <w:lang w:eastAsia="en-AU"/>
              </w:rPr>
            </w:pPr>
            <w:r w:rsidRPr="00C10545">
              <w:rPr>
                <w:color w:val="000000"/>
                <w:sz w:val="18"/>
                <w:szCs w:val="18"/>
                <w:lang w:eastAsia="en-AU"/>
              </w:rPr>
              <w:t> </w:t>
            </w:r>
          </w:p>
        </w:tc>
        <w:tc>
          <w:tcPr>
            <w:tcW w:w="961" w:type="pct"/>
            <w:tcBorders>
              <w:top w:val="nil"/>
              <w:left w:val="nil"/>
              <w:bottom w:val="single" w:sz="4" w:space="0" w:color="auto"/>
              <w:right w:val="single" w:sz="4" w:space="0" w:color="auto"/>
            </w:tcBorders>
            <w:shd w:val="clear" w:color="auto" w:fill="auto"/>
            <w:noWrap/>
            <w:vAlign w:val="bottom"/>
            <w:hideMark/>
          </w:tcPr>
          <w:p w14:paraId="214667BA" w14:textId="77777777" w:rsidR="009A356E" w:rsidRPr="00C10545" w:rsidRDefault="009A356E" w:rsidP="009A356E">
            <w:pPr>
              <w:jc w:val="center"/>
              <w:rPr>
                <w:color w:val="000000"/>
                <w:sz w:val="18"/>
                <w:szCs w:val="18"/>
                <w:lang w:eastAsia="en-AU"/>
              </w:rPr>
            </w:pPr>
            <w:r w:rsidRPr="00C10545">
              <w:rPr>
                <w:color w:val="000000"/>
                <w:sz w:val="18"/>
                <w:szCs w:val="18"/>
                <w:lang w:eastAsia="en-AU"/>
              </w:rPr>
              <w:t>10.93</w:t>
            </w:r>
          </w:p>
        </w:tc>
      </w:tr>
      <w:tr w:rsidR="009A356E" w:rsidRPr="003C1378" w14:paraId="7EB37539" w14:textId="77777777" w:rsidTr="009A356E">
        <w:trPr>
          <w:trHeight w:val="300"/>
        </w:trPr>
        <w:tc>
          <w:tcPr>
            <w:tcW w:w="934" w:type="pct"/>
            <w:tcBorders>
              <w:top w:val="nil"/>
              <w:left w:val="single" w:sz="4" w:space="0" w:color="auto"/>
              <w:bottom w:val="single" w:sz="4" w:space="0" w:color="auto"/>
              <w:right w:val="single" w:sz="4" w:space="0" w:color="auto"/>
            </w:tcBorders>
            <w:shd w:val="clear" w:color="000000" w:fill="000000"/>
            <w:noWrap/>
            <w:vAlign w:val="bottom"/>
            <w:hideMark/>
          </w:tcPr>
          <w:p w14:paraId="741AAB12" w14:textId="77777777" w:rsidR="009A356E" w:rsidRPr="00C10545" w:rsidRDefault="009A356E" w:rsidP="009A356E">
            <w:pPr>
              <w:rPr>
                <w:color w:val="000000"/>
                <w:sz w:val="18"/>
                <w:szCs w:val="18"/>
                <w:lang w:eastAsia="en-AU"/>
              </w:rPr>
            </w:pPr>
            <w:r w:rsidRPr="00C10545">
              <w:rPr>
                <w:color w:val="000000"/>
                <w:sz w:val="18"/>
                <w:szCs w:val="18"/>
                <w:lang w:eastAsia="en-AU"/>
              </w:rPr>
              <w:t> </w:t>
            </w:r>
          </w:p>
        </w:tc>
        <w:tc>
          <w:tcPr>
            <w:tcW w:w="1033" w:type="pct"/>
            <w:tcBorders>
              <w:top w:val="nil"/>
              <w:left w:val="nil"/>
              <w:bottom w:val="single" w:sz="4" w:space="0" w:color="auto"/>
              <w:right w:val="single" w:sz="4" w:space="0" w:color="auto"/>
            </w:tcBorders>
            <w:shd w:val="clear" w:color="000000" w:fill="000000"/>
            <w:noWrap/>
            <w:vAlign w:val="bottom"/>
            <w:hideMark/>
          </w:tcPr>
          <w:p w14:paraId="3E21B532" w14:textId="77777777" w:rsidR="009A356E" w:rsidRPr="00C10545" w:rsidRDefault="009A356E" w:rsidP="009A356E">
            <w:pPr>
              <w:rPr>
                <w:color w:val="000000"/>
                <w:sz w:val="18"/>
                <w:szCs w:val="18"/>
                <w:lang w:eastAsia="en-AU"/>
              </w:rPr>
            </w:pPr>
            <w:r w:rsidRPr="00C10545">
              <w:rPr>
                <w:color w:val="000000"/>
                <w:sz w:val="18"/>
                <w:szCs w:val="18"/>
                <w:lang w:eastAsia="en-AU"/>
              </w:rPr>
              <w:t> </w:t>
            </w:r>
          </w:p>
        </w:tc>
        <w:tc>
          <w:tcPr>
            <w:tcW w:w="1098" w:type="pct"/>
            <w:tcBorders>
              <w:top w:val="nil"/>
              <w:left w:val="nil"/>
              <w:bottom w:val="single" w:sz="4" w:space="0" w:color="auto"/>
              <w:right w:val="single" w:sz="4" w:space="0" w:color="auto"/>
            </w:tcBorders>
            <w:shd w:val="clear" w:color="000000" w:fill="000000"/>
            <w:noWrap/>
            <w:vAlign w:val="bottom"/>
            <w:hideMark/>
          </w:tcPr>
          <w:p w14:paraId="2E3108F8" w14:textId="77777777" w:rsidR="009A356E" w:rsidRPr="00C10545" w:rsidRDefault="009A356E" w:rsidP="009A356E">
            <w:pPr>
              <w:rPr>
                <w:color w:val="000000"/>
                <w:sz w:val="18"/>
                <w:szCs w:val="18"/>
                <w:lang w:eastAsia="en-AU"/>
              </w:rPr>
            </w:pPr>
            <w:r w:rsidRPr="00C10545">
              <w:rPr>
                <w:color w:val="000000"/>
                <w:sz w:val="18"/>
                <w:szCs w:val="18"/>
                <w:lang w:eastAsia="en-AU"/>
              </w:rPr>
              <w:t> </w:t>
            </w:r>
          </w:p>
        </w:tc>
        <w:tc>
          <w:tcPr>
            <w:tcW w:w="974" w:type="pct"/>
            <w:tcBorders>
              <w:top w:val="nil"/>
              <w:left w:val="nil"/>
              <w:bottom w:val="single" w:sz="4" w:space="0" w:color="auto"/>
              <w:right w:val="single" w:sz="4" w:space="0" w:color="auto"/>
            </w:tcBorders>
            <w:shd w:val="clear" w:color="000000" w:fill="000000"/>
            <w:noWrap/>
            <w:vAlign w:val="bottom"/>
            <w:hideMark/>
          </w:tcPr>
          <w:p w14:paraId="2A31E8B6" w14:textId="77777777" w:rsidR="009A356E" w:rsidRPr="00C10545" w:rsidRDefault="009A356E" w:rsidP="009A356E">
            <w:pPr>
              <w:rPr>
                <w:color w:val="000000"/>
                <w:sz w:val="18"/>
                <w:szCs w:val="18"/>
                <w:lang w:eastAsia="en-AU"/>
              </w:rPr>
            </w:pPr>
            <w:r w:rsidRPr="00C10545">
              <w:rPr>
                <w:color w:val="000000"/>
                <w:sz w:val="18"/>
                <w:szCs w:val="18"/>
                <w:lang w:eastAsia="en-AU"/>
              </w:rPr>
              <w:t> </w:t>
            </w:r>
          </w:p>
        </w:tc>
        <w:tc>
          <w:tcPr>
            <w:tcW w:w="961" w:type="pct"/>
            <w:tcBorders>
              <w:top w:val="nil"/>
              <w:left w:val="nil"/>
              <w:bottom w:val="single" w:sz="4" w:space="0" w:color="auto"/>
              <w:right w:val="single" w:sz="4" w:space="0" w:color="auto"/>
            </w:tcBorders>
            <w:shd w:val="clear" w:color="auto" w:fill="auto"/>
            <w:noWrap/>
            <w:vAlign w:val="bottom"/>
            <w:hideMark/>
          </w:tcPr>
          <w:p w14:paraId="57B9670E" w14:textId="77777777" w:rsidR="009A356E" w:rsidRPr="00C10545" w:rsidRDefault="009A356E" w:rsidP="009A356E">
            <w:pPr>
              <w:jc w:val="center"/>
              <w:rPr>
                <w:color w:val="000000"/>
                <w:sz w:val="18"/>
                <w:szCs w:val="18"/>
                <w:lang w:eastAsia="en-AU"/>
              </w:rPr>
            </w:pPr>
            <w:r w:rsidRPr="00C10545">
              <w:rPr>
                <w:color w:val="000000"/>
                <w:sz w:val="18"/>
                <w:szCs w:val="18"/>
                <w:lang w:eastAsia="en-AU"/>
              </w:rPr>
              <w:t>- 163.56</w:t>
            </w:r>
          </w:p>
        </w:tc>
      </w:tr>
    </w:tbl>
    <w:p w14:paraId="45A5168D" w14:textId="77777777" w:rsidR="009A356E" w:rsidRDefault="009A356E" w:rsidP="009A356E"/>
    <w:p w14:paraId="695EE906" w14:textId="77777777" w:rsidR="009A356E" w:rsidRDefault="009A356E" w:rsidP="009A356E"/>
    <w:p w14:paraId="791E8828" w14:textId="10C0F927" w:rsidR="009A356E" w:rsidRDefault="009A356E" w:rsidP="009A356E">
      <w:r w:rsidRPr="00C46619">
        <w:t xml:space="preserve">The deficiency in </w:t>
      </w:r>
      <w:r w:rsidRPr="00572630">
        <w:rPr>
          <w:i/>
        </w:rPr>
        <w:t>output prices</w:t>
      </w:r>
      <w:r w:rsidRPr="00C46619">
        <w:t xml:space="preserve"> does not tell the </w:t>
      </w:r>
      <w:r>
        <w:t xml:space="preserve">whole </w:t>
      </w:r>
      <w:r w:rsidRPr="00C46619">
        <w:t xml:space="preserve">story. The extent of the shortfall in prices is impacted by the service volumes nominally purchased by the </w:t>
      </w:r>
      <w:proofErr w:type="spellStart"/>
      <w:r w:rsidRPr="00C46619">
        <w:t>DoH</w:t>
      </w:r>
      <w:proofErr w:type="spellEnd"/>
      <w:r w:rsidRPr="00C46619">
        <w:t>.</w:t>
      </w:r>
      <w:r>
        <w:t xml:space="preserve"> In effect, the output purchases by the </w:t>
      </w:r>
      <w:proofErr w:type="spellStart"/>
      <w:r>
        <w:t>DoH</w:t>
      </w:r>
      <w:proofErr w:type="spellEnd"/>
      <w:r>
        <w:t xml:space="preserve"> are better considered as quantum dollars since over-purchasing and under-supply of the nominal units purchased is common. For example, if the output price for a service is 20% below a council’s delivery cost but that council is funded for 15% more hours than it actually delivers, the actual dollar shortfall is reduced to 5%. Looked at another way, the actual output prices paid to individual councils may be materially different from the published output price.</w:t>
      </w:r>
    </w:p>
    <w:p w14:paraId="0F11185F" w14:textId="77777777" w:rsidR="00671FD6" w:rsidRDefault="00671FD6" w:rsidP="009A356E"/>
    <w:p w14:paraId="235A65D6" w14:textId="6BEF63A4" w:rsidR="009A356E" w:rsidRDefault="009A356E" w:rsidP="009A356E">
      <w:r>
        <w:t xml:space="preserve">When this is considered the data indicate that </w:t>
      </w:r>
      <w:proofErr w:type="spellStart"/>
      <w:r>
        <w:t>DoH</w:t>
      </w:r>
      <w:proofErr w:type="spellEnd"/>
      <w:r>
        <w:t xml:space="preserve"> funding accounts for between 51% and 81% of the cost of the units it supposedly purchases across all councils, with average and median values of 65%. On average, </w:t>
      </w:r>
      <w:proofErr w:type="spellStart"/>
      <w:r>
        <w:t>DoH</w:t>
      </w:r>
      <w:proofErr w:type="spellEnd"/>
      <w:r>
        <w:t xml:space="preserve"> funding accounts for 50% of total outlays on domestic assistance, personal care, respite and property maintenance.</w:t>
      </w:r>
    </w:p>
    <w:p w14:paraId="75CD9C3A" w14:textId="77777777" w:rsidR="00671FD6" w:rsidRDefault="00671FD6" w:rsidP="009A356E"/>
    <w:p w14:paraId="5E018D98" w14:textId="77777777" w:rsidR="009A356E" w:rsidRPr="00CB3038" w:rsidRDefault="009A356E" w:rsidP="009A356E">
      <w:pPr>
        <w:rPr>
          <w:b/>
          <w:sz w:val="20"/>
        </w:rPr>
      </w:pPr>
      <w:r w:rsidRPr="00CB3038">
        <w:rPr>
          <w:b/>
          <w:sz w:val="20"/>
        </w:rPr>
        <w:lastRenderedPageBreak/>
        <w:t>Table</w:t>
      </w:r>
      <w:r>
        <w:rPr>
          <w:b/>
          <w:sz w:val="20"/>
        </w:rPr>
        <w:t xml:space="preserve"> 15</w:t>
      </w:r>
      <w:r w:rsidRPr="00CB3038">
        <w:rPr>
          <w:b/>
          <w:sz w:val="20"/>
        </w:rPr>
        <w:t xml:space="preserve">: HACC Funding as % </w:t>
      </w:r>
      <w:r>
        <w:rPr>
          <w:b/>
          <w:sz w:val="20"/>
        </w:rPr>
        <w:t xml:space="preserve">Council </w:t>
      </w:r>
      <w:r w:rsidRPr="00CB3038">
        <w:rPr>
          <w:b/>
          <w:sz w:val="20"/>
        </w:rPr>
        <w:t>Cost 2013-14 – Selected Rural &amp; Regional Councils</w:t>
      </w:r>
    </w:p>
    <w:tbl>
      <w:tblPr>
        <w:tblW w:w="8887" w:type="dxa"/>
        <w:tblInd w:w="103" w:type="dxa"/>
        <w:tblLook w:val="04A0" w:firstRow="1" w:lastRow="0" w:firstColumn="1" w:lastColumn="0" w:noHBand="0" w:noVBand="1"/>
      </w:tblPr>
      <w:tblGrid>
        <w:gridCol w:w="1120"/>
        <w:gridCol w:w="727"/>
        <w:gridCol w:w="853"/>
        <w:gridCol w:w="853"/>
        <w:gridCol w:w="853"/>
        <w:gridCol w:w="727"/>
        <w:gridCol w:w="727"/>
        <w:gridCol w:w="727"/>
        <w:gridCol w:w="727"/>
        <w:gridCol w:w="872"/>
        <w:gridCol w:w="727"/>
      </w:tblGrid>
      <w:tr w:rsidR="009A356E" w:rsidRPr="00CB3038" w14:paraId="2D1FB57E" w14:textId="77777777" w:rsidTr="009A356E">
        <w:trPr>
          <w:trHeight w:val="300"/>
          <w:tblHeader/>
        </w:trPr>
        <w:tc>
          <w:tcPr>
            <w:tcW w:w="1120" w:type="dxa"/>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7CA1EBAA" w14:textId="77777777" w:rsidR="009A356E" w:rsidRPr="00C10545" w:rsidRDefault="009A356E" w:rsidP="009A356E">
            <w:pPr>
              <w:rPr>
                <w:b/>
                <w:bCs/>
                <w:color w:val="000000"/>
                <w:sz w:val="18"/>
                <w:szCs w:val="18"/>
                <w:lang w:eastAsia="en-AU"/>
              </w:rPr>
            </w:pPr>
            <w:r w:rsidRPr="00C10545">
              <w:rPr>
                <w:b/>
                <w:bCs/>
                <w:color w:val="000000"/>
                <w:sz w:val="18"/>
                <w:szCs w:val="18"/>
                <w:lang w:eastAsia="en-AU"/>
              </w:rPr>
              <w:t> </w:t>
            </w:r>
          </w:p>
        </w:tc>
        <w:tc>
          <w:tcPr>
            <w:tcW w:w="3987" w:type="dxa"/>
            <w:gridSpan w:val="5"/>
            <w:tcBorders>
              <w:top w:val="single" w:sz="4" w:space="0" w:color="auto"/>
              <w:left w:val="nil"/>
              <w:bottom w:val="single" w:sz="4" w:space="0" w:color="auto"/>
              <w:right w:val="single" w:sz="4" w:space="0" w:color="000000"/>
            </w:tcBorders>
            <w:shd w:val="clear" w:color="000000" w:fill="FCD5B4"/>
            <w:noWrap/>
            <w:vAlign w:val="bottom"/>
            <w:hideMark/>
          </w:tcPr>
          <w:p w14:paraId="6ADAC4BA" w14:textId="77777777" w:rsidR="009A356E" w:rsidRPr="00C10545" w:rsidRDefault="009A356E" w:rsidP="009A356E">
            <w:pPr>
              <w:jc w:val="center"/>
              <w:rPr>
                <w:b/>
                <w:bCs/>
                <w:color w:val="000000"/>
                <w:sz w:val="18"/>
                <w:szCs w:val="18"/>
                <w:lang w:eastAsia="en-AU"/>
              </w:rPr>
            </w:pPr>
            <w:r w:rsidRPr="00C10545">
              <w:rPr>
                <w:b/>
                <w:bCs/>
                <w:color w:val="000000"/>
                <w:sz w:val="18"/>
                <w:szCs w:val="18"/>
                <w:lang w:eastAsia="en-AU"/>
              </w:rPr>
              <w:t xml:space="preserve"> </w:t>
            </w:r>
            <w:proofErr w:type="spellStart"/>
            <w:r w:rsidRPr="00C10545">
              <w:rPr>
                <w:b/>
                <w:bCs/>
                <w:color w:val="000000"/>
                <w:sz w:val="18"/>
                <w:szCs w:val="18"/>
                <w:lang w:eastAsia="en-AU"/>
              </w:rPr>
              <w:t>DoH</w:t>
            </w:r>
            <w:proofErr w:type="spellEnd"/>
            <w:r w:rsidRPr="00C10545">
              <w:rPr>
                <w:b/>
                <w:bCs/>
                <w:color w:val="000000"/>
                <w:sz w:val="18"/>
                <w:szCs w:val="18"/>
                <w:lang w:eastAsia="en-AU"/>
              </w:rPr>
              <w:t xml:space="preserve"> Output Purchases as % Council Cost of </w:t>
            </w:r>
            <w:proofErr w:type="spellStart"/>
            <w:r w:rsidRPr="00C10545">
              <w:rPr>
                <w:b/>
                <w:bCs/>
                <w:color w:val="000000"/>
                <w:sz w:val="18"/>
                <w:szCs w:val="18"/>
                <w:lang w:eastAsia="en-AU"/>
              </w:rPr>
              <w:t>DoH</w:t>
            </w:r>
            <w:proofErr w:type="spellEnd"/>
            <w:r w:rsidRPr="00C10545">
              <w:rPr>
                <w:b/>
                <w:bCs/>
                <w:color w:val="000000"/>
                <w:sz w:val="18"/>
                <w:szCs w:val="18"/>
                <w:lang w:eastAsia="en-AU"/>
              </w:rPr>
              <w:t xml:space="preserve"> Related Units</w:t>
            </w:r>
          </w:p>
        </w:tc>
        <w:tc>
          <w:tcPr>
            <w:tcW w:w="378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65BA0A08" w14:textId="77777777" w:rsidR="009A356E" w:rsidRPr="00C10545" w:rsidRDefault="009A356E" w:rsidP="009A356E">
            <w:pPr>
              <w:jc w:val="center"/>
              <w:rPr>
                <w:b/>
                <w:bCs/>
                <w:color w:val="000000"/>
                <w:sz w:val="18"/>
                <w:szCs w:val="18"/>
                <w:lang w:eastAsia="en-AU"/>
              </w:rPr>
            </w:pPr>
            <w:proofErr w:type="spellStart"/>
            <w:r w:rsidRPr="00C10545">
              <w:rPr>
                <w:b/>
                <w:bCs/>
                <w:color w:val="000000"/>
                <w:sz w:val="18"/>
                <w:szCs w:val="18"/>
                <w:lang w:eastAsia="en-AU"/>
              </w:rPr>
              <w:t>DoH</w:t>
            </w:r>
            <w:proofErr w:type="spellEnd"/>
            <w:r w:rsidRPr="00C10545">
              <w:rPr>
                <w:b/>
                <w:bCs/>
                <w:color w:val="000000"/>
                <w:sz w:val="18"/>
                <w:szCs w:val="18"/>
                <w:lang w:eastAsia="en-AU"/>
              </w:rPr>
              <w:t xml:space="preserve"> Output Purchases as % Council Total Outlays</w:t>
            </w:r>
          </w:p>
        </w:tc>
      </w:tr>
      <w:tr w:rsidR="009A356E" w:rsidRPr="00CB3038" w14:paraId="1D8C357F" w14:textId="77777777" w:rsidTr="009A356E">
        <w:trPr>
          <w:trHeight w:val="1695"/>
          <w:tblHeader/>
        </w:trPr>
        <w:tc>
          <w:tcPr>
            <w:tcW w:w="1120" w:type="dxa"/>
            <w:tcBorders>
              <w:top w:val="nil"/>
              <w:left w:val="single" w:sz="4" w:space="0" w:color="auto"/>
              <w:bottom w:val="single" w:sz="4" w:space="0" w:color="auto"/>
              <w:right w:val="single" w:sz="4" w:space="0" w:color="auto"/>
            </w:tcBorders>
            <w:shd w:val="clear" w:color="000000" w:fill="000000"/>
            <w:noWrap/>
            <w:vAlign w:val="bottom"/>
            <w:hideMark/>
          </w:tcPr>
          <w:p w14:paraId="34825B6C" w14:textId="77777777" w:rsidR="009A356E" w:rsidRPr="00C10545" w:rsidRDefault="009A356E" w:rsidP="009A356E">
            <w:pPr>
              <w:rPr>
                <w:b/>
                <w:bCs/>
                <w:color w:val="000000"/>
                <w:sz w:val="18"/>
                <w:szCs w:val="18"/>
                <w:lang w:eastAsia="en-AU"/>
              </w:rPr>
            </w:pPr>
            <w:r w:rsidRPr="00C10545">
              <w:rPr>
                <w:b/>
                <w:bCs/>
                <w:color w:val="000000"/>
                <w:sz w:val="18"/>
                <w:szCs w:val="18"/>
                <w:lang w:eastAsia="en-AU"/>
              </w:rPr>
              <w:t> </w:t>
            </w:r>
          </w:p>
        </w:tc>
        <w:tc>
          <w:tcPr>
            <w:tcW w:w="714" w:type="dxa"/>
            <w:tcBorders>
              <w:top w:val="nil"/>
              <w:left w:val="nil"/>
              <w:bottom w:val="single" w:sz="4" w:space="0" w:color="auto"/>
              <w:right w:val="single" w:sz="4" w:space="0" w:color="auto"/>
            </w:tcBorders>
            <w:shd w:val="clear" w:color="000000" w:fill="FCD5B4"/>
            <w:noWrap/>
            <w:textDirection w:val="tbRl"/>
            <w:vAlign w:val="center"/>
            <w:hideMark/>
          </w:tcPr>
          <w:p w14:paraId="07F9FE01" w14:textId="77777777" w:rsidR="009A356E" w:rsidRPr="00C10545" w:rsidRDefault="009A356E" w:rsidP="009A356E">
            <w:pPr>
              <w:jc w:val="center"/>
              <w:rPr>
                <w:b/>
                <w:bCs/>
                <w:color w:val="000000"/>
                <w:sz w:val="18"/>
                <w:szCs w:val="18"/>
                <w:lang w:eastAsia="en-AU"/>
              </w:rPr>
            </w:pPr>
            <w:r w:rsidRPr="00C10545">
              <w:rPr>
                <w:b/>
                <w:bCs/>
                <w:color w:val="000000"/>
                <w:sz w:val="18"/>
                <w:szCs w:val="18"/>
                <w:lang w:eastAsia="en-AU"/>
              </w:rPr>
              <w:t>Domestic Assistance</w:t>
            </w:r>
          </w:p>
        </w:tc>
        <w:tc>
          <w:tcPr>
            <w:tcW w:w="853" w:type="dxa"/>
            <w:tcBorders>
              <w:top w:val="nil"/>
              <w:left w:val="nil"/>
              <w:bottom w:val="single" w:sz="4" w:space="0" w:color="auto"/>
              <w:right w:val="single" w:sz="4" w:space="0" w:color="auto"/>
            </w:tcBorders>
            <w:shd w:val="clear" w:color="000000" w:fill="FCD5B4"/>
            <w:noWrap/>
            <w:textDirection w:val="tbRl"/>
            <w:vAlign w:val="center"/>
            <w:hideMark/>
          </w:tcPr>
          <w:p w14:paraId="1C920F95" w14:textId="77777777" w:rsidR="009A356E" w:rsidRPr="00C10545" w:rsidRDefault="009A356E" w:rsidP="009A356E">
            <w:pPr>
              <w:jc w:val="center"/>
              <w:rPr>
                <w:b/>
                <w:bCs/>
                <w:color w:val="000000"/>
                <w:sz w:val="18"/>
                <w:szCs w:val="18"/>
                <w:lang w:eastAsia="en-AU"/>
              </w:rPr>
            </w:pPr>
            <w:r w:rsidRPr="00C10545">
              <w:rPr>
                <w:b/>
                <w:bCs/>
                <w:color w:val="000000"/>
                <w:sz w:val="18"/>
                <w:szCs w:val="18"/>
                <w:lang w:eastAsia="en-AU"/>
              </w:rPr>
              <w:t>Personal Care</w:t>
            </w:r>
          </w:p>
        </w:tc>
        <w:tc>
          <w:tcPr>
            <w:tcW w:w="853" w:type="dxa"/>
            <w:tcBorders>
              <w:top w:val="nil"/>
              <w:left w:val="nil"/>
              <w:bottom w:val="single" w:sz="4" w:space="0" w:color="auto"/>
              <w:right w:val="single" w:sz="4" w:space="0" w:color="auto"/>
            </w:tcBorders>
            <w:shd w:val="clear" w:color="000000" w:fill="FCD5B4"/>
            <w:noWrap/>
            <w:textDirection w:val="tbRl"/>
            <w:vAlign w:val="center"/>
            <w:hideMark/>
          </w:tcPr>
          <w:p w14:paraId="2A6C88D8" w14:textId="77777777" w:rsidR="009A356E" w:rsidRPr="00C10545" w:rsidRDefault="009A356E" w:rsidP="009A356E">
            <w:pPr>
              <w:jc w:val="center"/>
              <w:rPr>
                <w:b/>
                <w:bCs/>
                <w:color w:val="000000"/>
                <w:sz w:val="18"/>
                <w:szCs w:val="18"/>
                <w:lang w:eastAsia="en-AU"/>
              </w:rPr>
            </w:pPr>
            <w:r w:rsidRPr="00C10545">
              <w:rPr>
                <w:b/>
                <w:bCs/>
                <w:color w:val="000000"/>
                <w:sz w:val="18"/>
                <w:szCs w:val="18"/>
                <w:lang w:eastAsia="en-AU"/>
              </w:rPr>
              <w:t>Respite</w:t>
            </w:r>
          </w:p>
        </w:tc>
        <w:tc>
          <w:tcPr>
            <w:tcW w:w="853" w:type="dxa"/>
            <w:tcBorders>
              <w:top w:val="nil"/>
              <w:left w:val="nil"/>
              <w:bottom w:val="single" w:sz="4" w:space="0" w:color="auto"/>
              <w:right w:val="single" w:sz="4" w:space="0" w:color="auto"/>
            </w:tcBorders>
            <w:shd w:val="clear" w:color="000000" w:fill="FCD5B4"/>
            <w:noWrap/>
            <w:textDirection w:val="tbRl"/>
            <w:vAlign w:val="center"/>
            <w:hideMark/>
          </w:tcPr>
          <w:p w14:paraId="20CA8569" w14:textId="77777777" w:rsidR="009A356E" w:rsidRPr="00C10545" w:rsidRDefault="009A356E" w:rsidP="009A356E">
            <w:pPr>
              <w:jc w:val="center"/>
              <w:rPr>
                <w:b/>
                <w:bCs/>
                <w:color w:val="000000"/>
                <w:sz w:val="18"/>
                <w:szCs w:val="18"/>
                <w:lang w:eastAsia="en-AU"/>
              </w:rPr>
            </w:pPr>
            <w:r w:rsidRPr="00C10545">
              <w:rPr>
                <w:b/>
                <w:bCs/>
                <w:color w:val="000000"/>
                <w:sz w:val="18"/>
                <w:szCs w:val="18"/>
                <w:lang w:eastAsia="en-AU"/>
              </w:rPr>
              <w:t>Property Maintenance</w:t>
            </w:r>
          </w:p>
        </w:tc>
        <w:tc>
          <w:tcPr>
            <w:tcW w:w="714" w:type="dxa"/>
            <w:tcBorders>
              <w:top w:val="nil"/>
              <w:left w:val="nil"/>
              <w:bottom w:val="single" w:sz="4" w:space="0" w:color="auto"/>
              <w:right w:val="single" w:sz="4" w:space="0" w:color="auto"/>
            </w:tcBorders>
            <w:shd w:val="clear" w:color="000000" w:fill="FCD5B4"/>
            <w:noWrap/>
            <w:textDirection w:val="tbRl"/>
            <w:vAlign w:val="center"/>
            <w:hideMark/>
          </w:tcPr>
          <w:p w14:paraId="146CD6CD" w14:textId="77777777" w:rsidR="009A356E" w:rsidRPr="00C10545" w:rsidRDefault="009A356E" w:rsidP="009A356E">
            <w:pPr>
              <w:jc w:val="center"/>
              <w:rPr>
                <w:b/>
                <w:bCs/>
                <w:color w:val="000000"/>
                <w:sz w:val="18"/>
                <w:szCs w:val="18"/>
                <w:lang w:eastAsia="en-AU"/>
              </w:rPr>
            </w:pPr>
            <w:r w:rsidRPr="00C10545">
              <w:rPr>
                <w:b/>
                <w:bCs/>
                <w:color w:val="000000"/>
                <w:sz w:val="18"/>
                <w:szCs w:val="18"/>
                <w:lang w:eastAsia="en-AU"/>
              </w:rPr>
              <w:t>Total</w:t>
            </w:r>
          </w:p>
        </w:tc>
        <w:tc>
          <w:tcPr>
            <w:tcW w:w="727" w:type="dxa"/>
            <w:tcBorders>
              <w:top w:val="nil"/>
              <w:left w:val="nil"/>
              <w:bottom w:val="single" w:sz="4" w:space="0" w:color="auto"/>
              <w:right w:val="single" w:sz="4" w:space="0" w:color="auto"/>
            </w:tcBorders>
            <w:shd w:val="clear" w:color="auto" w:fill="auto"/>
            <w:noWrap/>
            <w:textDirection w:val="tbRl"/>
            <w:vAlign w:val="center"/>
            <w:hideMark/>
          </w:tcPr>
          <w:p w14:paraId="2E793F28" w14:textId="77777777" w:rsidR="009A356E" w:rsidRPr="00C10545" w:rsidRDefault="009A356E" w:rsidP="009A356E">
            <w:pPr>
              <w:jc w:val="center"/>
              <w:rPr>
                <w:b/>
                <w:bCs/>
                <w:color w:val="000000"/>
                <w:sz w:val="18"/>
                <w:szCs w:val="18"/>
                <w:lang w:eastAsia="en-AU"/>
              </w:rPr>
            </w:pPr>
            <w:r w:rsidRPr="00C10545">
              <w:rPr>
                <w:b/>
                <w:bCs/>
                <w:color w:val="000000"/>
                <w:sz w:val="18"/>
                <w:szCs w:val="18"/>
                <w:lang w:eastAsia="en-AU"/>
              </w:rPr>
              <w:t>Domestic Assistance</w:t>
            </w:r>
          </w:p>
        </w:tc>
        <w:tc>
          <w:tcPr>
            <w:tcW w:w="727" w:type="dxa"/>
            <w:tcBorders>
              <w:top w:val="nil"/>
              <w:left w:val="nil"/>
              <w:bottom w:val="single" w:sz="4" w:space="0" w:color="auto"/>
              <w:right w:val="single" w:sz="4" w:space="0" w:color="auto"/>
            </w:tcBorders>
            <w:shd w:val="clear" w:color="auto" w:fill="auto"/>
            <w:noWrap/>
            <w:textDirection w:val="tbRl"/>
            <w:vAlign w:val="center"/>
            <w:hideMark/>
          </w:tcPr>
          <w:p w14:paraId="7C789C59" w14:textId="77777777" w:rsidR="009A356E" w:rsidRPr="00C10545" w:rsidRDefault="009A356E" w:rsidP="009A356E">
            <w:pPr>
              <w:jc w:val="center"/>
              <w:rPr>
                <w:b/>
                <w:bCs/>
                <w:color w:val="000000"/>
                <w:sz w:val="18"/>
                <w:szCs w:val="18"/>
                <w:lang w:eastAsia="en-AU"/>
              </w:rPr>
            </w:pPr>
            <w:r w:rsidRPr="00C10545">
              <w:rPr>
                <w:b/>
                <w:bCs/>
                <w:color w:val="000000"/>
                <w:sz w:val="18"/>
                <w:szCs w:val="18"/>
                <w:lang w:eastAsia="en-AU"/>
              </w:rPr>
              <w:t>Personal Care</w:t>
            </w:r>
          </w:p>
        </w:tc>
        <w:tc>
          <w:tcPr>
            <w:tcW w:w="727" w:type="dxa"/>
            <w:tcBorders>
              <w:top w:val="nil"/>
              <w:left w:val="nil"/>
              <w:bottom w:val="single" w:sz="4" w:space="0" w:color="auto"/>
              <w:right w:val="single" w:sz="4" w:space="0" w:color="auto"/>
            </w:tcBorders>
            <w:shd w:val="clear" w:color="auto" w:fill="auto"/>
            <w:noWrap/>
            <w:textDirection w:val="tbRl"/>
            <w:vAlign w:val="center"/>
            <w:hideMark/>
          </w:tcPr>
          <w:p w14:paraId="3A12F2BA" w14:textId="77777777" w:rsidR="009A356E" w:rsidRPr="00C10545" w:rsidRDefault="009A356E" w:rsidP="009A356E">
            <w:pPr>
              <w:jc w:val="center"/>
              <w:rPr>
                <w:b/>
                <w:bCs/>
                <w:color w:val="000000"/>
                <w:sz w:val="18"/>
                <w:szCs w:val="18"/>
                <w:lang w:eastAsia="en-AU"/>
              </w:rPr>
            </w:pPr>
            <w:r w:rsidRPr="00C10545">
              <w:rPr>
                <w:b/>
                <w:bCs/>
                <w:color w:val="000000"/>
                <w:sz w:val="18"/>
                <w:szCs w:val="18"/>
                <w:lang w:eastAsia="en-AU"/>
              </w:rPr>
              <w:t>Respite</w:t>
            </w:r>
          </w:p>
        </w:tc>
        <w:tc>
          <w:tcPr>
            <w:tcW w:w="872" w:type="dxa"/>
            <w:tcBorders>
              <w:top w:val="nil"/>
              <w:left w:val="nil"/>
              <w:bottom w:val="single" w:sz="4" w:space="0" w:color="auto"/>
              <w:right w:val="single" w:sz="4" w:space="0" w:color="auto"/>
            </w:tcBorders>
            <w:shd w:val="clear" w:color="auto" w:fill="auto"/>
            <w:noWrap/>
            <w:textDirection w:val="tbRl"/>
            <w:vAlign w:val="center"/>
            <w:hideMark/>
          </w:tcPr>
          <w:p w14:paraId="03F68EBC" w14:textId="77777777" w:rsidR="009A356E" w:rsidRPr="00C10545" w:rsidRDefault="009A356E" w:rsidP="009A356E">
            <w:pPr>
              <w:jc w:val="center"/>
              <w:rPr>
                <w:b/>
                <w:bCs/>
                <w:color w:val="000000"/>
                <w:sz w:val="18"/>
                <w:szCs w:val="18"/>
                <w:lang w:eastAsia="en-AU"/>
              </w:rPr>
            </w:pPr>
            <w:r w:rsidRPr="00C10545">
              <w:rPr>
                <w:b/>
                <w:bCs/>
                <w:color w:val="000000"/>
                <w:sz w:val="18"/>
                <w:szCs w:val="18"/>
                <w:lang w:eastAsia="en-AU"/>
              </w:rPr>
              <w:t>Property Maintenance</w:t>
            </w:r>
          </w:p>
        </w:tc>
        <w:tc>
          <w:tcPr>
            <w:tcW w:w="727" w:type="dxa"/>
            <w:tcBorders>
              <w:top w:val="nil"/>
              <w:left w:val="nil"/>
              <w:bottom w:val="single" w:sz="4" w:space="0" w:color="auto"/>
              <w:right w:val="single" w:sz="4" w:space="0" w:color="auto"/>
            </w:tcBorders>
            <w:shd w:val="clear" w:color="auto" w:fill="auto"/>
            <w:noWrap/>
            <w:textDirection w:val="tbRl"/>
            <w:vAlign w:val="center"/>
            <w:hideMark/>
          </w:tcPr>
          <w:p w14:paraId="24CE6883" w14:textId="77777777" w:rsidR="009A356E" w:rsidRPr="00C10545" w:rsidRDefault="009A356E" w:rsidP="009A356E">
            <w:pPr>
              <w:jc w:val="center"/>
              <w:rPr>
                <w:b/>
                <w:bCs/>
                <w:color w:val="000000"/>
                <w:sz w:val="18"/>
                <w:szCs w:val="18"/>
                <w:lang w:eastAsia="en-AU"/>
              </w:rPr>
            </w:pPr>
            <w:r w:rsidRPr="00C10545">
              <w:rPr>
                <w:b/>
                <w:bCs/>
                <w:color w:val="000000"/>
                <w:sz w:val="18"/>
                <w:szCs w:val="18"/>
                <w:lang w:eastAsia="en-AU"/>
              </w:rPr>
              <w:t>Total</w:t>
            </w:r>
          </w:p>
        </w:tc>
      </w:tr>
      <w:tr w:rsidR="009A356E" w:rsidRPr="00CB3038" w14:paraId="76B8BE5B" w14:textId="77777777" w:rsidTr="009A356E">
        <w:trPr>
          <w:trHeight w:val="255"/>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6ECFCB0" w14:textId="77777777" w:rsidR="009A356E" w:rsidRPr="00C10545" w:rsidRDefault="009A356E" w:rsidP="009A356E">
            <w:pPr>
              <w:rPr>
                <w:sz w:val="18"/>
                <w:szCs w:val="18"/>
                <w:lang w:eastAsia="en-AU"/>
              </w:rPr>
            </w:pPr>
            <w:r w:rsidRPr="00C10545">
              <w:rPr>
                <w:sz w:val="18"/>
                <w:szCs w:val="18"/>
                <w:lang w:eastAsia="en-AU"/>
              </w:rPr>
              <w:t>A</w:t>
            </w:r>
          </w:p>
        </w:tc>
        <w:tc>
          <w:tcPr>
            <w:tcW w:w="714" w:type="dxa"/>
            <w:tcBorders>
              <w:top w:val="nil"/>
              <w:left w:val="nil"/>
              <w:bottom w:val="single" w:sz="4" w:space="0" w:color="auto"/>
              <w:right w:val="single" w:sz="4" w:space="0" w:color="auto"/>
            </w:tcBorders>
            <w:shd w:val="clear" w:color="000000" w:fill="FCD5B4"/>
            <w:noWrap/>
            <w:vAlign w:val="bottom"/>
            <w:hideMark/>
          </w:tcPr>
          <w:p w14:paraId="6CA6C493" w14:textId="77777777" w:rsidR="009A356E" w:rsidRPr="00C10545" w:rsidRDefault="009A356E" w:rsidP="009A356E">
            <w:pPr>
              <w:jc w:val="right"/>
              <w:rPr>
                <w:color w:val="000000"/>
                <w:sz w:val="18"/>
                <w:szCs w:val="18"/>
                <w:lang w:eastAsia="en-AU"/>
              </w:rPr>
            </w:pPr>
            <w:r w:rsidRPr="00C10545">
              <w:rPr>
                <w:color w:val="000000"/>
                <w:sz w:val="18"/>
                <w:szCs w:val="18"/>
                <w:lang w:eastAsia="en-AU"/>
              </w:rPr>
              <w:t>74%</w:t>
            </w:r>
          </w:p>
        </w:tc>
        <w:tc>
          <w:tcPr>
            <w:tcW w:w="853" w:type="dxa"/>
            <w:tcBorders>
              <w:top w:val="nil"/>
              <w:left w:val="nil"/>
              <w:bottom w:val="single" w:sz="4" w:space="0" w:color="auto"/>
              <w:right w:val="single" w:sz="4" w:space="0" w:color="auto"/>
            </w:tcBorders>
            <w:shd w:val="clear" w:color="000000" w:fill="FCD5B4"/>
            <w:noWrap/>
            <w:vAlign w:val="bottom"/>
            <w:hideMark/>
          </w:tcPr>
          <w:p w14:paraId="54D03708" w14:textId="77777777" w:rsidR="009A356E" w:rsidRPr="00C10545" w:rsidRDefault="009A356E" w:rsidP="009A356E">
            <w:pPr>
              <w:jc w:val="right"/>
              <w:rPr>
                <w:color w:val="000000"/>
                <w:sz w:val="18"/>
                <w:szCs w:val="18"/>
                <w:lang w:eastAsia="en-AU"/>
              </w:rPr>
            </w:pPr>
            <w:r w:rsidRPr="00C10545">
              <w:rPr>
                <w:color w:val="000000"/>
                <w:sz w:val="18"/>
                <w:szCs w:val="18"/>
                <w:lang w:eastAsia="en-AU"/>
              </w:rPr>
              <w:t>63%</w:t>
            </w:r>
          </w:p>
        </w:tc>
        <w:tc>
          <w:tcPr>
            <w:tcW w:w="853" w:type="dxa"/>
            <w:tcBorders>
              <w:top w:val="nil"/>
              <w:left w:val="nil"/>
              <w:bottom w:val="single" w:sz="4" w:space="0" w:color="auto"/>
              <w:right w:val="single" w:sz="4" w:space="0" w:color="auto"/>
            </w:tcBorders>
            <w:shd w:val="clear" w:color="000000" w:fill="FCD5B4"/>
            <w:noWrap/>
            <w:vAlign w:val="bottom"/>
            <w:hideMark/>
          </w:tcPr>
          <w:p w14:paraId="52DC22DE" w14:textId="77777777" w:rsidR="009A356E" w:rsidRPr="00C10545" w:rsidRDefault="009A356E" w:rsidP="009A356E">
            <w:pPr>
              <w:jc w:val="right"/>
              <w:rPr>
                <w:color w:val="000000"/>
                <w:sz w:val="18"/>
                <w:szCs w:val="18"/>
                <w:lang w:eastAsia="en-AU"/>
              </w:rPr>
            </w:pPr>
            <w:r w:rsidRPr="00C10545">
              <w:rPr>
                <w:color w:val="000000"/>
                <w:sz w:val="18"/>
                <w:szCs w:val="18"/>
                <w:lang w:eastAsia="en-AU"/>
              </w:rPr>
              <w:t>79%</w:t>
            </w:r>
          </w:p>
        </w:tc>
        <w:tc>
          <w:tcPr>
            <w:tcW w:w="853" w:type="dxa"/>
            <w:tcBorders>
              <w:top w:val="nil"/>
              <w:left w:val="nil"/>
              <w:bottom w:val="single" w:sz="4" w:space="0" w:color="auto"/>
              <w:right w:val="single" w:sz="4" w:space="0" w:color="auto"/>
            </w:tcBorders>
            <w:shd w:val="clear" w:color="000000" w:fill="FCD5B4"/>
            <w:noWrap/>
            <w:vAlign w:val="bottom"/>
            <w:hideMark/>
          </w:tcPr>
          <w:p w14:paraId="62328D3E" w14:textId="77777777" w:rsidR="009A356E" w:rsidRPr="00C10545" w:rsidRDefault="009A356E" w:rsidP="009A356E">
            <w:pPr>
              <w:jc w:val="right"/>
              <w:rPr>
                <w:color w:val="000000"/>
                <w:sz w:val="18"/>
                <w:szCs w:val="18"/>
                <w:lang w:eastAsia="en-AU"/>
              </w:rPr>
            </w:pPr>
            <w:r w:rsidRPr="00C10545">
              <w:rPr>
                <w:color w:val="000000"/>
                <w:sz w:val="18"/>
                <w:szCs w:val="18"/>
                <w:lang w:eastAsia="en-AU"/>
              </w:rPr>
              <w:t>175%</w:t>
            </w:r>
          </w:p>
        </w:tc>
        <w:tc>
          <w:tcPr>
            <w:tcW w:w="714" w:type="dxa"/>
            <w:tcBorders>
              <w:top w:val="nil"/>
              <w:left w:val="nil"/>
              <w:bottom w:val="single" w:sz="4" w:space="0" w:color="auto"/>
              <w:right w:val="single" w:sz="4" w:space="0" w:color="auto"/>
            </w:tcBorders>
            <w:shd w:val="clear" w:color="000000" w:fill="FCD5B4"/>
            <w:noWrap/>
            <w:vAlign w:val="bottom"/>
            <w:hideMark/>
          </w:tcPr>
          <w:p w14:paraId="48616142" w14:textId="77777777" w:rsidR="009A356E" w:rsidRPr="00C10545" w:rsidRDefault="009A356E" w:rsidP="009A356E">
            <w:pPr>
              <w:jc w:val="right"/>
              <w:rPr>
                <w:color w:val="000000"/>
                <w:sz w:val="18"/>
                <w:szCs w:val="18"/>
                <w:lang w:eastAsia="en-AU"/>
              </w:rPr>
            </w:pPr>
            <w:r w:rsidRPr="00C10545">
              <w:rPr>
                <w:color w:val="000000"/>
                <w:sz w:val="18"/>
                <w:szCs w:val="18"/>
                <w:lang w:eastAsia="en-AU"/>
              </w:rPr>
              <w:t>74%</w:t>
            </w:r>
          </w:p>
        </w:tc>
        <w:tc>
          <w:tcPr>
            <w:tcW w:w="727" w:type="dxa"/>
            <w:tcBorders>
              <w:top w:val="nil"/>
              <w:left w:val="nil"/>
              <w:bottom w:val="single" w:sz="4" w:space="0" w:color="auto"/>
              <w:right w:val="single" w:sz="4" w:space="0" w:color="auto"/>
            </w:tcBorders>
            <w:shd w:val="clear" w:color="auto" w:fill="auto"/>
            <w:noWrap/>
            <w:vAlign w:val="bottom"/>
            <w:hideMark/>
          </w:tcPr>
          <w:p w14:paraId="5ADD03BB" w14:textId="77777777" w:rsidR="009A356E" w:rsidRPr="00C10545" w:rsidRDefault="009A356E" w:rsidP="009A356E">
            <w:pPr>
              <w:jc w:val="right"/>
              <w:rPr>
                <w:color w:val="000000"/>
                <w:sz w:val="18"/>
                <w:szCs w:val="18"/>
                <w:lang w:eastAsia="en-AU"/>
              </w:rPr>
            </w:pPr>
            <w:r w:rsidRPr="00C10545">
              <w:rPr>
                <w:color w:val="000000"/>
                <w:sz w:val="18"/>
                <w:szCs w:val="18"/>
                <w:lang w:eastAsia="en-AU"/>
              </w:rPr>
              <w:t>46%</w:t>
            </w:r>
          </w:p>
        </w:tc>
        <w:tc>
          <w:tcPr>
            <w:tcW w:w="727" w:type="dxa"/>
            <w:tcBorders>
              <w:top w:val="nil"/>
              <w:left w:val="nil"/>
              <w:bottom w:val="single" w:sz="4" w:space="0" w:color="auto"/>
              <w:right w:val="single" w:sz="4" w:space="0" w:color="auto"/>
            </w:tcBorders>
            <w:shd w:val="clear" w:color="auto" w:fill="auto"/>
            <w:noWrap/>
            <w:vAlign w:val="bottom"/>
            <w:hideMark/>
          </w:tcPr>
          <w:p w14:paraId="6BE50635" w14:textId="77777777" w:rsidR="009A356E" w:rsidRPr="00C10545" w:rsidRDefault="009A356E" w:rsidP="009A356E">
            <w:pPr>
              <w:jc w:val="right"/>
              <w:rPr>
                <w:color w:val="000000"/>
                <w:sz w:val="18"/>
                <w:szCs w:val="18"/>
                <w:lang w:eastAsia="en-AU"/>
              </w:rPr>
            </w:pPr>
            <w:r w:rsidRPr="00C10545">
              <w:rPr>
                <w:color w:val="000000"/>
                <w:sz w:val="18"/>
                <w:szCs w:val="18"/>
                <w:lang w:eastAsia="en-AU"/>
              </w:rPr>
              <w:t>38%</w:t>
            </w:r>
          </w:p>
        </w:tc>
        <w:tc>
          <w:tcPr>
            <w:tcW w:w="727" w:type="dxa"/>
            <w:tcBorders>
              <w:top w:val="nil"/>
              <w:left w:val="nil"/>
              <w:bottom w:val="single" w:sz="4" w:space="0" w:color="auto"/>
              <w:right w:val="single" w:sz="4" w:space="0" w:color="auto"/>
            </w:tcBorders>
            <w:shd w:val="clear" w:color="auto" w:fill="auto"/>
            <w:noWrap/>
            <w:vAlign w:val="bottom"/>
            <w:hideMark/>
          </w:tcPr>
          <w:p w14:paraId="4C2C00F6" w14:textId="77777777" w:rsidR="009A356E" w:rsidRPr="00C10545" w:rsidRDefault="009A356E" w:rsidP="009A356E">
            <w:pPr>
              <w:jc w:val="right"/>
              <w:rPr>
                <w:color w:val="000000"/>
                <w:sz w:val="18"/>
                <w:szCs w:val="18"/>
                <w:lang w:eastAsia="en-AU"/>
              </w:rPr>
            </w:pPr>
            <w:r w:rsidRPr="00C10545">
              <w:rPr>
                <w:color w:val="000000"/>
                <w:sz w:val="18"/>
                <w:szCs w:val="18"/>
                <w:lang w:eastAsia="en-AU"/>
              </w:rPr>
              <w:t>31%</w:t>
            </w:r>
          </w:p>
        </w:tc>
        <w:tc>
          <w:tcPr>
            <w:tcW w:w="872" w:type="dxa"/>
            <w:tcBorders>
              <w:top w:val="nil"/>
              <w:left w:val="nil"/>
              <w:bottom w:val="single" w:sz="4" w:space="0" w:color="auto"/>
              <w:right w:val="single" w:sz="4" w:space="0" w:color="auto"/>
            </w:tcBorders>
            <w:shd w:val="clear" w:color="auto" w:fill="auto"/>
            <w:noWrap/>
            <w:vAlign w:val="bottom"/>
            <w:hideMark/>
          </w:tcPr>
          <w:p w14:paraId="4F2DB1D0" w14:textId="77777777" w:rsidR="009A356E" w:rsidRPr="00C10545" w:rsidRDefault="009A356E" w:rsidP="009A356E">
            <w:pPr>
              <w:jc w:val="right"/>
              <w:rPr>
                <w:color w:val="000000"/>
                <w:sz w:val="18"/>
                <w:szCs w:val="18"/>
                <w:lang w:eastAsia="en-AU"/>
              </w:rPr>
            </w:pPr>
            <w:r w:rsidRPr="00C10545">
              <w:rPr>
                <w:color w:val="000000"/>
                <w:sz w:val="18"/>
                <w:szCs w:val="18"/>
                <w:lang w:eastAsia="en-AU"/>
              </w:rPr>
              <w:t>173%</w:t>
            </w:r>
          </w:p>
        </w:tc>
        <w:tc>
          <w:tcPr>
            <w:tcW w:w="727" w:type="dxa"/>
            <w:tcBorders>
              <w:top w:val="nil"/>
              <w:left w:val="nil"/>
              <w:bottom w:val="single" w:sz="4" w:space="0" w:color="auto"/>
              <w:right w:val="single" w:sz="4" w:space="0" w:color="auto"/>
            </w:tcBorders>
            <w:shd w:val="clear" w:color="auto" w:fill="auto"/>
            <w:noWrap/>
            <w:vAlign w:val="bottom"/>
            <w:hideMark/>
          </w:tcPr>
          <w:p w14:paraId="270B473D" w14:textId="77777777" w:rsidR="009A356E" w:rsidRPr="00C10545" w:rsidRDefault="009A356E" w:rsidP="009A356E">
            <w:pPr>
              <w:jc w:val="right"/>
              <w:rPr>
                <w:color w:val="000000"/>
                <w:sz w:val="18"/>
                <w:szCs w:val="18"/>
                <w:lang w:eastAsia="en-AU"/>
              </w:rPr>
            </w:pPr>
            <w:r w:rsidRPr="00C10545">
              <w:rPr>
                <w:color w:val="000000"/>
                <w:sz w:val="18"/>
                <w:szCs w:val="18"/>
                <w:lang w:eastAsia="en-AU"/>
              </w:rPr>
              <w:t>46%</w:t>
            </w:r>
          </w:p>
        </w:tc>
      </w:tr>
      <w:tr w:rsidR="009A356E" w:rsidRPr="00CB3038" w14:paraId="2E69A1FE" w14:textId="77777777" w:rsidTr="009A356E">
        <w:trPr>
          <w:trHeight w:val="255"/>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86BA90A" w14:textId="77777777" w:rsidR="009A356E" w:rsidRPr="00C10545" w:rsidRDefault="009A356E" w:rsidP="009A356E">
            <w:pPr>
              <w:rPr>
                <w:sz w:val="18"/>
                <w:szCs w:val="18"/>
                <w:lang w:eastAsia="en-AU"/>
              </w:rPr>
            </w:pPr>
            <w:r w:rsidRPr="00C10545">
              <w:rPr>
                <w:sz w:val="18"/>
                <w:szCs w:val="18"/>
                <w:lang w:eastAsia="en-AU"/>
              </w:rPr>
              <w:t>B</w:t>
            </w:r>
          </w:p>
        </w:tc>
        <w:tc>
          <w:tcPr>
            <w:tcW w:w="714" w:type="dxa"/>
            <w:tcBorders>
              <w:top w:val="nil"/>
              <w:left w:val="nil"/>
              <w:bottom w:val="single" w:sz="4" w:space="0" w:color="auto"/>
              <w:right w:val="single" w:sz="4" w:space="0" w:color="auto"/>
            </w:tcBorders>
            <w:shd w:val="clear" w:color="000000" w:fill="FCD5B4"/>
            <w:noWrap/>
            <w:vAlign w:val="bottom"/>
            <w:hideMark/>
          </w:tcPr>
          <w:p w14:paraId="4540A166" w14:textId="77777777" w:rsidR="009A356E" w:rsidRPr="00C10545" w:rsidRDefault="009A356E" w:rsidP="009A356E">
            <w:pPr>
              <w:jc w:val="right"/>
              <w:rPr>
                <w:color w:val="000000"/>
                <w:sz w:val="18"/>
                <w:szCs w:val="18"/>
                <w:lang w:eastAsia="en-AU"/>
              </w:rPr>
            </w:pPr>
            <w:r w:rsidRPr="00C10545">
              <w:rPr>
                <w:color w:val="000000"/>
                <w:sz w:val="18"/>
                <w:szCs w:val="18"/>
                <w:lang w:eastAsia="en-AU"/>
              </w:rPr>
              <w:t>74%</w:t>
            </w:r>
          </w:p>
        </w:tc>
        <w:tc>
          <w:tcPr>
            <w:tcW w:w="853" w:type="dxa"/>
            <w:tcBorders>
              <w:top w:val="nil"/>
              <w:left w:val="nil"/>
              <w:bottom w:val="single" w:sz="4" w:space="0" w:color="auto"/>
              <w:right w:val="single" w:sz="4" w:space="0" w:color="auto"/>
            </w:tcBorders>
            <w:shd w:val="clear" w:color="000000" w:fill="FCD5B4"/>
            <w:noWrap/>
            <w:vAlign w:val="bottom"/>
            <w:hideMark/>
          </w:tcPr>
          <w:p w14:paraId="5B7CABCE" w14:textId="77777777" w:rsidR="009A356E" w:rsidRPr="00C10545" w:rsidRDefault="009A356E" w:rsidP="009A356E">
            <w:pPr>
              <w:jc w:val="right"/>
              <w:rPr>
                <w:color w:val="000000"/>
                <w:sz w:val="18"/>
                <w:szCs w:val="18"/>
                <w:lang w:eastAsia="en-AU"/>
              </w:rPr>
            </w:pPr>
            <w:r w:rsidRPr="00C10545">
              <w:rPr>
                <w:color w:val="000000"/>
                <w:sz w:val="18"/>
                <w:szCs w:val="18"/>
                <w:lang w:eastAsia="en-AU"/>
              </w:rPr>
              <w:t>100%</w:t>
            </w:r>
          </w:p>
        </w:tc>
        <w:tc>
          <w:tcPr>
            <w:tcW w:w="853" w:type="dxa"/>
            <w:tcBorders>
              <w:top w:val="nil"/>
              <w:left w:val="nil"/>
              <w:bottom w:val="single" w:sz="4" w:space="0" w:color="auto"/>
              <w:right w:val="single" w:sz="4" w:space="0" w:color="auto"/>
            </w:tcBorders>
            <w:shd w:val="clear" w:color="000000" w:fill="FCD5B4"/>
            <w:noWrap/>
            <w:vAlign w:val="bottom"/>
            <w:hideMark/>
          </w:tcPr>
          <w:p w14:paraId="58D7F14D" w14:textId="77777777" w:rsidR="009A356E" w:rsidRPr="00C10545" w:rsidRDefault="009A356E" w:rsidP="009A356E">
            <w:pPr>
              <w:jc w:val="right"/>
              <w:rPr>
                <w:color w:val="000000"/>
                <w:sz w:val="18"/>
                <w:szCs w:val="18"/>
                <w:lang w:eastAsia="en-AU"/>
              </w:rPr>
            </w:pPr>
            <w:r w:rsidRPr="00C10545">
              <w:rPr>
                <w:color w:val="000000"/>
                <w:sz w:val="18"/>
                <w:szCs w:val="18"/>
                <w:lang w:eastAsia="en-AU"/>
              </w:rPr>
              <w:t>63%</w:t>
            </w:r>
          </w:p>
        </w:tc>
        <w:tc>
          <w:tcPr>
            <w:tcW w:w="853" w:type="dxa"/>
            <w:tcBorders>
              <w:top w:val="nil"/>
              <w:left w:val="nil"/>
              <w:bottom w:val="single" w:sz="4" w:space="0" w:color="auto"/>
              <w:right w:val="single" w:sz="4" w:space="0" w:color="auto"/>
            </w:tcBorders>
            <w:shd w:val="clear" w:color="000000" w:fill="FCD5B4"/>
            <w:noWrap/>
            <w:vAlign w:val="bottom"/>
            <w:hideMark/>
          </w:tcPr>
          <w:p w14:paraId="6F50ED4A" w14:textId="77777777" w:rsidR="009A356E" w:rsidRPr="00C10545" w:rsidRDefault="009A356E" w:rsidP="009A356E">
            <w:pPr>
              <w:jc w:val="right"/>
              <w:rPr>
                <w:color w:val="000000"/>
                <w:sz w:val="18"/>
                <w:szCs w:val="18"/>
                <w:lang w:eastAsia="en-AU"/>
              </w:rPr>
            </w:pPr>
            <w:r w:rsidRPr="00C10545">
              <w:rPr>
                <w:color w:val="000000"/>
                <w:sz w:val="18"/>
                <w:szCs w:val="18"/>
                <w:lang w:eastAsia="en-AU"/>
              </w:rPr>
              <w:t>78%</w:t>
            </w:r>
          </w:p>
        </w:tc>
        <w:tc>
          <w:tcPr>
            <w:tcW w:w="714" w:type="dxa"/>
            <w:tcBorders>
              <w:top w:val="nil"/>
              <w:left w:val="nil"/>
              <w:bottom w:val="single" w:sz="4" w:space="0" w:color="auto"/>
              <w:right w:val="single" w:sz="4" w:space="0" w:color="auto"/>
            </w:tcBorders>
            <w:shd w:val="clear" w:color="000000" w:fill="FCD5B4"/>
            <w:noWrap/>
            <w:vAlign w:val="bottom"/>
            <w:hideMark/>
          </w:tcPr>
          <w:p w14:paraId="0EAC1351" w14:textId="77777777" w:rsidR="009A356E" w:rsidRPr="00C10545" w:rsidRDefault="009A356E" w:rsidP="009A356E">
            <w:pPr>
              <w:jc w:val="right"/>
              <w:rPr>
                <w:color w:val="000000"/>
                <w:sz w:val="18"/>
                <w:szCs w:val="18"/>
                <w:lang w:eastAsia="en-AU"/>
              </w:rPr>
            </w:pPr>
            <w:r w:rsidRPr="00C10545">
              <w:rPr>
                <w:color w:val="000000"/>
                <w:sz w:val="18"/>
                <w:szCs w:val="18"/>
                <w:lang w:eastAsia="en-AU"/>
              </w:rPr>
              <w:t>76%</w:t>
            </w:r>
          </w:p>
        </w:tc>
        <w:tc>
          <w:tcPr>
            <w:tcW w:w="727" w:type="dxa"/>
            <w:tcBorders>
              <w:top w:val="nil"/>
              <w:left w:val="nil"/>
              <w:bottom w:val="single" w:sz="4" w:space="0" w:color="auto"/>
              <w:right w:val="single" w:sz="4" w:space="0" w:color="auto"/>
            </w:tcBorders>
            <w:shd w:val="clear" w:color="auto" w:fill="auto"/>
            <w:noWrap/>
            <w:vAlign w:val="bottom"/>
            <w:hideMark/>
          </w:tcPr>
          <w:p w14:paraId="7A6DBF66" w14:textId="77777777" w:rsidR="009A356E" w:rsidRPr="00C10545" w:rsidRDefault="009A356E" w:rsidP="009A356E">
            <w:pPr>
              <w:jc w:val="right"/>
              <w:rPr>
                <w:color w:val="000000"/>
                <w:sz w:val="18"/>
                <w:szCs w:val="18"/>
                <w:lang w:eastAsia="en-AU"/>
              </w:rPr>
            </w:pPr>
            <w:r w:rsidRPr="00C10545">
              <w:rPr>
                <w:color w:val="000000"/>
                <w:sz w:val="18"/>
                <w:szCs w:val="18"/>
                <w:lang w:eastAsia="en-AU"/>
              </w:rPr>
              <w:t>62%</w:t>
            </w:r>
          </w:p>
        </w:tc>
        <w:tc>
          <w:tcPr>
            <w:tcW w:w="727" w:type="dxa"/>
            <w:tcBorders>
              <w:top w:val="nil"/>
              <w:left w:val="nil"/>
              <w:bottom w:val="single" w:sz="4" w:space="0" w:color="auto"/>
              <w:right w:val="single" w:sz="4" w:space="0" w:color="auto"/>
            </w:tcBorders>
            <w:shd w:val="clear" w:color="auto" w:fill="auto"/>
            <w:noWrap/>
            <w:vAlign w:val="bottom"/>
            <w:hideMark/>
          </w:tcPr>
          <w:p w14:paraId="5F549600" w14:textId="77777777" w:rsidR="009A356E" w:rsidRPr="00C10545" w:rsidRDefault="009A356E" w:rsidP="009A356E">
            <w:pPr>
              <w:jc w:val="right"/>
              <w:rPr>
                <w:color w:val="000000"/>
                <w:sz w:val="18"/>
                <w:szCs w:val="18"/>
                <w:lang w:eastAsia="en-AU"/>
              </w:rPr>
            </w:pPr>
            <w:r w:rsidRPr="00C10545">
              <w:rPr>
                <w:color w:val="000000"/>
                <w:sz w:val="18"/>
                <w:szCs w:val="18"/>
                <w:lang w:eastAsia="en-AU"/>
              </w:rPr>
              <w:t>76%</w:t>
            </w:r>
          </w:p>
        </w:tc>
        <w:tc>
          <w:tcPr>
            <w:tcW w:w="727" w:type="dxa"/>
            <w:tcBorders>
              <w:top w:val="nil"/>
              <w:left w:val="nil"/>
              <w:bottom w:val="single" w:sz="4" w:space="0" w:color="auto"/>
              <w:right w:val="single" w:sz="4" w:space="0" w:color="auto"/>
            </w:tcBorders>
            <w:shd w:val="clear" w:color="auto" w:fill="auto"/>
            <w:noWrap/>
            <w:vAlign w:val="bottom"/>
            <w:hideMark/>
          </w:tcPr>
          <w:p w14:paraId="4B0B780F" w14:textId="77777777" w:rsidR="009A356E" w:rsidRPr="00C10545" w:rsidRDefault="009A356E" w:rsidP="009A356E">
            <w:pPr>
              <w:jc w:val="right"/>
              <w:rPr>
                <w:color w:val="000000"/>
                <w:sz w:val="18"/>
                <w:szCs w:val="18"/>
                <w:lang w:eastAsia="en-AU"/>
              </w:rPr>
            </w:pPr>
            <w:r w:rsidRPr="00C10545">
              <w:rPr>
                <w:color w:val="000000"/>
                <w:sz w:val="18"/>
                <w:szCs w:val="18"/>
                <w:lang w:eastAsia="en-AU"/>
              </w:rPr>
              <w:t>59%</w:t>
            </w:r>
          </w:p>
        </w:tc>
        <w:tc>
          <w:tcPr>
            <w:tcW w:w="872" w:type="dxa"/>
            <w:tcBorders>
              <w:top w:val="nil"/>
              <w:left w:val="nil"/>
              <w:bottom w:val="single" w:sz="4" w:space="0" w:color="auto"/>
              <w:right w:val="single" w:sz="4" w:space="0" w:color="auto"/>
            </w:tcBorders>
            <w:shd w:val="clear" w:color="auto" w:fill="auto"/>
            <w:noWrap/>
            <w:vAlign w:val="bottom"/>
            <w:hideMark/>
          </w:tcPr>
          <w:p w14:paraId="1209AD2C" w14:textId="77777777" w:rsidR="009A356E" w:rsidRPr="00C10545" w:rsidRDefault="009A356E" w:rsidP="009A356E">
            <w:pPr>
              <w:jc w:val="right"/>
              <w:rPr>
                <w:color w:val="000000"/>
                <w:sz w:val="18"/>
                <w:szCs w:val="18"/>
                <w:lang w:eastAsia="en-AU"/>
              </w:rPr>
            </w:pPr>
            <w:r w:rsidRPr="00C10545">
              <w:rPr>
                <w:color w:val="000000"/>
                <w:sz w:val="18"/>
                <w:szCs w:val="18"/>
                <w:lang w:eastAsia="en-AU"/>
              </w:rPr>
              <w:t>78%</w:t>
            </w:r>
          </w:p>
        </w:tc>
        <w:tc>
          <w:tcPr>
            <w:tcW w:w="727" w:type="dxa"/>
            <w:tcBorders>
              <w:top w:val="nil"/>
              <w:left w:val="nil"/>
              <w:bottom w:val="single" w:sz="4" w:space="0" w:color="auto"/>
              <w:right w:val="single" w:sz="4" w:space="0" w:color="auto"/>
            </w:tcBorders>
            <w:shd w:val="clear" w:color="auto" w:fill="auto"/>
            <w:noWrap/>
            <w:vAlign w:val="bottom"/>
            <w:hideMark/>
          </w:tcPr>
          <w:p w14:paraId="18451CAC" w14:textId="77777777" w:rsidR="009A356E" w:rsidRPr="00C10545" w:rsidRDefault="009A356E" w:rsidP="009A356E">
            <w:pPr>
              <w:jc w:val="right"/>
              <w:rPr>
                <w:color w:val="000000"/>
                <w:sz w:val="18"/>
                <w:szCs w:val="18"/>
                <w:lang w:eastAsia="en-AU"/>
              </w:rPr>
            </w:pPr>
            <w:r w:rsidRPr="00C10545">
              <w:rPr>
                <w:color w:val="000000"/>
                <w:sz w:val="18"/>
                <w:szCs w:val="18"/>
                <w:lang w:eastAsia="en-AU"/>
              </w:rPr>
              <w:t>64%</w:t>
            </w:r>
          </w:p>
        </w:tc>
      </w:tr>
      <w:tr w:rsidR="009A356E" w:rsidRPr="00CB3038" w14:paraId="122BBB46" w14:textId="77777777" w:rsidTr="009A356E">
        <w:trPr>
          <w:trHeight w:val="255"/>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57846E5" w14:textId="77777777" w:rsidR="009A356E" w:rsidRPr="00C10545" w:rsidRDefault="009A356E" w:rsidP="009A356E">
            <w:pPr>
              <w:rPr>
                <w:sz w:val="18"/>
                <w:szCs w:val="18"/>
                <w:lang w:eastAsia="en-AU"/>
              </w:rPr>
            </w:pPr>
            <w:r w:rsidRPr="00C10545">
              <w:rPr>
                <w:sz w:val="18"/>
                <w:szCs w:val="18"/>
                <w:lang w:eastAsia="en-AU"/>
              </w:rPr>
              <w:t>C</w:t>
            </w:r>
          </w:p>
        </w:tc>
        <w:tc>
          <w:tcPr>
            <w:tcW w:w="714" w:type="dxa"/>
            <w:tcBorders>
              <w:top w:val="nil"/>
              <w:left w:val="nil"/>
              <w:bottom w:val="single" w:sz="4" w:space="0" w:color="auto"/>
              <w:right w:val="single" w:sz="4" w:space="0" w:color="auto"/>
            </w:tcBorders>
            <w:shd w:val="clear" w:color="000000" w:fill="FCD5B4"/>
            <w:noWrap/>
            <w:vAlign w:val="bottom"/>
            <w:hideMark/>
          </w:tcPr>
          <w:p w14:paraId="12448CD2" w14:textId="77777777" w:rsidR="009A356E" w:rsidRPr="00C10545" w:rsidRDefault="009A356E" w:rsidP="009A356E">
            <w:pPr>
              <w:jc w:val="right"/>
              <w:rPr>
                <w:color w:val="000000"/>
                <w:sz w:val="18"/>
                <w:szCs w:val="18"/>
                <w:lang w:eastAsia="en-AU"/>
              </w:rPr>
            </w:pPr>
            <w:r w:rsidRPr="00C10545">
              <w:rPr>
                <w:color w:val="000000"/>
                <w:sz w:val="18"/>
                <w:szCs w:val="18"/>
                <w:lang w:eastAsia="en-AU"/>
              </w:rPr>
              <w:t>55%</w:t>
            </w:r>
          </w:p>
        </w:tc>
        <w:tc>
          <w:tcPr>
            <w:tcW w:w="853" w:type="dxa"/>
            <w:tcBorders>
              <w:top w:val="nil"/>
              <w:left w:val="nil"/>
              <w:bottom w:val="single" w:sz="4" w:space="0" w:color="auto"/>
              <w:right w:val="single" w:sz="4" w:space="0" w:color="auto"/>
            </w:tcBorders>
            <w:shd w:val="clear" w:color="000000" w:fill="FCD5B4"/>
            <w:noWrap/>
            <w:vAlign w:val="bottom"/>
            <w:hideMark/>
          </w:tcPr>
          <w:p w14:paraId="6ADB0EA8" w14:textId="77777777" w:rsidR="009A356E" w:rsidRPr="00C10545" w:rsidRDefault="009A356E" w:rsidP="009A356E">
            <w:pPr>
              <w:jc w:val="right"/>
              <w:rPr>
                <w:color w:val="000000"/>
                <w:sz w:val="18"/>
                <w:szCs w:val="18"/>
                <w:lang w:eastAsia="en-AU"/>
              </w:rPr>
            </w:pPr>
            <w:r w:rsidRPr="00C10545">
              <w:rPr>
                <w:color w:val="000000"/>
                <w:sz w:val="18"/>
                <w:szCs w:val="18"/>
                <w:lang w:eastAsia="en-AU"/>
              </w:rPr>
              <w:t>60%</w:t>
            </w:r>
          </w:p>
        </w:tc>
        <w:tc>
          <w:tcPr>
            <w:tcW w:w="853" w:type="dxa"/>
            <w:tcBorders>
              <w:top w:val="nil"/>
              <w:left w:val="nil"/>
              <w:bottom w:val="single" w:sz="4" w:space="0" w:color="auto"/>
              <w:right w:val="single" w:sz="4" w:space="0" w:color="auto"/>
            </w:tcBorders>
            <w:shd w:val="clear" w:color="000000" w:fill="FCD5B4"/>
            <w:noWrap/>
            <w:vAlign w:val="bottom"/>
            <w:hideMark/>
          </w:tcPr>
          <w:p w14:paraId="70CE2FF9" w14:textId="77777777" w:rsidR="009A356E" w:rsidRPr="00C10545" w:rsidRDefault="009A356E" w:rsidP="009A356E">
            <w:pPr>
              <w:jc w:val="right"/>
              <w:rPr>
                <w:color w:val="000000"/>
                <w:sz w:val="18"/>
                <w:szCs w:val="18"/>
                <w:lang w:eastAsia="en-AU"/>
              </w:rPr>
            </w:pPr>
            <w:r w:rsidRPr="00C10545">
              <w:rPr>
                <w:color w:val="000000"/>
                <w:sz w:val="18"/>
                <w:szCs w:val="18"/>
                <w:lang w:eastAsia="en-AU"/>
              </w:rPr>
              <w:t>56%</w:t>
            </w:r>
          </w:p>
        </w:tc>
        <w:tc>
          <w:tcPr>
            <w:tcW w:w="853" w:type="dxa"/>
            <w:tcBorders>
              <w:top w:val="nil"/>
              <w:left w:val="nil"/>
              <w:bottom w:val="single" w:sz="4" w:space="0" w:color="auto"/>
              <w:right w:val="single" w:sz="4" w:space="0" w:color="auto"/>
            </w:tcBorders>
            <w:shd w:val="clear" w:color="000000" w:fill="FCD5B4"/>
            <w:noWrap/>
            <w:vAlign w:val="bottom"/>
            <w:hideMark/>
          </w:tcPr>
          <w:p w14:paraId="311367B5" w14:textId="77777777" w:rsidR="009A356E" w:rsidRPr="00C10545" w:rsidRDefault="009A356E" w:rsidP="009A356E">
            <w:pPr>
              <w:jc w:val="right"/>
              <w:rPr>
                <w:color w:val="000000"/>
                <w:sz w:val="18"/>
                <w:szCs w:val="18"/>
                <w:lang w:eastAsia="en-AU"/>
              </w:rPr>
            </w:pPr>
            <w:r w:rsidRPr="00C10545">
              <w:rPr>
                <w:color w:val="000000"/>
                <w:sz w:val="18"/>
                <w:szCs w:val="18"/>
                <w:lang w:eastAsia="en-AU"/>
              </w:rPr>
              <w:t>79%</w:t>
            </w:r>
          </w:p>
        </w:tc>
        <w:tc>
          <w:tcPr>
            <w:tcW w:w="714" w:type="dxa"/>
            <w:tcBorders>
              <w:top w:val="nil"/>
              <w:left w:val="nil"/>
              <w:bottom w:val="single" w:sz="4" w:space="0" w:color="auto"/>
              <w:right w:val="single" w:sz="4" w:space="0" w:color="auto"/>
            </w:tcBorders>
            <w:shd w:val="clear" w:color="000000" w:fill="FCD5B4"/>
            <w:noWrap/>
            <w:vAlign w:val="bottom"/>
            <w:hideMark/>
          </w:tcPr>
          <w:p w14:paraId="507E5528" w14:textId="77777777" w:rsidR="009A356E" w:rsidRPr="00C10545" w:rsidRDefault="009A356E" w:rsidP="009A356E">
            <w:pPr>
              <w:jc w:val="right"/>
              <w:rPr>
                <w:color w:val="000000"/>
                <w:sz w:val="18"/>
                <w:szCs w:val="18"/>
                <w:lang w:eastAsia="en-AU"/>
              </w:rPr>
            </w:pPr>
            <w:r w:rsidRPr="00C10545">
              <w:rPr>
                <w:color w:val="000000"/>
                <w:sz w:val="18"/>
                <w:szCs w:val="18"/>
                <w:lang w:eastAsia="en-AU"/>
              </w:rPr>
              <w:t>57%</w:t>
            </w:r>
          </w:p>
        </w:tc>
        <w:tc>
          <w:tcPr>
            <w:tcW w:w="727" w:type="dxa"/>
            <w:tcBorders>
              <w:top w:val="nil"/>
              <w:left w:val="nil"/>
              <w:bottom w:val="single" w:sz="4" w:space="0" w:color="auto"/>
              <w:right w:val="single" w:sz="4" w:space="0" w:color="auto"/>
            </w:tcBorders>
            <w:shd w:val="clear" w:color="auto" w:fill="auto"/>
            <w:noWrap/>
            <w:vAlign w:val="bottom"/>
            <w:hideMark/>
          </w:tcPr>
          <w:p w14:paraId="1995C789" w14:textId="77777777" w:rsidR="009A356E" w:rsidRPr="00C10545" w:rsidRDefault="009A356E" w:rsidP="009A356E">
            <w:pPr>
              <w:jc w:val="right"/>
              <w:rPr>
                <w:color w:val="000000"/>
                <w:sz w:val="18"/>
                <w:szCs w:val="18"/>
                <w:lang w:eastAsia="en-AU"/>
              </w:rPr>
            </w:pPr>
            <w:r w:rsidRPr="00C10545">
              <w:rPr>
                <w:color w:val="000000"/>
                <w:sz w:val="18"/>
                <w:szCs w:val="18"/>
                <w:lang w:eastAsia="en-AU"/>
              </w:rPr>
              <w:t>43%</w:t>
            </w:r>
          </w:p>
        </w:tc>
        <w:tc>
          <w:tcPr>
            <w:tcW w:w="727" w:type="dxa"/>
            <w:tcBorders>
              <w:top w:val="nil"/>
              <w:left w:val="nil"/>
              <w:bottom w:val="single" w:sz="4" w:space="0" w:color="auto"/>
              <w:right w:val="single" w:sz="4" w:space="0" w:color="auto"/>
            </w:tcBorders>
            <w:shd w:val="clear" w:color="auto" w:fill="auto"/>
            <w:noWrap/>
            <w:vAlign w:val="bottom"/>
            <w:hideMark/>
          </w:tcPr>
          <w:p w14:paraId="22148ABE" w14:textId="77777777" w:rsidR="009A356E" w:rsidRPr="00C10545" w:rsidRDefault="009A356E" w:rsidP="009A356E">
            <w:pPr>
              <w:jc w:val="right"/>
              <w:rPr>
                <w:color w:val="000000"/>
                <w:sz w:val="18"/>
                <w:szCs w:val="18"/>
                <w:lang w:eastAsia="en-AU"/>
              </w:rPr>
            </w:pPr>
            <w:r w:rsidRPr="00C10545">
              <w:rPr>
                <w:color w:val="000000"/>
                <w:sz w:val="18"/>
                <w:szCs w:val="18"/>
                <w:lang w:eastAsia="en-AU"/>
              </w:rPr>
              <w:t>39%</w:t>
            </w:r>
          </w:p>
        </w:tc>
        <w:tc>
          <w:tcPr>
            <w:tcW w:w="727" w:type="dxa"/>
            <w:tcBorders>
              <w:top w:val="nil"/>
              <w:left w:val="nil"/>
              <w:bottom w:val="single" w:sz="4" w:space="0" w:color="auto"/>
              <w:right w:val="single" w:sz="4" w:space="0" w:color="auto"/>
            </w:tcBorders>
            <w:shd w:val="clear" w:color="auto" w:fill="auto"/>
            <w:noWrap/>
            <w:vAlign w:val="bottom"/>
            <w:hideMark/>
          </w:tcPr>
          <w:p w14:paraId="091B68CD" w14:textId="77777777" w:rsidR="009A356E" w:rsidRPr="00C10545" w:rsidRDefault="009A356E" w:rsidP="009A356E">
            <w:pPr>
              <w:jc w:val="right"/>
              <w:rPr>
                <w:color w:val="000000"/>
                <w:sz w:val="18"/>
                <w:szCs w:val="18"/>
                <w:lang w:eastAsia="en-AU"/>
              </w:rPr>
            </w:pPr>
            <w:r w:rsidRPr="00C10545">
              <w:rPr>
                <w:color w:val="000000"/>
                <w:sz w:val="18"/>
                <w:szCs w:val="18"/>
                <w:lang w:eastAsia="en-AU"/>
              </w:rPr>
              <w:t>35%</w:t>
            </w:r>
          </w:p>
        </w:tc>
        <w:tc>
          <w:tcPr>
            <w:tcW w:w="872" w:type="dxa"/>
            <w:tcBorders>
              <w:top w:val="nil"/>
              <w:left w:val="nil"/>
              <w:bottom w:val="single" w:sz="4" w:space="0" w:color="auto"/>
              <w:right w:val="single" w:sz="4" w:space="0" w:color="auto"/>
            </w:tcBorders>
            <w:shd w:val="clear" w:color="auto" w:fill="auto"/>
            <w:noWrap/>
            <w:vAlign w:val="bottom"/>
            <w:hideMark/>
          </w:tcPr>
          <w:p w14:paraId="7B9048C6" w14:textId="77777777" w:rsidR="009A356E" w:rsidRPr="00C10545" w:rsidRDefault="009A356E" w:rsidP="009A356E">
            <w:pPr>
              <w:jc w:val="right"/>
              <w:rPr>
                <w:color w:val="000000"/>
                <w:sz w:val="18"/>
                <w:szCs w:val="18"/>
                <w:lang w:eastAsia="en-AU"/>
              </w:rPr>
            </w:pPr>
            <w:r w:rsidRPr="00C10545">
              <w:rPr>
                <w:color w:val="000000"/>
                <w:sz w:val="18"/>
                <w:szCs w:val="18"/>
                <w:lang w:eastAsia="en-AU"/>
              </w:rPr>
              <w:t>77%</w:t>
            </w:r>
          </w:p>
        </w:tc>
        <w:tc>
          <w:tcPr>
            <w:tcW w:w="727" w:type="dxa"/>
            <w:tcBorders>
              <w:top w:val="nil"/>
              <w:left w:val="nil"/>
              <w:bottom w:val="single" w:sz="4" w:space="0" w:color="auto"/>
              <w:right w:val="single" w:sz="4" w:space="0" w:color="auto"/>
            </w:tcBorders>
            <w:shd w:val="clear" w:color="auto" w:fill="auto"/>
            <w:noWrap/>
            <w:vAlign w:val="bottom"/>
            <w:hideMark/>
          </w:tcPr>
          <w:p w14:paraId="6944DEFF" w14:textId="77777777" w:rsidR="009A356E" w:rsidRPr="00C10545" w:rsidRDefault="009A356E" w:rsidP="009A356E">
            <w:pPr>
              <w:jc w:val="right"/>
              <w:rPr>
                <w:color w:val="000000"/>
                <w:sz w:val="18"/>
                <w:szCs w:val="18"/>
                <w:lang w:eastAsia="en-AU"/>
              </w:rPr>
            </w:pPr>
            <w:r w:rsidRPr="00C10545">
              <w:rPr>
                <w:color w:val="000000"/>
                <w:sz w:val="18"/>
                <w:szCs w:val="18"/>
                <w:lang w:eastAsia="en-AU"/>
              </w:rPr>
              <w:t>43%</w:t>
            </w:r>
          </w:p>
        </w:tc>
      </w:tr>
      <w:tr w:rsidR="009A356E" w:rsidRPr="00CB3038" w14:paraId="32F9EDD4" w14:textId="77777777" w:rsidTr="009A356E">
        <w:trPr>
          <w:trHeight w:val="255"/>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2BC2FB7" w14:textId="77777777" w:rsidR="009A356E" w:rsidRPr="00C10545" w:rsidRDefault="009A356E" w:rsidP="009A356E">
            <w:pPr>
              <w:rPr>
                <w:sz w:val="18"/>
                <w:szCs w:val="18"/>
                <w:lang w:eastAsia="en-AU"/>
              </w:rPr>
            </w:pPr>
            <w:r w:rsidRPr="00C10545">
              <w:rPr>
                <w:sz w:val="18"/>
                <w:szCs w:val="18"/>
                <w:lang w:eastAsia="en-AU"/>
              </w:rPr>
              <w:t>D</w:t>
            </w:r>
          </w:p>
        </w:tc>
        <w:tc>
          <w:tcPr>
            <w:tcW w:w="714" w:type="dxa"/>
            <w:tcBorders>
              <w:top w:val="nil"/>
              <w:left w:val="nil"/>
              <w:bottom w:val="single" w:sz="4" w:space="0" w:color="auto"/>
              <w:right w:val="single" w:sz="4" w:space="0" w:color="auto"/>
            </w:tcBorders>
            <w:shd w:val="clear" w:color="000000" w:fill="FCD5B4"/>
            <w:noWrap/>
            <w:vAlign w:val="bottom"/>
            <w:hideMark/>
          </w:tcPr>
          <w:p w14:paraId="787F5DAA" w14:textId="77777777" w:rsidR="009A356E" w:rsidRPr="00C10545" w:rsidRDefault="009A356E" w:rsidP="009A356E">
            <w:pPr>
              <w:jc w:val="right"/>
              <w:rPr>
                <w:color w:val="000000"/>
                <w:sz w:val="18"/>
                <w:szCs w:val="18"/>
                <w:lang w:eastAsia="en-AU"/>
              </w:rPr>
            </w:pPr>
            <w:r w:rsidRPr="00C10545">
              <w:rPr>
                <w:color w:val="000000"/>
                <w:sz w:val="18"/>
                <w:szCs w:val="18"/>
                <w:lang w:eastAsia="en-AU"/>
              </w:rPr>
              <w:t>63%</w:t>
            </w:r>
          </w:p>
        </w:tc>
        <w:tc>
          <w:tcPr>
            <w:tcW w:w="853" w:type="dxa"/>
            <w:tcBorders>
              <w:top w:val="nil"/>
              <w:left w:val="nil"/>
              <w:bottom w:val="single" w:sz="4" w:space="0" w:color="auto"/>
              <w:right w:val="single" w:sz="4" w:space="0" w:color="auto"/>
            </w:tcBorders>
            <w:shd w:val="clear" w:color="000000" w:fill="FCD5B4"/>
            <w:noWrap/>
            <w:vAlign w:val="bottom"/>
            <w:hideMark/>
          </w:tcPr>
          <w:p w14:paraId="493928F6" w14:textId="77777777" w:rsidR="009A356E" w:rsidRPr="00C10545" w:rsidRDefault="009A356E" w:rsidP="009A356E">
            <w:pPr>
              <w:jc w:val="right"/>
              <w:rPr>
                <w:color w:val="000000"/>
                <w:sz w:val="18"/>
                <w:szCs w:val="18"/>
                <w:lang w:eastAsia="en-AU"/>
              </w:rPr>
            </w:pPr>
            <w:r w:rsidRPr="00C10545">
              <w:rPr>
                <w:color w:val="000000"/>
                <w:sz w:val="18"/>
                <w:szCs w:val="18"/>
                <w:lang w:eastAsia="en-AU"/>
              </w:rPr>
              <w:t>61%</w:t>
            </w:r>
          </w:p>
        </w:tc>
        <w:tc>
          <w:tcPr>
            <w:tcW w:w="853" w:type="dxa"/>
            <w:tcBorders>
              <w:top w:val="nil"/>
              <w:left w:val="nil"/>
              <w:bottom w:val="single" w:sz="4" w:space="0" w:color="auto"/>
              <w:right w:val="single" w:sz="4" w:space="0" w:color="auto"/>
            </w:tcBorders>
            <w:shd w:val="clear" w:color="000000" w:fill="FCD5B4"/>
            <w:noWrap/>
            <w:vAlign w:val="bottom"/>
            <w:hideMark/>
          </w:tcPr>
          <w:p w14:paraId="30E535EB" w14:textId="77777777" w:rsidR="009A356E" w:rsidRPr="00C10545" w:rsidRDefault="009A356E" w:rsidP="009A356E">
            <w:pPr>
              <w:jc w:val="right"/>
              <w:rPr>
                <w:color w:val="000000"/>
                <w:sz w:val="18"/>
                <w:szCs w:val="18"/>
                <w:lang w:eastAsia="en-AU"/>
              </w:rPr>
            </w:pPr>
            <w:r w:rsidRPr="00C10545">
              <w:rPr>
                <w:color w:val="000000"/>
                <w:sz w:val="18"/>
                <w:szCs w:val="18"/>
                <w:lang w:eastAsia="en-AU"/>
              </w:rPr>
              <w:t>66%</w:t>
            </w:r>
          </w:p>
        </w:tc>
        <w:tc>
          <w:tcPr>
            <w:tcW w:w="853" w:type="dxa"/>
            <w:tcBorders>
              <w:top w:val="nil"/>
              <w:left w:val="nil"/>
              <w:bottom w:val="single" w:sz="4" w:space="0" w:color="auto"/>
              <w:right w:val="single" w:sz="4" w:space="0" w:color="auto"/>
            </w:tcBorders>
            <w:shd w:val="clear" w:color="000000" w:fill="FCD5B4"/>
            <w:noWrap/>
            <w:vAlign w:val="bottom"/>
            <w:hideMark/>
          </w:tcPr>
          <w:p w14:paraId="645235F6" w14:textId="77777777" w:rsidR="009A356E" w:rsidRPr="00C10545" w:rsidRDefault="009A356E" w:rsidP="009A356E">
            <w:pPr>
              <w:jc w:val="right"/>
              <w:rPr>
                <w:color w:val="000000"/>
                <w:sz w:val="18"/>
                <w:szCs w:val="18"/>
                <w:lang w:eastAsia="en-AU"/>
              </w:rPr>
            </w:pPr>
            <w:r w:rsidRPr="00C10545">
              <w:rPr>
                <w:color w:val="000000"/>
                <w:sz w:val="18"/>
                <w:szCs w:val="18"/>
                <w:lang w:eastAsia="en-AU"/>
              </w:rPr>
              <w:t>82%</w:t>
            </w:r>
          </w:p>
        </w:tc>
        <w:tc>
          <w:tcPr>
            <w:tcW w:w="714" w:type="dxa"/>
            <w:tcBorders>
              <w:top w:val="nil"/>
              <w:left w:val="nil"/>
              <w:bottom w:val="single" w:sz="4" w:space="0" w:color="auto"/>
              <w:right w:val="single" w:sz="4" w:space="0" w:color="auto"/>
            </w:tcBorders>
            <w:shd w:val="clear" w:color="000000" w:fill="FCD5B4"/>
            <w:noWrap/>
            <w:vAlign w:val="bottom"/>
            <w:hideMark/>
          </w:tcPr>
          <w:p w14:paraId="40ED040C" w14:textId="77777777" w:rsidR="009A356E" w:rsidRPr="00C10545" w:rsidRDefault="009A356E" w:rsidP="009A356E">
            <w:pPr>
              <w:jc w:val="right"/>
              <w:rPr>
                <w:color w:val="000000"/>
                <w:sz w:val="18"/>
                <w:szCs w:val="18"/>
                <w:lang w:eastAsia="en-AU"/>
              </w:rPr>
            </w:pPr>
            <w:r w:rsidRPr="00C10545">
              <w:rPr>
                <w:color w:val="000000"/>
                <w:sz w:val="18"/>
                <w:szCs w:val="18"/>
                <w:lang w:eastAsia="en-AU"/>
              </w:rPr>
              <w:t>65%</w:t>
            </w:r>
          </w:p>
        </w:tc>
        <w:tc>
          <w:tcPr>
            <w:tcW w:w="727" w:type="dxa"/>
            <w:tcBorders>
              <w:top w:val="nil"/>
              <w:left w:val="nil"/>
              <w:bottom w:val="single" w:sz="4" w:space="0" w:color="auto"/>
              <w:right w:val="single" w:sz="4" w:space="0" w:color="auto"/>
            </w:tcBorders>
            <w:shd w:val="clear" w:color="auto" w:fill="auto"/>
            <w:noWrap/>
            <w:vAlign w:val="bottom"/>
            <w:hideMark/>
          </w:tcPr>
          <w:p w14:paraId="5FC1067E" w14:textId="77777777" w:rsidR="009A356E" w:rsidRPr="00C10545" w:rsidRDefault="009A356E" w:rsidP="009A356E">
            <w:pPr>
              <w:jc w:val="right"/>
              <w:rPr>
                <w:color w:val="000000"/>
                <w:sz w:val="18"/>
                <w:szCs w:val="18"/>
                <w:lang w:eastAsia="en-AU"/>
              </w:rPr>
            </w:pPr>
            <w:r w:rsidRPr="00C10545">
              <w:rPr>
                <w:color w:val="000000"/>
                <w:sz w:val="18"/>
                <w:szCs w:val="18"/>
                <w:lang w:eastAsia="en-AU"/>
              </w:rPr>
              <w:t>45%</w:t>
            </w:r>
          </w:p>
        </w:tc>
        <w:tc>
          <w:tcPr>
            <w:tcW w:w="727" w:type="dxa"/>
            <w:tcBorders>
              <w:top w:val="nil"/>
              <w:left w:val="nil"/>
              <w:bottom w:val="single" w:sz="4" w:space="0" w:color="auto"/>
              <w:right w:val="single" w:sz="4" w:space="0" w:color="auto"/>
            </w:tcBorders>
            <w:shd w:val="clear" w:color="auto" w:fill="auto"/>
            <w:noWrap/>
            <w:vAlign w:val="bottom"/>
            <w:hideMark/>
          </w:tcPr>
          <w:p w14:paraId="0B22EA37" w14:textId="77777777" w:rsidR="009A356E" w:rsidRPr="00C10545" w:rsidRDefault="009A356E" w:rsidP="009A356E">
            <w:pPr>
              <w:jc w:val="right"/>
              <w:rPr>
                <w:color w:val="000000"/>
                <w:sz w:val="18"/>
                <w:szCs w:val="18"/>
                <w:lang w:eastAsia="en-AU"/>
              </w:rPr>
            </w:pPr>
            <w:r w:rsidRPr="00C10545">
              <w:rPr>
                <w:color w:val="000000"/>
                <w:sz w:val="18"/>
                <w:szCs w:val="18"/>
                <w:lang w:eastAsia="en-AU"/>
              </w:rPr>
              <w:t>35%</w:t>
            </w:r>
          </w:p>
        </w:tc>
        <w:tc>
          <w:tcPr>
            <w:tcW w:w="727" w:type="dxa"/>
            <w:tcBorders>
              <w:top w:val="nil"/>
              <w:left w:val="nil"/>
              <w:bottom w:val="single" w:sz="4" w:space="0" w:color="auto"/>
              <w:right w:val="single" w:sz="4" w:space="0" w:color="auto"/>
            </w:tcBorders>
            <w:shd w:val="clear" w:color="auto" w:fill="auto"/>
            <w:noWrap/>
            <w:vAlign w:val="bottom"/>
            <w:hideMark/>
          </w:tcPr>
          <w:p w14:paraId="557FFCAC" w14:textId="77777777" w:rsidR="009A356E" w:rsidRPr="00C10545" w:rsidRDefault="009A356E" w:rsidP="009A356E">
            <w:pPr>
              <w:jc w:val="right"/>
              <w:rPr>
                <w:color w:val="000000"/>
                <w:sz w:val="18"/>
                <w:szCs w:val="18"/>
                <w:lang w:eastAsia="en-AU"/>
              </w:rPr>
            </w:pPr>
            <w:r w:rsidRPr="00C10545">
              <w:rPr>
                <w:color w:val="000000"/>
                <w:sz w:val="18"/>
                <w:szCs w:val="18"/>
                <w:lang w:eastAsia="en-AU"/>
              </w:rPr>
              <w:t>34%</w:t>
            </w:r>
          </w:p>
        </w:tc>
        <w:tc>
          <w:tcPr>
            <w:tcW w:w="872" w:type="dxa"/>
            <w:tcBorders>
              <w:top w:val="nil"/>
              <w:left w:val="nil"/>
              <w:bottom w:val="single" w:sz="4" w:space="0" w:color="auto"/>
              <w:right w:val="single" w:sz="4" w:space="0" w:color="auto"/>
            </w:tcBorders>
            <w:shd w:val="clear" w:color="auto" w:fill="auto"/>
            <w:noWrap/>
            <w:vAlign w:val="bottom"/>
            <w:hideMark/>
          </w:tcPr>
          <w:p w14:paraId="2A0D3145" w14:textId="77777777" w:rsidR="009A356E" w:rsidRPr="00C10545" w:rsidRDefault="009A356E" w:rsidP="009A356E">
            <w:pPr>
              <w:jc w:val="right"/>
              <w:rPr>
                <w:color w:val="000000"/>
                <w:sz w:val="18"/>
                <w:szCs w:val="18"/>
                <w:lang w:eastAsia="en-AU"/>
              </w:rPr>
            </w:pPr>
            <w:r w:rsidRPr="00C10545">
              <w:rPr>
                <w:color w:val="000000"/>
                <w:sz w:val="18"/>
                <w:szCs w:val="18"/>
                <w:lang w:eastAsia="en-AU"/>
              </w:rPr>
              <w:t>77%</w:t>
            </w:r>
          </w:p>
        </w:tc>
        <w:tc>
          <w:tcPr>
            <w:tcW w:w="727" w:type="dxa"/>
            <w:tcBorders>
              <w:top w:val="nil"/>
              <w:left w:val="nil"/>
              <w:bottom w:val="single" w:sz="4" w:space="0" w:color="auto"/>
              <w:right w:val="single" w:sz="4" w:space="0" w:color="auto"/>
            </w:tcBorders>
            <w:shd w:val="clear" w:color="auto" w:fill="auto"/>
            <w:noWrap/>
            <w:vAlign w:val="bottom"/>
            <w:hideMark/>
          </w:tcPr>
          <w:p w14:paraId="5727F54A" w14:textId="77777777" w:rsidR="009A356E" w:rsidRPr="00C10545" w:rsidRDefault="009A356E" w:rsidP="009A356E">
            <w:pPr>
              <w:jc w:val="right"/>
              <w:rPr>
                <w:color w:val="000000"/>
                <w:sz w:val="18"/>
                <w:szCs w:val="18"/>
                <w:lang w:eastAsia="en-AU"/>
              </w:rPr>
            </w:pPr>
            <w:r w:rsidRPr="00C10545">
              <w:rPr>
                <w:color w:val="000000"/>
                <w:sz w:val="18"/>
                <w:szCs w:val="18"/>
                <w:lang w:eastAsia="en-AU"/>
              </w:rPr>
              <w:t>43%</w:t>
            </w:r>
          </w:p>
        </w:tc>
      </w:tr>
      <w:tr w:rsidR="009A356E" w:rsidRPr="00CB3038" w14:paraId="0BAFAB16" w14:textId="77777777" w:rsidTr="009A356E">
        <w:trPr>
          <w:trHeight w:val="255"/>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9259E9B" w14:textId="77777777" w:rsidR="009A356E" w:rsidRPr="00C10545" w:rsidRDefault="009A356E" w:rsidP="009A356E">
            <w:pPr>
              <w:rPr>
                <w:sz w:val="18"/>
                <w:szCs w:val="18"/>
                <w:lang w:eastAsia="en-AU"/>
              </w:rPr>
            </w:pPr>
            <w:r w:rsidRPr="00C10545">
              <w:rPr>
                <w:sz w:val="18"/>
                <w:szCs w:val="18"/>
                <w:lang w:eastAsia="en-AU"/>
              </w:rPr>
              <w:t>E</w:t>
            </w:r>
          </w:p>
        </w:tc>
        <w:tc>
          <w:tcPr>
            <w:tcW w:w="714" w:type="dxa"/>
            <w:tcBorders>
              <w:top w:val="nil"/>
              <w:left w:val="nil"/>
              <w:bottom w:val="single" w:sz="4" w:space="0" w:color="auto"/>
              <w:right w:val="single" w:sz="4" w:space="0" w:color="auto"/>
            </w:tcBorders>
            <w:shd w:val="clear" w:color="000000" w:fill="FCD5B4"/>
            <w:noWrap/>
            <w:vAlign w:val="bottom"/>
            <w:hideMark/>
          </w:tcPr>
          <w:p w14:paraId="734269CF" w14:textId="77777777" w:rsidR="009A356E" w:rsidRPr="00C10545" w:rsidRDefault="009A356E" w:rsidP="009A356E">
            <w:pPr>
              <w:jc w:val="right"/>
              <w:rPr>
                <w:color w:val="000000"/>
                <w:sz w:val="18"/>
                <w:szCs w:val="18"/>
                <w:lang w:eastAsia="en-AU"/>
              </w:rPr>
            </w:pPr>
            <w:r w:rsidRPr="00C10545">
              <w:rPr>
                <w:color w:val="000000"/>
                <w:sz w:val="18"/>
                <w:szCs w:val="18"/>
                <w:lang w:eastAsia="en-AU"/>
              </w:rPr>
              <w:t>55%</w:t>
            </w:r>
          </w:p>
        </w:tc>
        <w:tc>
          <w:tcPr>
            <w:tcW w:w="853" w:type="dxa"/>
            <w:tcBorders>
              <w:top w:val="nil"/>
              <w:left w:val="nil"/>
              <w:bottom w:val="single" w:sz="4" w:space="0" w:color="auto"/>
              <w:right w:val="single" w:sz="4" w:space="0" w:color="auto"/>
            </w:tcBorders>
            <w:shd w:val="clear" w:color="000000" w:fill="FCD5B4"/>
            <w:noWrap/>
            <w:vAlign w:val="bottom"/>
            <w:hideMark/>
          </w:tcPr>
          <w:p w14:paraId="55E231AB" w14:textId="77777777" w:rsidR="009A356E" w:rsidRPr="00C10545" w:rsidRDefault="009A356E" w:rsidP="009A356E">
            <w:pPr>
              <w:jc w:val="right"/>
              <w:rPr>
                <w:color w:val="000000"/>
                <w:sz w:val="18"/>
                <w:szCs w:val="18"/>
                <w:lang w:eastAsia="en-AU"/>
              </w:rPr>
            </w:pPr>
            <w:r w:rsidRPr="00C10545">
              <w:rPr>
                <w:color w:val="000000"/>
                <w:sz w:val="18"/>
                <w:szCs w:val="18"/>
                <w:lang w:eastAsia="en-AU"/>
              </w:rPr>
              <w:t>55%</w:t>
            </w:r>
          </w:p>
        </w:tc>
        <w:tc>
          <w:tcPr>
            <w:tcW w:w="853" w:type="dxa"/>
            <w:tcBorders>
              <w:top w:val="nil"/>
              <w:left w:val="nil"/>
              <w:bottom w:val="single" w:sz="4" w:space="0" w:color="auto"/>
              <w:right w:val="single" w:sz="4" w:space="0" w:color="auto"/>
            </w:tcBorders>
            <w:shd w:val="clear" w:color="000000" w:fill="FCD5B4"/>
            <w:noWrap/>
            <w:vAlign w:val="bottom"/>
            <w:hideMark/>
          </w:tcPr>
          <w:p w14:paraId="6198568B" w14:textId="77777777" w:rsidR="009A356E" w:rsidRPr="00C10545" w:rsidRDefault="009A356E" w:rsidP="009A356E">
            <w:pPr>
              <w:jc w:val="right"/>
              <w:rPr>
                <w:color w:val="000000"/>
                <w:sz w:val="18"/>
                <w:szCs w:val="18"/>
                <w:lang w:eastAsia="en-AU"/>
              </w:rPr>
            </w:pPr>
            <w:r w:rsidRPr="00C10545">
              <w:rPr>
                <w:color w:val="000000"/>
                <w:sz w:val="18"/>
                <w:szCs w:val="18"/>
                <w:lang w:eastAsia="en-AU"/>
              </w:rPr>
              <w:t>67%</w:t>
            </w:r>
          </w:p>
        </w:tc>
        <w:tc>
          <w:tcPr>
            <w:tcW w:w="853" w:type="dxa"/>
            <w:tcBorders>
              <w:top w:val="nil"/>
              <w:left w:val="nil"/>
              <w:bottom w:val="single" w:sz="4" w:space="0" w:color="auto"/>
              <w:right w:val="single" w:sz="4" w:space="0" w:color="auto"/>
            </w:tcBorders>
            <w:shd w:val="clear" w:color="000000" w:fill="FCD5B4"/>
            <w:noWrap/>
            <w:vAlign w:val="bottom"/>
            <w:hideMark/>
          </w:tcPr>
          <w:p w14:paraId="2C3D0224" w14:textId="77777777" w:rsidR="009A356E" w:rsidRPr="00C10545" w:rsidRDefault="009A356E" w:rsidP="009A356E">
            <w:pPr>
              <w:jc w:val="right"/>
              <w:rPr>
                <w:color w:val="000000"/>
                <w:sz w:val="18"/>
                <w:szCs w:val="18"/>
                <w:lang w:eastAsia="en-AU"/>
              </w:rPr>
            </w:pPr>
            <w:r w:rsidRPr="00C10545">
              <w:rPr>
                <w:color w:val="000000"/>
                <w:sz w:val="18"/>
                <w:szCs w:val="18"/>
                <w:lang w:eastAsia="en-AU"/>
              </w:rPr>
              <w:t>106%</w:t>
            </w:r>
          </w:p>
        </w:tc>
        <w:tc>
          <w:tcPr>
            <w:tcW w:w="714" w:type="dxa"/>
            <w:tcBorders>
              <w:top w:val="nil"/>
              <w:left w:val="nil"/>
              <w:bottom w:val="single" w:sz="4" w:space="0" w:color="auto"/>
              <w:right w:val="single" w:sz="4" w:space="0" w:color="auto"/>
            </w:tcBorders>
            <w:shd w:val="clear" w:color="000000" w:fill="FCD5B4"/>
            <w:noWrap/>
            <w:vAlign w:val="bottom"/>
            <w:hideMark/>
          </w:tcPr>
          <w:p w14:paraId="3B87EB48" w14:textId="77777777" w:rsidR="009A356E" w:rsidRPr="00C10545" w:rsidRDefault="009A356E" w:rsidP="009A356E">
            <w:pPr>
              <w:jc w:val="right"/>
              <w:rPr>
                <w:color w:val="000000"/>
                <w:sz w:val="18"/>
                <w:szCs w:val="18"/>
                <w:lang w:eastAsia="en-AU"/>
              </w:rPr>
            </w:pPr>
            <w:r w:rsidRPr="00C10545">
              <w:rPr>
                <w:color w:val="000000"/>
                <w:sz w:val="18"/>
                <w:szCs w:val="18"/>
                <w:lang w:eastAsia="en-AU"/>
              </w:rPr>
              <w:t>58%</w:t>
            </w:r>
          </w:p>
        </w:tc>
        <w:tc>
          <w:tcPr>
            <w:tcW w:w="727" w:type="dxa"/>
            <w:tcBorders>
              <w:top w:val="nil"/>
              <w:left w:val="nil"/>
              <w:bottom w:val="single" w:sz="4" w:space="0" w:color="auto"/>
              <w:right w:val="single" w:sz="4" w:space="0" w:color="auto"/>
            </w:tcBorders>
            <w:shd w:val="clear" w:color="auto" w:fill="auto"/>
            <w:noWrap/>
            <w:vAlign w:val="bottom"/>
            <w:hideMark/>
          </w:tcPr>
          <w:p w14:paraId="6859F894" w14:textId="77777777" w:rsidR="009A356E" w:rsidRPr="00C10545" w:rsidRDefault="009A356E" w:rsidP="009A356E">
            <w:pPr>
              <w:jc w:val="right"/>
              <w:rPr>
                <w:color w:val="000000"/>
                <w:sz w:val="18"/>
                <w:szCs w:val="18"/>
                <w:lang w:eastAsia="en-AU"/>
              </w:rPr>
            </w:pPr>
            <w:r w:rsidRPr="00C10545">
              <w:rPr>
                <w:color w:val="000000"/>
                <w:sz w:val="18"/>
                <w:szCs w:val="18"/>
                <w:lang w:eastAsia="en-AU"/>
              </w:rPr>
              <w:t>43%</w:t>
            </w:r>
          </w:p>
        </w:tc>
        <w:tc>
          <w:tcPr>
            <w:tcW w:w="727" w:type="dxa"/>
            <w:tcBorders>
              <w:top w:val="nil"/>
              <w:left w:val="nil"/>
              <w:bottom w:val="single" w:sz="4" w:space="0" w:color="auto"/>
              <w:right w:val="single" w:sz="4" w:space="0" w:color="auto"/>
            </w:tcBorders>
            <w:shd w:val="clear" w:color="auto" w:fill="auto"/>
            <w:noWrap/>
            <w:vAlign w:val="bottom"/>
            <w:hideMark/>
          </w:tcPr>
          <w:p w14:paraId="5EA23449" w14:textId="77777777" w:rsidR="009A356E" w:rsidRPr="00C10545" w:rsidRDefault="009A356E" w:rsidP="009A356E">
            <w:pPr>
              <w:jc w:val="right"/>
              <w:rPr>
                <w:color w:val="000000"/>
                <w:sz w:val="18"/>
                <w:szCs w:val="18"/>
                <w:lang w:eastAsia="en-AU"/>
              </w:rPr>
            </w:pPr>
            <w:r w:rsidRPr="00C10545">
              <w:rPr>
                <w:color w:val="000000"/>
                <w:sz w:val="18"/>
                <w:szCs w:val="18"/>
                <w:lang w:eastAsia="en-AU"/>
              </w:rPr>
              <w:t>39%</w:t>
            </w:r>
          </w:p>
        </w:tc>
        <w:tc>
          <w:tcPr>
            <w:tcW w:w="727" w:type="dxa"/>
            <w:tcBorders>
              <w:top w:val="nil"/>
              <w:left w:val="nil"/>
              <w:bottom w:val="single" w:sz="4" w:space="0" w:color="auto"/>
              <w:right w:val="single" w:sz="4" w:space="0" w:color="auto"/>
            </w:tcBorders>
            <w:shd w:val="clear" w:color="auto" w:fill="auto"/>
            <w:noWrap/>
            <w:vAlign w:val="bottom"/>
            <w:hideMark/>
          </w:tcPr>
          <w:p w14:paraId="0FBCAB4A" w14:textId="77777777" w:rsidR="009A356E" w:rsidRPr="00C10545" w:rsidRDefault="009A356E" w:rsidP="009A356E">
            <w:pPr>
              <w:jc w:val="right"/>
              <w:rPr>
                <w:color w:val="000000"/>
                <w:sz w:val="18"/>
                <w:szCs w:val="18"/>
                <w:lang w:eastAsia="en-AU"/>
              </w:rPr>
            </w:pPr>
            <w:r w:rsidRPr="00C10545">
              <w:rPr>
                <w:color w:val="000000"/>
                <w:sz w:val="18"/>
                <w:szCs w:val="18"/>
                <w:lang w:eastAsia="en-AU"/>
              </w:rPr>
              <w:t>63%</w:t>
            </w:r>
          </w:p>
        </w:tc>
        <w:tc>
          <w:tcPr>
            <w:tcW w:w="872" w:type="dxa"/>
            <w:tcBorders>
              <w:top w:val="nil"/>
              <w:left w:val="nil"/>
              <w:bottom w:val="single" w:sz="4" w:space="0" w:color="auto"/>
              <w:right w:val="single" w:sz="4" w:space="0" w:color="auto"/>
            </w:tcBorders>
            <w:shd w:val="clear" w:color="auto" w:fill="auto"/>
            <w:noWrap/>
            <w:vAlign w:val="bottom"/>
            <w:hideMark/>
          </w:tcPr>
          <w:p w14:paraId="5403F665" w14:textId="77777777" w:rsidR="009A356E" w:rsidRPr="00C10545" w:rsidRDefault="009A356E" w:rsidP="009A356E">
            <w:pPr>
              <w:jc w:val="right"/>
              <w:rPr>
                <w:color w:val="000000"/>
                <w:sz w:val="18"/>
                <w:szCs w:val="18"/>
                <w:lang w:eastAsia="en-AU"/>
              </w:rPr>
            </w:pPr>
            <w:r w:rsidRPr="00C10545">
              <w:rPr>
                <w:color w:val="000000"/>
                <w:sz w:val="18"/>
                <w:szCs w:val="18"/>
                <w:lang w:eastAsia="en-AU"/>
              </w:rPr>
              <w:t>106%</w:t>
            </w:r>
          </w:p>
        </w:tc>
        <w:tc>
          <w:tcPr>
            <w:tcW w:w="727" w:type="dxa"/>
            <w:tcBorders>
              <w:top w:val="nil"/>
              <w:left w:val="nil"/>
              <w:bottom w:val="single" w:sz="4" w:space="0" w:color="auto"/>
              <w:right w:val="single" w:sz="4" w:space="0" w:color="auto"/>
            </w:tcBorders>
            <w:shd w:val="clear" w:color="auto" w:fill="auto"/>
            <w:noWrap/>
            <w:vAlign w:val="bottom"/>
            <w:hideMark/>
          </w:tcPr>
          <w:p w14:paraId="37106998" w14:textId="77777777" w:rsidR="009A356E" w:rsidRPr="00C10545" w:rsidRDefault="009A356E" w:rsidP="009A356E">
            <w:pPr>
              <w:jc w:val="right"/>
              <w:rPr>
                <w:color w:val="000000"/>
                <w:sz w:val="18"/>
                <w:szCs w:val="18"/>
                <w:lang w:eastAsia="en-AU"/>
              </w:rPr>
            </w:pPr>
            <w:r w:rsidRPr="00C10545">
              <w:rPr>
                <w:color w:val="000000"/>
                <w:sz w:val="18"/>
                <w:szCs w:val="18"/>
                <w:lang w:eastAsia="en-AU"/>
              </w:rPr>
              <w:t>45%</w:t>
            </w:r>
          </w:p>
        </w:tc>
      </w:tr>
      <w:tr w:rsidR="009A356E" w:rsidRPr="00CB3038" w14:paraId="5A87AAA6" w14:textId="77777777" w:rsidTr="009A356E">
        <w:trPr>
          <w:trHeight w:val="255"/>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D432DAD" w14:textId="77777777" w:rsidR="009A356E" w:rsidRPr="00C10545" w:rsidRDefault="009A356E" w:rsidP="009A356E">
            <w:pPr>
              <w:rPr>
                <w:sz w:val="18"/>
                <w:szCs w:val="18"/>
                <w:lang w:eastAsia="en-AU"/>
              </w:rPr>
            </w:pPr>
            <w:r w:rsidRPr="00C10545">
              <w:rPr>
                <w:sz w:val="18"/>
                <w:szCs w:val="18"/>
                <w:lang w:eastAsia="en-AU"/>
              </w:rPr>
              <w:t>F</w:t>
            </w:r>
          </w:p>
        </w:tc>
        <w:tc>
          <w:tcPr>
            <w:tcW w:w="714" w:type="dxa"/>
            <w:tcBorders>
              <w:top w:val="nil"/>
              <w:left w:val="nil"/>
              <w:bottom w:val="single" w:sz="4" w:space="0" w:color="auto"/>
              <w:right w:val="single" w:sz="4" w:space="0" w:color="auto"/>
            </w:tcBorders>
            <w:shd w:val="clear" w:color="000000" w:fill="FCD5B4"/>
            <w:noWrap/>
            <w:vAlign w:val="bottom"/>
            <w:hideMark/>
          </w:tcPr>
          <w:p w14:paraId="453C3903" w14:textId="77777777" w:rsidR="009A356E" w:rsidRPr="00C10545" w:rsidRDefault="009A356E" w:rsidP="009A356E">
            <w:pPr>
              <w:jc w:val="right"/>
              <w:rPr>
                <w:color w:val="000000"/>
                <w:sz w:val="18"/>
                <w:szCs w:val="18"/>
                <w:lang w:eastAsia="en-AU"/>
              </w:rPr>
            </w:pPr>
            <w:r w:rsidRPr="00C10545">
              <w:rPr>
                <w:color w:val="000000"/>
                <w:sz w:val="18"/>
                <w:szCs w:val="18"/>
                <w:lang w:eastAsia="en-AU"/>
              </w:rPr>
              <w:t>60%</w:t>
            </w:r>
          </w:p>
        </w:tc>
        <w:tc>
          <w:tcPr>
            <w:tcW w:w="853" w:type="dxa"/>
            <w:tcBorders>
              <w:top w:val="nil"/>
              <w:left w:val="nil"/>
              <w:bottom w:val="single" w:sz="4" w:space="0" w:color="auto"/>
              <w:right w:val="single" w:sz="4" w:space="0" w:color="auto"/>
            </w:tcBorders>
            <w:shd w:val="clear" w:color="000000" w:fill="FCD5B4"/>
            <w:noWrap/>
            <w:vAlign w:val="bottom"/>
            <w:hideMark/>
          </w:tcPr>
          <w:p w14:paraId="326408F9" w14:textId="77777777" w:rsidR="009A356E" w:rsidRPr="00C10545" w:rsidRDefault="009A356E" w:rsidP="009A356E">
            <w:pPr>
              <w:jc w:val="right"/>
              <w:rPr>
                <w:color w:val="000000"/>
                <w:sz w:val="18"/>
                <w:szCs w:val="18"/>
                <w:lang w:eastAsia="en-AU"/>
              </w:rPr>
            </w:pPr>
            <w:r w:rsidRPr="00C10545">
              <w:rPr>
                <w:color w:val="000000"/>
                <w:sz w:val="18"/>
                <w:szCs w:val="18"/>
                <w:lang w:eastAsia="en-AU"/>
              </w:rPr>
              <w:t>66%</w:t>
            </w:r>
          </w:p>
        </w:tc>
        <w:tc>
          <w:tcPr>
            <w:tcW w:w="853" w:type="dxa"/>
            <w:tcBorders>
              <w:top w:val="nil"/>
              <w:left w:val="nil"/>
              <w:bottom w:val="single" w:sz="4" w:space="0" w:color="auto"/>
              <w:right w:val="single" w:sz="4" w:space="0" w:color="auto"/>
            </w:tcBorders>
            <w:shd w:val="clear" w:color="000000" w:fill="FCD5B4"/>
            <w:noWrap/>
            <w:vAlign w:val="bottom"/>
            <w:hideMark/>
          </w:tcPr>
          <w:p w14:paraId="42B90CFA" w14:textId="77777777" w:rsidR="009A356E" w:rsidRPr="00C10545" w:rsidRDefault="009A356E" w:rsidP="009A356E">
            <w:pPr>
              <w:jc w:val="right"/>
              <w:rPr>
                <w:color w:val="000000"/>
                <w:sz w:val="18"/>
                <w:szCs w:val="18"/>
                <w:lang w:eastAsia="en-AU"/>
              </w:rPr>
            </w:pPr>
            <w:r w:rsidRPr="00C10545">
              <w:rPr>
                <w:color w:val="000000"/>
                <w:sz w:val="18"/>
                <w:szCs w:val="18"/>
                <w:lang w:eastAsia="en-AU"/>
              </w:rPr>
              <w:t>70%</w:t>
            </w:r>
          </w:p>
        </w:tc>
        <w:tc>
          <w:tcPr>
            <w:tcW w:w="853" w:type="dxa"/>
            <w:tcBorders>
              <w:top w:val="nil"/>
              <w:left w:val="nil"/>
              <w:bottom w:val="single" w:sz="4" w:space="0" w:color="auto"/>
              <w:right w:val="single" w:sz="4" w:space="0" w:color="auto"/>
            </w:tcBorders>
            <w:shd w:val="clear" w:color="000000" w:fill="FCD5B4"/>
            <w:noWrap/>
            <w:vAlign w:val="bottom"/>
            <w:hideMark/>
          </w:tcPr>
          <w:p w14:paraId="5033A876" w14:textId="77777777" w:rsidR="009A356E" w:rsidRPr="00C10545" w:rsidRDefault="009A356E" w:rsidP="009A356E">
            <w:pPr>
              <w:jc w:val="right"/>
              <w:rPr>
                <w:color w:val="000000"/>
                <w:sz w:val="18"/>
                <w:szCs w:val="18"/>
                <w:lang w:eastAsia="en-AU"/>
              </w:rPr>
            </w:pPr>
            <w:r w:rsidRPr="00C10545">
              <w:rPr>
                <w:color w:val="000000"/>
                <w:sz w:val="18"/>
                <w:szCs w:val="18"/>
                <w:lang w:eastAsia="en-AU"/>
              </w:rPr>
              <w:t>66%</w:t>
            </w:r>
          </w:p>
        </w:tc>
        <w:tc>
          <w:tcPr>
            <w:tcW w:w="714" w:type="dxa"/>
            <w:tcBorders>
              <w:top w:val="nil"/>
              <w:left w:val="nil"/>
              <w:bottom w:val="single" w:sz="4" w:space="0" w:color="auto"/>
              <w:right w:val="single" w:sz="4" w:space="0" w:color="auto"/>
            </w:tcBorders>
            <w:shd w:val="clear" w:color="000000" w:fill="FCD5B4"/>
            <w:noWrap/>
            <w:vAlign w:val="bottom"/>
            <w:hideMark/>
          </w:tcPr>
          <w:p w14:paraId="68D2A84E" w14:textId="77777777" w:rsidR="009A356E" w:rsidRPr="00C10545" w:rsidRDefault="009A356E" w:rsidP="009A356E">
            <w:pPr>
              <w:jc w:val="right"/>
              <w:rPr>
                <w:color w:val="000000"/>
                <w:sz w:val="18"/>
                <w:szCs w:val="18"/>
                <w:lang w:eastAsia="en-AU"/>
              </w:rPr>
            </w:pPr>
            <w:r w:rsidRPr="00C10545">
              <w:rPr>
                <w:color w:val="000000"/>
                <w:sz w:val="18"/>
                <w:szCs w:val="18"/>
                <w:lang w:eastAsia="en-AU"/>
              </w:rPr>
              <w:t>62%</w:t>
            </w:r>
          </w:p>
        </w:tc>
        <w:tc>
          <w:tcPr>
            <w:tcW w:w="727" w:type="dxa"/>
            <w:tcBorders>
              <w:top w:val="nil"/>
              <w:left w:val="nil"/>
              <w:bottom w:val="single" w:sz="4" w:space="0" w:color="auto"/>
              <w:right w:val="single" w:sz="4" w:space="0" w:color="auto"/>
            </w:tcBorders>
            <w:shd w:val="clear" w:color="auto" w:fill="auto"/>
            <w:noWrap/>
            <w:vAlign w:val="bottom"/>
            <w:hideMark/>
          </w:tcPr>
          <w:p w14:paraId="748FB8AF" w14:textId="77777777" w:rsidR="009A356E" w:rsidRPr="00C10545" w:rsidRDefault="009A356E" w:rsidP="009A356E">
            <w:pPr>
              <w:jc w:val="right"/>
              <w:rPr>
                <w:color w:val="000000"/>
                <w:sz w:val="18"/>
                <w:szCs w:val="18"/>
                <w:lang w:eastAsia="en-AU"/>
              </w:rPr>
            </w:pPr>
            <w:r w:rsidRPr="00C10545">
              <w:rPr>
                <w:color w:val="000000"/>
                <w:sz w:val="18"/>
                <w:szCs w:val="18"/>
                <w:lang w:eastAsia="en-AU"/>
              </w:rPr>
              <w:t>40%</w:t>
            </w:r>
          </w:p>
        </w:tc>
        <w:tc>
          <w:tcPr>
            <w:tcW w:w="727" w:type="dxa"/>
            <w:tcBorders>
              <w:top w:val="nil"/>
              <w:left w:val="nil"/>
              <w:bottom w:val="single" w:sz="4" w:space="0" w:color="auto"/>
              <w:right w:val="single" w:sz="4" w:space="0" w:color="auto"/>
            </w:tcBorders>
            <w:shd w:val="clear" w:color="auto" w:fill="auto"/>
            <w:noWrap/>
            <w:vAlign w:val="bottom"/>
            <w:hideMark/>
          </w:tcPr>
          <w:p w14:paraId="48AD178C" w14:textId="77777777" w:rsidR="009A356E" w:rsidRPr="00C10545" w:rsidRDefault="009A356E" w:rsidP="009A356E">
            <w:pPr>
              <w:jc w:val="right"/>
              <w:rPr>
                <w:color w:val="000000"/>
                <w:sz w:val="18"/>
                <w:szCs w:val="18"/>
                <w:lang w:eastAsia="en-AU"/>
              </w:rPr>
            </w:pPr>
            <w:r w:rsidRPr="00C10545">
              <w:rPr>
                <w:color w:val="000000"/>
                <w:sz w:val="18"/>
                <w:szCs w:val="18"/>
                <w:lang w:eastAsia="en-AU"/>
              </w:rPr>
              <w:t>40%</w:t>
            </w:r>
          </w:p>
        </w:tc>
        <w:tc>
          <w:tcPr>
            <w:tcW w:w="727" w:type="dxa"/>
            <w:tcBorders>
              <w:top w:val="nil"/>
              <w:left w:val="nil"/>
              <w:bottom w:val="single" w:sz="4" w:space="0" w:color="auto"/>
              <w:right w:val="single" w:sz="4" w:space="0" w:color="auto"/>
            </w:tcBorders>
            <w:shd w:val="clear" w:color="auto" w:fill="auto"/>
            <w:noWrap/>
            <w:vAlign w:val="bottom"/>
            <w:hideMark/>
          </w:tcPr>
          <w:p w14:paraId="336D2702" w14:textId="77777777" w:rsidR="009A356E" w:rsidRPr="00C10545" w:rsidRDefault="009A356E" w:rsidP="009A356E">
            <w:pPr>
              <w:jc w:val="right"/>
              <w:rPr>
                <w:color w:val="000000"/>
                <w:sz w:val="18"/>
                <w:szCs w:val="18"/>
                <w:lang w:eastAsia="en-AU"/>
              </w:rPr>
            </w:pPr>
            <w:r w:rsidRPr="00C10545">
              <w:rPr>
                <w:color w:val="000000"/>
                <w:sz w:val="18"/>
                <w:szCs w:val="18"/>
                <w:lang w:eastAsia="en-AU"/>
              </w:rPr>
              <w:t>33%</w:t>
            </w:r>
          </w:p>
        </w:tc>
        <w:tc>
          <w:tcPr>
            <w:tcW w:w="872" w:type="dxa"/>
            <w:tcBorders>
              <w:top w:val="nil"/>
              <w:left w:val="nil"/>
              <w:bottom w:val="single" w:sz="4" w:space="0" w:color="auto"/>
              <w:right w:val="single" w:sz="4" w:space="0" w:color="auto"/>
            </w:tcBorders>
            <w:shd w:val="clear" w:color="auto" w:fill="auto"/>
            <w:noWrap/>
            <w:vAlign w:val="bottom"/>
            <w:hideMark/>
          </w:tcPr>
          <w:p w14:paraId="7D7E46B3" w14:textId="77777777" w:rsidR="009A356E" w:rsidRPr="00C10545" w:rsidRDefault="009A356E" w:rsidP="009A356E">
            <w:pPr>
              <w:jc w:val="right"/>
              <w:rPr>
                <w:color w:val="000000"/>
                <w:sz w:val="18"/>
                <w:szCs w:val="18"/>
                <w:lang w:eastAsia="en-AU"/>
              </w:rPr>
            </w:pPr>
            <w:r w:rsidRPr="00C10545">
              <w:rPr>
                <w:color w:val="000000"/>
                <w:sz w:val="18"/>
                <w:szCs w:val="18"/>
                <w:lang w:eastAsia="en-AU"/>
              </w:rPr>
              <w:t>53%</w:t>
            </w:r>
          </w:p>
        </w:tc>
        <w:tc>
          <w:tcPr>
            <w:tcW w:w="727" w:type="dxa"/>
            <w:tcBorders>
              <w:top w:val="nil"/>
              <w:left w:val="nil"/>
              <w:bottom w:val="single" w:sz="4" w:space="0" w:color="auto"/>
              <w:right w:val="single" w:sz="4" w:space="0" w:color="auto"/>
            </w:tcBorders>
            <w:shd w:val="clear" w:color="auto" w:fill="auto"/>
            <w:noWrap/>
            <w:vAlign w:val="bottom"/>
            <w:hideMark/>
          </w:tcPr>
          <w:p w14:paraId="706B2C19" w14:textId="77777777" w:rsidR="009A356E" w:rsidRPr="00C10545" w:rsidRDefault="009A356E" w:rsidP="009A356E">
            <w:pPr>
              <w:jc w:val="right"/>
              <w:rPr>
                <w:color w:val="000000"/>
                <w:sz w:val="18"/>
                <w:szCs w:val="18"/>
                <w:lang w:eastAsia="en-AU"/>
              </w:rPr>
            </w:pPr>
            <w:r w:rsidRPr="00C10545">
              <w:rPr>
                <w:color w:val="000000"/>
                <w:sz w:val="18"/>
                <w:szCs w:val="18"/>
                <w:lang w:eastAsia="en-AU"/>
              </w:rPr>
              <w:t>40%</w:t>
            </w:r>
          </w:p>
        </w:tc>
      </w:tr>
      <w:tr w:rsidR="009A356E" w:rsidRPr="00CB3038" w14:paraId="11DA6ADE" w14:textId="77777777" w:rsidTr="009A356E">
        <w:trPr>
          <w:trHeight w:val="255"/>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1AA8DFB" w14:textId="77777777" w:rsidR="009A356E" w:rsidRPr="00C10545" w:rsidRDefault="009A356E" w:rsidP="009A356E">
            <w:pPr>
              <w:rPr>
                <w:sz w:val="18"/>
                <w:szCs w:val="18"/>
                <w:lang w:eastAsia="en-AU"/>
              </w:rPr>
            </w:pPr>
            <w:r w:rsidRPr="00C10545">
              <w:rPr>
                <w:sz w:val="18"/>
                <w:szCs w:val="18"/>
                <w:lang w:eastAsia="en-AU"/>
              </w:rPr>
              <w:t>G</w:t>
            </w:r>
          </w:p>
        </w:tc>
        <w:tc>
          <w:tcPr>
            <w:tcW w:w="714" w:type="dxa"/>
            <w:tcBorders>
              <w:top w:val="nil"/>
              <w:left w:val="nil"/>
              <w:bottom w:val="single" w:sz="4" w:space="0" w:color="auto"/>
              <w:right w:val="single" w:sz="4" w:space="0" w:color="auto"/>
            </w:tcBorders>
            <w:shd w:val="clear" w:color="000000" w:fill="FCD5B4"/>
            <w:noWrap/>
            <w:vAlign w:val="bottom"/>
            <w:hideMark/>
          </w:tcPr>
          <w:p w14:paraId="27158A56" w14:textId="77777777" w:rsidR="009A356E" w:rsidRPr="00C10545" w:rsidRDefault="009A356E" w:rsidP="009A356E">
            <w:pPr>
              <w:jc w:val="right"/>
              <w:rPr>
                <w:color w:val="000000"/>
                <w:sz w:val="18"/>
                <w:szCs w:val="18"/>
                <w:lang w:eastAsia="en-AU"/>
              </w:rPr>
            </w:pPr>
            <w:r w:rsidRPr="00C10545">
              <w:rPr>
                <w:color w:val="000000"/>
                <w:sz w:val="18"/>
                <w:szCs w:val="18"/>
                <w:lang w:eastAsia="en-AU"/>
              </w:rPr>
              <w:t>67%</w:t>
            </w:r>
          </w:p>
        </w:tc>
        <w:tc>
          <w:tcPr>
            <w:tcW w:w="853" w:type="dxa"/>
            <w:tcBorders>
              <w:top w:val="nil"/>
              <w:left w:val="nil"/>
              <w:bottom w:val="single" w:sz="4" w:space="0" w:color="auto"/>
              <w:right w:val="single" w:sz="4" w:space="0" w:color="auto"/>
            </w:tcBorders>
            <w:shd w:val="clear" w:color="000000" w:fill="FCD5B4"/>
            <w:noWrap/>
            <w:vAlign w:val="bottom"/>
            <w:hideMark/>
          </w:tcPr>
          <w:p w14:paraId="0068C8E8" w14:textId="77777777" w:rsidR="009A356E" w:rsidRPr="00C10545" w:rsidRDefault="009A356E" w:rsidP="009A356E">
            <w:pPr>
              <w:jc w:val="right"/>
              <w:rPr>
                <w:color w:val="000000"/>
                <w:sz w:val="18"/>
                <w:szCs w:val="18"/>
                <w:lang w:eastAsia="en-AU"/>
              </w:rPr>
            </w:pPr>
            <w:r w:rsidRPr="00C10545">
              <w:rPr>
                <w:color w:val="000000"/>
                <w:sz w:val="18"/>
                <w:szCs w:val="18"/>
                <w:lang w:eastAsia="en-AU"/>
              </w:rPr>
              <w:t>75%</w:t>
            </w:r>
          </w:p>
        </w:tc>
        <w:tc>
          <w:tcPr>
            <w:tcW w:w="853" w:type="dxa"/>
            <w:tcBorders>
              <w:top w:val="nil"/>
              <w:left w:val="nil"/>
              <w:bottom w:val="single" w:sz="4" w:space="0" w:color="auto"/>
              <w:right w:val="single" w:sz="4" w:space="0" w:color="auto"/>
            </w:tcBorders>
            <w:shd w:val="clear" w:color="000000" w:fill="FCD5B4"/>
            <w:noWrap/>
            <w:vAlign w:val="bottom"/>
            <w:hideMark/>
          </w:tcPr>
          <w:p w14:paraId="4EF02095" w14:textId="77777777" w:rsidR="009A356E" w:rsidRPr="00C10545" w:rsidRDefault="009A356E" w:rsidP="009A356E">
            <w:pPr>
              <w:jc w:val="right"/>
              <w:rPr>
                <w:color w:val="000000"/>
                <w:sz w:val="18"/>
                <w:szCs w:val="18"/>
                <w:lang w:eastAsia="en-AU"/>
              </w:rPr>
            </w:pPr>
            <w:r w:rsidRPr="00C10545">
              <w:rPr>
                <w:color w:val="000000"/>
                <w:sz w:val="18"/>
                <w:szCs w:val="18"/>
                <w:lang w:eastAsia="en-AU"/>
              </w:rPr>
              <w:t>80%</w:t>
            </w:r>
          </w:p>
        </w:tc>
        <w:tc>
          <w:tcPr>
            <w:tcW w:w="853" w:type="dxa"/>
            <w:tcBorders>
              <w:top w:val="nil"/>
              <w:left w:val="nil"/>
              <w:bottom w:val="single" w:sz="4" w:space="0" w:color="auto"/>
              <w:right w:val="single" w:sz="4" w:space="0" w:color="auto"/>
            </w:tcBorders>
            <w:shd w:val="clear" w:color="000000" w:fill="FCD5B4"/>
            <w:noWrap/>
            <w:vAlign w:val="bottom"/>
            <w:hideMark/>
          </w:tcPr>
          <w:p w14:paraId="6D1EC5BA" w14:textId="77777777" w:rsidR="009A356E" w:rsidRPr="00C10545" w:rsidRDefault="009A356E" w:rsidP="009A356E">
            <w:pPr>
              <w:jc w:val="right"/>
              <w:rPr>
                <w:color w:val="000000"/>
                <w:sz w:val="18"/>
                <w:szCs w:val="18"/>
                <w:lang w:eastAsia="en-AU"/>
              </w:rPr>
            </w:pPr>
            <w:r w:rsidRPr="00C10545">
              <w:rPr>
                <w:color w:val="000000"/>
                <w:sz w:val="18"/>
                <w:szCs w:val="18"/>
                <w:lang w:eastAsia="en-AU"/>
              </w:rPr>
              <w:t>90%</w:t>
            </w:r>
          </w:p>
        </w:tc>
        <w:tc>
          <w:tcPr>
            <w:tcW w:w="714" w:type="dxa"/>
            <w:tcBorders>
              <w:top w:val="nil"/>
              <w:left w:val="nil"/>
              <w:bottom w:val="single" w:sz="4" w:space="0" w:color="auto"/>
              <w:right w:val="single" w:sz="4" w:space="0" w:color="auto"/>
            </w:tcBorders>
            <w:shd w:val="clear" w:color="000000" w:fill="FCD5B4"/>
            <w:noWrap/>
            <w:vAlign w:val="bottom"/>
            <w:hideMark/>
          </w:tcPr>
          <w:p w14:paraId="50945161" w14:textId="77777777" w:rsidR="009A356E" w:rsidRPr="00C10545" w:rsidRDefault="009A356E" w:rsidP="009A356E">
            <w:pPr>
              <w:jc w:val="right"/>
              <w:rPr>
                <w:color w:val="000000"/>
                <w:sz w:val="18"/>
                <w:szCs w:val="18"/>
                <w:lang w:eastAsia="en-AU"/>
              </w:rPr>
            </w:pPr>
            <w:r w:rsidRPr="00C10545">
              <w:rPr>
                <w:color w:val="000000"/>
                <w:sz w:val="18"/>
                <w:szCs w:val="18"/>
                <w:lang w:eastAsia="en-AU"/>
              </w:rPr>
              <w:t>72%</w:t>
            </w:r>
          </w:p>
        </w:tc>
        <w:tc>
          <w:tcPr>
            <w:tcW w:w="727" w:type="dxa"/>
            <w:tcBorders>
              <w:top w:val="nil"/>
              <w:left w:val="nil"/>
              <w:bottom w:val="single" w:sz="4" w:space="0" w:color="auto"/>
              <w:right w:val="single" w:sz="4" w:space="0" w:color="auto"/>
            </w:tcBorders>
            <w:shd w:val="clear" w:color="auto" w:fill="auto"/>
            <w:noWrap/>
            <w:vAlign w:val="bottom"/>
            <w:hideMark/>
          </w:tcPr>
          <w:p w14:paraId="6502C3CA" w14:textId="77777777" w:rsidR="009A356E" w:rsidRPr="00C10545" w:rsidRDefault="009A356E" w:rsidP="009A356E">
            <w:pPr>
              <w:jc w:val="right"/>
              <w:rPr>
                <w:color w:val="000000"/>
                <w:sz w:val="18"/>
                <w:szCs w:val="18"/>
                <w:lang w:eastAsia="en-AU"/>
              </w:rPr>
            </w:pPr>
            <w:r w:rsidRPr="00C10545">
              <w:rPr>
                <w:color w:val="000000"/>
                <w:sz w:val="18"/>
                <w:szCs w:val="18"/>
                <w:lang w:eastAsia="en-AU"/>
              </w:rPr>
              <w:t>52%</w:t>
            </w:r>
          </w:p>
        </w:tc>
        <w:tc>
          <w:tcPr>
            <w:tcW w:w="727" w:type="dxa"/>
            <w:tcBorders>
              <w:top w:val="nil"/>
              <w:left w:val="nil"/>
              <w:bottom w:val="single" w:sz="4" w:space="0" w:color="auto"/>
              <w:right w:val="single" w:sz="4" w:space="0" w:color="auto"/>
            </w:tcBorders>
            <w:shd w:val="clear" w:color="auto" w:fill="auto"/>
            <w:noWrap/>
            <w:vAlign w:val="bottom"/>
            <w:hideMark/>
          </w:tcPr>
          <w:p w14:paraId="361DF626" w14:textId="77777777" w:rsidR="009A356E" w:rsidRPr="00C10545" w:rsidRDefault="009A356E" w:rsidP="009A356E">
            <w:pPr>
              <w:jc w:val="right"/>
              <w:rPr>
                <w:color w:val="000000"/>
                <w:sz w:val="18"/>
                <w:szCs w:val="18"/>
                <w:lang w:eastAsia="en-AU"/>
              </w:rPr>
            </w:pPr>
            <w:r w:rsidRPr="00C10545">
              <w:rPr>
                <w:color w:val="000000"/>
                <w:sz w:val="18"/>
                <w:szCs w:val="18"/>
                <w:lang w:eastAsia="en-AU"/>
              </w:rPr>
              <w:t>39%</w:t>
            </w:r>
          </w:p>
        </w:tc>
        <w:tc>
          <w:tcPr>
            <w:tcW w:w="727" w:type="dxa"/>
            <w:tcBorders>
              <w:top w:val="nil"/>
              <w:left w:val="nil"/>
              <w:bottom w:val="single" w:sz="4" w:space="0" w:color="auto"/>
              <w:right w:val="single" w:sz="4" w:space="0" w:color="auto"/>
            </w:tcBorders>
            <w:shd w:val="clear" w:color="auto" w:fill="auto"/>
            <w:noWrap/>
            <w:vAlign w:val="bottom"/>
            <w:hideMark/>
          </w:tcPr>
          <w:p w14:paraId="3678DA82" w14:textId="77777777" w:rsidR="009A356E" w:rsidRPr="00C10545" w:rsidRDefault="009A356E" w:rsidP="009A356E">
            <w:pPr>
              <w:jc w:val="right"/>
              <w:rPr>
                <w:color w:val="000000"/>
                <w:sz w:val="18"/>
                <w:szCs w:val="18"/>
                <w:lang w:eastAsia="en-AU"/>
              </w:rPr>
            </w:pPr>
            <w:r w:rsidRPr="00C10545">
              <w:rPr>
                <w:color w:val="000000"/>
                <w:sz w:val="18"/>
                <w:szCs w:val="18"/>
                <w:lang w:eastAsia="en-AU"/>
              </w:rPr>
              <w:t>52%</w:t>
            </w:r>
          </w:p>
        </w:tc>
        <w:tc>
          <w:tcPr>
            <w:tcW w:w="872" w:type="dxa"/>
            <w:tcBorders>
              <w:top w:val="nil"/>
              <w:left w:val="nil"/>
              <w:bottom w:val="single" w:sz="4" w:space="0" w:color="auto"/>
              <w:right w:val="single" w:sz="4" w:space="0" w:color="auto"/>
            </w:tcBorders>
            <w:shd w:val="clear" w:color="auto" w:fill="auto"/>
            <w:noWrap/>
            <w:vAlign w:val="bottom"/>
            <w:hideMark/>
          </w:tcPr>
          <w:p w14:paraId="55638ABC" w14:textId="77777777" w:rsidR="009A356E" w:rsidRPr="00C10545" w:rsidRDefault="009A356E" w:rsidP="009A356E">
            <w:pPr>
              <w:jc w:val="right"/>
              <w:rPr>
                <w:color w:val="000000"/>
                <w:sz w:val="18"/>
                <w:szCs w:val="18"/>
                <w:lang w:eastAsia="en-AU"/>
              </w:rPr>
            </w:pPr>
            <w:r w:rsidRPr="00C10545">
              <w:rPr>
                <w:color w:val="000000"/>
                <w:sz w:val="18"/>
                <w:szCs w:val="18"/>
                <w:lang w:eastAsia="en-AU"/>
              </w:rPr>
              <w:t>80%</w:t>
            </w:r>
          </w:p>
        </w:tc>
        <w:tc>
          <w:tcPr>
            <w:tcW w:w="727" w:type="dxa"/>
            <w:tcBorders>
              <w:top w:val="nil"/>
              <w:left w:val="nil"/>
              <w:bottom w:val="single" w:sz="4" w:space="0" w:color="auto"/>
              <w:right w:val="single" w:sz="4" w:space="0" w:color="auto"/>
            </w:tcBorders>
            <w:shd w:val="clear" w:color="auto" w:fill="auto"/>
            <w:noWrap/>
            <w:vAlign w:val="bottom"/>
            <w:hideMark/>
          </w:tcPr>
          <w:p w14:paraId="66CE4282" w14:textId="77777777" w:rsidR="009A356E" w:rsidRPr="00C10545" w:rsidRDefault="009A356E" w:rsidP="009A356E">
            <w:pPr>
              <w:jc w:val="right"/>
              <w:rPr>
                <w:color w:val="000000"/>
                <w:sz w:val="18"/>
                <w:szCs w:val="18"/>
                <w:lang w:eastAsia="en-AU"/>
              </w:rPr>
            </w:pPr>
            <w:r w:rsidRPr="00C10545">
              <w:rPr>
                <w:color w:val="000000"/>
                <w:sz w:val="18"/>
                <w:szCs w:val="18"/>
                <w:lang w:eastAsia="en-AU"/>
              </w:rPr>
              <w:t>51%</w:t>
            </w:r>
          </w:p>
        </w:tc>
      </w:tr>
      <w:tr w:rsidR="009A356E" w:rsidRPr="00CB3038" w14:paraId="12213164" w14:textId="77777777" w:rsidTr="009A356E">
        <w:trPr>
          <w:trHeight w:val="255"/>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34280DF" w14:textId="77777777" w:rsidR="009A356E" w:rsidRPr="00C10545" w:rsidRDefault="009A356E" w:rsidP="009A356E">
            <w:pPr>
              <w:rPr>
                <w:sz w:val="18"/>
                <w:szCs w:val="18"/>
                <w:lang w:eastAsia="en-AU"/>
              </w:rPr>
            </w:pPr>
            <w:r w:rsidRPr="00C10545">
              <w:rPr>
                <w:sz w:val="18"/>
                <w:szCs w:val="18"/>
                <w:lang w:eastAsia="en-AU"/>
              </w:rPr>
              <w:t>H</w:t>
            </w:r>
          </w:p>
        </w:tc>
        <w:tc>
          <w:tcPr>
            <w:tcW w:w="714" w:type="dxa"/>
            <w:tcBorders>
              <w:top w:val="nil"/>
              <w:left w:val="nil"/>
              <w:bottom w:val="single" w:sz="4" w:space="0" w:color="auto"/>
              <w:right w:val="single" w:sz="4" w:space="0" w:color="auto"/>
            </w:tcBorders>
            <w:shd w:val="clear" w:color="000000" w:fill="FCD5B4"/>
            <w:noWrap/>
            <w:vAlign w:val="bottom"/>
            <w:hideMark/>
          </w:tcPr>
          <w:p w14:paraId="2956A3A9" w14:textId="77777777" w:rsidR="009A356E" w:rsidRPr="00C10545" w:rsidRDefault="009A356E" w:rsidP="009A356E">
            <w:pPr>
              <w:jc w:val="right"/>
              <w:rPr>
                <w:color w:val="000000"/>
                <w:sz w:val="18"/>
                <w:szCs w:val="18"/>
                <w:lang w:eastAsia="en-AU"/>
              </w:rPr>
            </w:pPr>
            <w:r w:rsidRPr="00C10545">
              <w:rPr>
                <w:color w:val="000000"/>
                <w:sz w:val="18"/>
                <w:szCs w:val="18"/>
                <w:lang w:eastAsia="en-AU"/>
              </w:rPr>
              <w:t>60%</w:t>
            </w:r>
          </w:p>
        </w:tc>
        <w:tc>
          <w:tcPr>
            <w:tcW w:w="853" w:type="dxa"/>
            <w:tcBorders>
              <w:top w:val="nil"/>
              <w:left w:val="nil"/>
              <w:bottom w:val="single" w:sz="4" w:space="0" w:color="auto"/>
              <w:right w:val="single" w:sz="4" w:space="0" w:color="auto"/>
            </w:tcBorders>
            <w:shd w:val="clear" w:color="000000" w:fill="FCD5B4"/>
            <w:noWrap/>
            <w:vAlign w:val="bottom"/>
            <w:hideMark/>
          </w:tcPr>
          <w:p w14:paraId="7BD14A28" w14:textId="77777777" w:rsidR="009A356E" w:rsidRPr="00C10545" w:rsidRDefault="009A356E" w:rsidP="009A356E">
            <w:pPr>
              <w:jc w:val="right"/>
              <w:rPr>
                <w:color w:val="000000"/>
                <w:sz w:val="18"/>
                <w:szCs w:val="18"/>
                <w:lang w:eastAsia="en-AU"/>
              </w:rPr>
            </w:pPr>
            <w:r w:rsidRPr="00C10545">
              <w:rPr>
                <w:color w:val="000000"/>
                <w:sz w:val="18"/>
                <w:szCs w:val="18"/>
                <w:lang w:eastAsia="en-AU"/>
              </w:rPr>
              <w:t>72%</w:t>
            </w:r>
          </w:p>
        </w:tc>
        <w:tc>
          <w:tcPr>
            <w:tcW w:w="853" w:type="dxa"/>
            <w:tcBorders>
              <w:top w:val="nil"/>
              <w:left w:val="nil"/>
              <w:bottom w:val="single" w:sz="4" w:space="0" w:color="auto"/>
              <w:right w:val="single" w:sz="4" w:space="0" w:color="auto"/>
            </w:tcBorders>
            <w:shd w:val="clear" w:color="000000" w:fill="FCD5B4"/>
            <w:noWrap/>
            <w:vAlign w:val="bottom"/>
            <w:hideMark/>
          </w:tcPr>
          <w:p w14:paraId="2716E77B" w14:textId="77777777" w:rsidR="009A356E" w:rsidRPr="00C10545" w:rsidRDefault="009A356E" w:rsidP="009A356E">
            <w:pPr>
              <w:jc w:val="right"/>
              <w:rPr>
                <w:color w:val="000000"/>
                <w:sz w:val="18"/>
                <w:szCs w:val="18"/>
                <w:lang w:eastAsia="en-AU"/>
              </w:rPr>
            </w:pPr>
            <w:r w:rsidRPr="00C10545">
              <w:rPr>
                <w:color w:val="000000"/>
                <w:sz w:val="18"/>
                <w:szCs w:val="18"/>
                <w:lang w:eastAsia="en-AU"/>
              </w:rPr>
              <w:t>70%</w:t>
            </w:r>
          </w:p>
        </w:tc>
        <w:tc>
          <w:tcPr>
            <w:tcW w:w="853" w:type="dxa"/>
            <w:tcBorders>
              <w:top w:val="nil"/>
              <w:left w:val="nil"/>
              <w:bottom w:val="single" w:sz="4" w:space="0" w:color="auto"/>
              <w:right w:val="single" w:sz="4" w:space="0" w:color="auto"/>
            </w:tcBorders>
            <w:shd w:val="clear" w:color="000000" w:fill="FCD5B4"/>
            <w:noWrap/>
            <w:vAlign w:val="bottom"/>
            <w:hideMark/>
          </w:tcPr>
          <w:p w14:paraId="34BB1268" w14:textId="77777777" w:rsidR="009A356E" w:rsidRPr="00C10545" w:rsidRDefault="009A356E" w:rsidP="009A356E">
            <w:pPr>
              <w:jc w:val="right"/>
              <w:rPr>
                <w:color w:val="000000"/>
                <w:sz w:val="18"/>
                <w:szCs w:val="18"/>
                <w:lang w:eastAsia="en-AU"/>
              </w:rPr>
            </w:pPr>
            <w:r w:rsidRPr="00C10545">
              <w:rPr>
                <w:color w:val="000000"/>
                <w:sz w:val="18"/>
                <w:szCs w:val="18"/>
                <w:lang w:eastAsia="en-AU"/>
              </w:rPr>
              <w:t>112%</w:t>
            </w:r>
          </w:p>
        </w:tc>
        <w:tc>
          <w:tcPr>
            <w:tcW w:w="714" w:type="dxa"/>
            <w:tcBorders>
              <w:top w:val="nil"/>
              <w:left w:val="nil"/>
              <w:bottom w:val="single" w:sz="4" w:space="0" w:color="auto"/>
              <w:right w:val="single" w:sz="4" w:space="0" w:color="auto"/>
            </w:tcBorders>
            <w:shd w:val="clear" w:color="000000" w:fill="FCD5B4"/>
            <w:noWrap/>
            <w:vAlign w:val="bottom"/>
            <w:hideMark/>
          </w:tcPr>
          <w:p w14:paraId="07BDE684" w14:textId="77777777" w:rsidR="009A356E" w:rsidRPr="00C10545" w:rsidRDefault="009A356E" w:rsidP="009A356E">
            <w:pPr>
              <w:jc w:val="right"/>
              <w:rPr>
                <w:color w:val="000000"/>
                <w:sz w:val="18"/>
                <w:szCs w:val="18"/>
                <w:lang w:eastAsia="en-AU"/>
              </w:rPr>
            </w:pPr>
            <w:r w:rsidRPr="00C10545">
              <w:rPr>
                <w:color w:val="000000"/>
                <w:sz w:val="18"/>
                <w:szCs w:val="18"/>
                <w:lang w:eastAsia="en-AU"/>
              </w:rPr>
              <w:t>66%</w:t>
            </w:r>
          </w:p>
        </w:tc>
        <w:tc>
          <w:tcPr>
            <w:tcW w:w="727" w:type="dxa"/>
            <w:tcBorders>
              <w:top w:val="nil"/>
              <w:left w:val="nil"/>
              <w:bottom w:val="single" w:sz="4" w:space="0" w:color="auto"/>
              <w:right w:val="single" w:sz="4" w:space="0" w:color="auto"/>
            </w:tcBorders>
            <w:shd w:val="clear" w:color="auto" w:fill="auto"/>
            <w:noWrap/>
            <w:vAlign w:val="bottom"/>
            <w:hideMark/>
          </w:tcPr>
          <w:p w14:paraId="1B411B6A" w14:textId="77777777" w:rsidR="009A356E" w:rsidRPr="00C10545" w:rsidRDefault="009A356E" w:rsidP="009A356E">
            <w:pPr>
              <w:jc w:val="right"/>
              <w:rPr>
                <w:color w:val="000000"/>
                <w:sz w:val="18"/>
                <w:szCs w:val="18"/>
                <w:lang w:eastAsia="en-AU"/>
              </w:rPr>
            </w:pPr>
            <w:r w:rsidRPr="00C10545">
              <w:rPr>
                <w:color w:val="000000"/>
                <w:sz w:val="18"/>
                <w:szCs w:val="18"/>
                <w:lang w:eastAsia="en-AU"/>
              </w:rPr>
              <w:t>57%</w:t>
            </w:r>
          </w:p>
        </w:tc>
        <w:tc>
          <w:tcPr>
            <w:tcW w:w="727" w:type="dxa"/>
            <w:tcBorders>
              <w:top w:val="nil"/>
              <w:left w:val="nil"/>
              <w:bottom w:val="single" w:sz="4" w:space="0" w:color="auto"/>
              <w:right w:val="single" w:sz="4" w:space="0" w:color="auto"/>
            </w:tcBorders>
            <w:shd w:val="clear" w:color="auto" w:fill="auto"/>
            <w:noWrap/>
            <w:vAlign w:val="bottom"/>
            <w:hideMark/>
          </w:tcPr>
          <w:p w14:paraId="2BC57399" w14:textId="77777777" w:rsidR="009A356E" w:rsidRPr="00C10545" w:rsidRDefault="009A356E" w:rsidP="009A356E">
            <w:pPr>
              <w:jc w:val="right"/>
              <w:rPr>
                <w:color w:val="000000"/>
                <w:sz w:val="18"/>
                <w:szCs w:val="18"/>
                <w:lang w:eastAsia="en-AU"/>
              </w:rPr>
            </w:pPr>
            <w:r w:rsidRPr="00C10545">
              <w:rPr>
                <w:color w:val="000000"/>
                <w:sz w:val="18"/>
                <w:szCs w:val="18"/>
                <w:lang w:eastAsia="en-AU"/>
              </w:rPr>
              <w:t>64%</w:t>
            </w:r>
          </w:p>
        </w:tc>
        <w:tc>
          <w:tcPr>
            <w:tcW w:w="727" w:type="dxa"/>
            <w:tcBorders>
              <w:top w:val="nil"/>
              <w:left w:val="nil"/>
              <w:bottom w:val="single" w:sz="4" w:space="0" w:color="auto"/>
              <w:right w:val="single" w:sz="4" w:space="0" w:color="auto"/>
            </w:tcBorders>
            <w:shd w:val="clear" w:color="auto" w:fill="auto"/>
            <w:noWrap/>
            <w:vAlign w:val="bottom"/>
            <w:hideMark/>
          </w:tcPr>
          <w:p w14:paraId="50F07000" w14:textId="77777777" w:rsidR="009A356E" w:rsidRPr="00C10545" w:rsidRDefault="009A356E" w:rsidP="009A356E">
            <w:pPr>
              <w:jc w:val="right"/>
              <w:rPr>
                <w:color w:val="000000"/>
                <w:sz w:val="18"/>
                <w:szCs w:val="18"/>
                <w:lang w:eastAsia="en-AU"/>
              </w:rPr>
            </w:pPr>
            <w:r w:rsidRPr="00C10545">
              <w:rPr>
                <w:color w:val="000000"/>
                <w:sz w:val="18"/>
                <w:szCs w:val="18"/>
                <w:lang w:eastAsia="en-AU"/>
              </w:rPr>
              <w:t>62%</w:t>
            </w:r>
          </w:p>
        </w:tc>
        <w:tc>
          <w:tcPr>
            <w:tcW w:w="872" w:type="dxa"/>
            <w:tcBorders>
              <w:top w:val="nil"/>
              <w:left w:val="nil"/>
              <w:bottom w:val="single" w:sz="4" w:space="0" w:color="auto"/>
              <w:right w:val="single" w:sz="4" w:space="0" w:color="auto"/>
            </w:tcBorders>
            <w:shd w:val="clear" w:color="auto" w:fill="auto"/>
            <w:noWrap/>
            <w:vAlign w:val="bottom"/>
            <w:hideMark/>
          </w:tcPr>
          <w:p w14:paraId="33058B6A" w14:textId="77777777" w:rsidR="009A356E" w:rsidRPr="00C10545" w:rsidRDefault="009A356E" w:rsidP="009A356E">
            <w:pPr>
              <w:jc w:val="right"/>
              <w:rPr>
                <w:color w:val="000000"/>
                <w:sz w:val="18"/>
                <w:szCs w:val="18"/>
                <w:lang w:eastAsia="en-AU"/>
              </w:rPr>
            </w:pPr>
            <w:r w:rsidRPr="00C10545">
              <w:rPr>
                <w:color w:val="000000"/>
                <w:sz w:val="18"/>
                <w:szCs w:val="18"/>
                <w:lang w:eastAsia="en-AU"/>
              </w:rPr>
              <w:t>91%</w:t>
            </w:r>
          </w:p>
        </w:tc>
        <w:tc>
          <w:tcPr>
            <w:tcW w:w="727" w:type="dxa"/>
            <w:tcBorders>
              <w:top w:val="nil"/>
              <w:left w:val="nil"/>
              <w:bottom w:val="single" w:sz="4" w:space="0" w:color="auto"/>
              <w:right w:val="single" w:sz="4" w:space="0" w:color="auto"/>
            </w:tcBorders>
            <w:shd w:val="clear" w:color="auto" w:fill="auto"/>
            <w:noWrap/>
            <w:vAlign w:val="bottom"/>
            <w:hideMark/>
          </w:tcPr>
          <w:p w14:paraId="76C22C0F" w14:textId="77777777" w:rsidR="009A356E" w:rsidRPr="00C10545" w:rsidRDefault="009A356E" w:rsidP="009A356E">
            <w:pPr>
              <w:jc w:val="right"/>
              <w:rPr>
                <w:color w:val="000000"/>
                <w:sz w:val="18"/>
                <w:szCs w:val="18"/>
                <w:lang w:eastAsia="en-AU"/>
              </w:rPr>
            </w:pPr>
            <w:r w:rsidRPr="00C10545">
              <w:rPr>
                <w:color w:val="000000"/>
                <w:sz w:val="18"/>
                <w:szCs w:val="18"/>
                <w:lang w:eastAsia="en-AU"/>
              </w:rPr>
              <w:t>61%</w:t>
            </w:r>
          </w:p>
        </w:tc>
      </w:tr>
      <w:tr w:rsidR="009A356E" w:rsidRPr="00CB3038" w14:paraId="6F28E542" w14:textId="77777777" w:rsidTr="009A356E">
        <w:trPr>
          <w:trHeight w:val="255"/>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E70790F" w14:textId="77777777" w:rsidR="009A356E" w:rsidRPr="00C10545" w:rsidRDefault="009A356E" w:rsidP="009A356E">
            <w:pPr>
              <w:rPr>
                <w:sz w:val="18"/>
                <w:szCs w:val="18"/>
                <w:lang w:eastAsia="en-AU"/>
              </w:rPr>
            </w:pPr>
            <w:r w:rsidRPr="00C10545">
              <w:rPr>
                <w:sz w:val="18"/>
                <w:szCs w:val="18"/>
                <w:lang w:eastAsia="en-AU"/>
              </w:rPr>
              <w:t>I</w:t>
            </w:r>
          </w:p>
        </w:tc>
        <w:tc>
          <w:tcPr>
            <w:tcW w:w="714" w:type="dxa"/>
            <w:tcBorders>
              <w:top w:val="nil"/>
              <w:left w:val="nil"/>
              <w:bottom w:val="single" w:sz="4" w:space="0" w:color="auto"/>
              <w:right w:val="single" w:sz="4" w:space="0" w:color="auto"/>
            </w:tcBorders>
            <w:shd w:val="clear" w:color="000000" w:fill="FCD5B4"/>
            <w:noWrap/>
            <w:vAlign w:val="bottom"/>
            <w:hideMark/>
          </w:tcPr>
          <w:p w14:paraId="5BE102F9" w14:textId="77777777" w:rsidR="009A356E" w:rsidRPr="00C10545" w:rsidRDefault="009A356E" w:rsidP="009A356E">
            <w:pPr>
              <w:jc w:val="right"/>
              <w:rPr>
                <w:color w:val="000000"/>
                <w:sz w:val="18"/>
                <w:szCs w:val="18"/>
                <w:lang w:eastAsia="en-AU"/>
              </w:rPr>
            </w:pPr>
            <w:r w:rsidRPr="00C10545">
              <w:rPr>
                <w:color w:val="000000"/>
                <w:sz w:val="18"/>
                <w:szCs w:val="18"/>
                <w:lang w:eastAsia="en-AU"/>
              </w:rPr>
              <w:t>86%</w:t>
            </w:r>
          </w:p>
        </w:tc>
        <w:tc>
          <w:tcPr>
            <w:tcW w:w="853" w:type="dxa"/>
            <w:tcBorders>
              <w:top w:val="nil"/>
              <w:left w:val="nil"/>
              <w:bottom w:val="single" w:sz="4" w:space="0" w:color="auto"/>
              <w:right w:val="single" w:sz="4" w:space="0" w:color="auto"/>
            </w:tcBorders>
            <w:shd w:val="clear" w:color="000000" w:fill="FCD5B4"/>
            <w:noWrap/>
            <w:vAlign w:val="bottom"/>
            <w:hideMark/>
          </w:tcPr>
          <w:p w14:paraId="623BF215" w14:textId="77777777" w:rsidR="009A356E" w:rsidRPr="00C10545" w:rsidRDefault="009A356E" w:rsidP="009A356E">
            <w:pPr>
              <w:jc w:val="right"/>
              <w:rPr>
                <w:color w:val="000000"/>
                <w:sz w:val="18"/>
                <w:szCs w:val="18"/>
                <w:lang w:eastAsia="en-AU"/>
              </w:rPr>
            </w:pPr>
            <w:r w:rsidRPr="00C10545">
              <w:rPr>
                <w:color w:val="000000"/>
                <w:sz w:val="18"/>
                <w:szCs w:val="18"/>
                <w:lang w:eastAsia="en-AU"/>
              </w:rPr>
              <w:t>73%</w:t>
            </w:r>
          </w:p>
        </w:tc>
        <w:tc>
          <w:tcPr>
            <w:tcW w:w="853" w:type="dxa"/>
            <w:tcBorders>
              <w:top w:val="nil"/>
              <w:left w:val="nil"/>
              <w:bottom w:val="single" w:sz="4" w:space="0" w:color="auto"/>
              <w:right w:val="single" w:sz="4" w:space="0" w:color="auto"/>
            </w:tcBorders>
            <w:shd w:val="clear" w:color="000000" w:fill="FCD5B4"/>
            <w:noWrap/>
            <w:vAlign w:val="bottom"/>
            <w:hideMark/>
          </w:tcPr>
          <w:p w14:paraId="30C2F17D" w14:textId="77777777" w:rsidR="009A356E" w:rsidRPr="00C10545" w:rsidRDefault="009A356E" w:rsidP="009A356E">
            <w:pPr>
              <w:jc w:val="right"/>
              <w:rPr>
                <w:color w:val="000000"/>
                <w:sz w:val="18"/>
                <w:szCs w:val="18"/>
                <w:lang w:eastAsia="en-AU"/>
              </w:rPr>
            </w:pPr>
            <w:r w:rsidRPr="00C10545">
              <w:rPr>
                <w:color w:val="000000"/>
                <w:sz w:val="18"/>
                <w:szCs w:val="18"/>
                <w:lang w:eastAsia="en-AU"/>
              </w:rPr>
              <w:t>67%</w:t>
            </w:r>
          </w:p>
        </w:tc>
        <w:tc>
          <w:tcPr>
            <w:tcW w:w="853" w:type="dxa"/>
            <w:tcBorders>
              <w:top w:val="nil"/>
              <w:left w:val="nil"/>
              <w:bottom w:val="single" w:sz="4" w:space="0" w:color="auto"/>
              <w:right w:val="single" w:sz="4" w:space="0" w:color="auto"/>
            </w:tcBorders>
            <w:shd w:val="clear" w:color="000000" w:fill="FCD5B4"/>
            <w:noWrap/>
            <w:vAlign w:val="bottom"/>
            <w:hideMark/>
          </w:tcPr>
          <w:p w14:paraId="41B7046E" w14:textId="77777777" w:rsidR="009A356E" w:rsidRPr="00C10545" w:rsidRDefault="009A356E" w:rsidP="009A356E">
            <w:pPr>
              <w:jc w:val="right"/>
              <w:rPr>
                <w:color w:val="000000"/>
                <w:sz w:val="18"/>
                <w:szCs w:val="18"/>
                <w:lang w:eastAsia="en-AU"/>
              </w:rPr>
            </w:pPr>
            <w:r w:rsidRPr="00C10545">
              <w:rPr>
                <w:color w:val="000000"/>
                <w:sz w:val="18"/>
                <w:szCs w:val="18"/>
                <w:lang w:eastAsia="en-AU"/>
              </w:rPr>
              <w:t>166%</w:t>
            </w:r>
          </w:p>
        </w:tc>
        <w:tc>
          <w:tcPr>
            <w:tcW w:w="714" w:type="dxa"/>
            <w:tcBorders>
              <w:top w:val="nil"/>
              <w:left w:val="nil"/>
              <w:bottom w:val="single" w:sz="4" w:space="0" w:color="auto"/>
              <w:right w:val="single" w:sz="4" w:space="0" w:color="auto"/>
            </w:tcBorders>
            <w:shd w:val="clear" w:color="000000" w:fill="FCD5B4"/>
            <w:noWrap/>
            <w:vAlign w:val="bottom"/>
            <w:hideMark/>
          </w:tcPr>
          <w:p w14:paraId="2531B665" w14:textId="77777777" w:rsidR="009A356E" w:rsidRPr="00C10545" w:rsidRDefault="009A356E" w:rsidP="009A356E">
            <w:pPr>
              <w:jc w:val="right"/>
              <w:rPr>
                <w:color w:val="000000"/>
                <w:sz w:val="18"/>
                <w:szCs w:val="18"/>
                <w:lang w:eastAsia="en-AU"/>
              </w:rPr>
            </w:pPr>
            <w:r w:rsidRPr="00C10545">
              <w:rPr>
                <w:color w:val="000000"/>
                <w:sz w:val="18"/>
                <w:szCs w:val="18"/>
                <w:lang w:eastAsia="en-AU"/>
              </w:rPr>
              <w:t>81%</w:t>
            </w:r>
          </w:p>
        </w:tc>
        <w:tc>
          <w:tcPr>
            <w:tcW w:w="727" w:type="dxa"/>
            <w:tcBorders>
              <w:top w:val="nil"/>
              <w:left w:val="nil"/>
              <w:bottom w:val="single" w:sz="4" w:space="0" w:color="auto"/>
              <w:right w:val="single" w:sz="4" w:space="0" w:color="auto"/>
            </w:tcBorders>
            <w:shd w:val="clear" w:color="auto" w:fill="auto"/>
            <w:noWrap/>
            <w:vAlign w:val="bottom"/>
            <w:hideMark/>
          </w:tcPr>
          <w:p w14:paraId="7F2F10A3" w14:textId="77777777" w:rsidR="009A356E" w:rsidRPr="00C10545" w:rsidRDefault="009A356E" w:rsidP="009A356E">
            <w:pPr>
              <w:jc w:val="right"/>
              <w:rPr>
                <w:color w:val="000000"/>
                <w:sz w:val="18"/>
                <w:szCs w:val="18"/>
                <w:lang w:eastAsia="en-AU"/>
              </w:rPr>
            </w:pPr>
            <w:r w:rsidRPr="00C10545">
              <w:rPr>
                <w:color w:val="000000"/>
                <w:sz w:val="18"/>
                <w:szCs w:val="18"/>
                <w:lang w:eastAsia="en-AU"/>
              </w:rPr>
              <w:t>81%</w:t>
            </w:r>
          </w:p>
        </w:tc>
        <w:tc>
          <w:tcPr>
            <w:tcW w:w="727" w:type="dxa"/>
            <w:tcBorders>
              <w:top w:val="nil"/>
              <w:left w:val="nil"/>
              <w:bottom w:val="single" w:sz="4" w:space="0" w:color="auto"/>
              <w:right w:val="single" w:sz="4" w:space="0" w:color="auto"/>
            </w:tcBorders>
            <w:shd w:val="clear" w:color="auto" w:fill="auto"/>
            <w:noWrap/>
            <w:vAlign w:val="bottom"/>
            <w:hideMark/>
          </w:tcPr>
          <w:p w14:paraId="4B9E3626" w14:textId="77777777" w:rsidR="009A356E" w:rsidRPr="00C10545" w:rsidRDefault="009A356E" w:rsidP="009A356E">
            <w:pPr>
              <w:jc w:val="right"/>
              <w:rPr>
                <w:color w:val="000000"/>
                <w:sz w:val="18"/>
                <w:szCs w:val="18"/>
                <w:lang w:eastAsia="en-AU"/>
              </w:rPr>
            </w:pPr>
            <w:r w:rsidRPr="00C10545">
              <w:rPr>
                <w:color w:val="000000"/>
                <w:sz w:val="18"/>
                <w:szCs w:val="18"/>
                <w:lang w:eastAsia="en-AU"/>
              </w:rPr>
              <w:t>73%</w:t>
            </w:r>
          </w:p>
        </w:tc>
        <w:tc>
          <w:tcPr>
            <w:tcW w:w="727" w:type="dxa"/>
            <w:tcBorders>
              <w:top w:val="nil"/>
              <w:left w:val="nil"/>
              <w:bottom w:val="single" w:sz="4" w:space="0" w:color="auto"/>
              <w:right w:val="single" w:sz="4" w:space="0" w:color="auto"/>
            </w:tcBorders>
            <w:shd w:val="clear" w:color="auto" w:fill="auto"/>
            <w:noWrap/>
            <w:vAlign w:val="bottom"/>
            <w:hideMark/>
          </w:tcPr>
          <w:p w14:paraId="0F903017" w14:textId="77777777" w:rsidR="009A356E" w:rsidRPr="00C10545" w:rsidRDefault="009A356E" w:rsidP="009A356E">
            <w:pPr>
              <w:jc w:val="right"/>
              <w:rPr>
                <w:color w:val="000000"/>
                <w:sz w:val="18"/>
                <w:szCs w:val="18"/>
                <w:lang w:eastAsia="en-AU"/>
              </w:rPr>
            </w:pPr>
            <w:r w:rsidRPr="00C10545">
              <w:rPr>
                <w:color w:val="000000"/>
                <w:sz w:val="18"/>
                <w:szCs w:val="18"/>
                <w:lang w:eastAsia="en-AU"/>
              </w:rPr>
              <w:t>64%</w:t>
            </w:r>
          </w:p>
        </w:tc>
        <w:tc>
          <w:tcPr>
            <w:tcW w:w="872" w:type="dxa"/>
            <w:tcBorders>
              <w:top w:val="nil"/>
              <w:left w:val="nil"/>
              <w:bottom w:val="single" w:sz="4" w:space="0" w:color="auto"/>
              <w:right w:val="single" w:sz="4" w:space="0" w:color="auto"/>
            </w:tcBorders>
            <w:shd w:val="clear" w:color="auto" w:fill="auto"/>
            <w:noWrap/>
            <w:vAlign w:val="bottom"/>
            <w:hideMark/>
          </w:tcPr>
          <w:p w14:paraId="2991A57E" w14:textId="77777777" w:rsidR="009A356E" w:rsidRPr="00C10545" w:rsidRDefault="009A356E" w:rsidP="009A356E">
            <w:pPr>
              <w:jc w:val="right"/>
              <w:rPr>
                <w:color w:val="000000"/>
                <w:sz w:val="18"/>
                <w:szCs w:val="18"/>
                <w:lang w:eastAsia="en-AU"/>
              </w:rPr>
            </w:pPr>
            <w:r w:rsidRPr="00C10545">
              <w:rPr>
                <w:color w:val="000000"/>
                <w:sz w:val="18"/>
                <w:szCs w:val="18"/>
                <w:lang w:eastAsia="en-AU"/>
              </w:rPr>
              <w:t>166%</w:t>
            </w:r>
          </w:p>
        </w:tc>
        <w:tc>
          <w:tcPr>
            <w:tcW w:w="727" w:type="dxa"/>
            <w:tcBorders>
              <w:top w:val="nil"/>
              <w:left w:val="nil"/>
              <w:bottom w:val="single" w:sz="4" w:space="0" w:color="auto"/>
              <w:right w:val="single" w:sz="4" w:space="0" w:color="auto"/>
            </w:tcBorders>
            <w:shd w:val="clear" w:color="auto" w:fill="auto"/>
            <w:noWrap/>
            <w:vAlign w:val="bottom"/>
            <w:hideMark/>
          </w:tcPr>
          <w:p w14:paraId="5386A305" w14:textId="77777777" w:rsidR="009A356E" w:rsidRPr="00C10545" w:rsidRDefault="009A356E" w:rsidP="009A356E">
            <w:pPr>
              <w:jc w:val="right"/>
              <w:rPr>
                <w:color w:val="000000"/>
                <w:sz w:val="18"/>
                <w:szCs w:val="18"/>
                <w:lang w:eastAsia="en-AU"/>
              </w:rPr>
            </w:pPr>
            <w:r w:rsidRPr="00C10545">
              <w:rPr>
                <w:color w:val="000000"/>
                <w:sz w:val="18"/>
                <w:szCs w:val="18"/>
                <w:lang w:eastAsia="en-AU"/>
              </w:rPr>
              <w:t>79%</w:t>
            </w:r>
          </w:p>
        </w:tc>
      </w:tr>
      <w:tr w:rsidR="009A356E" w:rsidRPr="00CB3038" w14:paraId="7E806534" w14:textId="77777777" w:rsidTr="009A356E">
        <w:trPr>
          <w:trHeight w:val="255"/>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EF00B24" w14:textId="77777777" w:rsidR="009A356E" w:rsidRPr="00C10545" w:rsidRDefault="009A356E" w:rsidP="009A356E">
            <w:pPr>
              <w:rPr>
                <w:sz w:val="18"/>
                <w:szCs w:val="18"/>
                <w:lang w:eastAsia="en-AU"/>
              </w:rPr>
            </w:pPr>
            <w:r w:rsidRPr="00C10545">
              <w:rPr>
                <w:sz w:val="18"/>
                <w:szCs w:val="18"/>
                <w:lang w:eastAsia="en-AU"/>
              </w:rPr>
              <w:t>J</w:t>
            </w:r>
          </w:p>
        </w:tc>
        <w:tc>
          <w:tcPr>
            <w:tcW w:w="714" w:type="dxa"/>
            <w:tcBorders>
              <w:top w:val="nil"/>
              <w:left w:val="nil"/>
              <w:bottom w:val="single" w:sz="4" w:space="0" w:color="auto"/>
              <w:right w:val="single" w:sz="4" w:space="0" w:color="auto"/>
            </w:tcBorders>
            <w:shd w:val="clear" w:color="000000" w:fill="FCD5B4"/>
            <w:noWrap/>
            <w:vAlign w:val="bottom"/>
            <w:hideMark/>
          </w:tcPr>
          <w:p w14:paraId="29E828CA" w14:textId="77777777" w:rsidR="009A356E" w:rsidRPr="00C10545" w:rsidRDefault="009A356E" w:rsidP="009A356E">
            <w:pPr>
              <w:jc w:val="right"/>
              <w:rPr>
                <w:color w:val="000000"/>
                <w:sz w:val="18"/>
                <w:szCs w:val="18"/>
                <w:lang w:eastAsia="en-AU"/>
              </w:rPr>
            </w:pPr>
            <w:r w:rsidRPr="00C10545">
              <w:rPr>
                <w:color w:val="000000"/>
                <w:sz w:val="18"/>
                <w:szCs w:val="18"/>
                <w:lang w:eastAsia="en-AU"/>
              </w:rPr>
              <w:t>62%</w:t>
            </w:r>
          </w:p>
        </w:tc>
        <w:tc>
          <w:tcPr>
            <w:tcW w:w="853" w:type="dxa"/>
            <w:tcBorders>
              <w:top w:val="nil"/>
              <w:left w:val="nil"/>
              <w:bottom w:val="single" w:sz="4" w:space="0" w:color="auto"/>
              <w:right w:val="single" w:sz="4" w:space="0" w:color="auto"/>
            </w:tcBorders>
            <w:shd w:val="clear" w:color="000000" w:fill="FCD5B4"/>
            <w:noWrap/>
            <w:vAlign w:val="bottom"/>
            <w:hideMark/>
          </w:tcPr>
          <w:p w14:paraId="4A719683" w14:textId="77777777" w:rsidR="009A356E" w:rsidRPr="00C10545" w:rsidRDefault="009A356E" w:rsidP="009A356E">
            <w:pPr>
              <w:jc w:val="right"/>
              <w:rPr>
                <w:color w:val="000000"/>
                <w:sz w:val="18"/>
                <w:szCs w:val="18"/>
                <w:lang w:eastAsia="en-AU"/>
              </w:rPr>
            </w:pPr>
            <w:r w:rsidRPr="00C10545">
              <w:rPr>
                <w:color w:val="000000"/>
                <w:sz w:val="18"/>
                <w:szCs w:val="18"/>
                <w:lang w:eastAsia="en-AU"/>
              </w:rPr>
              <w:t>82%</w:t>
            </w:r>
          </w:p>
        </w:tc>
        <w:tc>
          <w:tcPr>
            <w:tcW w:w="853" w:type="dxa"/>
            <w:tcBorders>
              <w:top w:val="nil"/>
              <w:left w:val="nil"/>
              <w:bottom w:val="single" w:sz="4" w:space="0" w:color="auto"/>
              <w:right w:val="single" w:sz="4" w:space="0" w:color="auto"/>
            </w:tcBorders>
            <w:shd w:val="clear" w:color="000000" w:fill="FCD5B4"/>
            <w:noWrap/>
            <w:vAlign w:val="bottom"/>
            <w:hideMark/>
          </w:tcPr>
          <w:p w14:paraId="02A80439" w14:textId="77777777" w:rsidR="009A356E" w:rsidRPr="00C10545" w:rsidRDefault="009A356E" w:rsidP="009A356E">
            <w:pPr>
              <w:jc w:val="right"/>
              <w:rPr>
                <w:color w:val="000000"/>
                <w:sz w:val="18"/>
                <w:szCs w:val="18"/>
                <w:lang w:eastAsia="en-AU"/>
              </w:rPr>
            </w:pPr>
            <w:r w:rsidRPr="00C10545">
              <w:rPr>
                <w:color w:val="000000"/>
                <w:sz w:val="18"/>
                <w:szCs w:val="18"/>
                <w:lang w:eastAsia="en-AU"/>
              </w:rPr>
              <w:t>90%</w:t>
            </w:r>
          </w:p>
        </w:tc>
        <w:tc>
          <w:tcPr>
            <w:tcW w:w="853" w:type="dxa"/>
            <w:tcBorders>
              <w:top w:val="nil"/>
              <w:left w:val="nil"/>
              <w:bottom w:val="single" w:sz="4" w:space="0" w:color="auto"/>
              <w:right w:val="single" w:sz="4" w:space="0" w:color="auto"/>
            </w:tcBorders>
            <w:shd w:val="clear" w:color="000000" w:fill="FCD5B4"/>
            <w:noWrap/>
            <w:vAlign w:val="bottom"/>
            <w:hideMark/>
          </w:tcPr>
          <w:p w14:paraId="02B6B004" w14:textId="77777777" w:rsidR="009A356E" w:rsidRPr="00C10545" w:rsidRDefault="009A356E" w:rsidP="009A356E">
            <w:pPr>
              <w:jc w:val="right"/>
              <w:rPr>
                <w:color w:val="000000"/>
                <w:sz w:val="18"/>
                <w:szCs w:val="18"/>
                <w:lang w:eastAsia="en-AU"/>
              </w:rPr>
            </w:pPr>
            <w:r w:rsidRPr="00C10545">
              <w:rPr>
                <w:color w:val="000000"/>
                <w:sz w:val="18"/>
                <w:szCs w:val="18"/>
                <w:lang w:eastAsia="en-AU"/>
              </w:rPr>
              <w:t>97%</w:t>
            </w:r>
          </w:p>
        </w:tc>
        <w:tc>
          <w:tcPr>
            <w:tcW w:w="714" w:type="dxa"/>
            <w:tcBorders>
              <w:top w:val="nil"/>
              <w:left w:val="nil"/>
              <w:bottom w:val="single" w:sz="4" w:space="0" w:color="auto"/>
              <w:right w:val="single" w:sz="4" w:space="0" w:color="auto"/>
            </w:tcBorders>
            <w:shd w:val="clear" w:color="000000" w:fill="FCD5B4"/>
            <w:noWrap/>
            <w:vAlign w:val="bottom"/>
            <w:hideMark/>
          </w:tcPr>
          <w:p w14:paraId="358B2A80" w14:textId="77777777" w:rsidR="009A356E" w:rsidRPr="00C10545" w:rsidRDefault="009A356E" w:rsidP="009A356E">
            <w:pPr>
              <w:jc w:val="right"/>
              <w:rPr>
                <w:color w:val="000000"/>
                <w:sz w:val="18"/>
                <w:szCs w:val="18"/>
                <w:lang w:eastAsia="en-AU"/>
              </w:rPr>
            </w:pPr>
            <w:r w:rsidRPr="00C10545">
              <w:rPr>
                <w:color w:val="000000"/>
                <w:sz w:val="18"/>
                <w:szCs w:val="18"/>
                <w:lang w:eastAsia="en-AU"/>
              </w:rPr>
              <w:t>68%</w:t>
            </w:r>
          </w:p>
        </w:tc>
        <w:tc>
          <w:tcPr>
            <w:tcW w:w="727" w:type="dxa"/>
            <w:tcBorders>
              <w:top w:val="nil"/>
              <w:left w:val="nil"/>
              <w:bottom w:val="single" w:sz="4" w:space="0" w:color="auto"/>
              <w:right w:val="single" w:sz="4" w:space="0" w:color="auto"/>
            </w:tcBorders>
            <w:shd w:val="clear" w:color="auto" w:fill="auto"/>
            <w:noWrap/>
            <w:vAlign w:val="bottom"/>
            <w:hideMark/>
          </w:tcPr>
          <w:p w14:paraId="36EA3EF2" w14:textId="77777777" w:rsidR="009A356E" w:rsidRPr="00C10545" w:rsidRDefault="009A356E" w:rsidP="009A356E">
            <w:pPr>
              <w:jc w:val="right"/>
              <w:rPr>
                <w:color w:val="000000"/>
                <w:sz w:val="18"/>
                <w:szCs w:val="18"/>
                <w:lang w:eastAsia="en-AU"/>
              </w:rPr>
            </w:pPr>
            <w:r w:rsidRPr="00C10545">
              <w:rPr>
                <w:color w:val="000000"/>
                <w:sz w:val="18"/>
                <w:szCs w:val="18"/>
                <w:lang w:eastAsia="en-AU"/>
              </w:rPr>
              <w:t>49%</w:t>
            </w:r>
          </w:p>
        </w:tc>
        <w:tc>
          <w:tcPr>
            <w:tcW w:w="727" w:type="dxa"/>
            <w:tcBorders>
              <w:top w:val="nil"/>
              <w:left w:val="nil"/>
              <w:bottom w:val="single" w:sz="4" w:space="0" w:color="auto"/>
              <w:right w:val="single" w:sz="4" w:space="0" w:color="auto"/>
            </w:tcBorders>
            <w:shd w:val="clear" w:color="auto" w:fill="auto"/>
            <w:noWrap/>
            <w:vAlign w:val="bottom"/>
            <w:hideMark/>
          </w:tcPr>
          <w:p w14:paraId="537DA2EE" w14:textId="77777777" w:rsidR="009A356E" w:rsidRPr="00C10545" w:rsidRDefault="009A356E" w:rsidP="009A356E">
            <w:pPr>
              <w:jc w:val="right"/>
              <w:rPr>
                <w:color w:val="000000"/>
                <w:sz w:val="18"/>
                <w:szCs w:val="18"/>
                <w:lang w:eastAsia="en-AU"/>
              </w:rPr>
            </w:pPr>
            <w:r w:rsidRPr="00C10545">
              <w:rPr>
                <w:color w:val="000000"/>
                <w:sz w:val="18"/>
                <w:szCs w:val="18"/>
                <w:lang w:eastAsia="en-AU"/>
              </w:rPr>
              <w:t>46%</w:t>
            </w:r>
          </w:p>
        </w:tc>
        <w:tc>
          <w:tcPr>
            <w:tcW w:w="727" w:type="dxa"/>
            <w:tcBorders>
              <w:top w:val="nil"/>
              <w:left w:val="nil"/>
              <w:bottom w:val="single" w:sz="4" w:space="0" w:color="auto"/>
              <w:right w:val="single" w:sz="4" w:space="0" w:color="auto"/>
            </w:tcBorders>
            <w:shd w:val="clear" w:color="auto" w:fill="auto"/>
            <w:noWrap/>
            <w:vAlign w:val="bottom"/>
            <w:hideMark/>
          </w:tcPr>
          <w:p w14:paraId="15E05636" w14:textId="77777777" w:rsidR="009A356E" w:rsidRPr="00C10545" w:rsidRDefault="009A356E" w:rsidP="009A356E">
            <w:pPr>
              <w:jc w:val="right"/>
              <w:rPr>
                <w:color w:val="000000"/>
                <w:sz w:val="18"/>
                <w:szCs w:val="18"/>
                <w:lang w:eastAsia="en-AU"/>
              </w:rPr>
            </w:pPr>
            <w:r w:rsidRPr="00C10545">
              <w:rPr>
                <w:color w:val="000000"/>
                <w:sz w:val="18"/>
                <w:szCs w:val="18"/>
                <w:lang w:eastAsia="en-AU"/>
              </w:rPr>
              <w:t>22%</w:t>
            </w:r>
          </w:p>
        </w:tc>
        <w:tc>
          <w:tcPr>
            <w:tcW w:w="872" w:type="dxa"/>
            <w:tcBorders>
              <w:top w:val="nil"/>
              <w:left w:val="nil"/>
              <w:bottom w:val="single" w:sz="4" w:space="0" w:color="auto"/>
              <w:right w:val="single" w:sz="4" w:space="0" w:color="auto"/>
            </w:tcBorders>
            <w:shd w:val="clear" w:color="auto" w:fill="auto"/>
            <w:noWrap/>
            <w:vAlign w:val="bottom"/>
            <w:hideMark/>
          </w:tcPr>
          <w:p w14:paraId="5A580F9C" w14:textId="77777777" w:rsidR="009A356E" w:rsidRPr="00C10545" w:rsidRDefault="009A356E" w:rsidP="009A356E">
            <w:pPr>
              <w:jc w:val="right"/>
              <w:rPr>
                <w:color w:val="000000"/>
                <w:sz w:val="18"/>
                <w:szCs w:val="18"/>
                <w:lang w:eastAsia="en-AU"/>
              </w:rPr>
            </w:pPr>
            <w:r w:rsidRPr="00C10545">
              <w:rPr>
                <w:color w:val="000000"/>
                <w:sz w:val="18"/>
                <w:szCs w:val="18"/>
                <w:lang w:eastAsia="en-AU"/>
              </w:rPr>
              <w:t>94%</w:t>
            </w:r>
          </w:p>
        </w:tc>
        <w:tc>
          <w:tcPr>
            <w:tcW w:w="727" w:type="dxa"/>
            <w:tcBorders>
              <w:top w:val="nil"/>
              <w:left w:val="nil"/>
              <w:bottom w:val="single" w:sz="4" w:space="0" w:color="auto"/>
              <w:right w:val="single" w:sz="4" w:space="0" w:color="auto"/>
            </w:tcBorders>
            <w:shd w:val="clear" w:color="auto" w:fill="auto"/>
            <w:noWrap/>
            <w:vAlign w:val="bottom"/>
            <w:hideMark/>
          </w:tcPr>
          <w:p w14:paraId="7F5BC423" w14:textId="77777777" w:rsidR="009A356E" w:rsidRPr="00C10545" w:rsidRDefault="009A356E" w:rsidP="009A356E">
            <w:pPr>
              <w:jc w:val="right"/>
              <w:rPr>
                <w:color w:val="000000"/>
                <w:sz w:val="18"/>
                <w:szCs w:val="18"/>
                <w:lang w:eastAsia="en-AU"/>
              </w:rPr>
            </w:pPr>
            <w:r w:rsidRPr="00C10545">
              <w:rPr>
                <w:color w:val="000000"/>
                <w:sz w:val="18"/>
                <w:szCs w:val="18"/>
                <w:lang w:eastAsia="en-AU"/>
              </w:rPr>
              <w:t>47%</w:t>
            </w:r>
          </w:p>
        </w:tc>
      </w:tr>
      <w:tr w:rsidR="009A356E" w:rsidRPr="00CB3038" w14:paraId="6D8BB238" w14:textId="77777777" w:rsidTr="009A356E">
        <w:trPr>
          <w:trHeight w:val="255"/>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EB76AB6" w14:textId="77777777" w:rsidR="009A356E" w:rsidRPr="00C10545" w:rsidRDefault="009A356E" w:rsidP="009A356E">
            <w:pPr>
              <w:rPr>
                <w:sz w:val="18"/>
                <w:szCs w:val="18"/>
                <w:lang w:eastAsia="en-AU"/>
              </w:rPr>
            </w:pPr>
            <w:r w:rsidRPr="00C10545">
              <w:rPr>
                <w:sz w:val="18"/>
                <w:szCs w:val="18"/>
                <w:lang w:eastAsia="en-AU"/>
              </w:rPr>
              <w:t>K</w:t>
            </w:r>
          </w:p>
        </w:tc>
        <w:tc>
          <w:tcPr>
            <w:tcW w:w="714" w:type="dxa"/>
            <w:tcBorders>
              <w:top w:val="nil"/>
              <w:left w:val="nil"/>
              <w:bottom w:val="single" w:sz="4" w:space="0" w:color="auto"/>
              <w:right w:val="single" w:sz="4" w:space="0" w:color="auto"/>
            </w:tcBorders>
            <w:shd w:val="clear" w:color="000000" w:fill="FCD5B4"/>
            <w:noWrap/>
            <w:vAlign w:val="bottom"/>
            <w:hideMark/>
          </w:tcPr>
          <w:p w14:paraId="7D859477" w14:textId="77777777" w:rsidR="009A356E" w:rsidRPr="00C10545" w:rsidRDefault="009A356E" w:rsidP="009A356E">
            <w:pPr>
              <w:jc w:val="right"/>
              <w:rPr>
                <w:color w:val="000000"/>
                <w:sz w:val="18"/>
                <w:szCs w:val="18"/>
                <w:lang w:eastAsia="en-AU"/>
              </w:rPr>
            </w:pPr>
            <w:r w:rsidRPr="00C10545">
              <w:rPr>
                <w:color w:val="000000"/>
                <w:sz w:val="18"/>
                <w:szCs w:val="18"/>
                <w:lang w:eastAsia="en-AU"/>
              </w:rPr>
              <w:t>65%</w:t>
            </w:r>
          </w:p>
        </w:tc>
        <w:tc>
          <w:tcPr>
            <w:tcW w:w="853" w:type="dxa"/>
            <w:tcBorders>
              <w:top w:val="nil"/>
              <w:left w:val="nil"/>
              <w:bottom w:val="single" w:sz="4" w:space="0" w:color="auto"/>
              <w:right w:val="single" w:sz="4" w:space="0" w:color="auto"/>
            </w:tcBorders>
            <w:shd w:val="clear" w:color="000000" w:fill="FCD5B4"/>
            <w:noWrap/>
            <w:vAlign w:val="bottom"/>
            <w:hideMark/>
          </w:tcPr>
          <w:p w14:paraId="089D9CF5" w14:textId="77777777" w:rsidR="009A356E" w:rsidRPr="00C10545" w:rsidRDefault="009A356E" w:rsidP="009A356E">
            <w:pPr>
              <w:jc w:val="right"/>
              <w:rPr>
                <w:color w:val="000000"/>
                <w:sz w:val="18"/>
                <w:szCs w:val="18"/>
                <w:lang w:eastAsia="en-AU"/>
              </w:rPr>
            </w:pPr>
            <w:r w:rsidRPr="00C10545">
              <w:rPr>
                <w:color w:val="000000"/>
                <w:sz w:val="18"/>
                <w:szCs w:val="18"/>
                <w:lang w:eastAsia="en-AU"/>
              </w:rPr>
              <w:t>67%</w:t>
            </w:r>
          </w:p>
        </w:tc>
        <w:tc>
          <w:tcPr>
            <w:tcW w:w="853" w:type="dxa"/>
            <w:tcBorders>
              <w:top w:val="nil"/>
              <w:left w:val="nil"/>
              <w:bottom w:val="single" w:sz="4" w:space="0" w:color="auto"/>
              <w:right w:val="single" w:sz="4" w:space="0" w:color="auto"/>
            </w:tcBorders>
            <w:shd w:val="clear" w:color="000000" w:fill="FCD5B4"/>
            <w:noWrap/>
            <w:vAlign w:val="bottom"/>
            <w:hideMark/>
          </w:tcPr>
          <w:p w14:paraId="219B22EC" w14:textId="77777777" w:rsidR="009A356E" w:rsidRPr="00C10545" w:rsidRDefault="009A356E" w:rsidP="009A356E">
            <w:pPr>
              <w:jc w:val="right"/>
              <w:rPr>
                <w:color w:val="000000"/>
                <w:sz w:val="18"/>
                <w:szCs w:val="18"/>
                <w:lang w:eastAsia="en-AU"/>
              </w:rPr>
            </w:pPr>
            <w:r w:rsidRPr="00C10545">
              <w:rPr>
                <w:color w:val="000000"/>
                <w:sz w:val="18"/>
                <w:szCs w:val="18"/>
                <w:lang w:eastAsia="en-AU"/>
              </w:rPr>
              <w:t>66%</w:t>
            </w:r>
          </w:p>
        </w:tc>
        <w:tc>
          <w:tcPr>
            <w:tcW w:w="853" w:type="dxa"/>
            <w:tcBorders>
              <w:top w:val="nil"/>
              <w:left w:val="nil"/>
              <w:bottom w:val="single" w:sz="4" w:space="0" w:color="auto"/>
              <w:right w:val="single" w:sz="4" w:space="0" w:color="auto"/>
            </w:tcBorders>
            <w:shd w:val="clear" w:color="000000" w:fill="FCD5B4"/>
            <w:noWrap/>
            <w:vAlign w:val="bottom"/>
            <w:hideMark/>
          </w:tcPr>
          <w:p w14:paraId="579768E3" w14:textId="77777777" w:rsidR="009A356E" w:rsidRPr="00C10545" w:rsidRDefault="009A356E" w:rsidP="009A356E">
            <w:pPr>
              <w:jc w:val="right"/>
              <w:rPr>
                <w:color w:val="000000"/>
                <w:sz w:val="18"/>
                <w:szCs w:val="18"/>
                <w:lang w:eastAsia="en-AU"/>
              </w:rPr>
            </w:pPr>
            <w:r w:rsidRPr="00C10545">
              <w:rPr>
                <w:color w:val="000000"/>
                <w:sz w:val="18"/>
                <w:szCs w:val="18"/>
                <w:lang w:eastAsia="en-AU"/>
              </w:rPr>
              <w:t>134%</w:t>
            </w:r>
          </w:p>
        </w:tc>
        <w:tc>
          <w:tcPr>
            <w:tcW w:w="714" w:type="dxa"/>
            <w:tcBorders>
              <w:top w:val="nil"/>
              <w:left w:val="nil"/>
              <w:bottom w:val="single" w:sz="4" w:space="0" w:color="auto"/>
              <w:right w:val="single" w:sz="4" w:space="0" w:color="auto"/>
            </w:tcBorders>
            <w:shd w:val="clear" w:color="000000" w:fill="FCD5B4"/>
            <w:noWrap/>
            <w:vAlign w:val="bottom"/>
            <w:hideMark/>
          </w:tcPr>
          <w:p w14:paraId="669FAC4C" w14:textId="77777777" w:rsidR="009A356E" w:rsidRPr="00C10545" w:rsidRDefault="009A356E" w:rsidP="009A356E">
            <w:pPr>
              <w:jc w:val="right"/>
              <w:rPr>
                <w:color w:val="000000"/>
                <w:sz w:val="18"/>
                <w:szCs w:val="18"/>
                <w:lang w:eastAsia="en-AU"/>
              </w:rPr>
            </w:pPr>
            <w:r w:rsidRPr="00C10545">
              <w:rPr>
                <w:color w:val="000000"/>
                <w:sz w:val="18"/>
                <w:szCs w:val="18"/>
                <w:lang w:eastAsia="en-AU"/>
              </w:rPr>
              <w:t>70%</w:t>
            </w:r>
          </w:p>
        </w:tc>
        <w:tc>
          <w:tcPr>
            <w:tcW w:w="727" w:type="dxa"/>
            <w:tcBorders>
              <w:top w:val="nil"/>
              <w:left w:val="nil"/>
              <w:bottom w:val="single" w:sz="4" w:space="0" w:color="auto"/>
              <w:right w:val="single" w:sz="4" w:space="0" w:color="auto"/>
            </w:tcBorders>
            <w:shd w:val="clear" w:color="auto" w:fill="auto"/>
            <w:noWrap/>
            <w:vAlign w:val="bottom"/>
            <w:hideMark/>
          </w:tcPr>
          <w:p w14:paraId="16A1C5AA" w14:textId="77777777" w:rsidR="009A356E" w:rsidRPr="00C10545" w:rsidRDefault="009A356E" w:rsidP="009A356E">
            <w:pPr>
              <w:jc w:val="right"/>
              <w:rPr>
                <w:color w:val="000000"/>
                <w:sz w:val="18"/>
                <w:szCs w:val="18"/>
                <w:lang w:eastAsia="en-AU"/>
              </w:rPr>
            </w:pPr>
            <w:r w:rsidRPr="00C10545">
              <w:rPr>
                <w:color w:val="000000"/>
                <w:sz w:val="18"/>
                <w:szCs w:val="18"/>
                <w:lang w:eastAsia="en-AU"/>
              </w:rPr>
              <w:t>61%</w:t>
            </w:r>
          </w:p>
        </w:tc>
        <w:tc>
          <w:tcPr>
            <w:tcW w:w="727" w:type="dxa"/>
            <w:tcBorders>
              <w:top w:val="nil"/>
              <w:left w:val="nil"/>
              <w:bottom w:val="single" w:sz="4" w:space="0" w:color="auto"/>
              <w:right w:val="single" w:sz="4" w:space="0" w:color="auto"/>
            </w:tcBorders>
            <w:shd w:val="clear" w:color="auto" w:fill="auto"/>
            <w:noWrap/>
            <w:vAlign w:val="bottom"/>
            <w:hideMark/>
          </w:tcPr>
          <w:p w14:paraId="5728CD5E" w14:textId="77777777" w:rsidR="009A356E" w:rsidRPr="00C10545" w:rsidRDefault="009A356E" w:rsidP="009A356E">
            <w:pPr>
              <w:jc w:val="right"/>
              <w:rPr>
                <w:color w:val="000000"/>
                <w:sz w:val="18"/>
                <w:szCs w:val="18"/>
                <w:lang w:eastAsia="en-AU"/>
              </w:rPr>
            </w:pPr>
            <w:r w:rsidRPr="00C10545">
              <w:rPr>
                <w:color w:val="000000"/>
                <w:sz w:val="18"/>
                <w:szCs w:val="18"/>
                <w:lang w:eastAsia="en-AU"/>
              </w:rPr>
              <w:t>62%</w:t>
            </w:r>
          </w:p>
        </w:tc>
        <w:tc>
          <w:tcPr>
            <w:tcW w:w="727" w:type="dxa"/>
            <w:tcBorders>
              <w:top w:val="nil"/>
              <w:left w:val="nil"/>
              <w:bottom w:val="single" w:sz="4" w:space="0" w:color="auto"/>
              <w:right w:val="single" w:sz="4" w:space="0" w:color="auto"/>
            </w:tcBorders>
            <w:shd w:val="clear" w:color="auto" w:fill="auto"/>
            <w:noWrap/>
            <w:vAlign w:val="bottom"/>
            <w:hideMark/>
          </w:tcPr>
          <w:p w14:paraId="535B7B58" w14:textId="77777777" w:rsidR="009A356E" w:rsidRPr="00C10545" w:rsidRDefault="009A356E" w:rsidP="009A356E">
            <w:pPr>
              <w:jc w:val="right"/>
              <w:rPr>
                <w:color w:val="000000"/>
                <w:sz w:val="18"/>
                <w:szCs w:val="18"/>
                <w:lang w:eastAsia="en-AU"/>
              </w:rPr>
            </w:pPr>
            <w:r w:rsidRPr="00C10545">
              <w:rPr>
                <w:color w:val="000000"/>
                <w:sz w:val="18"/>
                <w:szCs w:val="18"/>
                <w:lang w:eastAsia="en-AU"/>
              </w:rPr>
              <w:t>63%</w:t>
            </w:r>
          </w:p>
        </w:tc>
        <w:tc>
          <w:tcPr>
            <w:tcW w:w="872" w:type="dxa"/>
            <w:tcBorders>
              <w:top w:val="nil"/>
              <w:left w:val="nil"/>
              <w:bottom w:val="single" w:sz="4" w:space="0" w:color="auto"/>
              <w:right w:val="single" w:sz="4" w:space="0" w:color="auto"/>
            </w:tcBorders>
            <w:shd w:val="clear" w:color="auto" w:fill="auto"/>
            <w:noWrap/>
            <w:vAlign w:val="bottom"/>
            <w:hideMark/>
          </w:tcPr>
          <w:p w14:paraId="7797C3E5" w14:textId="77777777" w:rsidR="009A356E" w:rsidRPr="00C10545" w:rsidRDefault="009A356E" w:rsidP="009A356E">
            <w:pPr>
              <w:jc w:val="right"/>
              <w:rPr>
                <w:color w:val="000000"/>
                <w:sz w:val="18"/>
                <w:szCs w:val="18"/>
                <w:lang w:eastAsia="en-AU"/>
              </w:rPr>
            </w:pPr>
            <w:r w:rsidRPr="00C10545">
              <w:rPr>
                <w:color w:val="000000"/>
                <w:sz w:val="18"/>
                <w:szCs w:val="18"/>
                <w:lang w:eastAsia="en-AU"/>
              </w:rPr>
              <w:t>131%</w:t>
            </w:r>
          </w:p>
        </w:tc>
        <w:tc>
          <w:tcPr>
            <w:tcW w:w="727" w:type="dxa"/>
            <w:tcBorders>
              <w:top w:val="nil"/>
              <w:left w:val="nil"/>
              <w:bottom w:val="single" w:sz="4" w:space="0" w:color="auto"/>
              <w:right w:val="single" w:sz="4" w:space="0" w:color="auto"/>
            </w:tcBorders>
            <w:shd w:val="clear" w:color="auto" w:fill="auto"/>
            <w:noWrap/>
            <w:vAlign w:val="bottom"/>
            <w:hideMark/>
          </w:tcPr>
          <w:p w14:paraId="14431BBC" w14:textId="77777777" w:rsidR="009A356E" w:rsidRPr="00C10545" w:rsidRDefault="009A356E" w:rsidP="009A356E">
            <w:pPr>
              <w:jc w:val="right"/>
              <w:rPr>
                <w:color w:val="000000"/>
                <w:sz w:val="18"/>
                <w:szCs w:val="18"/>
                <w:lang w:eastAsia="en-AU"/>
              </w:rPr>
            </w:pPr>
            <w:r w:rsidRPr="00C10545">
              <w:rPr>
                <w:color w:val="000000"/>
                <w:sz w:val="18"/>
                <w:szCs w:val="18"/>
                <w:lang w:eastAsia="en-AU"/>
              </w:rPr>
              <w:t>66%</w:t>
            </w:r>
          </w:p>
        </w:tc>
      </w:tr>
      <w:tr w:rsidR="009A356E" w:rsidRPr="00CB3038" w14:paraId="48D7A236" w14:textId="77777777" w:rsidTr="009A356E">
        <w:trPr>
          <w:trHeight w:val="255"/>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340EDA8" w14:textId="77777777" w:rsidR="009A356E" w:rsidRPr="00C10545" w:rsidRDefault="009A356E" w:rsidP="009A356E">
            <w:pPr>
              <w:rPr>
                <w:sz w:val="18"/>
                <w:szCs w:val="18"/>
                <w:lang w:eastAsia="en-AU"/>
              </w:rPr>
            </w:pPr>
            <w:r w:rsidRPr="00C10545">
              <w:rPr>
                <w:sz w:val="18"/>
                <w:szCs w:val="18"/>
                <w:lang w:eastAsia="en-AU"/>
              </w:rPr>
              <w:t>L</w:t>
            </w:r>
          </w:p>
        </w:tc>
        <w:tc>
          <w:tcPr>
            <w:tcW w:w="714" w:type="dxa"/>
            <w:tcBorders>
              <w:top w:val="nil"/>
              <w:left w:val="nil"/>
              <w:bottom w:val="single" w:sz="4" w:space="0" w:color="auto"/>
              <w:right w:val="single" w:sz="4" w:space="0" w:color="auto"/>
            </w:tcBorders>
            <w:shd w:val="clear" w:color="000000" w:fill="FCD5B4"/>
            <w:noWrap/>
            <w:vAlign w:val="bottom"/>
            <w:hideMark/>
          </w:tcPr>
          <w:p w14:paraId="0CE9FB4F" w14:textId="77777777" w:rsidR="009A356E" w:rsidRPr="00C10545" w:rsidRDefault="009A356E" w:rsidP="009A356E">
            <w:pPr>
              <w:jc w:val="right"/>
              <w:rPr>
                <w:color w:val="000000"/>
                <w:sz w:val="18"/>
                <w:szCs w:val="18"/>
                <w:lang w:eastAsia="en-AU"/>
              </w:rPr>
            </w:pPr>
            <w:r w:rsidRPr="00C10545">
              <w:rPr>
                <w:color w:val="000000"/>
                <w:sz w:val="18"/>
                <w:szCs w:val="18"/>
                <w:lang w:eastAsia="en-AU"/>
              </w:rPr>
              <w:t>69%</w:t>
            </w:r>
          </w:p>
        </w:tc>
        <w:tc>
          <w:tcPr>
            <w:tcW w:w="853" w:type="dxa"/>
            <w:tcBorders>
              <w:top w:val="nil"/>
              <w:left w:val="nil"/>
              <w:bottom w:val="single" w:sz="4" w:space="0" w:color="auto"/>
              <w:right w:val="single" w:sz="4" w:space="0" w:color="auto"/>
            </w:tcBorders>
            <w:shd w:val="clear" w:color="000000" w:fill="FCD5B4"/>
            <w:noWrap/>
            <w:vAlign w:val="bottom"/>
            <w:hideMark/>
          </w:tcPr>
          <w:p w14:paraId="075ABECC" w14:textId="77777777" w:rsidR="009A356E" w:rsidRPr="00C10545" w:rsidRDefault="009A356E" w:rsidP="009A356E">
            <w:pPr>
              <w:jc w:val="right"/>
              <w:rPr>
                <w:color w:val="000000"/>
                <w:sz w:val="18"/>
                <w:szCs w:val="18"/>
                <w:lang w:eastAsia="en-AU"/>
              </w:rPr>
            </w:pPr>
            <w:r w:rsidRPr="00C10545">
              <w:rPr>
                <w:color w:val="000000"/>
                <w:sz w:val="18"/>
                <w:szCs w:val="18"/>
                <w:lang w:eastAsia="en-AU"/>
              </w:rPr>
              <w:t>74%</w:t>
            </w:r>
          </w:p>
        </w:tc>
        <w:tc>
          <w:tcPr>
            <w:tcW w:w="853" w:type="dxa"/>
            <w:tcBorders>
              <w:top w:val="nil"/>
              <w:left w:val="nil"/>
              <w:bottom w:val="single" w:sz="4" w:space="0" w:color="auto"/>
              <w:right w:val="single" w:sz="4" w:space="0" w:color="auto"/>
            </w:tcBorders>
            <w:shd w:val="clear" w:color="000000" w:fill="FCD5B4"/>
            <w:noWrap/>
            <w:vAlign w:val="bottom"/>
            <w:hideMark/>
          </w:tcPr>
          <w:p w14:paraId="3F565B52" w14:textId="77777777" w:rsidR="009A356E" w:rsidRPr="00C10545" w:rsidRDefault="009A356E" w:rsidP="009A356E">
            <w:pPr>
              <w:jc w:val="right"/>
              <w:rPr>
                <w:color w:val="000000"/>
                <w:sz w:val="18"/>
                <w:szCs w:val="18"/>
                <w:lang w:eastAsia="en-AU"/>
              </w:rPr>
            </w:pPr>
            <w:r w:rsidRPr="00C10545">
              <w:rPr>
                <w:color w:val="000000"/>
                <w:sz w:val="18"/>
                <w:szCs w:val="18"/>
                <w:lang w:eastAsia="en-AU"/>
              </w:rPr>
              <w:t>78%</w:t>
            </w:r>
          </w:p>
        </w:tc>
        <w:tc>
          <w:tcPr>
            <w:tcW w:w="853" w:type="dxa"/>
            <w:tcBorders>
              <w:top w:val="nil"/>
              <w:left w:val="nil"/>
              <w:bottom w:val="single" w:sz="4" w:space="0" w:color="auto"/>
              <w:right w:val="single" w:sz="4" w:space="0" w:color="auto"/>
            </w:tcBorders>
            <w:shd w:val="clear" w:color="000000" w:fill="FCD5B4"/>
            <w:noWrap/>
            <w:vAlign w:val="bottom"/>
            <w:hideMark/>
          </w:tcPr>
          <w:p w14:paraId="6EFA3001" w14:textId="77777777" w:rsidR="009A356E" w:rsidRPr="00C10545" w:rsidRDefault="009A356E" w:rsidP="009A356E">
            <w:pPr>
              <w:jc w:val="right"/>
              <w:rPr>
                <w:color w:val="000000"/>
                <w:sz w:val="18"/>
                <w:szCs w:val="18"/>
                <w:lang w:eastAsia="en-AU"/>
              </w:rPr>
            </w:pPr>
            <w:r w:rsidRPr="00C10545">
              <w:rPr>
                <w:color w:val="000000"/>
                <w:sz w:val="18"/>
                <w:szCs w:val="18"/>
                <w:lang w:eastAsia="en-AU"/>
              </w:rPr>
              <w:t>120%</w:t>
            </w:r>
          </w:p>
        </w:tc>
        <w:tc>
          <w:tcPr>
            <w:tcW w:w="714" w:type="dxa"/>
            <w:tcBorders>
              <w:top w:val="nil"/>
              <w:left w:val="nil"/>
              <w:bottom w:val="single" w:sz="4" w:space="0" w:color="auto"/>
              <w:right w:val="single" w:sz="4" w:space="0" w:color="auto"/>
            </w:tcBorders>
            <w:shd w:val="clear" w:color="000000" w:fill="FCD5B4"/>
            <w:noWrap/>
            <w:vAlign w:val="bottom"/>
            <w:hideMark/>
          </w:tcPr>
          <w:p w14:paraId="0F1080B1" w14:textId="77777777" w:rsidR="009A356E" w:rsidRPr="00C10545" w:rsidRDefault="009A356E" w:rsidP="009A356E">
            <w:pPr>
              <w:jc w:val="right"/>
              <w:rPr>
                <w:color w:val="000000"/>
                <w:sz w:val="18"/>
                <w:szCs w:val="18"/>
                <w:lang w:eastAsia="en-AU"/>
              </w:rPr>
            </w:pPr>
            <w:r w:rsidRPr="00C10545">
              <w:rPr>
                <w:color w:val="000000"/>
                <w:sz w:val="18"/>
                <w:szCs w:val="18"/>
                <w:lang w:eastAsia="en-AU"/>
              </w:rPr>
              <w:t>74%</w:t>
            </w:r>
          </w:p>
        </w:tc>
        <w:tc>
          <w:tcPr>
            <w:tcW w:w="727" w:type="dxa"/>
            <w:tcBorders>
              <w:top w:val="nil"/>
              <w:left w:val="nil"/>
              <w:bottom w:val="single" w:sz="4" w:space="0" w:color="auto"/>
              <w:right w:val="single" w:sz="4" w:space="0" w:color="auto"/>
            </w:tcBorders>
            <w:shd w:val="clear" w:color="auto" w:fill="auto"/>
            <w:noWrap/>
            <w:vAlign w:val="bottom"/>
            <w:hideMark/>
          </w:tcPr>
          <w:p w14:paraId="0725B031" w14:textId="77777777" w:rsidR="009A356E" w:rsidRPr="00C10545" w:rsidRDefault="009A356E" w:rsidP="009A356E">
            <w:pPr>
              <w:jc w:val="right"/>
              <w:rPr>
                <w:color w:val="000000"/>
                <w:sz w:val="18"/>
                <w:szCs w:val="18"/>
                <w:lang w:eastAsia="en-AU"/>
              </w:rPr>
            </w:pPr>
            <w:r w:rsidRPr="00C10545">
              <w:rPr>
                <w:color w:val="000000"/>
                <w:sz w:val="18"/>
                <w:szCs w:val="18"/>
                <w:lang w:eastAsia="en-AU"/>
              </w:rPr>
              <w:t>44%</w:t>
            </w:r>
          </w:p>
        </w:tc>
        <w:tc>
          <w:tcPr>
            <w:tcW w:w="727" w:type="dxa"/>
            <w:tcBorders>
              <w:top w:val="nil"/>
              <w:left w:val="nil"/>
              <w:bottom w:val="single" w:sz="4" w:space="0" w:color="auto"/>
              <w:right w:val="single" w:sz="4" w:space="0" w:color="auto"/>
            </w:tcBorders>
            <w:shd w:val="clear" w:color="auto" w:fill="auto"/>
            <w:noWrap/>
            <w:vAlign w:val="bottom"/>
            <w:hideMark/>
          </w:tcPr>
          <w:p w14:paraId="4BE4E985" w14:textId="77777777" w:rsidR="009A356E" w:rsidRPr="00C10545" w:rsidRDefault="009A356E" w:rsidP="009A356E">
            <w:pPr>
              <w:jc w:val="right"/>
              <w:rPr>
                <w:color w:val="000000"/>
                <w:sz w:val="18"/>
                <w:szCs w:val="18"/>
                <w:lang w:eastAsia="en-AU"/>
              </w:rPr>
            </w:pPr>
            <w:r w:rsidRPr="00C10545">
              <w:rPr>
                <w:color w:val="000000"/>
                <w:sz w:val="18"/>
                <w:szCs w:val="18"/>
                <w:lang w:eastAsia="en-AU"/>
              </w:rPr>
              <w:t>20%</w:t>
            </w:r>
          </w:p>
        </w:tc>
        <w:tc>
          <w:tcPr>
            <w:tcW w:w="727" w:type="dxa"/>
            <w:tcBorders>
              <w:top w:val="nil"/>
              <w:left w:val="nil"/>
              <w:bottom w:val="single" w:sz="4" w:space="0" w:color="auto"/>
              <w:right w:val="single" w:sz="4" w:space="0" w:color="auto"/>
            </w:tcBorders>
            <w:shd w:val="clear" w:color="auto" w:fill="auto"/>
            <w:noWrap/>
            <w:vAlign w:val="bottom"/>
            <w:hideMark/>
          </w:tcPr>
          <w:p w14:paraId="27DF631E" w14:textId="77777777" w:rsidR="009A356E" w:rsidRPr="00C10545" w:rsidRDefault="009A356E" w:rsidP="009A356E">
            <w:pPr>
              <w:jc w:val="right"/>
              <w:rPr>
                <w:color w:val="000000"/>
                <w:sz w:val="18"/>
                <w:szCs w:val="18"/>
                <w:lang w:eastAsia="en-AU"/>
              </w:rPr>
            </w:pPr>
            <w:r w:rsidRPr="00C10545">
              <w:rPr>
                <w:color w:val="000000"/>
                <w:sz w:val="18"/>
                <w:szCs w:val="18"/>
                <w:lang w:eastAsia="en-AU"/>
              </w:rPr>
              <w:t>21%</w:t>
            </w:r>
          </w:p>
        </w:tc>
        <w:tc>
          <w:tcPr>
            <w:tcW w:w="872" w:type="dxa"/>
            <w:tcBorders>
              <w:top w:val="nil"/>
              <w:left w:val="nil"/>
              <w:bottom w:val="single" w:sz="4" w:space="0" w:color="auto"/>
              <w:right w:val="single" w:sz="4" w:space="0" w:color="auto"/>
            </w:tcBorders>
            <w:shd w:val="clear" w:color="auto" w:fill="auto"/>
            <w:noWrap/>
            <w:vAlign w:val="bottom"/>
            <w:hideMark/>
          </w:tcPr>
          <w:p w14:paraId="3FEA3A88" w14:textId="77777777" w:rsidR="009A356E" w:rsidRPr="00C10545" w:rsidRDefault="009A356E" w:rsidP="009A356E">
            <w:pPr>
              <w:jc w:val="right"/>
              <w:rPr>
                <w:color w:val="000000"/>
                <w:sz w:val="18"/>
                <w:szCs w:val="18"/>
                <w:lang w:eastAsia="en-AU"/>
              </w:rPr>
            </w:pPr>
            <w:r w:rsidRPr="00C10545">
              <w:rPr>
                <w:color w:val="000000"/>
                <w:sz w:val="18"/>
                <w:szCs w:val="18"/>
                <w:lang w:eastAsia="en-AU"/>
              </w:rPr>
              <w:t>102%</w:t>
            </w:r>
          </w:p>
        </w:tc>
        <w:tc>
          <w:tcPr>
            <w:tcW w:w="727" w:type="dxa"/>
            <w:tcBorders>
              <w:top w:val="nil"/>
              <w:left w:val="nil"/>
              <w:bottom w:val="single" w:sz="4" w:space="0" w:color="auto"/>
              <w:right w:val="single" w:sz="4" w:space="0" w:color="auto"/>
            </w:tcBorders>
            <w:shd w:val="clear" w:color="auto" w:fill="auto"/>
            <w:noWrap/>
            <w:vAlign w:val="bottom"/>
            <w:hideMark/>
          </w:tcPr>
          <w:p w14:paraId="17D45BEF" w14:textId="77777777" w:rsidR="009A356E" w:rsidRPr="00C10545" w:rsidRDefault="009A356E" w:rsidP="009A356E">
            <w:pPr>
              <w:jc w:val="right"/>
              <w:rPr>
                <w:color w:val="000000"/>
                <w:sz w:val="18"/>
                <w:szCs w:val="18"/>
                <w:lang w:eastAsia="en-AU"/>
              </w:rPr>
            </w:pPr>
            <w:r w:rsidRPr="00C10545">
              <w:rPr>
                <w:color w:val="000000"/>
                <w:sz w:val="18"/>
                <w:szCs w:val="18"/>
                <w:lang w:eastAsia="en-AU"/>
              </w:rPr>
              <w:t>36%</w:t>
            </w:r>
          </w:p>
        </w:tc>
      </w:tr>
      <w:tr w:rsidR="009A356E" w:rsidRPr="00CB3038" w14:paraId="2E3764A3" w14:textId="77777777" w:rsidTr="009A356E">
        <w:trPr>
          <w:trHeight w:val="255"/>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376C8E9" w14:textId="77777777" w:rsidR="009A356E" w:rsidRPr="00C10545" w:rsidRDefault="009A356E" w:rsidP="009A356E">
            <w:pPr>
              <w:rPr>
                <w:sz w:val="18"/>
                <w:szCs w:val="18"/>
                <w:lang w:eastAsia="en-AU"/>
              </w:rPr>
            </w:pPr>
            <w:r w:rsidRPr="00C10545">
              <w:rPr>
                <w:sz w:val="18"/>
                <w:szCs w:val="18"/>
                <w:lang w:eastAsia="en-AU"/>
              </w:rPr>
              <w:t>M</w:t>
            </w:r>
          </w:p>
        </w:tc>
        <w:tc>
          <w:tcPr>
            <w:tcW w:w="714" w:type="dxa"/>
            <w:tcBorders>
              <w:top w:val="nil"/>
              <w:left w:val="nil"/>
              <w:bottom w:val="single" w:sz="4" w:space="0" w:color="auto"/>
              <w:right w:val="single" w:sz="4" w:space="0" w:color="auto"/>
            </w:tcBorders>
            <w:shd w:val="clear" w:color="000000" w:fill="FCD5B4"/>
            <w:noWrap/>
            <w:vAlign w:val="bottom"/>
            <w:hideMark/>
          </w:tcPr>
          <w:p w14:paraId="4F065D92" w14:textId="77777777" w:rsidR="009A356E" w:rsidRPr="00C10545" w:rsidRDefault="009A356E" w:rsidP="009A356E">
            <w:pPr>
              <w:jc w:val="right"/>
              <w:rPr>
                <w:color w:val="000000"/>
                <w:sz w:val="18"/>
                <w:szCs w:val="18"/>
                <w:lang w:eastAsia="en-AU"/>
              </w:rPr>
            </w:pPr>
            <w:r w:rsidRPr="00C10545">
              <w:rPr>
                <w:color w:val="000000"/>
                <w:sz w:val="18"/>
                <w:szCs w:val="18"/>
                <w:lang w:eastAsia="en-AU"/>
              </w:rPr>
              <w:t>61%</w:t>
            </w:r>
          </w:p>
        </w:tc>
        <w:tc>
          <w:tcPr>
            <w:tcW w:w="853" w:type="dxa"/>
            <w:tcBorders>
              <w:top w:val="nil"/>
              <w:left w:val="nil"/>
              <w:bottom w:val="single" w:sz="4" w:space="0" w:color="auto"/>
              <w:right w:val="single" w:sz="4" w:space="0" w:color="auto"/>
            </w:tcBorders>
            <w:shd w:val="clear" w:color="000000" w:fill="FCD5B4"/>
            <w:noWrap/>
            <w:vAlign w:val="bottom"/>
            <w:hideMark/>
          </w:tcPr>
          <w:p w14:paraId="42409C74" w14:textId="77777777" w:rsidR="009A356E" w:rsidRPr="00C10545" w:rsidRDefault="009A356E" w:rsidP="009A356E">
            <w:pPr>
              <w:jc w:val="right"/>
              <w:rPr>
                <w:color w:val="000000"/>
                <w:sz w:val="18"/>
                <w:szCs w:val="18"/>
                <w:lang w:eastAsia="en-AU"/>
              </w:rPr>
            </w:pPr>
            <w:r w:rsidRPr="00C10545">
              <w:rPr>
                <w:color w:val="000000"/>
                <w:sz w:val="18"/>
                <w:szCs w:val="18"/>
                <w:lang w:eastAsia="en-AU"/>
              </w:rPr>
              <w:t>80%</w:t>
            </w:r>
          </w:p>
        </w:tc>
        <w:tc>
          <w:tcPr>
            <w:tcW w:w="853" w:type="dxa"/>
            <w:tcBorders>
              <w:top w:val="nil"/>
              <w:left w:val="nil"/>
              <w:bottom w:val="single" w:sz="4" w:space="0" w:color="auto"/>
              <w:right w:val="single" w:sz="4" w:space="0" w:color="auto"/>
            </w:tcBorders>
            <w:shd w:val="clear" w:color="000000" w:fill="FCD5B4"/>
            <w:noWrap/>
            <w:vAlign w:val="bottom"/>
            <w:hideMark/>
          </w:tcPr>
          <w:p w14:paraId="43BEF5FE" w14:textId="77777777" w:rsidR="009A356E" w:rsidRPr="00C10545" w:rsidRDefault="009A356E" w:rsidP="009A356E">
            <w:pPr>
              <w:jc w:val="right"/>
              <w:rPr>
                <w:color w:val="000000"/>
                <w:sz w:val="18"/>
                <w:szCs w:val="18"/>
                <w:lang w:eastAsia="en-AU"/>
              </w:rPr>
            </w:pPr>
            <w:r w:rsidRPr="00C10545">
              <w:rPr>
                <w:color w:val="000000"/>
                <w:sz w:val="18"/>
                <w:szCs w:val="18"/>
                <w:lang w:eastAsia="en-AU"/>
              </w:rPr>
              <w:t>73%</w:t>
            </w:r>
          </w:p>
        </w:tc>
        <w:tc>
          <w:tcPr>
            <w:tcW w:w="853" w:type="dxa"/>
            <w:tcBorders>
              <w:top w:val="nil"/>
              <w:left w:val="nil"/>
              <w:bottom w:val="single" w:sz="4" w:space="0" w:color="auto"/>
              <w:right w:val="single" w:sz="4" w:space="0" w:color="auto"/>
            </w:tcBorders>
            <w:shd w:val="clear" w:color="000000" w:fill="FCD5B4"/>
            <w:noWrap/>
            <w:vAlign w:val="bottom"/>
            <w:hideMark/>
          </w:tcPr>
          <w:p w14:paraId="0FEFE1AD" w14:textId="77777777" w:rsidR="009A356E" w:rsidRPr="00C10545" w:rsidRDefault="009A356E" w:rsidP="009A356E">
            <w:pPr>
              <w:jc w:val="right"/>
              <w:rPr>
                <w:color w:val="000000"/>
                <w:sz w:val="18"/>
                <w:szCs w:val="18"/>
                <w:lang w:eastAsia="en-AU"/>
              </w:rPr>
            </w:pPr>
            <w:r w:rsidRPr="00C10545">
              <w:rPr>
                <w:color w:val="000000"/>
                <w:sz w:val="18"/>
                <w:szCs w:val="18"/>
                <w:lang w:eastAsia="en-AU"/>
              </w:rPr>
              <w:t>170%</w:t>
            </w:r>
          </w:p>
        </w:tc>
        <w:tc>
          <w:tcPr>
            <w:tcW w:w="714" w:type="dxa"/>
            <w:tcBorders>
              <w:top w:val="nil"/>
              <w:left w:val="nil"/>
              <w:bottom w:val="single" w:sz="4" w:space="0" w:color="auto"/>
              <w:right w:val="single" w:sz="4" w:space="0" w:color="auto"/>
            </w:tcBorders>
            <w:shd w:val="clear" w:color="000000" w:fill="FCD5B4"/>
            <w:noWrap/>
            <w:vAlign w:val="bottom"/>
            <w:hideMark/>
          </w:tcPr>
          <w:p w14:paraId="00B15982" w14:textId="77777777" w:rsidR="009A356E" w:rsidRPr="00C10545" w:rsidRDefault="009A356E" w:rsidP="009A356E">
            <w:pPr>
              <w:jc w:val="right"/>
              <w:rPr>
                <w:color w:val="000000"/>
                <w:sz w:val="18"/>
                <w:szCs w:val="18"/>
                <w:lang w:eastAsia="en-AU"/>
              </w:rPr>
            </w:pPr>
            <w:r w:rsidRPr="00C10545">
              <w:rPr>
                <w:color w:val="000000"/>
                <w:sz w:val="18"/>
                <w:szCs w:val="18"/>
                <w:lang w:eastAsia="en-AU"/>
              </w:rPr>
              <w:t>67%</w:t>
            </w:r>
          </w:p>
        </w:tc>
        <w:tc>
          <w:tcPr>
            <w:tcW w:w="727" w:type="dxa"/>
            <w:tcBorders>
              <w:top w:val="nil"/>
              <w:left w:val="nil"/>
              <w:bottom w:val="single" w:sz="4" w:space="0" w:color="auto"/>
              <w:right w:val="single" w:sz="4" w:space="0" w:color="auto"/>
            </w:tcBorders>
            <w:shd w:val="clear" w:color="auto" w:fill="auto"/>
            <w:noWrap/>
            <w:vAlign w:val="bottom"/>
            <w:hideMark/>
          </w:tcPr>
          <w:p w14:paraId="2EC3716C" w14:textId="77777777" w:rsidR="009A356E" w:rsidRPr="00C10545" w:rsidRDefault="009A356E" w:rsidP="009A356E">
            <w:pPr>
              <w:jc w:val="right"/>
              <w:rPr>
                <w:color w:val="000000"/>
                <w:sz w:val="18"/>
                <w:szCs w:val="18"/>
                <w:lang w:eastAsia="en-AU"/>
              </w:rPr>
            </w:pPr>
            <w:r w:rsidRPr="00C10545">
              <w:rPr>
                <w:color w:val="000000"/>
                <w:sz w:val="18"/>
                <w:szCs w:val="18"/>
                <w:lang w:eastAsia="en-AU"/>
              </w:rPr>
              <w:t>39%</w:t>
            </w:r>
          </w:p>
        </w:tc>
        <w:tc>
          <w:tcPr>
            <w:tcW w:w="727" w:type="dxa"/>
            <w:tcBorders>
              <w:top w:val="nil"/>
              <w:left w:val="nil"/>
              <w:bottom w:val="single" w:sz="4" w:space="0" w:color="auto"/>
              <w:right w:val="single" w:sz="4" w:space="0" w:color="auto"/>
            </w:tcBorders>
            <w:shd w:val="clear" w:color="auto" w:fill="auto"/>
            <w:noWrap/>
            <w:vAlign w:val="bottom"/>
            <w:hideMark/>
          </w:tcPr>
          <w:p w14:paraId="1AE3019F" w14:textId="77777777" w:rsidR="009A356E" w:rsidRPr="00C10545" w:rsidRDefault="009A356E" w:rsidP="009A356E">
            <w:pPr>
              <w:jc w:val="right"/>
              <w:rPr>
                <w:color w:val="000000"/>
                <w:sz w:val="18"/>
                <w:szCs w:val="18"/>
                <w:lang w:eastAsia="en-AU"/>
              </w:rPr>
            </w:pPr>
            <w:r w:rsidRPr="00C10545">
              <w:rPr>
                <w:color w:val="000000"/>
                <w:sz w:val="18"/>
                <w:szCs w:val="18"/>
                <w:lang w:eastAsia="en-AU"/>
              </w:rPr>
              <w:t>52%</w:t>
            </w:r>
          </w:p>
        </w:tc>
        <w:tc>
          <w:tcPr>
            <w:tcW w:w="727" w:type="dxa"/>
            <w:tcBorders>
              <w:top w:val="nil"/>
              <w:left w:val="nil"/>
              <w:bottom w:val="single" w:sz="4" w:space="0" w:color="auto"/>
              <w:right w:val="single" w:sz="4" w:space="0" w:color="auto"/>
            </w:tcBorders>
            <w:shd w:val="clear" w:color="auto" w:fill="auto"/>
            <w:noWrap/>
            <w:vAlign w:val="bottom"/>
            <w:hideMark/>
          </w:tcPr>
          <w:p w14:paraId="11C1F763" w14:textId="77777777" w:rsidR="009A356E" w:rsidRPr="00C10545" w:rsidRDefault="009A356E" w:rsidP="009A356E">
            <w:pPr>
              <w:jc w:val="right"/>
              <w:rPr>
                <w:color w:val="000000"/>
                <w:sz w:val="18"/>
                <w:szCs w:val="18"/>
                <w:lang w:eastAsia="en-AU"/>
              </w:rPr>
            </w:pPr>
            <w:r w:rsidRPr="00C10545">
              <w:rPr>
                <w:color w:val="000000"/>
                <w:sz w:val="18"/>
                <w:szCs w:val="18"/>
                <w:lang w:eastAsia="en-AU"/>
              </w:rPr>
              <w:t>30%</w:t>
            </w:r>
          </w:p>
        </w:tc>
        <w:tc>
          <w:tcPr>
            <w:tcW w:w="872" w:type="dxa"/>
            <w:tcBorders>
              <w:top w:val="nil"/>
              <w:left w:val="nil"/>
              <w:bottom w:val="single" w:sz="4" w:space="0" w:color="auto"/>
              <w:right w:val="single" w:sz="4" w:space="0" w:color="auto"/>
            </w:tcBorders>
            <w:shd w:val="clear" w:color="auto" w:fill="auto"/>
            <w:noWrap/>
            <w:vAlign w:val="bottom"/>
            <w:hideMark/>
          </w:tcPr>
          <w:p w14:paraId="593C38CA" w14:textId="77777777" w:rsidR="009A356E" w:rsidRPr="00C10545" w:rsidRDefault="009A356E" w:rsidP="009A356E">
            <w:pPr>
              <w:jc w:val="right"/>
              <w:rPr>
                <w:color w:val="000000"/>
                <w:sz w:val="18"/>
                <w:szCs w:val="18"/>
                <w:lang w:eastAsia="en-AU"/>
              </w:rPr>
            </w:pPr>
            <w:r w:rsidRPr="00C10545">
              <w:rPr>
                <w:color w:val="000000"/>
                <w:sz w:val="18"/>
                <w:szCs w:val="18"/>
                <w:lang w:eastAsia="en-AU"/>
              </w:rPr>
              <w:t>140%</w:t>
            </w:r>
          </w:p>
        </w:tc>
        <w:tc>
          <w:tcPr>
            <w:tcW w:w="727" w:type="dxa"/>
            <w:tcBorders>
              <w:top w:val="nil"/>
              <w:left w:val="nil"/>
              <w:bottom w:val="single" w:sz="4" w:space="0" w:color="auto"/>
              <w:right w:val="single" w:sz="4" w:space="0" w:color="auto"/>
            </w:tcBorders>
            <w:shd w:val="clear" w:color="auto" w:fill="auto"/>
            <w:noWrap/>
            <w:vAlign w:val="bottom"/>
            <w:hideMark/>
          </w:tcPr>
          <w:p w14:paraId="765B78D4" w14:textId="77777777" w:rsidR="009A356E" w:rsidRPr="00C10545" w:rsidRDefault="009A356E" w:rsidP="009A356E">
            <w:pPr>
              <w:jc w:val="right"/>
              <w:rPr>
                <w:color w:val="000000"/>
                <w:sz w:val="18"/>
                <w:szCs w:val="18"/>
                <w:lang w:eastAsia="en-AU"/>
              </w:rPr>
            </w:pPr>
            <w:r w:rsidRPr="00C10545">
              <w:rPr>
                <w:color w:val="000000"/>
                <w:sz w:val="18"/>
                <w:szCs w:val="18"/>
                <w:lang w:eastAsia="en-AU"/>
              </w:rPr>
              <w:t>42%</w:t>
            </w:r>
          </w:p>
        </w:tc>
      </w:tr>
      <w:tr w:rsidR="009A356E" w:rsidRPr="00CB3038" w14:paraId="45096AF0" w14:textId="77777777" w:rsidTr="009A356E">
        <w:trPr>
          <w:trHeight w:val="255"/>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E1C9237" w14:textId="77777777" w:rsidR="009A356E" w:rsidRPr="00C10545" w:rsidRDefault="009A356E" w:rsidP="009A356E">
            <w:pPr>
              <w:rPr>
                <w:sz w:val="18"/>
                <w:szCs w:val="18"/>
                <w:lang w:eastAsia="en-AU"/>
              </w:rPr>
            </w:pPr>
            <w:r w:rsidRPr="00C10545">
              <w:rPr>
                <w:sz w:val="18"/>
                <w:szCs w:val="18"/>
                <w:lang w:eastAsia="en-AU"/>
              </w:rPr>
              <w:t>N</w:t>
            </w:r>
          </w:p>
        </w:tc>
        <w:tc>
          <w:tcPr>
            <w:tcW w:w="714" w:type="dxa"/>
            <w:tcBorders>
              <w:top w:val="nil"/>
              <w:left w:val="nil"/>
              <w:bottom w:val="single" w:sz="4" w:space="0" w:color="auto"/>
              <w:right w:val="single" w:sz="4" w:space="0" w:color="auto"/>
            </w:tcBorders>
            <w:shd w:val="clear" w:color="000000" w:fill="FCD5B4"/>
            <w:noWrap/>
            <w:vAlign w:val="bottom"/>
            <w:hideMark/>
          </w:tcPr>
          <w:p w14:paraId="49220905" w14:textId="77777777" w:rsidR="009A356E" w:rsidRPr="00C10545" w:rsidRDefault="009A356E" w:rsidP="009A356E">
            <w:pPr>
              <w:jc w:val="right"/>
              <w:rPr>
                <w:color w:val="000000"/>
                <w:sz w:val="18"/>
                <w:szCs w:val="18"/>
                <w:lang w:eastAsia="en-AU"/>
              </w:rPr>
            </w:pPr>
            <w:r w:rsidRPr="00C10545">
              <w:rPr>
                <w:color w:val="000000"/>
                <w:sz w:val="18"/>
                <w:szCs w:val="18"/>
                <w:lang w:eastAsia="en-AU"/>
              </w:rPr>
              <w:t>62%</w:t>
            </w:r>
          </w:p>
        </w:tc>
        <w:tc>
          <w:tcPr>
            <w:tcW w:w="853" w:type="dxa"/>
            <w:tcBorders>
              <w:top w:val="nil"/>
              <w:left w:val="nil"/>
              <w:bottom w:val="single" w:sz="4" w:space="0" w:color="auto"/>
              <w:right w:val="single" w:sz="4" w:space="0" w:color="auto"/>
            </w:tcBorders>
            <w:shd w:val="clear" w:color="000000" w:fill="FCD5B4"/>
            <w:noWrap/>
            <w:vAlign w:val="bottom"/>
            <w:hideMark/>
          </w:tcPr>
          <w:p w14:paraId="39C0D1C5" w14:textId="77777777" w:rsidR="009A356E" w:rsidRPr="00C10545" w:rsidRDefault="009A356E" w:rsidP="009A356E">
            <w:pPr>
              <w:jc w:val="right"/>
              <w:rPr>
                <w:color w:val="000000"/>
                <w:sz w:val="18"/>
                <w:szCs w:val="18"/>
                <w:lang w:eastAsia="en-AU"/>
              </w:rPr>
            </w:pPr>
            <w:r w:rsidRPr="00C10545">
              <w:rPr>
                <w:color w:val="000000"/>
                <w:sz w:val="18"/>
                <w:szCs w:val="18"/>
                <w:lang w:eastAsia="en-AU"/>
              </w:rPr>
              <w:t>62%</w:t>
            </w:r>
          </w:p>
        </w:tc>
        <w:tc>
          <w:tcPr>
            <w:tcW w:w="853" w:type="dxa"/>
            <w:tcBorders>
              <w:top w:val="nil"/>
              <w:left w:val="nil"/>
              <w:bottom w:val="single" w:sz="4" w:space="0" w:color="auto"/>
              <w:right w:val="single" w:sz="4" w:space="0" w:color="auto"/>
            </w:tcBorders>
            <w:shd w:val="clear" w:color="000000" w:fill="FCD5B4"/>
            <w:noWrap/>
            <w:vAlign w:val="bottom"/>
            <w:hideMark/>
          </w:tcPr>
          <w:p w14:paraId="353C3AF3" w14:textId="77777777" w:rsidR="009A356E" w:rsidRPr="00C10545" w:rsidRDefault="009A356E" w:rsidP="009A356E">
            <w:pPr>
              <w:jc w:val="right"/>
              <w:rPr>
                <w:color w:val="000000"/>
                <w:sz w:val="18"/>
                <w:szCs w:val="18"/>
                <w:lang w:eastAsia="en-AU"/>
              </w:rPr>
            </w:pPr>
            <w:r w:rsidRPr="00C10545">
              <w:rPr>
                <w:color w:val="000000"/>
                <w:sz w:val="18"/>
                <w:szCs w:val="18"/>
                <w:lang w:eastAsia="en-AU"/>
              </w:rPr>
              <w:t>55%</w:t>
            </w:r>
          </w:p>
        </w:tc>
        <w:tc>
          <w:tcPr>
            <w:tcW w:w="853" w:type="dxa"/>
            <w:tcBorders>
              <w:top w:val="nil"/>
              <w:left w:val="nil"/>
              <w:bottom w:val="single" w:sz="4" w:space="0" w:color="auto"/>
              <w:right w:val="single" w:sz="4" w:space="0" w:color="auto"/>
            </w:tcBorders>
            <w:shd w:val="clear" w:color="000000" w:fill="FCD5B4"/>
            <w:noWrap/>
            <w:vAlign w:val="bottom"/>
            <w:hideMark/>
          </w:tcPr>
          <w:p w14:paraId="62AE4196" w14:textId="77777777" w:rsidR="009A356E" w:rsidRPr="00C10545" w:rsidRDefault="009A356E" w:rsidP="009A356E">
            <w:pPr>
              <w:jc w:val="right"/>
              <w:rPr>
                <w:color w:val="000000"/>
                <w:sz w:val="18"/>
                <w:szCs w:val="18"/>
                <w:lang w:eastAsia="en-AU"/>
              </w:rPr>
            </w:pPr>
            <w:r w:rsidRPr="00C10545">
              <w:rPr>
                <w:color w:val="000000"/>
                <w:sz w:val="18"/>
                <w:szCs w:val="18"/>
                <w:lang w:eastAsia="en-AU"/>
              </w:rPr>
              <w:t>77%</w:t>
            </w:r>
          </w:p>
        </w:tc>
        <w:tc>
          <w:tcPr>
            <w:tcW w:w="714" w:type="dxa"/>
            <w:tcBorders>
              <w:top w:val="nil"/>
              <w:left w:val="nil"/>
              <w:bottom w:val="single" w:sz="4" w:space="0" w:color="auto"/>
              <w:right w:val="single" w:sz="4" w:space="0" w:color="auto"/>
            </w:tcBorders>
            <w:shd w:val="clear" w:color="000000" w:fill="FCD5B4"/>
            <w:noWrap/>
            <w:vAlign w:val="bottom"/>
            <w:hideMark/>
          </w:tcPr>
          <w:p w14:paraId="5216F201" w14:textId="77777777" w:rsidR="009A356E" w:rsidRPr="00C10545" w:rsidRDefault="009A356E" w:rsidP="009A356E">
            <w:pPr>
              <w:jc w:val="right"/>
              <w:rPr>
                <w:color w:val="000000"/>
                <w:sz w:val="18"/>
                <w:szCs w:val="18"/>
                <w:lang w:eastAsia="en-AU"/>
              </w:rPr>
            </w:pPr>
            <w:r w:rsidRPr="00C10545">
              <w:rPr>
                <w:color w:val="000000"/>
                <w:sz w:val="18"/>
                <w:szCs w:val="18"/>
                <w:lang w:eastAsia="en-AU"/>
              </w:rPr>
              <w:t>61%</w:t>
            </w:r>
          </w:p>
        </w:tc>
        <w:tc>
          <w:tcPr>
            <w:tcW w:w="727" w:type="dxa"/>
            <w:tcBorders>
              <w:top w:val="nil"/>
              <w:left w:val="nil"/>
              <w:bottom w:val="single" w:sz="4" w:space="0" w:color="auto"/>
              <w:right w:val="single" w:sz="4" w:space="0" w:color="auto"/>
            </w:tcBorders>
            <w:shd w:val="clear" w:color="auto" w:fill="auto"/>
            <w:noWrap/>
            <w:vAlign w:val="bottom"/>
            <w:hideMark/>
          </w:tcPr>
          <w:p w14:paraId="554EFA63" w14:textId="77777777" w:rsidR="009A356E" w:rsidRPr="00C10545" w:rsidRDefault="009A356E" w:rsidP="009A356E">
            <w:pPr>
              <w:jc w:val="right"/>
              <w:rPr>
                <w:color w:val="000000"/>
                <w:sz w:val="18"/>
                <w:szCs w:val="18"/>
                <w:lang w:eastAsia="en-AU"/>
              </w:rPr>
            </w:pPr>
            <w:r w:rsidRPr="00C10545">
              <w:rPr>
                <w:color w:val="000000"/>
                <w:sz w:val="18"/>
                <w:szCs w:val="18"/>
                <w:lang w:eastAsia="en-AU"/>
              </w:rPr>
              <w:t>59%</w:t>
            </w:r>
          </w:p>
        </w:tc>
        <w:tc>
          <w:tcPr>
            <w:tcW w:w="727" w:type="dxa"/>
            <w:tcBorders>
              <w:top w:val="nil"/>
              <w:left w:val="nil"/>
              <w:bottom w:val="single" w:sz="4" w:space="0" w:color="auto"/>
              <w:right w:val="single" w:sz="4" w:space="0" w:color="auto"/>
            </w:tcBorders>
            <w:shd w:val="clear" w:color="auto" w:fill="auto"/>
            <w:noWrap/>
            <w:vAlign w:val="bottom"/>
            <w:hideMark/>
          </w:tcPr>
          <w:p w14:paraId="51E882A1" w14:textId="77777777" w:rsidR="009A356E" w:rsidRPr="00C10545" w:rsidRDefault="009A356E" w:rsidP="009A356E">
            <w:pPr>
              <w:jc w:val="right"/>
              <w:rPr>
                <w:color w:val="000000"/>
                <w:sz w:val="18"/>
                <w:szCs w:val="18"/>
                <w:lang w:eastAsia="en-AU"/>
              </w:rPr>
            </w:pPr>
            <w:r w:rsidRPr="00C10545">
              <w:rPr>
                <w:color w:val="000000"/>
                <w:sz w:val="18"/>
                <w:szCs w:val="18"/>
                <w:lang w:eastAsia="en-AU"/>
              </w:rPr>
              <w:t>45%</w:t>
            </w:r>
          </w:p>
        </w:tc>
        <w:tc>
          <w:tcPr>
            <w:tcW w:w="727" w:type="dxa"/>
            <w:tcBorders>
              <w:top w:val="nil"/>
              <w:left w:val="nil"/>
              <w:bottom w:val="single" w:sz="4" w:space="0" w:color="auto"/>
              <w:right w:val="single" w:sz="4" w:space="0" w:color="auto"/>
            </w:tcBorders>
            <w:shd w:val="clear" w:color="auto" w:fill="auto"/>
            <w:noWrap/>
            <w:vAlign w:val="bottom"/>
            <w:hideMark/>
          </w:tcPr>
          <w:p w14:paraId="5FE82C15" w14:textId="77777777" w:rsidR="009A356E" w:rsidRPr="00C10545" w:rsidRDefault="009A356E" w:rsidP="009A356E">
            <w:pPr>
              <w:jc w:val="right"/>
              <w:rPr>
                <w:color w:val="000000"/>
                <w:sz w:val="18"/>
                <w:szCs w:val="18"/>
                <w:lang w:eastAsia="en-AU"/>
              </w:rPr>
            </w:pPr>
            <w:r w:rsidRPr="00C10545">
              <w:rPr>
                <w:color w:val="000000"/>
                <w:sz w:val="18"/>
                <w:szCs w:val="18"/>
                <w:lang w:eastAsia="en-AU"/>
              </w:rPr>
              <w:t>53%</w:t>
            </w:r>
          </w:p>
        </w:tc>
        <w:tc>
          <w:tcPr>
            <w:tcW w:w="872" w:type="dxa"/>
            <w:tcBorders>
              <w:top w:val="nil"/>
              <w:left w:val="nil"/>
              <w:bottom w:val="single" w:sz="4" w:space="0" w:color="auto"/>
              <w:right w:val="single" w:sz="4" w:space="0" w:color="auto"/>
            </w:tcBorders>
            <w:shd w:val="clear" w:color="auto" w:fill="auto"/>
            <w:noWrap/>
            <w:vAlign w:val="bottom"/>
            <w:hideMark/>
          </w:tcPr>
          <w:p w14:paraId="68F01A69" w14:textId="77777777" w:rsidR="009A356E" w:rsidRPr="00C10545" w:rsidRDefault="009A356E" w:rsidP="009A356E">
            <w:pPr>
              <w:jc w:val="right"/>
              <w:rPr>
                <w:color w:val="000000"/>
                <w:sz w:val="18"/>
                <w:szCs w:val="18"/>
                <w:lang w:eastAsia="en-AU"/>
              </w:rPr>
            </w:pPr>
            <w:r w:rsidRPr="00C10545">
              <w:rPr>
                <w:color w:val="000000"/>
                <w:sz w:val="18"/>
                <w:szCs w:val="18"/>
                <w:lang w:eastAsia="en-AU"/>
              </w:rPr>
              <w:t>77%</w:t>
            </w:r>
          </w:p>
        </w:tc>
        <w:tc>
          <w:tcPr>
            <w:tcW w:w="727" w:type="dxa"/>
            <w:tcBorders>
              <w:top w:val="nil"/>
              <w:left w:val="nil"/>
              <w:bottom w:val="single" w:sz="4" w:space="0" w:color="auto"/>
              <w:right w:val="single" w:sz="4" w:space="0" w:color="auto"/>
            </w:tcBorders>
            <w:shd w:val="clear" w:color="auto" w:fill="auto"/>
            <w:noWrap/>
            <w:vAlign w:val="bottom"/>
            <w:hideMark/>
          </w:tcPr>
          <w:p w14:paraId="5E3226DA" w14:textId="77777777" w:rsidR="009A356E" w:rsidRPr="00C10545" w:rsidRDefault="009A356E" w:rsidP="009A356E">
            <w:pPr>
              <w:jc w:val="right"/>
              <w:rPr>
                <w:color w:val="000000"/>
                <w:sz w:val="18"/>
                <w:szCs w:val="18"/>
                <w:lang w:eastAsia="en-AU"/>
              </w:rPr>
            </w:pPr>
            <w:r w:rsidRPr="00C10545">
              <w:rPr>
                <w:color w:val="000000"/>
                <w:sz w:val="18"/>
                <w:szCs w:val="18"/>
                <w:lang w:eastAsia="en-AU"/>
              </w:rPr>
              <w:t>55%</w:t>
            </w:r>
          </w:p>
        </w:tc>
      </w:tr>
      <w:tr w:rsidR="009A356E" w:rsidRPr="00CB3038" w14:paraId="7712254C" w14:textId="77777777" w:rsidTr="009A356E">
        <w:trPr>
          <w:trHeight w:val="255"/>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55848B0" w14:textId="77777777" w:rsidR="009A356E" w:rsidRPr="00C10545" w:rsidRDefault="009A356E" w:rsidP="009A356E">
            <w:pPr>
              <w:rPr>
                <w:sz w:val="18"/>
                <w:szCs w:val="18"/>
                <w:lang w:eastAsia="en-AU"/>
              </w:rPr>
            </w:pPr>
            <w:r w:rsidRPr="00C10545">
              <w:rPr>
                <w:sz w:val="18"/>
                <w:szCs w:val="18"/>
                <w:lang w:eastAsia="en-AU"/>
              </w:rPr>
              <w:t>O</w:t>
            </w:r>
          </w:p>
        </w:tc>
        <w:tc>
          <w:tcPr>
            <w:tcW w:w="714" w:type="dxa"/>
            <w:tcBorders>
              <w:top w:val="nil"/>
              <w:left w:val="nil"/>
              <w:bottom w:val="single" w:sz="4" w:space="0" w:color="auto"/>
              <w:right w:val="single" w:sz="4" w:space="0" w:color="auto"/>
            </w:tcBorders>
            <w:shd w:val="clear" w:color="000000" w:fill="FCD5B4"/>
            <w:noWrap/>
            <w:vAlign w:val="bottom"/>
            <w:hideMark/>
          </w:tcPr>
          <w:p w14:paraId="76E9570F" w14:textId="77777777" w:rsidR="009A356E" w:rsidRPr="00C10545" w:rsidRDefault="009A356E" w:rsidP="009A356E">
            <w:pPr>
              <w:jc w:val="right"/>
              <w:rPr>
                <w:color w:val="000000"/>
                <w:sz w:val="18"/>
                <w:szCs w:val="18"/>
                <w:lang w:eastAsia="en-AU"/>
              </w:rPr>
            </w:pPr>
            <w:r w:rsidRPr="00C10545">
              <w:rPr>
                <w:color w:val="000000"/>
                <w:sz w:val="18"/>
                <w:szCs w:val="18"/>
                <w:lang w:eastAsia="en-AU"/>
              </w:rPr>
              <w:t>54%</w:t>
            </w:r>
          </w:p>
        </w:tc>
        <w:tc>
          <w:tcPr>
            <w:tcW w:w="853" w:type="dxa"/>
            <w:tcBorders>
              <w:top w:val="nil"/>
              <w:left w:val="nil"/>
              <w:bottom w:val="single" w:sz="4" w:space="0" w:color="auto"/>
              <w:right w:val="single" w:sz="4" w:space="0" w:color="auto"/>
            </w:tcBorders>
            <w:shd w:val="clear" w:color="000000" w:fill="FCD5B4"/>
            <w:noWrap/>
            <w:vAlign w:val="bottom"/>
            <w:hideMark/>
          </w:tcPr>
          <w:p w14:paraId="70BDD375" w14:textId="77777777" w:rsidR="009A356E" w:rsidRPr="00C10545" w:rsidRDefault="009A356E" w:rsidP="009A356E">
            <w:pPr>
              <w:jc w:val="right"/>
              <w:rPr>
                <w:color w:val="000000"/>
                <w:sz w:val="18"/>
                <w:szCs w:val="18"/>
                <w:lang w:eastAsia="en-AU"/>
              </w:rPr>
            </w:pPr>
            <w:r w:rsidRPr="00C10545">
              <w:rPr>
                <w:color w:val="000000"/>
                <w:sz w:val="18"/>
                <w:szCs w:val="18"/>
                <w:lang w:eastAsia="en-AU"/>
              </w:rPr>
              <w:t>101%</w:t>
            </w:r>
          </w:p>
        </w:tc>
        <w:tc>
          <w:tcPr>
            <w:tcW w:w="853" w:type="dxa"/>
            <w:tcBorders>
              <w:top w:val="nil"/>
              <w:left w:val="nil"/>
              <w:bottom w:val="single" w:sz="4" w:space="0" w:color="auto"/>
              <w:right w:val="single" w:sz="4" w:space="0" w:color="auto"/>
            </w:tcBorders>
            <w:shd w:val="clear" w:color="000000" w:fill="FCD5B4"/>
            <w:noWrap/>
            <w:vAlign w:val="bottom"/>
            <w:hideMark/>
          </w:tcPr>
          <w:p w14:paraId="3D6616D5" w14:textId="77777777" w:rsidR="009A356E" w:rsidRPr="00C10545" w:rsidRDefault="009A356E" w:rsidP="009A356E">
            <w:pPr>
              <w:jc w:val="right"/>
              <w:rPr>
                <w:color w:val="000000"/>
                <w:sz w:val="18"/>
                <w:szCs w:val="18"/>
                <w:lang w:eastAsia="en-AU"/>
              </w:rPr>
            </w:pPr>
            <w:r w:rsidRPr="00C10545">
              <w:rPr>
                <w:color w:val="000000"/>
                <w:sz w:val="18"/>
                <w:szCs w:val="18"/>
                <w:lang w:eastAsia="en-AU"/>
              </w:rPr>
              <w:t>251%</w:t>
            </w:r>
          </w:p>
        </w:tc>
        <w:tc>
          <w:tcPr>
            <w:tcW w:w="853" w:type="dxa"/>
            <w:tcBorders>
              <w:top w:val="nil"/>
              <w:left w:val="nil"/>
              <w:bottom w:val="single" w:sz="4" w:space="0" w:color="auto"/>
              <w:right w:val="single" w:sz="4" w:space="0" w:color="auto"/>
            </w:tcBorders>
            <w:shd w:val="clear" w:color="000000" w:fill="FCD5B4"/>
            <w:noWrap/>
            <w:vAlign w:val="bottom"/>
            <w:hideMark/>
          </w:tcPr>
          <w:p w14:paraId="1086AF71" w14:textId="77777777" w:rsidR="009A356E" w:rsidRPr="00C10545" w:rsidRDefault="009A356E" w:rsidP="009A356E">
            <w:pPr>
              <w:jc w:val="right"/>
              <w:rPr>
                <w:color w:val="000000"/>
                <w:sz w:val="18"/>
                <w:szCs w:val="18"/>
                <w:lang w:eastAsia="en-AU"/>
              </w:rPr>
            </w:pPr>
            <w:r w:rsidRPr="00C10545">
              <w:rPr>
                <w:color w:val="000000"/>
                <w:sz w:val="18"/>
                <w:szCs w:val="18"/>
                <w:lang w:eastAsia="en-AU"/>
              </w:rPr>
              <w:t>63%</w:t>
            </w:r>
          </w:p>
        </w:tc>
        <w:tc>
          <w:tcPr>
            <w:tcW w:w="714" w:type="dxa"/>
            <w:tcBorders>
              <w:top w:val="nil"/>
              <w:left w:val="nil"/>
              <w:bottom w:val="single" w:sz="4" w:space="0" w:color="auto"/>
              <w:right w:val="single" w:sz="4" w:space="0" w:color="auto"/>
            </w:tcBorders>
            <w:shd w:val="clear" w:color="000000" w:fill="FCD5B4"/>
            <w:noWrap/>
            <w:vAlign w:val="bottom"/>
            <w:hideMark/>
          </w:tcPr>
          <w:p w14:paraId="1A052F29" w14:textId="77777777" w:rsidR="009A356E" w:rsidRPr="00C10545" w:rsidRDefault="009A356E" w:rsidP="009A356E">
            <w:pPr>
              <w:jc w:val="right"/>
              <w:rPr>
                <w:color w:val="000000"/>
                <w:sz w:val="18"/>
                <w:szCs w:val="18"/>
                <w:lang w:eastAsia="en-AU"/>
              </w:rPr>
            </w:pPr>
            <w:r w:rsidRPr="00C10545">
              <w:rPr>
                <w:color w:val="000000"/>
                <w:sz w:val="18"/>
                <w:szCs w:val="18"/>
                <w:lang w:eastAsia="en-AU"/>
              </w:rPr>
              <w:t>68%</w:t>
            </w:r>
          </w:p>
        </w:tc>
        <w:tc>
          <w:tcPr>
            <w:tcW w:w="727" w:type="dxa"/>
            <w:tcBorders>
              <w:top w:val="nil"/>
              <w:left w:val="nil"/>
              <w:bottom w:val="single" w:sz="4" w:space="0" w:color="auto"/>
              <w:right w:val="single" w:sz="4" w:space="0" w:color="auto"/>
            </w:tcBorders>
            <w:shd w:val="clear" w:color="auto" w:fill="auto"/>
            <w:noWrap/>
            <w:vAlign w:val="bottom"/>
            <w:hideMark/>
          </w:tcPr>
          <w:p w14:paraId="53EEF8B5" w14:textId="77777777" w:rsidR="009A356E" w:rsidRPr="00C10545" w:rsidRDefault="009A356E" w:rsidP="009A356E">
            <w:pPr>
              <w:jc w:val="right"/>
              <w:rPr>
                <w:color w:val="000000"/>
                <w:sz w:val="18"/>
                <w:szCs w:val="18"/>
                <w:lang w:eastAsia="en-AU"/>
              </w:rPr>
            </w:pPr>
            <w:r w:rsidRPr="00C10545">
              <w:rPr>
                <w:color w:val="000000"/>
                <w:sz w:val="18"/>
                <w:szCs w:val="18"/>
                <w:lang w:eastAsia="en-AU"/>
              </w:rPr>
              <w:t>41%</w:t>
            </w:r>
          </w:p>
        </w:tc>
        <w:tc>
          <w:tcPr>
            <w:tcW w:w="727" w:type="dxa"/>
            <w:tcBorders>
              <w:top w:val="nil"/>
              <w:left w:val="nil"/>
              <w:bottom w:val="single" w:sz="4" w:space="0" w:color="auto"/>
              <w:right w:val="single" w:sz="4" w:space="0" w:color="auto"/>
            </w:tcBorders>
            <w:shd w:val="clear" w:color="auto" w:fill="auto"/>
            <w:noWrap/>
            <w:vAlign w:val="bottom"/>
            <w:hideMark/>
          </w:tcPr>
          <w:p w14:paraId="11C8162B" w14:textId="77777777" w:rsidR="009A356E" w:rsidRPr="00C10545" w:rsidRDefault="009A356E" w:rsidP="009A356E">
            <w:pPr>
              <w:jc w:val="right"/>
              <w:rPr>
                <w:color w:val="000000"/>
                <w:sz w:val="18"/>
                <w:szCs w:val="18"/>
                <w:lang w:eastAsia="en-AU"/>
              </w:rPr>
            </w:pPr>
            <w:r w:rsidRPr="00C10545">
              <w:rPr>
                <w:color w:val="000000"/>
                <w:sz w:val="18"/>
                <w:szCs w:val="18"/>
                <w:lang w:eastAsia="en-AU"/>
              </w:rPr>
              <w:t>43%</w:t>
            </w:r>
          </w:p>
        </w:tc>
        <w:tc>
          <w:tcPr>
            <w:tcW w:w="727" w:type="dxa"/>
            <w:tcBorders>
              <w:top w:val="nil"/>
              <w:left w:val="nil"/>
              <w:bottom w:val="single" w:sz="4" w:space="0" w:color="auto"/>
              <w:right w:val="single" w:sz="4" w:space="0" w:color="auto"/>
            </w:tcBorders>
            <w:shd w:val="clear" w:color="auto" w:fill="auto"/>
            <w:noWrap/>
            <w:vAlign w:val="bottom"/>
            <w:hideMark/>
          </w:tcPr>
          <w:p w14:paraId="44071E00" w14:textId="77777777" w:rsidR="009A356E" w:rsidRPr="00C10545" w:rsidRDefault="009A356E" w:rsidP="009A356E">
            <w:pPr>
              <w:jc w:val="right"/>
              <w:rPr>
                <w:color w:val="000000"/>
                <w:sz w:val="18"/>
                <w:szCs w:val="18"/>
                <w:lang w:eastAsia="en-AU"/>
              </w:rPr>
            </w:pPr>
            <w:r w:rsidRPr="00C10545">
              <w:rPr>
                <w:color w:val="000000"/>
                <w:sz w:val="18"/>
                <w:szCs w:val="18"/>
                <w:lang w:eastAsia="en-AU"/>
              </w:rPr>
              <w:t>95%</w:t>
            </w:r>
          </w:p>
        </w:tc>
        <w:tc>
          <w:tcPr>
            <w:tcW w:w="872" w:type="dxa"/>
            <w:tcBorders>
              <w:top w:val="nil"/>
              <w:left w:val="nil"/>
              <w:bottom w:val="single" w:sz="4" w:space="0" w:color="auto"/>
              <w:right w:val="single" w:sz="4" w:space="0" w:color="auto"/>
            </w:tcBorders>
            <w:shd w:val="clear" w:color="auto" w:fill="auto"/>
            <w:noWrap/>
            <w:vAlign w:val="bottom"/>
            <w:hideMark/>
          </w:tcPr>
          <w:p w14:paraId="6016D08C" w14:textId="77777777" w:rsidR="009A356E" w:rsidRPr="00C10545" w:rsidRDefault="009A356E" w:rsidP="009A356E">
            <w:pPr>
              <w:jc w:val="right"/>
              <w:rPr>
                <w:color w:val="000000"/>
                <w:sz w:val="18"/>
                <w:szCs w:val="18"/>
                <w:lang w:eastAsia="en-AU"/>
              </w:rPr>
            </w:pPr>
            <w:r w:rsidRPr="00C10545">
              <w:rPr>
                <w:color w:val="000000"/>
                <w:sz w:val="18"/>
                <w:szCs w:val="18"/>
                <w:lang w:eastAsia="en-AU"/>
              </w:rPr>
              <w:t>60%</w:t>
            </w:r>
          </w:p>
        </w:tc>
        <w:tc>
          <w:tcPr>
            <w:tcW w:w="727" w:type="dxa"/>
            <w:tcBorders>
              <w:top w:val="nil"/>
              <w:left w:val="nil"/>
              <w:bottom w:val="single" w:sz="4" w:space="0" w:color="auto"/>
              <w:right w:val="single" w:sz="4" w:space="0" w:color="auto"/>
            </w:tcBorders>
            <w:shd w:val="clear" w:color="auto" w:fill="auto"/>
            <w:noWrap/>
            <w:vAlign w:val="bottom"/>
            <w:hideMark/>
          </w:tcPr>
          <w:p w14:paraId="664B6FF0" w14:textId="77777777" w:rsidR="009A356E" w:rsidRPr="00C10545" w:rsidRDefault="009A356E" w:rsidP="009A356E">
            <w:pPr>
              <w:jc w:val="right"/>
              <w:rPr>
                <w:color w:val="000000"/>
                <w:sz w:val="18"/>
                <w:szCs w:val="18"/>
                <w:lang w:eastAsia="en-AU"/>
              </w:rPr>
            </w:pPr>
            <w:r w:rsidRPr="00C10545">
              <w:rPr>
                <w:color w:val="000000"/>
                <w:sz w:val="18"/>
                <w:szCs w:val="18"/>
                <w:lang w:eastAsia="en-AU"/>
              </w:rPr>
              <w:t>46%</w:t>
            </w:r>
          </w:p>
        </w:tc>
      </w:tr>
      <w:tr w:rsidR="009A356E" w:rsidRPr="00CB3038" w14:paraId="577A9D30" w14:textId="77777777" w:rsidTr="009A356E">
        <w:trPr>
          <w:trHeight w:val="255"/>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E2DD005" w14:textId="77777777" w:rsidR="009A356E" w:rsidRPr="00C10545" w:rsidRDefault="009A356E" w:rsidP="009A356E">
            <w:pPr>
              <w:rPr>
                <w:sz w:val="18"/>
                <w:szCs w:val="18"/>
                <w:lang w:eastAsia="en-AU"/>
              </w:rPr>
            </w:pPr>
            <w:r w:rsidRPr="00C10545">
              <w:rPr>
                <w:sz w:val="18"/>
                <w:szCs w:val="18"/>
                <w:lang w:eastAsia="en-AU"/>
              </w:rPr>
              <w:t>P</w:t>
            </w:r>
          </w:p>
        </w:tc>
        <w:tc>
          <w:tcPr>
            <w:tcW w:w="714" w:type="dxa"/>
            <w:tcBorders>
              <w:top w:val="nil"/>
              <w:left w:val="nil"/>
              <w:bottom w:val="single" w:sz="4" w:space="0" w:color="auto"/>
              <w:right w:val="single" w:sz="4" w:space="0" w:color="auto"/>
            </w:tcBorders>
            <w:shd w:val="clear" w:color="000000" w:fill="FCD5B4"/>
            <w:noWrap/>
            <w:vAlign w:val="bottom"/>
            <w:hideMark/>
          </w:tcPr>
          <w:p w14:paraId="0E920997" w14:textId="77777777" w:rsidR="009A356E" w:rsidRPr="00C10545" w:rsidRDefault="009A356E" w:rsidP="009A356E">
            <w:pPr>
              <w:jc w:val="right"/>
              <w:rPr>
                <w:color w:val="000000"/>
                <w:sz w:val="18"/>
                <w:szCs w:val="18"/>
                <w:lang w:eastAsia="en-AU"/>
              </w:rPr>
            </w:pPr>
            <w:r w:rsidRPr="00C10545">
              <w:rPr>
                <w:color w:val="000000"/>
                <w:sz w:val="18"/>
                <w:szCs w:val="18"/>
                <w:lang w:eastAsia="en-AU"/>
              </w:rPr>
              <w:t>65%</w:t>
            </w:r>
          </w:p>
        </w:tc>
        <w:tc>
          <w:tcPr>
            <w:tcW w:w="853" w:type="dxa"/>
            <w:tcBorders>
              <w:top w:val="nil"/>
              <w:left w:val="nil"/>
              <w:bottom w:val="single" w:sz="4" w:space="0" w:color="auto"/>
              <w:right w:val="single" w:sz="4" w:space="0" w:color="auto"/>
            </w:tcBorders>
            <w:shd w:val="clear" w:color="000000" w:fill="FCD5B4"/>
            <w:noWrap/>
            <w:vAlign w:val="bottom"/>
            <w:hideMark/>
          </w:tcPr>
          <w:p w14:paraId="13869B0F" w14:textId="77777777" w:rsidR="009A356E" w:rsidRPr="00C10545" w:rsidRDefault="009A356E" w:rsidP="009A356E">
            <w:pPr>
              <w:jc w:val="right"/>
              <w:rPr>
                <w:color w:val="000000"/>
                <w:sz w:val="18"/>
                <w:szCs w:val="18"/>
                <w:lang w:eastAsia="en-AU"/>
              </w:rPr>
            </w:pPr>
            <w:r w:rsidRPr="00C10545">
              <w:rPr>
                <w:color w:val="000000"/>
                <w:sz w:val="18"/>
                <w:szCs w:val="18"/>
                <w:lang w:eastAsia="en-AU"/>
              </w:rPr>
              <w:t>66%</w:t>
            </w:r>
          </w:p>
        </w:tc>
        <w:tc>
          <w:tcPr>
            <w:tcW w:w="853" w:type="dxa"/>
            <w:tcBorders>
              <w:top w:val="nil"/>
              <w:left w:val="nil"/>
              <w:bottom w:val="single" w:sz="4" w:space="0" w:color="auto"/>
              <w:right w:val="single" w:sz="4" w:space="0" w:color="auto"/>
            </w:tcBorders>
            <w:shd w:val="clear" w:color="000000" w:fill="FCD5B4"/>
            <w:noWrap/>
            <w:vAlign w:val="bottom"/>
            <w:hideMark/>
          </w:tcPr>
          <w:p w14:paraId="2DF74094" w14:textId="77777777" w:rsidR="009A356E" w:rsidRPr="00C10545" w:rsidRDefault="009A356E" w:rsidP="009A356E">
            <w:pPr>
              <w:jc w:val="right"/>
              <w:rPr>
                <w:color w:val="000000"/>
                <w:sz w:val="18"/>
                <w:szCs w:val="18"/>
                <w:lang w:eastAsia="en-AU"/>
              </w:rPr>
            </w:pPr>
            <w:r w:rsidRPr="00C10545">
              <w:rPr>
                <w:color w:val="000000"/>
                <w:sz w:val="18"/>
                <w:szCs w:val="18"/>
                <w:lang w:eastAsia="en-AU"/>
              </w:rPr>
              <w:t>60%</w:t>
            </w:r>
          </w:p>
        </w:tc>
        <w:tc>
          <w:tcPr>
            <w:tcW w:w="853" w:type="dxa"/>
            <w:tcBorders>
              <w:top w:val="nil"/>
              <w:left w:val="nil"/>
              <w:bottom w:val="single" w:sz="4" w:space="0" w:color="auto"/>
              <w:right w:val="single" w:sz="4" w:space="0" w:color="auto"/>
            </w:tcBorders>
            <w:shd w:val="clear" w:color="000000" w:fill="FCD5B4"/>
            <w:noWrap/>
            <w:vAlign w:val="bottom"/>
            <w:hideMark/>
          </w:tcPr>
          <w:p w14:paraId="0175351A" w14:textId="77777777" w:rsidR="009A356E" w:rsidRPr="00C10545" w:rsidRDefault="009A356E" w:rsidP="009A356E">
            <w:pPr>
              <w:jc w:val="right"/>
              <w:rPr>
                <w:color w:val="000000"/>
                <w:sz w:val="18"/>
                <w:szCs w:val="18"/>
                <w:lang w:eastAsia="en-AU"/>
              </w:rPr>
            </w:pPr>
            <w:r w:rsidRPr="00C10545">
              <w:rPr>
                <w:color w:val="000000"/>
                <w:sz w:val="18"/>
                <w:szCs w:val="18"/>
                <w:lang w:eastAsia="en-AU"/>
              </w:rPr>
              <w:t>104%</w:t>
            </w:r>
          </w:p>
        </w:tc>
        <w:tc>
          <w:tcPr>
            <w:tcW w:w="714" w:type="dxa"/>
            <w:tcBorders>
              <w:top w:val="nil"/>
              <w:left w:val="nil"/>
              <w:bottom w:val="single" w:sz="4" w:space="0" w:color="auto"/>
              <w:right w:val="single" w:sz="4" w:space="0" w:color="auto"/>
            </w:tcBorders>
            <w:shd w:val="clear" w:color="000000" w:fill="FCD5B4"/>
            <w:noWrap/>
            <w:vAlign w:val="bottom"/>
            <w:hideMark/>
          </w:tcPr>
          <w:p w14:paraId="0882D6ED" w14:textId="77777777" w:rsidR="009A356E" w:rsidRPr="00C10545" w:rsidRDefault="009A356E" w:rsidP="009A356E">
            <w:pPr>
              <w:jc w:val="right"/>
              <w:rPr>
                <w:color w:val="000000"/>
                <w:sz w:val="18"/>
                <w:szCs w:val="18"/>
                <w:lang w:eastAsia="en-AU"/>
              </w:rPr>
            </w:pPr>
            <w:r w:rsidRPr="00C10545">
              <w:rPr>
                <w:color w:val="000000"/>
                <w:sz w:val="18"/>
                <w:szCs w:val="18"/>
                <w:lang w:eastAsia="en-AU"/>
              </w:rPr>
              <w:t>70%</w:t>
            </w:r>
          </w:p>
        </w:tc>
        <w:tc>
          <w:tcPr>
            <w:tcW w:w="727" w:type="dxa"/>
            <w:tcBorders>
              <w:top w:val="nil"/>
              <w:left w:val="nil"/>
              <w:bottom w:val="single" w:sz="4" w:space="0" w:color="auto"/>
              <w:right w:val="single" w:sz="4" w:space="0" w:color="auto"/>
            </w:tcBorders>
            <w:shd w:val="clear" w:color="auto" w:fill="auto"/>
            <w:noWrap/>
            <w:vAlign w:val="bottom"/>
            <w:hideMark/>
          </w:tcPr>
          <w:p w14:paraId="1E7C0995" w14:textId="77777777" w:rsidR="009A356E" w:rsidRPr="00C10545" w:rsidRDefault="009A356E" w:rsidP="009A356E">
            <w:pPr>
              <w:jc w:val="right"/>
              <w:rPr>
                <w:color w:val="000000"/>
                <w:sz w:val="18"/>
                <w:szCs w:val="18"/>
                <w:lang w:eastAsia="en-AU"/>
              </w:rPr>
            </w:pPr>
            <w:r w:rsidRPr="00C10545">
              <w:rPr>
                <w:color w:val="000000"/>
                <w:sz w:val="18"/>
                <w:szCs w:val="18"/>
                <w:lang w:eastAsia="en-AU"/>
              </w:rPr>
              <w:t>43%</w:t>
            </w:r>
          </w:p>
        </w:tc>
        <w:tc>
          <w:tcPr>
            <w:tcW w:w="727" w:type="dxa"/>
            <w:tcBorders>
              <w:top w:val="nil"/>
              <w:left w:val="nil"/>
              <w:bottom w:val="single" w:sz="4" w:space="0" w:color="auto"/>
              <w:right w:val="single" w:sz="4" w:space="0" w:color="auto"/>
            </w:tcBorders>
            <w:shd w:val="clear" w:color="auto" w:fill="auto"/>
            <w:noWrap/>
            <w:vAlign w:val="bottom"/>
            <w:hideMark/>
          </w:tcPr>
          <w:p w14:paraId="1788630C" w14:textId="77777777" w:rsidR="009A356E" w:rsidRPr="00C10545" w:rsidRDefault="009A356E" w:rsidP="009A356E">
            <w:pPr>
              <w:jc w:val="right"/>
              <w:rPr>
                <w:color w:val="000000"/>
                <w:sz w:val="18"/>
                <w:szCs w:val="18"/>
                <w:lang w:eastAsia="en-AU"/>
              </w:rPr>
            </w:pPr>
            <w:r w:rsidRPr="00C10545">
              <w:rPr>
                <w:color w:val="000000"/>
                <w:sz w:val="18"/>
                <w:szCs w:val="18"/>
                <w:lang w:eastAsia="en-AU"/>
              </w:rPr>
              <w:t>66%</w:t>
            </w:r>
          </w:p>
        </w:tc>
        <w:tc>
          <w:tcPr>
            <w:tcW w:w="727" w:type="dxa"/>
            <w:tcBorders>
              <w:top w:val="nil"/>
              <w:left w:val="nil"/>
              <w:bottom w:val="single" w:sz="4" w:space="0" w:color="auto"/>
              <w:right w:val="single" w:sz="4" w:space="0" w:color="auto"/>
            </w:tcBorders>
            <w:shd w:val="clear" w:color="auto" w:fill="auto"/>
            <w:noWrap/>
            <w:vAlign w:val="bottom"/>
            <w:hideMark/>
          </w:tcPr>
          <w:p w14:paraId="664C913F" w14:textId="77777777" w:rsidR="009A356E" w:rsidRPr="00C10545" w:rsidRDefault="009A356E" w:rsidP="009A356E">
            <w:pPr>
              <w:jc w:val="right"/>
              <w:rPr>
                <w:color w:val="000000"/>
                <w:sz w:val="18"/>
                <w:szCs w:val="18"/>
                <w:lang w:eastAsia="en-AU"/>
              </w:rPr>
            </w:pPr>
            <w:r w:rsidRPr="00C10545">
              <w:rPr>
                <w:color w:val="000000"/>
                <w:sz w:val="18"/>
                <w:szCs w:val="18"/>
                <w:lang w:eastAsia="en-AU"/>
              </w:rPr>
              <w:t>60%</w:t>
            </w:r>
          </w:p>
        </w:tc>
        <w:tc>
          <w:tcPr>
            <w:tcW w:w="872" w:type="dxa"/>
            <w:tcBorders>
              <w:top w:val="nil"/>
              <w:left w:val="nil"/>
              <w:bottom w:val="single" w:sz="4" w:space="0" w:color="auto"/>
              <w:right w:val="single" w:sz="4" w:space="0" w:color="auto"/>
            </w:tcBorders>
            <w:shd w:val="clear" w:color="auto" w:fill="auto"/>
            <w:noWrap/>
            <w:vAlign w:val="bottom"/>
            <w:hideMark/>
          </w:tcPr>
          <w:p w14:paraId="226D03D4" w14:textId="77777777" w:rsidR="009A356E" w:rsidRPr="00C10545" w:rsidRDefault="009A356E" w:rsidP="009A356E">
            <w:pPr>
              <w:jc w:val="right"/>
              <w:rPr>
                <w:color w:val="000000"/>
                <w:sz w:val="18"/>
                <w:szCs w:val="18"/>
                <w:lang w:eastAsia="en-AU"/>
              </w:rPr>
            </w:pPr>
            <w:r w:rsidRPr="00C10545">
              <w:rPr>
                <w:color w:val="000000"/>
                <w:sz w:val="18"/>
                <w:szCs w:val="18"/>
                <w:lang w:eastAsia="en-AU"/>
              </w:rPr>
              <w:t>98%</w:t>
            </w:r>
          </w:p>
        </w:tc>
        <w:tc>
          <w:tcPr>
            <w:tcW w:w="727" w:type="dxa"/>
            <w:tcBorders>
              <w:top w:val="nil"/>
              <w:left w:val="nil"/>
              <w:bottom w:val="single" w:sz="4" w:space="0" w:color="auto"/>
              <w:right w:val="single" w:sz="4" w:space="0" w:color="auto"/>
            </w:tcBorders>
            <w:shd w:val="clear" w:color="auto" w:fill="auto"/>
            <w:noWrap/>
            <w:vAlign w:val="bottom"/>
            <w:hideMark/>
          </w:tcPr>
          <w:p w14:paraId="4B38A765" w14:textId="77777777" w:rsidR="009A356E" w:rsidRPr="00C10545" w:rsidRDefault="009A356E" w:rsidP="009A356E">
            <w:pPr>
              <w:jc w:val="right"/>
              <w:rPr>
                <w:color w:val="000000"/>
                <w:sz w:val="18"/>
                <w:szCs w:val="18"/>
                <w:lang w:eastAsia="en-AU"/>
              </w:rPr>
            </w:pPr>
            <w:r w:rsidRPr="00C10545">
              <w:rPr>
                <w:color w:val="000000"/>
                <w:sz w:val="18"/>
                <w:szCs w:val="18"/>
                <w:lang w:eastAsia="en-AU"/>
              </w:rPr>
              <w:t>53%</w:t>
            </w:r>
          </w:p>
        </w:tc>
      </w:tr>
      <w:tr w:rsidR="009A356E" w:rsidRPr="00CB3038" w14:paraId="34045CE3" w14:textId="77777777" w:rsidTr="009A356E">
        <w:trPr>
          <w:trHeight w:val="255"/>
        </w:trPr>
        <w:tc>
          <w:tcPr>
            <w:tcW w:w="1120" w:type="dxa"/>
            <w:tcBorders>
              <w:top w:val="nil"/>
              <w:left w:val="single" w:sz="4" w:space="0" w:color="auto"/>
              <w:bottom w:val="single" w:sz="4" w:space="0" w:color="auto"/>
              <w:right w:val="single" w:sz="4" w:space="0" w:color="auto"/>
            </w:tcBorders>
            <w:shd w:val="clear" w:color="000000" w:fill="000000"/>
            <w:noWrap/>
            <w:vAlign w:val="bottom"/>
            <w:hideMark/>
          </w:tcPr>
          <w:p w14:paraId="15ED2FEE" w14:textId="77777777" w:rsidR="009A356E" w:rsidRPr="00C10545" w:rsidRDefault="009A356E" w:rsidP="009A356E">
            <w:pPr>
              <w:rPr>
                <w:color w:val="000000"/>
                <w:sz w:val="18"/>
                <w:szCs w:val="18"/>
                <w:lang w:eastAsia="en-AU"/>
              </w:rPr>
            </w:pPr>
            <w:r w:rsidRPr="00C10545">
              <w:rPr>
                <w:color w:val="000000"/>
                <w:sz w:val="18"/>
                <w:szCs w:val="18"/>
                <w:lang w:eastAsia="en-AU"/>
              </w:rPr>
              <w:t> </w:t>
            </w:r>
          </w:p>
        </w:tc>
        <w:tc>
          <w:tcPr>
            <w:tcW w:w="714" w:type="dxa"/>
            <w:tcBorders>
              <w:top w:val="nil"/>
              <w:left w:val="nil"/>
              <w:bottom w:val="single" w:sz="4" w:space="0" w:color="auto"/>
              <w:right w:val="single" w:sz="4" w:space="0" w:color="auto"/>
            </w:tcBorders>
            <w:shd w:val="clear" w:color="000000" w:fill="000000"/>
            <w:noWrap/>
            <w:vAlign w:val="bottom"/>
            <w:hideMark/>
          </w:tcPr>
          <w:p w14:paraId="475469BE" w14:textId="77777777" w:rsidR="009A356E" w:rsidRPr="00C10545" w:rsidRDefault="009A356E" w:rsidP="009A356E">
            <w:pPr>
              <w:rPr>
                <w:color w:val="000000"/>
                <w:sz w:val="18"/>
                <w:szCs w:val="18"/>
                <w:lang w:eastAsia="en-AU"/>
              </w:rPr>
            </w:pPr>
            <w:r w:rsidRPr="00C10545">
              <w:rPr>
                <w:color w:val="000000"/>
                <w:sz w:val="18"/>
                <w:szCs w:val="18"/>
                <w:lang w:eastAsia="en-AU"/>
              </w:rPr>
              <w:t> </w:t>
            </w:r>
          </w:p>
        </w:tc>
        <w:tc>
          <w:tcPr>
            <w:tcW w:w="853" w:type="dxa"/>
            <w:tcBorders>
              <w:top w:val="nil"/>
              <w:left w:val="nil"/>
              <w:bottom w:val="single" w:sz="4" w:space="0" w:color="auto"/>
              <w:right w:val="single" w:sz="4" w:space="0" w:color="auto"/>
            </w:tcBorders>
            <w:shd w:val="clear" w:color="000000" w:fill="000000"/>
            <w:noWrap/>
            <w:vAlign w:val="bottom"/>
            <w:hideMark/>
          </w:tcPr>
          <w:p w14:paraId="0C698547" w14:textId="77777777" w:rsidR="009A356E" w:rsidRPr="00C10545" w:rsidRDefault="009A356E" w:rsidP="009A356E">
            <w:pPr>
              <w:rPr>
                <w:color w:val="000000"/>
                <w:sz w:val="18"/>
                <w:szCs w:val="18"/>
                <w:lang w:eastAsia="en-AU"/>
              </w:rPr>
            </w:pPr>
            <w:r w:rsidRPr="00C10545">
              <w:rPr>
                <w:color w:val="000000"/>
                <w:sz w:val="18"/>
                <w:szCs w:val="18"/>
                <w:lang w:eastAsia="en-AU"/>
              </w:rPr>
              <w:t> </w:t>
            </w:r>
          </w:p>
        </w:tc>
        <w:tc>
          <w:tcPr>
            <w:tcW w:w="853" w:type="dxa"/>
            <w:tcBorders>
              <w:top w:val="nil"/>
              <w:left w:val="nil"/>
              <w:bottom w:val="single" w:sz="4" w:space="0" w:color="auto"/>
              <w:right w:val="single" w:sz="4" w:space="0" w:color="auto"/>
            </w:tcBorders>
            <w:shd w:val="clear" w:color="000000" w:fill="000000"/>
            <w:noWrap/>
            <w:vAlign w:val="bottom"/>
            <w:hideMark/>
          </w:tcPr>
          <w:p w14:paraId="472AB3CF" w14:textId="77777777" w:rsidR="009A356E" w:rsidRPr="00C10545" w:rsidRDefault="009A356E" w:rsidP="009A356E">
            <w:pPr>
              <w:rPr>
                <w:color w:val="000000"/>
                <w:sz w:val="18"/>
                <w:szCs w:val="18"/>
                <w:lang w:eastAsia="en-AU"/>
              </w:rPr>
            </w:pPr>
            <w:r w:rsidRPr="00C10545">
              <w:rPr>
                <w:color w:val="000000"/>
                <w:sz w:val="18"/>
                <w:szCs w:val="18"/>
                <w:lang w:eastAsia="en-AU"/>
              </w:rPr>
              <w:t> </w:t>
            </w:r>
          </w:p>
        </w:tc>
        <w:tc>
          <w:tcPr>
            <w:tcW w:w="853" w:type="dxa"/>
            <w:tcBorders>
              <w:top w:val="nil"/>
              <w:left w:val="nil"/>
              <w:bottom w:val="single" w:sz="4" w:space="0" w:color="auto"/>
              <w:right w:val="single" w:sz="4" w:space="0" w:color="auto"/>
            </w:tcBorders>
            <w:shd w:val="clear" w:color="000000" w:fill="000000"/>
            <w:noWrap/>
            <w:vAlign w:val="bottom"/>
            <w:hideMark/>
          </w:tcPr>
          <w:p w14:paraId="4C40DCD2" w14:textId="77777777" w:rsidR="009A356E" w:rsidRPr="00C10545" w:rsidRDefault="009A356E" w:rsidP="009A356E">
            <w:pPr>
              <w:rPr>
                <w:color w:val="000000"/>
                <w:sz w:val="18"/>
                <w:szCs w:val="18"/>
                <w:lang w:eastAsia="en-AU"/>
              </w:rPr>
            </w:pPr>
            <w:r w:rsidRPr="00C10545">
              <w:rPr>
                <w:color w:val="000000"/>
                <w:sz w:val="18"/>
                <w:szCs w:val="18"/>
                <w:lang w:eastAsia="en-AU"/>
              </w:rPr>
              <w:t> </w:t>
            </w:r>
          </w:p>
        </w:tc>
        <w:tc>
          <w:tcPr>
            <w:tcW w:w="714" w:type="dxa"/>
            <w:tcBorders>
              <w:top w:val="nil"/>
              <w:left w:val="nil"/>
              <w:bottom w:val="single" w:sz="4" w:space="0" w:color="auto"/>
              <w:right w:val="single" w:sz="4" w:space="0" w:color="auto"/>
            </w:tcBorders>
            <w:shd w:val="clear" w:color="000000" w:fill="000000"/>
            <w:noWrap/>
            <w:vAlign w:val="bottom"/>
            <w:hideMark/>
          </w:tcPr>
          <w:p w14:paraId="6F644F36" w14:textId="77777777" w:rsidR="009A356E" w:rsidRPr="00C10545" w:rsidRDefault="009A356E" w:rsidP="009A356E">
            <w:pPr>
              <w:rPr>
                <w:color w:val="000000"/>
                <w:sz w:val="18"/>
                <w:szCs w:val="18"/>
                <w:lang w:eastAsia="en-AU"/>
              </w:rPr>
            </w:pPr>
            <w:r w:rsidRPr="00C10545">
              <w:rPr>
                <w:color w:val="000000"/>
                <w:sz w:val="18"/>
                <w:szCs w:val="18"/>
                <w:lang w:eastAsia="en-AU"/>
              </w:rPr>
              <w:t> </w:t>
            </w:r>
          </w:p>
        </w:tc>
        <w:tc>
          <w:tcPr>
            <w:tcW w:w="727" w:type="dxa"/>
            <w:tcBorders>
              <w:top w:val="nil"/>
              <w:left w:val="nil"/>
              <w:bottom w:val="single" w:sz="4" w:space="0" w:color="auto"/>
              <w:right w:val="single" w:sz="4" w:space="0" w:color="auto"/>
            </w:tcBorders>
            <w:shd w:val="clear" w:color="000000" w:fill="000000"/>
            <w:noWrap/>
            <w:vAlign w:val="bottom"/>
            <w:hideMark/>
          </w:tcPr>
          <w:p w14:paraId="763FAC2C" w14:textId="77777777" w:rsidR="009A356E" w:rsidRPr="00C10545" w:rsidRDefault="009A356E" w:rsidP="009A356E">
            <w:pPr>
              <w:rPr>
                <w:color w:val="000000"/>
                <w:sz w:val="18"/>
                <w:szCs w:val="18"/>
                <w:lang w:eastAsia="en-AU"/>
              </w:rPr>
            </w:pPr>
            <w:r w:rsidRPr="00C10545">
              <w:rPr>
                <w:color w:val="000000"/>
                <w:sz w:val="18"/>
                <w:szCs w:val="18"/>
                <w:lang w:eastAsia="en-AU"/>
              </w:rPr>
              <w:t> </w:t>
            </w:r>
          </w:p>
        </w:tc>
        <w:tc>
          <w:tcPr>
            <w:tcW w:w="727" w:type="dxa"/>
            <w:tcBorders>
              <w:top w:val="nil"/>
              <w:left w:val="nil"/>
              <w:bottom w:val="single" w:sz="4" w:space="0" w:color="auto"/>
              <w:right w:val="single" w:sz="4" w:space="0" w:color="auto"/>
            </w:tcBorders>
            <w:shd w:val="clear" w:color="000000" w:fill="000000"/>
            <w:noWrap/>
            <w:vAlign w:val="bottom"/>
            <w:hideMark/>
          </w:tcPr>
          <w:p w14:paraId="03BD00DC" w14:textId="77777777" w:rsidR="009A356E" w:rsidRPr="00C10545" w:rsidRDefault="009A356E" w:rsidP="009A356E">
            <w:pPr>
              <w:rPr>
                <w:color w:val="000000"/>
                <w:sz w:val="18"/>
                <w:szCs w:val="18"/>
                <w:lang w:eastAsia="en-AU"/>
              </w:rPr>
            </w:pPr>
            <w:r w:rsidRPr="00C10545">
              <w:rPr>
                <w:color w:val="000000"/>
                <w:sz w:val="18"/>
                <w:szCs w:val="18"/>
                <w:lang w:eastAsia="en-AU"/>
              </w:rPr>
              <w:t> </w:t>
            </w:r>
          </w:p>
        </w:tc>
        <w:tc>
          <w:tcPr>
            <w:tcW w:w="727" w:type="dxa"/>
            <w:tcBorders>
              <w:top w:val="nil"/>
              <w:left w:val="nil"/>
              <w:bottom w:val="single" w:sz="4" w:space="0" w:color="auto"/>
              <w:right w:val="single" w:sz="4" w:space="0" w:color="auto"/>
            </w:tcBorders>
            <w:shd w:val="clear" w:color="000000" w:fill="000000"/>
            <w:noWrap/>
            <w:vAlign w:val="bottom"/>
            <w:hideMark/>
          </w:tcPr>
          <w:p w14:paraId="04D6A88E" w14:textId="77777777" w:rsidR="009A356E" w:rsidRPr="00C10545" w:rsidRDefault="009A356E" w:rsidP="009A356E">
            <w:pPr>
              <w:rPr>
                <w:color w:val="000000"/>
                <w:sz w:val="18"/>
                <w:szCs w:val="18"/>
                <w:lang w:eastAsia="en-AU"/>
              </w:rPr>
            </w:pPr>
            <w:r w:rsidRPr="00C10545">
              <w:rPr>
                <w:color w:val="000000"/>
                <w:sz w:val="18"/>
                <w:szCs w:val="18"/>
                <w:lang w:eastAsia="en-AU"/>
              </w:rPr>
              <w:t> </w:t>
            </w:r>
          </w:p>
        </w:tc>
        <w:tc>
          <w:tcPr>
            <w:tcW w:w="872" w:type="dxa"/>
            <w:tcBorders>
              <w:top w:val="nil"/>
              <w:left w:val="nil"/>
              <w:bottom w:val="single" w:sz="4" w:space="0" w:color="auto"/>
              <w:right w:val="single" w:sz="4" w:space="0" w:color="auto"/>
            </w:tcBorders>
            <w:shd w:val="clear" w:color="000000" w:fill="000000"/>
            <w:noWrap/>
            <w:vAlign w:val="bottom"/>
            <w:hideMark/>
          </w:tcPr>
          <w:p w14:paraId="3A0CFEA4" w14:textId="77777777" w:rsidR="009A356E" w:rsidRPr="00C10545" w:rsidRDefault="009A356E" w:rsidP="009A356E">
            <w:pPr>
              <w:rPr>
                <w:color w:val="000000"/>
                <w:sz w:val="18"/>
                <w:szCs w:val="18"/>
                <w:lang w:eastAsia="en-AU"/>
              </w:rPr>
            </w:pPr>
            <w:r w:rsidRPr="00C10545">
              <w:rPr>
                <w:color w:val="000000"/>
                <w:sz w:val="18"/>
                <w:szCs w:val="18"/>
                <w:lang w:eastAsia="en-AU"/>
              </w:rPr>
              <w:t> </w:t>
            </w:r>
          </w:p>
        </w:tc>
        <w:tc>
          <w:tcPr>
            <w:tcW w:w="727" w:type="dxa"/>
            <w:tcBorders>
              <w:top w:val="nil"/>
              <w:left w:val="nil"/>
              <w:bottom w:val="single" w:sz="4" w:space="0" w:color="auto"/>
              <w:right w:val="single" w:sz="4" w:space="0" w:color="auto"/>
            </w:tcBorders>
            <w:shd w:val="clear" w:color="000000" w:fill="000000"/>
            <w:noWrap/>
            <w:vAlign w:val="bottom"/>
            <w:hideMark/>
          </w:tcPr>
          <w:p w14:paraId="1F91B61E" w14:textId="77777777" w:rsidR="009A356E" w:rsidRPr="00C10545" w:rsidRDefault="009A356E" w:rsidP="009A356E">
            <w:pPr>
              <w:rPr>
                <w:color w:val="000000"/>
                <w:sz w:val="18"/>
                <w:szCs w:val="18"/>
                <w:lang w:eastAsia="en-AU"/>
              </w:rPr>
            </w:pPr>
            <w:r w:rsidRPr="00C10545">
              <w:rPr>
                <w:color w:val="000000"/>
                <w:sz w:val="18"/>
                <w:szCs w:val="18"/>
                <w:lang w:eastAsia="en-AU"/>
              </w:rPr>
              <w:t> </w:t>
            </w:r>
          </w:p>
        </w:tc>
      </w:tr>
      <w:tr w:rsidR="009A356E" w:rsidRPr="00CB3038" w14:paraId="0DE5AC4C" w14:textId="77777777" w:rsidTr="009A356E">
        <w:trPr>
          <w:trHeight w:val="255"/>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66C4EF4" w14:textId="77777777" w:rsidR="009A356E" w:rsidRPr="00C10545" w:rsidRDefault="009A356E" w:rsidP="009A356E">
            <w:pPr>
              <w:rPr>
                <w:sz w:val="18"/>
                <w:szCs w:val="18"/>
                <w:lang w:eastAsia="en-AU"/>
              </w:rPr>
            </w:pPr>
            <w:r w:rsidRPr="00C10545">
              <w:rPr>
                <w:sz w:val="18"/>
                <w:szCs w:val="18"/>
                <w:lang w:eastAsia="en-AU"/>
              </w:rPr>
              <w:t>Average</w:t>
            </w:r>
          </w:p>
        </w:tc>
        <w:tc>
          <w:tcPr>
            <w:tcW w:w="714" w:type="dxa"/>
            <w:tcBorders>
              <w:top w:val="nil"/>
              <w:left w:val="nil"/>
              <w:bottom w:val="single" w:sz="4" w:space="0" w:color="auto"/>
              <w:right w:val="single" w:sz="4" w:space="0" w:color="auto"/>
            </w:tcBorders>
            <w:shd w:val="clear" w:color="000000" w:fill="FCD5B4"/>
            <w:noWrap/>
            <w:vAlign w:val="bottom"/>
            <w:hideMark/>
          </w:tcPr>
          <w:p w14:paraId="241D9BFE" w14:textId="77777777" w:rsidR="009A356E" w:rsidRPr="00C10545" w:rsidRDefault="009A356E" w:rsidP="009A356E">
            <w:pPr>
              <w:jc w:val="right"/>
              <w:rPr>
                <w:color w:val="000000"/>
                <w:sz w:val="18"/>
                <w:szCs w:val="18"/>
                <w:lang w:eastAsia="en-AU"/>
              </w:rPr>
            </w:pPr>
            <w:r w:rsidRPr="00C10545">
              <w:rPr>
                <w:color w:val="000000"/>
                <w:sz w:val="18"/>
                <w:szCs w:val="18"/>
                <w:lang w:eastAsia="en-AU"/>
              </w:rPr>
              <w:t>61.8%</w:t>
            </w:r>
          </w:p>
        </w:tc>
        <w:tc>
          <w:tcPr>
            <w:tcW w:w="853" w:type="dxa"/>
            <w:tcBorders>
              <w:top w:val="nil"/>
              <w:left w:val="nil"/>
              <w:bottom w:val="single" w:sz="4" w:space="0" w:color="auto"/>
              <w:right w:val="single" w:sz="4" w:space="0" w:color="auto"/>
            </w:tcBorders>
            <w:shd w:val="clear" w:color="000000" w:fill="FCD5B4"/>
            <w:noWrap/>
            <w:vAlign w:val="bottom"/>
            <w:hideMark/>
          </w:tcPr>
          <w:p w14:paraId="1EF61F57" w14:textId="77777777" w:rsidR="009A356E" w:rsidRPr="00C10545" w:rsidRDefault="009A356E" w:rsidP="009A356E">
            <w:pPr>
              <w:jc w:val="right"/>
              <w:rPr>
                <w:color w:val="000000"/>
                <w:sz w:val="18"/>
                <w:szCs w:val="18"/>
                <w:lang w:eastAsia="en-AU"/>
              </w:rPr>
            </w:pPr>
            <w:r w:rsidRPr="00C10545">
              <w:rPr>
                <w:color w:val="000000"/>
                <w:sz w:val="18"/>
                <w:szCs w:val="18"/>
                <w:lang w:eastAsia="en-AU"/>
              </w:rPr>
              <w:t>71.6%</w:t>
            </w:r>
          </w:p>
        </w:tc>
        <w:tc>
          <w:tcPr>
            <w:tcW w:w="853" w:type="dxa"/>
            <w:tcBorders>
              <w:top w:val="nil"/>
              <w:left w:val="nil"/>
              <w:bottom w:val="single" w:sz="4" w:space="0" w:color="auto"/>
              <w:right w:val="single" w:sz="4" w:space="0" w:color="auto"/>
            </w:tcBorders>
            <w:shd w:val="clear" w:color="000000" w:fill="FCD5B4"/>
            <w:noWrap/>
            <w:vAlign w:val="bottom"/>
            <w:hideMark/>
          </w:tcPr>
          <w:p w14:paraId="631D0BB1" w14:textId="77777777" w:rsidR="009A356E" w:rsidRPr="00C10545" w:rsidRDefault="009A356E" w:rsidP="009A356E">
            <w:pPr>
              <w:jc w:val="right"/>
              <w:rPr>
                <w:color w:val="000000"/>
                <w:sz w:val="18"/>
                <w:szCs w:val="18"/>
                <w:lang w:eastAsia="en-AU"/>
              </w:rPr>
            </w:pPr>
            <w:r w:rsidRPr="00C10545">
              <w:rPr>
                <w:color w:val="000000"/>
                <w:sz w:val="18"/>
                <w:szCs w:val="18"/>
                <w:lang w:eastAsia="en-AU"/>
              </w:rPr>
              <w:t>73.4%</w:t>
            </w:r>
          </w:p>
        </w:tc>
        <w:tc>
          <w:tcPr>
            <w:tcW w:w="853" w:type="dxa"/>
            <w:tcBorders>
              <w:top w:val="nil"/>
              <w:left w:val="nil"/>
              <w:bottom w:val="single" w:sz="4" w:space="0" w:color="auto"/>
              <w:right w:val="single" w:sz="4" w:space="0" w:color="auto"/>
            </w:tcBorders>
            <w:shd w:val="clear" w:color="000000" w:fill="FCD5B4"/>
            <w:noWrap/>
            <w:vAlign w:val="bottom"/>
            <w:hideMark/>
          </w:tcPr>
          <w:p w14:paraId="6C568341" w14:textId="77777777" w:rsidR="009A356E" w:rsidRPr="00C10545" w:rsidRDefault="009A356E" w:rsidP="009A356E">
            <w:pPr>
              <w:jc w:val="right"/>
              <w:rPr>
                <w:color w:val="000000"/>
                <w:sz w:val="18"/>
                <w:szCs w:val="18"/>
                <w:lang w:eastAsia="en-AU"/>
              </w:rPr>
            </w:pPr>
            <w:r w:rsidRPr="00C10545">
              <w:rPr>
                <w:color w:val="000000"/>
                <w:sz w:val="18"/>
                <w:szCs w:val="18"/>
                <w:lang w:eastAsia="en-AU"/>
              </w:rPr>
              <w:t>99.0%</w:t>
            </w:r>
          </w:p>
        </w:tc>
        <w:tc>
          <w:tcPr>
            <w:tcW w:w="714" w:type="dxa"/>
            <w:tcBorders>
              <w:top w:val="nil"/>
              <w:left w:val="nil"/>
              <w:bottom w:val="single" w:sz="4" w:space="0" w:color="auto"/>
              <w:right w:val="single" w:sz="4" w:space="0" w:color="auto"/>
            </w:tcBorders>
            <w:shd w:val="clear" w:color="000000" w:fill="FCD5B4"/>
            <w:noWrap/>
            <w:vAlign w:val="bottom"/>
            <w:hideMark/>
          </w:tcPr>
          <w:p w14:paraId="4DF63B6A" w14:textId="77777777" w:rsidR="009A356E" w:rsidRPr="00C10545" w:rsidRDefault="009A356E" w:rsidP="009A356E">
            <w:pPr>
              <w:jc w:val="right"/>
              <w:rPr>
                <w:color w:val="000000"/>
                <w:sz w:val="18"/>
                <w:szCs w:val="18"/>
                <w:lang w:eastAsia="en-AU"/>
              </w:rPr>
            </w:pPr>
            <w:r w:rsidRPr="00C10545">
              <w:rPr>
                <w:color w:val="000000"/>
                <w:sz w:val="18"/>
                <w:szCs w:val="18"/>
                <w:lang w:eastAsia="en-AU"/>
              </w:rPr>
              <w:t>65.2%</w:t>
            </w:r>
          </w:p>
        </w:tc>
        <w:tc>
          <w:tcPr>
            <w:tcW w:w="727" w:type="dxa"/>
            <w:tcBorders>
              <w:top w:val="nil"/>
              <w:left w:val="nil"/>
              <w:bottom w:val="single" w:sz="4" w:space="0" w:color="auto"/>
              <w:right w:val="single" w:sz="4" w:space="0" w:color="auto"/>
            </w:tcBorders>
            <w:shd w:val="clear" w:color="auto" w:fill="auto"/>
            <w:noWrap/>
            <w:vAlign w:val="bottom"/>
            <w:hideMark/>
          </w:tcPr>
          <w:p w14:paraId="7A523370" w14:textId="77777777" w:rsidR="009A356E" w:rsidRPr="00C10545" w:rsidRDefault="009A356E" w:rsidP="009A356E">
            <w:pPr>
              <w:jc w:val="right"/>
              <w:rPr>
                <w:color w:val="000000"/>
                <w:sz w:val="18"/>
                <w:szCs w:val="18"/>
                <w:lang w:eastAsia="en-AU"/>
              </w:rPr>
            </w:pPr>
            <w:r w:rsidRPr="00C10545">
              <w:rPr>
                <w:color w:val="000000"/>
                <w:sz w:val="18"/>
                <w:szCs w:val="18"/>
                <w:lang w:eastAsia="en-AU"/>
              </w:rPr>
              <w:t>50.6%</w:t>
            </w:r>
          </w:p>
        </w:tc>
        <w:tc>
          <w:tcPr>
            <w:tcW w:w="727" w:type="dxa"/>
            <w:tcBorders>
              <w:top w:val="nil"/>
              <w:left w:val="nil"/>
              <w:bottom w:val="single" w:sz="4" w:space="0" w:color="auto"/>
              <w:right w:val="single" w:sz="4" w:space="0" w:color="auto"/>
            </w:tcBorders>
            <w:shd w:val="clear" w:color="auto" w:fill="auto"/>
            <w:noWrap/>
            <w:vAlign w:val="bottom"/>
            <w:hideMark/>
          </w:tcPr>
          <w:p w14:paraId="3E8C3909" w14:textId="77777777" w:rsidR="009A356E" w:rsidRPr="00C10545" w:rsidRDefault="009A356E" w:rsidP="009A356E">
            <w:pPr>
              <w:jc w:val="right"/>
              <w:rPr>
                <w:color w:val="000000"/>
                <w:sz w:val="18"/>
                <w:szCs w:val="18"/>
                <w:lang w:eastAsia="en-AU"/>
              </w:rPr>
            </w:pPr>
            <w:r w:rsidRPr="00C10545">
              <w:rPr>
                <w:color w:val="000000"/>
                <w:sz w:val="18"/>
                <w:szCs w:val="18"/>
                <w:lang w:eastAsia="en-AU"/>
              </w:rPr>
              <w:t>53.1%</w:t>
            </w:r>
          </w:p>
        </w:tc>
        <w:tc>
          <w:tcPr>
            <w:tcW w:w="727" w:type="dxa"/>
            <w:tcBorders>
              <w:top w:val="nil"/>
              <w:left w:val="nil"/>
              <w:bottom w:val="single" w:sz="4" w:space="0" w:color="auto"/>
              <w:right w:val="single" w:sz="4" w:space="0" w:color="auto"/>
            </w:tcBorders>
            <w:shd w:val="clear" w:color="auto" w:fill="auto"/>
            <w:noWrap/>
            <w:vAlign w:val="bottom"/>
            <w:hideMark/>
          </w:tcPr>
          <w:p w14:paraId="2474F6F2" w14:textId="77777777" w:rsidR="009A356E" w:rsidRPr="00C10545" w:rsidRDefault="009A356E" w:rsidP="009A356E">
            <w:pPr>
              <w:jc w:val="right"/>
              <w:rPr>
                <w:color w:val="000000"/>
                <w:sz w:val="18"/>
                <w:szCs w:val="18"/>
                <w:lang w:eastAsia="en-AU"/>
              </w:rPr>
            </w:pPr>
            <w:r w:rsidRPr="00C10545">
              <w:rPr>
                <w:color w:val="000000"/>
                <w:sz w:val="18"/>
                <w:szCs w:val="18"/>
                <w:lang w:eastAsia="en-AU"/>
              </w:rPr>
              <w:t>49.7%</w:t>
            </w:r>
          </w:p>
        </w:tc>
        <w:tc>
          <w:tcPr>
            <w:tcW w:w="872" w:type="dxa"/>
            <w:tcBorders>
              <w:top w:val="nil"/>
              <w:left w:val="nil"/>
              <w:bottom w:val="single" w:sz="4" w:space="0" w:color="auto"/>
              <w:right w:val="single" w:sz="4" w:space="0" w:color="auto"/>
            </w:tcBorders>
            <w:shd w:val="clear" w:color="auto" w:fill="auto"/>
            <w:noWrap/>
            <w:vAlign w:val="bottom"/>
            <w:hideMark/>
          </w:tcPr>
          <w:p w14:paraId="3632723D" w14:textId="77777777" w:rsidR="009A356E" w:rsidRPr="00C10545" w:rsidRDefault="009A356E" w:rsidP="009A356E">
            <w:pPr>
              <w:jc w:val="right"/>
              <w:rPr>
                <w:color w:val="000000"/>
                <w:sz w:val="18"/>
                <w:szCs w:val="18"/>
                <w:lang w:eastAsia="en-AU"/>
              </w:rPr>
            </w:pPr>
            <w:r w:rsidRPr="00C10545">
              <w:rPr>
                <w:color w:val="000000"/>
                <w:sz w:val="18"/>
                <w:szCs w:val="18"/>
                <w:lang w:eastAsia="en-AU"/>
              </w:rPr>
              <w:t>92.8%</w:t>
            </w:r>
          </w:p>
        </w:tc>
        <w:tc>
          <w:tcPr>
            <w:tcW w:w="727" w:type="dxa"/>
            <w:tcBorders>
              <w:top w:val="nil"/>
              <w:left w:val="nil"/>
              <w:bottom w:val="single" w:sz="4" w:space="0" w:color="auto"/>
              <w:right w:val="single" w:sz="4" w:space="0" w:color="auto"/>
            </w:tcBorders>
            <w:shd w:val="clear" w:color="auto" w:fill="auto"/>
            <w:noWrap/>
            <w:vAlign w:val="bottom"/>
            <w:hideMark/>
          </w:tcPr>
          <w:p w14:paraId="48555D36" w14:textId="77777777" w:rsidR="009A356E" w:rsidRPr="00C10545" w:rsidRDefault="009A356E" w:rsidP="009A356E">
            <w:pPr>
              <w:jc w:val="right"/>
              <w:rPr>
                <w:color w:val="000000"/>
                <w:sz w:val="18"/>
                <w:szCs w:val="18"/>
                <w:lang w:eastAsia="en-AU"/>
              </w:rPr>
            </w:pPr>
            <w:r w:rsidRPr="00C10545">
              <w:rPr>
                <w:color w:val="000000"/>
                <w:sz w:val="18"/>
                <w:szCs w:val="18"/>
                <w:lang w:eastAsia="en-AU"/>
              </w:rPr>
              <w:t>52.1%</w:t>
            </w:r>
          </w:p>
        </w:tc>
      </w:tr>
      <w:tr w:rsidR="009A356E" w:rsidRPr="00CB3038" w14:paraId="4B704CB7" w14:textId="77777777" w:rsidTr="009A356E">
        <w:trPr>
          <w:trHeight w:val="255"/>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F0FA49E" w14:textId="77777777" w:rsidR="009A356E" w:rsidRPr="00C10545" w:rsidRDefault="009A356E" w:rsidP="009A356E">
            <w:pPr>
              <w:rPr>
                <w:sz w:val="18"/>
                <w:szCs w:val="18"/>
                <w:lang w:eastAsia="en-AU"/>
              </w:rPr>
            </w:pPr>
            <w:r w:rsidRPr="00C10545">
              <w:rPr>
                <w:sz w:val="18"/>
                <w:szCs w:val="18"/>
                <w:lang w:eastAsia="en-AU"/>
              </w:rPr>
              <w:t>Median</w:t>
            </w:r>
          </w:p>
        </w:tc>
        <w:tc>
          <w:tcPr>
            <w:tcW w:w="714" w:type="dxa"/>
            <w:tcBorders>
              <w:top w:val="nil"/>
              <w:left w:val="nil"/>
              <w:bottom w:val="single" w:sz="4" w:space="0" w:color="auto"/>
              <w:right w:val="single" w:sz="4" w:space="0" w:color="auto"/>
            </w:tcBorders>
            <w:shd w:val="clear" w:color="000000" w:fill="FCD5B4"/>
            <w:noWrap/>
            <w:vAlign w:val="bottom"/>
            <w:hideMark/>
          </w:tcPr>
          <w:p w14:paraId="562B2667" w14:textId="77777777" w:rsidR="009A356E" w:rsidRPr="00C10545" w:rsidRDefault="009A356E" w:rsidP="009A356E">
            <w:pPr>
              <w:jc w:val="right"/>
              <w:rPr>
                <w:color w:val="000000"/>
                <w:sz w:val="18"/>
                <w:szCs w:val="18"/>
                <w:lang w:eastAsia="en-AU"/>
              </w:rPr>
            </w:pPr>
            <w:r w:rsidRPr="00C10545">
              <w:rPr>
                <w:color w:val="000000"/>
                <w:sz w:val="18"/>
                <w:szCs w:val="18"/>
                <w:lang w:eastAsia="en-AU"/>
              </w:rPr>
              <w:t>60.1%</w:t>
            </w:r>
          </w:p>
        </w:tc>
        <w:tc>
          <w:tcPr>
            <w:tcW w:w="853" w:type="dxa"/>
            <w:tcBorders>
              <w:top w:val="nil"/>
              <w:left w:val="nil"/>
              <w:bottom w:val="single" w:sz="4" w:space="0" w:color="auto"/>
              <w:right w:val="single" w:sz="4" w:space="0" w:color="auto"/>
            </w:tcBorders>
            <w:shd w:val="clear" w:color="000000" w:fill="FCD5B4"/>
            <w:noWrap/>
            <w:vAlign w:val="bottom"/>
            <w:hideMark/>
          </w:tcPr>
          <w:p w14:paraId="506D1190" w14:textId="77777777" w:rsidR="009A356E" w:rsidRPr="00C10545" w:rsidRDefault="009A356E" w:rsidP="009A356E">
            <w:pPr>
              <w:jc w:val="right"/>
              <w:rPr>
                <w:color w:val="000000"/>
                <w:sz w:val="18"/>
                <w:szCs w:val="18"/>
                <w:lang w:eastAsia="en-AU"/>
              </w:rPr>
            </w:pPr>
            <w:r w:rsidRPr="00C10545">
              <w:rPr>
                <w:color w:val="000000"/>
                <w:sz w:val="18"/>
                <w:szCs w:val="18"/>
                <w:lang w:eastAsia="en-AU"/>
              </w:rPr>
              <w:t>67.0%</w:t>
            </w:r>
          </w:p>
        </w:tc>
        <w:tc>
          <w:tcPr>
            <w:tcW w:w="853" w:type="dxa"/>
            <w:tcBorders>
              <w:top w:val="nil"/>
              <w:left w:val="nil"/>
              <w:bottom w:val="single" w:sz="4" w:space="0" w:color="auto"/>
              <w:right w:val="single" w:sz="4" w:space="0" w:color="auto"/>
            </w:tcBorders>
            <w:shd w:val="clear" w:color="000000" w:fill="FCD5B4"/>
            <w:noWrap/>
            <w:vAlign w:val="bottom"/>
            <w:hideMark/>
          </w:tcPr>
          <w:p w14:paraId="03479A7B" w14:textId="77777777" w:rsidR="009A356E" w:rsidRPr="00C10545" w:rsidRDefault="009A356E" w:rsidP="009A356E">
            <w:pPr>
              <w:jc w:val="right"/>
              <w:rPr>
                <w:color w:val="000000"/>
                <w:sz w:val="18"/>
                <w:szCs w:val="18"/>
                <w:lang w:eastAsia="en-AU"/>
              </w:rPr>
            </w:pPr>
            <w:r w:rsidRPr="00C10545">
              <w:rPr>
                <w:color w:val="000000"/>
                <w:sz w:val="18"/>
                <w:szCs w:val="18"/>
                <w:lang w:eastAsia="en-AU"/>
              </w:rPr>
              <w:t>65.5%</w:t>
            </w:r>
          </w:p>
        </w:tc>
        <w:tc>
          <w:tcPr>
            <w:tcW w:w="853" w:type="dxa"/>
            <w:tcBorders>
              <w:top w:val="nil"/>
              <w:left w:val="nil"/>
              <w:bottom w:val="single" w:sz="4" w:space="0" w:color="auto"/>
              <w:right w:val="single" w:sz="4" w:space="0" w:color="auto"/>
            </w:tcBorders>
            <w:shd w:val="clear" w:color="000000" w:fill="FCD5B4"/>
            <w:noWrap/>
            <w:vAlign w:val="bottom"/>
            <w:hideMark/>
          </w:tcPr>
          <w:p w14:paraId="6CFE1A00" w14:textId="77777777" w:rsidR="009A356E" w:rsidRPr="00C10545" w:rsidRDefault="009A356E" w:rsidP="009A356E">
            <w:pPr>
              <w:jc w:val="right"/>
              <w:rPr>
                <w:color w:val="000000"/>
                <w:sz w:val="18"/>
                <w:szCs w:val="18"/>
                <w:lang w:eastAsia="en-AU"/>
              </w:rPr>
            </w:pPr>
            <w:r w:rsidRPr="00C10545">
              <w:rPr>
                <w:color w:val="000000"/>
                <w:sz w:val="18"/>
                <w:szCs w:val="18"/>
                <w:lang w:eastAsia="en-AU"/>
              </w:rPr>
              <w:t>87.1%</w:t>
            </w:r>
          </w:p>
        </w:tc>
        <w:tc>
          <w:tcPr>
            <w:tcW w:w="714" w:type="dxa"/>
            <w:tcBorders>
              <w:top w:val="nil"/>
              <w:left w:val="nil"/>
              <w:bottom w:val="single" w:sz="4" w:space="0" w:color="auto"/>
              <w:right w:val="single" w:sz="4" w:space="0" w:color="auto"/>
            </w:tcBorders>
            <w:shd w:val="clear" w:color="000000" w:fill="FCD5B4"/>
            <w:noWrap/>
            <w:vAlign w:val="bottom"/>
            <w:hideMark/>
          </w:tcPr>
          <w:p w14:paraId="6B38707B" w14:textId="77777777" w:rsidR="009A356E" w:rsidRPr="00C10545" w:rsidRDefault="009A356E" w:rsidP="009A356E">
            <w:pPr>
              <w:jc w:val="right"/>
              <w:rPr>
                <w:color w:val="000000"/>
                <w:sz w:val="18"/>
                <w:szCs w:val="18"/>
                <w:lang w:eastAsia="en-AU"/>
              </w:rPr>
            </w:pPr>
            <w:r w:rsidRPr="00C10545">
              <w:rPr>
                <w:color w:val="000000"/>
                <w:sz w:val="18"/>
                <w:szCs w:val="18"/>
                <w:lang w:eastAsia="en-AU"/>
              </w:rPr>
              <w:t>65.5%</w:t>
            </w:r>
          </w:p>
        </w:tc>
        <w:tc>
          <w:tcPr>
            <w:tcW w:w="727" w:type="dxa"/>
            <w:tcBorders>
              <w:top w:val="nil"/>
              <w:left w:val="nil"/>
              <w:bottom w:val="single" w:sz="4" w:space="0" w:color="auto"/>
              <w:right w:val="single" w:sz="4" w:space="0" w:color="auto"/>
            </w:tcBorders>
            <w:shd w:val="clear" w:color="auto" w:fill="auto"/>
            <w:noWrap/>
            <w:vAlign w:val="bottom"/>
            <w:hideMark/>
          </w:tcPr>
          <w:p w14:paraId="6F400076" w14:textId="77777777" w:rsidR="009A356E" w:rsidRPr="00C10545" w:rsidRDefault="009A356E" w:rsidP="009A356E">
            <w:pPr>
              <w:jc w:val="right"/>
              <w:rPr>
                <w:color w:val="000000"/>
                <w:sz w:val="18"/>
                <w:szCs w:val="18"/>
                <w:lang w:eastAsia="en-AU"/>
              </w:rPr>
            </w:pPr>
            <w:r w:rsidRPr="00C10545">
              <w:rPr>
                <w:color w:val="000000"/>
                <w:sz w:val="18"/>
                <w:szCs w:val="18"/>
                <w:lang w:eastAsia="en-AU"/>
              </w:rPr>
              <w:t>47.0%</w:t>
            </w:r>
          </w:p>
        </w:tc>
        <w:tc>
          <w:tcPr>
            <w:tcW w:w="727" w:type="dxa"/>
            <w:tcBorders>
              <w:top w:val="nil"/>
              <w:left w:val="nil"/>
              <w:bottom w:val="single" w:sz="4" w:space="0" w:color="auto"/>
              <w:right w:val="single" w:sz="4" w:space="0" w:color="auto"/>
            </w:tcBorders>
            <w:shd w:val="clear" w:color="auto" w:fill="auto"/>
            <w:noWrap/>
            <w:vAlign w:val="bottom"/>
            <w:hideMark/>
          </w:tcPr>
          <w:p w14:paraId="055EB0B9" w14:textId="77777777" w:rsidR="009A356E" w:rsidRPr="00C10545" w:rsidRDefault="009A356E" w:rsidP="009A356E">
            <w:pPr>
              <w:jc w:val="right"/>
              <w:rPr>
                <w:color w:val="000000"/>
                <w:sz w:val="18"/>
                <w:szCs w:val="18"/>
                <w:lang w:eastAsia="en-AU"/>
              </w:rPr>
            </w:pPr>
            <w:r w:rsidRPr="00C10545">
              <w:rPr>
                <w:color w:val="000000"/>
                <w:sz w:val="18"/>
                <w:szCs w:val="18"/>
                <w:lang w:eastAsia="en-AU"/>
              </w:rPr>
              <w:t>50.4%</w:t>
            </w:r>
          </w:p>
        </w:tc>
        <w:tc>
          <w:tcPr>
            <w:tcW w:w="727" w:type="dxa"/>
            <w:tcBorders>
              <w:top w:val="nil"/>
              <w:left w:val="nil"/>
              <w:bottom w:val="single" w:sz="4" w:space="0" w:color="auto"/>
              <w:right w:val="single" w:sz="4" w:space="0" w:color="auto"/>
            </w:tcBorders>
            <w:shd w:val="clear" w:color="auto" w:fill="auto"/>
            <w:noWrap/>
            <w:vAlign w:val="bottom"/>
            <w:hideMark/>
          </w:tcPr>
          <w:p w14:paraId="1CAE5471" w14:textId="77777777" w:rsidR="009A356E" w:rsidRPr="00C10545" w:rsidRDefault="009A356E" w:rsidP="009A356E">
            <w:pPr>
              <w:jc w:val="right"/>
              <w:rPr>
                <w:color w:val="000000"/>
                <w:sz w:val="18"/>
                <w:szCs w:val="18"/>
                <w:lang w:eastAsia="en-AU"/>
              </w:rPr>
            </w:pPr>
            <w:r w:rsidRPr="00C10545">
              <w:rPr>
                <w:color w:val="000000"/>
                <w:sz w:val="18"/>
                <w:szCs w:val="18"/>
                <w:lang w:eastAsia="en-AU"/>
              </w:rPr>
              <w:t>53.1%</w:t>
            </w:r>
          </w:p>
        </w:tc>
        <w:tc>
          <w:tcPr>
            <w:tcW w:w="872" w:type="dxa"/>
            <w:tcBorders>
              <w:top w:val="nil"/>
              <w:left w:val="nil"/>
              <w:bottom w:val="single" w:sz="4" w:space="0" w:color="auto"/>
              <w:right w:val="single" w:sz="4" w:space="0" w:color="auto"/>
            </w:tcBorders>
            <w:shd w:val="clear" w:color="auto" w:fill="auto"/>
            <w:noWrap/>
            <w:vAlign w:val="bottom"/>
            <w:hideMark/>
          </w:tcPr>
          <w:p w14:paraId="66EA4578" w14:textId="77777777" w:rsidR="009A356E" w:rsidRPr="00C10545" w:rsidRDefault="009A356E" w:rsidP="009A356E">
            <w:pPr>
              <w:jc w:val="right"/>
              <w:rPr>
                <w:color w:val="000000"/>
                <w:sz w:val="18"/>
                <w:szCs w:val="18"/>
                <w:lang w:eastAsia="en-AU"/>
              </w:rPr>
            </w:pPr>
            <w:r w:rsidRPr="00C10545">
              <w:rPr>
                <w:color w:val="000000"/>
                <w:sz w:val="18"/>
                <w:szCs w:val="18"/>
                <w:lang w:eastAsia="en-AU"/>
              </w:rPr>
              <w:t>82.1%</w:t>
            </w:r>
          </w:p>
        </w:tc>
        <w:tc>
          <w:tcPr>
            <w:tcW w:w="727" w:type="dxa"/>
            <w:tcBorders>
              <w:top w:val="nil"/>
              <w:left w:val="nil"/>
              <w:bottom w:val="single" w:sz="4" w:space="0" w:color="auto"/>
              <w:right w:val="single" w:sz="4" w:space="0" w:color="auto"/>
            </w:tcBorders>
            <w:shd w:val="clear" w:color="auto" w:fill="auto"/>
            <w:noWrap/>
            <w:vAlign w:val="bottom"/>
            <w:hideMark/>
          </w:tcPr>
          <w:p w14:paraId="4478054E" w14:textId="77777777" w:rsidR="009A356E" w:rsidRPr="00C10545" w:rsidRDefault="009A356E" w:rsidP="009A356E">
            <w:pPr>
              <w:jc w:val="right"/>
              <w:rPr>
                <w:color w:val="000000"/>
                <w:sz w:val="18"/>
                <w:szCs w:val="18"/>
                <w:lang w:eastAsia="en-AU"/>
              </w:rPr>
            </w:pPr>
            <w:r w:rsidRPr="00C10545">
              <w:rPr>
                <w:color w:val="000000"/>
                <w:sz w:val="18"/>
                <w:szCs w:val="18"/>
                <w:lang w:eastAsia="en-AU"/>
              </w:rPr>
              <w:t>51.5%</w:t>
            </w:r>
          </w:p>
        </w:tc>
      </w:tr>
      <w:tr w:rsidR="009A356E" w:rsidRPr="00CB3038" w14:paraId="49A3AA50" w14:textId="77777777" w:rsidTr="009A356E">
        <w:trPr>
          <w:trHeight w:val="255"/>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E3BD7FB" w14:textId="77777777" w:rsidR="009A356E" w:rsidRPr="00C10545" w:rsidRDefault="009A356E" w:rsidP="009A356E">
            <w:pPr>
              <w:rPr>
                <w:sz w:val="18"/>
                <w:szCs w:val="18"/>
                <w:lang w:eastAsia="en-AU"/>
              </w:rPr>
            </w:pPr>
            <w:proofErr w:type="spellStart"/>
            <w:r w:rsidRPr="00C10545">
              <w:rPr>
                <w:sz w:val="18"/>
                <w:szCs w:val="18"/>
                <w:lang w:eastAsia="en-AU"/>
              </w:rPr>
              <w:t>Stdev</w:t>
            </w:r>
            <w:proofErr w:type="spellEnd"/>
          </w:p>
        </w:tc>
        <w:tc>
          <w:tcPr>
            <w:tcW w:w="714" w:type="dxa"/>
            <w:tcBorders>
              <w:top w:val="nil"/>
              <w:left w:val="nil"/>
              <w:bottom w:val="single" w:sz="4" w:space="0" w:color="auto"/>
              <w:right w:val="single" w:sz="4" w:space="0" w:color="auto"/>
            </w:tcBorders>
            <w:shd w:val="clear" w:color="000000" w:fill="FCD5B4"/>
            <w:noWrap/>
            <w:vAlign w:val="bottom"/>
            <w:hideMark/>
          </w:tcPr>
          <w:p w14:paraId="48D9874F" w14:textId="77777777" w:rsidR="009A356E" w:rsidRPr="00C10545" w:rsidRDefault="009A356E" w:rsidP="009A356E">
            <w:pPr>
              <w:jc w:val="right"/>
              <w:rPr>
                <w:color w:val="000000"/>
                <w:sz w:val="18"/>
                <w:szCs w:val="18"/>
                <w:lang w:eastAsia="en-AU"/>
              </w:rPr>
            </w:pPr>
            <w:r w:rsidRPr="00C10545">
              <w:rPr>
                <w:color w:val="000000"/>
                <w:sz w:val="18"/>
                <w:szCs w:val="18"/>
                <w:lang w:eastAsia="en-AU"/>
              </w:rPr>
              <w:t>8.1%</w:t>
            </w:r>
          </w:p>
        </w:tc>
        <w:tc>
          <w:tcPr>
            <w:tcW w:w="853" w:type="dxa"/>
            <w:tcBorders>
              <w:top w:val="nil"/>
              <w:left w:val="nil"/>
              <w:bottom w:val="single" w:sz="4" w:space="0" w:color="auto"/>
              <w:right w:val="single" w:sz="4" w:space="0" w:color="auto"/>
            </w:tcBorders>
            <w:shd w:val="clear" w:color="000000" w:fill="FCD5B4"/>
            <w:noWrap/>
            <w:vAlign w:val="bottom"/>
            <w:hideMark/>
          </w:tcPr>
          <w:p w14:paraId="5C28B458" w14:textId="77777777" w:rsidR="009A356E" w:rsidRPr="00C10545" w:rsidRDefault="009A356E" w:rsidP="009A356E">
            <w:pPr>
              <w:jc w:val="right"/>
              <w:rPr>
                <w:color w:val="000000"/>
                <w:sz w:val="18"/>
                <w:szCs w:val="18"/>
                <w:lang w:eastAsia="en-AU"/>
              </w:rPr>
            </w:pPr>
            <w:r w:rsidRPr="00C10545">
              <w:rPr>
                <w:color w:val="000000"/>
                <w:sz w:val="18"/>
                <w:szCs w:val="18"/>
                <w:lang w:eastAsia="en-AU"/>
              </w:rPr>
              <w:t>17.7%</w:t>
            </w:r>
          </w:p>
        </w:tc>
        <w:tc>
          <w:tcPr>
            <w:tcW w:w="853" w:type="dxa"/>
            <w:tcBorders>
              <w:top w:val="nil"/>
              <w:left w:val="nil"/>
              <w:bottom w:val="single" w:sz="4" w:space="0" w:color="auto"/>
              <w:right w:val="single" w:sz="4" w:space="0" w:color="auto"/>
            </w:tcBorders>
            <w:shd w:val="clear" w:color="000000" w:fill="FCD5B4"/>
            <w:noWrap/>
            <w:vAlign w:val="bottom"/>
            <w:hideMark/>
          </w:tcPr>
          <w:p w14:paraId="209B7B39" w14:textId="77777777" w:rsidR="009A356E" w:rsidRPr="00C10545" w:rsidRDefault="009A356E" w:rsidP="009A356E">
            <w:pPr>
              <w:jc w:val="right"/>
              <w:rPr>
                <w:color w:val="000000"/>
                <w:sz w:val="18"/>
                <w:szCs w:val="18"/>
                <w:lang w:eastAsia="en-AU"/>
              </w:rPr>
            </w:pPr>
            <w:r w:rsidRPr="00C10545">
              <w:rPr>
                <w:color w:val="000000"/>
                <w:sz w:val="18"/>
                <w:szCs w:val="18"/>
                <w:lang w:eastAsia="en-AU"/>
              </w:rPr>
              <w:t>40.0%</w:t>
            </w:r>
          </w:p>
        </w:tc>
        <w:tc>
          <w:tcPr>
            <w:tcW w:w="853" w:type="dxa"/>
            <w:tcBorders>
              <w:top w:val="nil"/>
              <w:left w:val="nil"/>
              <w:bottom w:val="single" w:sz="4" w:space="0" w:color="auto"/>
              <w:right w:val="single" w:sz="4" w:space="0" w:color="auto"/>
            </w:tcBorders>
            <w:shd w:val="clear" w:color="000000" w:fill="FCD5B4"/>
            <w:noWrap/>
            <w:vAlign w:val="bottom"/>
            <w:hideMark/>
          </w:tcPr>
          <w:p w14:paraId="07D2F8BA" w14:textId="77777777" w:rsidR="009A356E" w:rsidRPr="00C10545" w:rsidRDefault="009A356E" w:rsidP="009A356E">
            <w:pPr>
              <w:jc w:val="right"/>
              <w:rPr>
                <w:color w:val="000000"/>
                <w:sz w:val="18"/>
                <w:szCs w:val="18"/>
                <w:lang w:eastAsia="en-AU"/>
              </w:rPr>
            </w:pPr>
            <w:r w:rsidRPr="00C10545">
              <w:rPr>
                <w:color w:val="000000"/>
                <w:sz w:val="18"/>
                <w:szCs w:val="18"/>
                <w:lang w:eastAsia="en-AU"/>
              </w:rPr>
              <w:t>33.9%</w:t>
            </w:r>
          </w:p>
        </w:tc>
        <w:tc>
          <w:tcPr>
            <w:tcW w:w="714" w:type="dxa"/>
            <w:tcBorders>
              <w:top w:val="nil"/>
              <w:left w:val="nil"/>
              <w:bottom w:val="single" w:sz="4" w:space="0" w:color="auto"/>
              <w:right w:val="single" w:sz="4" w:space="0" w:color="auto"/>
            </w:tcBorders>
            <w:shd w:val="clear" w:color="000000" w:fill="FCD5B4"/>
            <w:noWrap/>
            <w:vAlign w:val="bottom"/>
            <w:hideMark/>
          </w:tcPr>
          <w:p w14:paraId="439CA1D4" w14:textId="77777777" w:rsidR="009A356E" w:rsidRPr="00C10545" w:rsidRDefault="009A356E" w:rsidP="009A356E">
            <w:pPr>
              <w:jc w:val="right"/>
              <w:rPr>
                <w:color w:val="000000"/>
                <w:sz w:val="18"/>
                <w:szCs w:val="18"/>
                <w:lang w:eastAsia="en-AU"/>
              </w:rPr>
            </w:pPr>
            <w:r w:rsidRPr="00C10545">
              <w:rPr>
                <w:color w:val="000000"/>
                <w:sz w:val="18"/>
                <w:szCs w:val="18"/>
                <w:lang w:eastAsia="en-AU"/>
              </w:rPr>
              <w:t>7.4%</w:t>
            </w:r>
          </w:p>
        </w:tc>
        <w:tc>
          <w:tcPr>
            <w:tcW w:w="727" w:type="dxa"/>
            <w:tcBorders>
              <w:top w:val="nil"/>
              <w:left w:val="nil"/>
              <w:bottom w:val="single" w:sz="4" w:space="0" w:color="auto"/>
              <w:right w:val="single" w:sz="4" w:space="0" w:color="auto"/>
            </w:tcBorders>
            <w:shd w:val="clear" w:color="auto" w:fill="auto"/>
            <w:noWrap/>
            <w:vAlign w:val="bottom"/>
            <w:hideMark/>
          </w:tcPr>
          <w:p w14:paraId="6AF92CF0" w14:textId="77777777" w:rsidR="009A356E" w:rsidRPr="00C10545" w:rsidRDefault="009A356E" w:rsidP="009A356E">
            <w:pPr>
              <w:jc w:val="right"/>
              <w:rPr>
                <w:color w:val="000000"/>
                <w:sz w:val="18"/>
                <w:szCs w:val="18"/>
                <w:lang w:eastAsia="en-AU"/>
              </w:rPr>
            </w:pPr>
            <w:r w:rsidRPr="00C10545">
              <w:rPr>
                <w:color w:val="000000"/>
                <w:sz w:val="18"/>
                <w:szCs w:val="18"/>
                <w:lang w:eastAsia="en-AU"/>
              </w:rPr>
              <w:t>10.1%</w:t>
            </w:r>
          </w:p>
        </w:tc>
        <w:tc>
          <w:tcPr>
            <w:tcW w:w="727" w:type="dxa"/>
            <w:tcBorders>
              <w:top w:val="nil"/>
              <w:left w:val="nil"/>
              <w:bottom w:val="single" w:sz="4" w:space="0" w:color="auto"/>
              <w:right w:val="single" w:sz="4" w:space="0" w:color="auto"/>
            </w:tcBorders>
            <w:shd w:val="clear" w:color="auto" w:fill="auto"/>
            <w:noWrap/>
            <w:vAlign w:val="bottom"/>
            <w:hideMark/>
          </w:tcPr>
          <w:p w14:paraId="743DD4BE" w14:textId="77777777" w:rsidR="009A356E" w:rsidRPr="00C10545" w:rsidRDefault="009A356E" w:rsidP="009A356E">
            <w:pPr>
              <w:jc w:val="right"/>
              <w:rPr>
                <w:color w:val="000000"/>
                <w:sz w:val="18"/>
                <w:szCs w:val="18"/>
                <w:lang w:eastAsia="en-AU"/>
              </w:rPr>
            </w:pPr>
            <w:r w:rsidRPr="00C10545">
              <w:rPr>
                <w:color w:val="000000"/>
                <w:sz w:val="18"/>
                <w:szCs w:val="18"/>
                <w:lang w:eastAsia="en-AU"/>
              </w:rPr>
              <w:t>17.7%</w:t>
            </w:r>
          </w:p>
        </w:tc>
        <w:tc>
          <w:tcPr>
            <w:tcW w:w="727" w:type="dxa"/>
            <w:tcBorders>
              <w:top w:val="nil"/>
              <w:left w:val="nil"/>
              <w:bottom w:val="single" w:sz="4" w:space="0" w:color="auto"/>
              <w:right w:val="single" w:sz="4" w:space="0" w:color="auto"/>
            </w:tcBorders>
            <w:shd w:val="clear" w:color="auto" w:fill="auto"/>
            <w:noWrap/>
            <w:vAlign w:val="bottom"/>
            <w:hideMark/>
          </w:tcPr>
          <w:p w14:paraId="031769E6" w14:textId="77777777" w:rsidR="009A356E" w:rsidRPr="00C10545" w:rsidRDefault="009A356E" w:rsidP="009A356E">
            <w:pPr>
              <w:jc w:val="right"/>
              <w:rPr>
                <w:color w:val="000000"/>
                <w:sz w:val="18"/>
                <w:szCs w:val="18"/>
                <w:lang w:eastAsia="en-AU"/>
              </w:rPr>
            </w:pPr>
            <w:r w:rsidRPr="00C10545">
              <w:rPr>
                <w:color w:val="000000"/>
                <w:sz w:val="18"/>
                <w:szCs w:val="18"/>
                <w:lang w:eastAsia="en-AU"/>
              </w:rPr>
              <w:t>17.0%</w:t>
            </w:r>
          </w:p>
        </w:tc>
        <w:tc>
          <w:tcPr>
            <w:tcW w:w="872" w:type="dxa"/>
            <w:tcBorders>
              <w:top w:val="nil"/>
              <w:left w:val="nil"/>
              <w:bottom w:val="single" w:sz="4" w:space="0" w:color="auto"/>
              <w:right w:val="single" w:sz="4" w:space="0" w:color="auto"/>
            </w:tcBorders>
            <w:shd w:val="clear" w:color="auto" w:fill="auto"/>
            <w:noWrap/>
            <w:vAlign w:val="bottom"/>
            <w:hideMark/>
          </w:tcPr>
          <w:p w14:paraId="34464D2F" w14:textId="77777777" w:rsidR="009A356E" w:rsidRPr="00C10545" w:rsidRDefault="009A356E" w:rsidP="009A356E">
            <w:pPr>
              <w:jc w:val="right"/>
              <w:rPr>
                <w:color w:val="000000"/>
                <w:sz w:val="18"/>
                <w:szCs w:val="18"/>
                <w:lang w:eastAsia="en-AU"/>
              </w:rPr>
            </w:pPr>
            <w:r w:rsidRPr="00C10545">
              <w:rPr>
                <w:color w:val="000000"/>
                <w:sz w:val="18"/>
                <w:szCs w:val="18"/>
                <w:lang w:eastAsia="en-AU"/>
              </w:rPr>
              <w:t>32.2%</w:t>
            </w:r>
          </w:p>
        </w:tc>
        <w:tc>
          <w:tcPr>
            <w:tcW w:w="727" w:type="dxa"/>
            <w:tcBorders>
              <w:top w:val="nil"/>
              <w:left w:val="nil"/>
              <w:bottom w:val="single" w:sz="4" w:space="0" w:color="auto"/>
              <w:right w:val="single" w:sz="4" w:space="0" w:color="auto"/>
            </w:tcBorders>
            <w:shd w:val="clear" w:color="auto" w:fill="auto"/>
            <w:noWrap/>
            <w:vAlign w:val="bottom"/>
            <w:hideMark/>
          </w:tcPr>
          <w:p w14:paraId="080BD980" w14:textId="77777777" w:rsidR="009A356E" w:rsidRPr="00C10545" w:rsidRDefault="009A356E" w:rsidP="009A356E">
            <w:pPr>
              <w:jc w:val="right"/>
              <w:rPr>
                <w:color w:val="000000"/>
                <w:sz w:val="18"/>
                <w:szCs w:val="18"/>
                <w:lang w:eastAsia="en-AU"/>
              </w:rPr>
            </w:pPr>
            <w:r w:rsidRPr="00C10545">
              <w:rPr>
                <w:color w:val="000000"/>
                <w:sz w:val="18"/>
                <w:szCs w:val="18"/>
                <w:lang w:eastAsia="en-AU"/>
              </w:rPr>
              <w:t>10.1%</w:t>
            </w:r>
          </w:p>
        </w:tc>
      </w:tr>
      <w:tr w:rsidR="009A356E" w:rsidRPr="00CB3038" w14:paraId="01D6BE69" w14:textId="77777777" w:rsidTr="009A356E">
        <w:trPr>
          <w:trHeight w:val="255"/>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6C99C5A" w14:textId="77777777" w:rsidR="009A356E" w:rsidRPr="00C10545" w:rsidRDefault="009A356E" w:rsidP="009A356E">
            <w:pPr>
              <w:rPr>
                <w:sz w:val="18"/>
                <w:szCs w:val="18"/>
                <w:lang w:eastAsia="en-AU"/>
              </w:rPr>
            </w:pPr>
            <w:r w:rsidRPr="00C10545">
              <w:rPr>
                <w:sz w:val="18"/>
                <w:szCs w:val="18"/>
                <w:lang w:eastAsia="en-AU"/>
              </w:rPr>
              <w:t>Max</w:t>
            </w:r>
          </w:p>
        </w:tc>
        <w:tc>
          <w:tcPr>
            <w:tcW w:w="714" w:type="dxa"/>
            <w:tcBorders>
              <w:top w:val="nil"/>
              <w:left w:val="nil"/>
              <w:bottom w:val="single" w:sz="4" w:space="0" w:color="auto"/>
              <w:right w:val="single" w:sz="4" w:space="0" w:color="auto"/>
            </w:tcBorders>
            <w:shd w:val="clear" w:color="000000" w:fill="FCD5B4"/>
            <w:noWrap/>
            <w:vAlign w:val="bottom"/>
            <w:hideMark/>
          </w:tcPr>
          <w:p w14:paraId="1F7FE1A5" w14:textId="77777777" w:rsidR="009A356E" w:rsidRPr="00C10545" w:rsidRDefault="009A356E" w:rsidP="009A356E">
            <w:pPr>
              <w:jc w:val="right"/>
              <w:rPr>
                <w:color w:val="000000"/>
                <w:sz w:val="18"/>
                <w:szCs w:val="18"/>
                <w:lang w:eastAsia="en-AU"/>
              </w:rPr>
            </w:pPr>
            <w:r w:rsidRPr="00C10545">
              <w:rPr>
                <w:color w:val="000000"/>
                <w:sz w:val="18"/>
                <w:szCs w:val="18"/>
                <w:lang w:eastAsia="en-AU"/>
              </w:rPr>
              <w:t>85.5%</w:t>
            </w:r>
          </w:p>
        </w:tc>
        <w:tc>
          <w:tcPr>
            <w:tcW w:w="853" w:type="dxa"/>
            <w:tcBorders>
              <w:top w:val="nil"/>
              <w:left w:val="nil"/>
              <w:bottom w:val="single" w:sz="4" w:space="0" w:color="auto"/>
              <w:right w:val="single" w:sz="4" w:space="0" w:color="auto"/>
            </w:tcBorders>
            <w:shd w:val="clear" w:color="000000" w:fill="FCD5B4"/>
            <w:noWrap/>
            <w:vAlign w:val="bottom"/>
            <w:hideMark/>
          </w:tcPr>
          <w:p w14:paraId="08002C38" w14:textId="77777777" w:rsidR="009A356E" w:rsidRPr="00C10545" w:rsidRDefault="009A356E" w:rsidP="009A356E">
            <w:pPr>
              <w:jc w:val="right"/>
              <w:rPr>
                <w:color w:val="000000"/>
                <w:sz w:val="18"/>
                <w:szCs w:val="18"/>
                <w:lang w:eastAsia="en-AU"/>
              </w:rPr>
            </w:pPr>
            <w:r w:rsidRPr="00C10545">
              <w:rPr>
                <w:color w:val="000000"/>
                <w:sz w:val="18"/>
                <w:szCs w:val="18"/>
                <w:lang w:eastAsia="en-AU"/>
              </w:rPr>
              <w:t>125.8%</w:t>
            </w:r>
          </w:p>
        </w:tc>
        <w:tc>
          <w:tcPr>
            <w:tcW w:w="853" w:type="dxa"/>
            <w:tcBorders>
              <w:top w:val="nil"/>
              <w:left w:val="nil"/>
              <w:bottom w:val="single" w:sz="4" w:space="0" w:color="auto"/>
              <w:right w:val="single" w:sz="4" w:space="0" w:color="auto"/>
            </w:tcBorders>
            <w:shd w:val="clear" w:color="000000" w:fill="FCD5B4"/>
            <w:noWrap/>
            <w:vAlign w:val="bottom"/>
            <w:hideMark/>
          </w:tcPr>
          <w:p w14:paraId="09AD1971" w14:textId="77777777" w:rsidR="009A356E" w:rsidRPr="00C10545" w:rsidRDefault="009A356E" w:rsidP="009A356E">
            <w:pPr>
              <w:jc w:val="right"/>
              <w:rPr>
                <w:color w:val="000000"/>
                <w:sz w:val="18"/>
                <w:szCs w:val="18"/>
                <w:lang w:eastAsia="en-AU"/>
              </w:rPr>
            </w:pPr>
            <w:r w:rsidRPr="00C10545">
              <w:rPr>
                <w:color w:val="000000"/>
                <w:sz w:val="18"/>
                <w:szCs w:val="18"/>
                <w:lang w:eastAsia="en-AU"/>
              </w:rPr>
              <w:t>250.9%</w:t>
            </w:r>
          </w:p>
        </w:tc>
        <w:tc>
          <w:tcPr>
            <w:tcW w:w="853" w:type="dxa"/>
            <w:tcBorders>
              <w:top w:val="nil"/>
              <w:left w:val="nil"/>
              <w:bottom w:val="single" w:sz="4" w:space="0" w:color="auto"/>
              <w:right w:val="single" w:sz="4" w:space="0" w:color="auto"/>
            </w:tcBorders>
            <w:shd w:val="clear" w:color="000000" w:fill="FCD5B4"/>
            <w:noWrap/>
            <w:vAlign w:val="bottom"/>
            <w:hideMark/>
          </w:tcPr>
          <w:p w14:paraId="50B5C743" w14:textId="77777777" w:rsidR="009A356E" w:rsidRPr="00C10545" w:rsidRDefault="009A356E" w:rsidP="009A356E">
            <w:pPr>
              <w:jc w:val="right"/>
              <w:rPr>
                <w:color w:val="000000"/>
                <w:sz w:val="18"/>
                <w:szCs w:val="18"/>
                <w:lang w:eastAsia="en-AU"/>
              </w:rPr>
            </w:pPr>
            <w:r w:rsidRPr="00C10545">
              <w:rPr>
                <w:color w:val="000000"/>
                <w:sz w:val="18"/>
                <w:szCs w:val="18"/>
                <w:lang w:eastAsia="en-AU"/>
              </w:rPr>
              <w:t>174.8%</w:t>
            </w:r>
          </w:p>
        </w:tc>
        <w:tc>
          <w:tcPr>
            <w:tcW w:w="714" w:type="dxa"/>
            <w:tcBorders>
              <w:top w:val="nil"/>
              <w:left w:val="nil"/>
              <w:bottom w:val="single" w:sz="4" w:space="0" w:color="auto"/>
              <w:right w:val="single" w:sz="4" w:space="0" w:color="auto"/>
            </w:tcBorders>
            <w:shd w:val="clear" w:color="000000" w:fill="FCD5B4"/>
            <w:noWrap/>
            <w:vAlign w:val="bottom"/>
            <w:hideMark/>
          </w:tcPr>
          <w:p w14:paraId="68AA2C8E" w14:textId="77777777" w:rsidR="009A356E" w:rsidRPr="00C10545" w:rsidRDefault="009A356E" w:rsidP="009A356E">
            <w:pPr>
              <w:jc w:val="right"/>
              <w:rPr>
                <w:color w:val="000000"/>
                <w:sz w:val="18"/>
                <w:szCs w:val="18"/>
                <w:lang w:eastAsia="en-AU"/>
              </w:rPr>
            </w:pPr>
            <w:r w:rsidRPr="00C10545">
              <w:rPr>
                <w:color w:val="000000"/>
                <w:sz w:val="18"/>
                <w:szCs w:val="18"/>
                <w:lang w:eastAsia="en-AU"/>
              </w:rPr>
              <w:t>81.3%</w:t>
            </w:r>
          </w:p>
        </w:tc>
        <w:tc>
          <w:tcPr>
            <w:tcW w:w="727" w:type="dxa"/>
            <w:tcBorders>
              <w:top w:val="nil"/>
              <w:left w:val="nil"/>
              <w:bottom w:val="single" w:sz="4" w:space="0" w:color="auto"/>
              <w:right w:val="single" w:sz="4" w:space="0" w:color="auto"/>
            </w:tcBorders>
            <w:shd w:val="clear" w:color="auto" w:fill="auto"/>
            <w:noWrap/>
            <w:vAlign w:val="bottom"/>
            <w:hideMark/>
          </w:tcPr>
          <w:p w14:paraId="637C2DE8" w14:textId="77777777" w:rsidR="009A356E" w:rsidRPr="00C10545" w:rsidRDefault="009A356E" w:rsidP="009A356E">
            <w:pPr>
              <w:jc w:val="right"/>
              <w:rPr>
                <w:color w:val="000000"/>
                <w:sz w:val="18"/>
                <w:szCs w:val="18"/>
                <w:lang w:eastAsia="en-AU"/>
              </w:rPr>
            </w:pPr>
            <w:r w:rsidRPr="00C10545">
              <w:rPr>
                <w:color w:val="000000"/>
                <w:sz w:val="18"/>
                <w:szCs w:val="18"/>
                <w:lang w:eastAsia="en-AU"/>
              </w:rPr>
              <w:t>81.3%</w:t>
            </w:r>
          </w:p>
        </w:tc>
        <w:tc>
          <w:tcPr>
            <w:tcW w:w="727" w:type="dxa"/>
            <w:tcBorders>
              <w:top w:val="nil"/>
              <w:left w:val="nil"/>
              <w:bottom w:val="single" w:sz="4" w:space="0" w:color="auto"/>
              <w:right w:val="single" w:sz="4" w:space="0" w:color="auto"/>
            </w:tcBorders>
            <w:shd w:val="clear" w:color="auto" w:fill="auto"/>
            <w:noWrap/>
            <w:vAlign w:val="bottom"/>
            <w:hideMark/>
          </w:tcPr>
          <w:p w14:paraId="2DFA13D2" w14:textId="77777777" w:rsidR="009A356E" w:rsidRPr="00C10545" w:rsidRDefault="009A356E" w:rsidP="009A356E">
            <w:pPr>
              <w:jc w:val="right"/>
              <w:rPr>
                <w:color w:val="000000"/>
                <w:sz w:val="18"/>
                <w:szCs w:val="18"/>
                <w:lang w:eastAsia="en-AU"/>
              </w:rPr>
            </w:pPr>
            <w:r w:rsidRPr="00C10545">
              <w:rPr>
                <w:color w:val="000000"/>
                <w:sz w:val="18"/>
                <w:szCs w:val="18"/>
                <w:lang w:eastAsia="en-AU"/>
              </w:rPr>
              <w:t>99.4%</w:t>
            </w:r>
          </w:p>
        </w:tc>
        <w:tc>
          <w:tcPr>
            <w:tcW w:w="727" w:type="dxa"/>
            <w:tcBorders>
              <w:top w:val="nil"/>
              <w:left w:val="nil"/>
              <w:bottom w:val="single" w:sz="4" w:space="0" w:color="auto"/>
              <w:right w:val="single" w:sz="4" w:space="0" w:color="auto"/>
            </w:tcBorders>
            <w:shd w:val="clear" w:color="auto" w:fill="auto"/>
            <w:noWrap/>
            <w:vAlign w:val="bottom"/>
            <w:hideMark/>
          </w:tcPr>
          <w:p w14:paraId="6DD72066" w14:textId="77777777" w:rsidR="009A356E" w:rsidRPr="00C10545" w:rsidRDefault="009A356E" w:rsidP="009A356E">
            <w:pPr>
              <w:jc w:val="right"/>
              <w:rPr>
                <w:color w:val="000000"/>
                <w:sz w:val="18"/>
                <w:szCs w:val="18"/>
                <w:lang w:eastAsia="en-AU"/>
              </w:rPr>
            </w:pPr>
            <w:r w:rsidRPr="00C10545">
              <w:rPr>
                <w:color w:val="000000"/>
                <w:sz w:val="18"/>
                <w:szCs w:val="18"/>
                <w:lang w:eastAsia="en-AU"/>
              </w:rPr>
              <w:t>94.6%</w:t>
            </w:r>
          </w:p>
        </w:tc>
        <w:tc>
          <w:tcPr>
            <w:tcW w:w="872" w:type="dxa"/>
            <w:tcBorders>
              <w:top w:val="nil"/>
              <w:left w:val="nil"/>
              <w:bottom w:val="single" w:sz="4" w:space="0" w:color="auto"/>
              <w:right w:val="single" w:sz="4" w:space="0" w:color="auto"/>
            </w:tcBorders>
            <w:shd w:val="clear" w:color="auto" w:fill="auto"/>
            <w:noWrap/>
            <w:vAlign w:val="bottom"/>
            <w:hideMark/>
          </w:tcPr>
          <w:p w14:paraId="7102E356" w14:textId="77777777" w:rsidR="009A356E" w:rsidRPr="00C10545" w:rsidRDefault="009A356E" w:rsidP="009A356E">
            <w:pPr>
              <w:jc w:val="right"/>
              <w:rPr>
                <w:color w:val="000000"/>
                <w:sz w:val="18"/>
                <w:szCs w:val="18"/>
                <w:lang w:eastAsia="en-AU"/>
              </w:rPr>
            </w:pPr>
            <w:r w:rsidRPr="00C10545">
              <w:rPr>
                <w:color w:val="000000"/>
                <w:sz w:val="18"/>
                <w:szCs w:val="18"/>
                <w:lang w:eastAsia="en-AU"/>
              </w:rPr>
              <w:t>173.2%</w:t>
            </w:r>
          </w:p>
        </w:tc>
        <w:tc>
          <w:tcPr>
            <w:tcW w:w="727" w:type="dxa"/>
            <w:tcBorders>
              <w:top w:val="nil"/>
              <w:left w:val="nil"/>
              <w:bottom w:val="single" w:sz="4" w:space="0" w:color="auto"/>
              <w:right w:val="single" w:sz="4" w:space="0" w:color="auto"/>
            </w:tcBorders>
            <w:shd w:val="clear" w:color="auto" w:fill="auto"/>
            <w:noWrap/>
            <w:vAlign w:val="bottom"/>
            <w:hideMark/>
          </w:tcPr>
          <w:p w14:paraId="16D844DE" w14:textId="77777777" w:rsidR="009A356E" w:rsidRPr="00C10545" w:rsidRDefault="009A356E" w:rsidP="009A356E">
            <w:pPr>
              <w:jc w:val="right"/>
              <w:rPr>
                <w:color w:val="000000"/>
                <w:sz w:val="18"/>
                <w:szCs w:val="18"/>
                <w:lang w:eastAsia="en-AU"/>
              </w:rPr>
            </w:pPr>
            <w:r w:rsidRPr="00C10545">
              <w:rPr>
                <w:color w:val="000000"/>
                <w:sz w:val="18"/>
                <w:szCs w:val="18"/>
                <w:lang w:eastAsia="en-AU"/>
              </w:rPr>
              <w:t>78.6%</w:t>
            </w:r>
          </w:p>
        </w:tc>
      </w:tr>
      <w:tr w:rsidR="009A356E" w:rsidRPr="00CB3038" w14:paraId="387B3BE7" w14:textId="77777777" w:rsidTr="009A356E">
        <w:trPr>
          <w:trHeight w:val="255"/>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65379BE" w14:textId="77777777" w:rsidR="009A356E" w:rsidRPr="00C10545" w:rsidRDefault="009A356E" w:rsidP="009A356E">
            <w:pPr>
              <w:rPr>
                <w:sz w:val="18"/>
                <w:szCs w:val="18"/>
                <w:lang w:eastAsia="en-AU"/>
              </w:rPr>
            </w:pPr>
            <w:r w:rsidRPr="00C10545">
              <w:rPr>
                <w:sz w:val="18"/>
                <w:szCs w:val="18"/>
                <w:lang w:eastAsia="en-AU"/>
              </w:rPr>
              <w:t>Min</w:t>
            </w:r>
          </w:p>
        </w:tc>
        <w:tc>
          <w:tcPr>
            <w:tcW w:w="714" w:type="dxa"/>
            <w:tcBorders>
              <w:top w:val="nil"/>
              <w:left w:val="nil"/>
              <w:bottom w:val="single" w:sz="4" w:space="0" w:color="auto"/>
              <w:right w:val="single" w:sz="4" w:space="0" w:color="auto"/>
            </w:tcBorders>
            <w:shd w:val="clear" w:color="000000" w:fill="FCD5B4"/>
            <w:noWrap/>
            <w:vAlign w:val="bottom"/>
            <w:hideMark/>
          </w:tcPr>
          <w:p w14:paraId="6B723F52" w14:textId="77777777" w:rsidR="009A356E" w:rsidRPr="00C10545" w:rsidRDefault="009A356E" w:rsidP="009A356E">
            <w:pPr>
              <w:jc w:val="right"/>
              <w:rPr>
                <w:color w:val="000000"/>
                <w:sz w:val="18"/>
                <w:szCs w:val="18"/>
                <w:lang w:eastAsia="en-AU"/>
              </w:rPr>
            </w:pPr>
            <w:r w:rsidRPr="00C10545">
              <w:rPr>
                <w:color w:val="000000"/>
                <w:sz w:val="18"/>
                <w:szCs w:val="18"/>
                <w:lang w:eastAsia="en-AU"/>
              </w:rPr>
              <w:t>49.8%</w:t>
            </w:r>
          </w:p>
        </w:tc>
        <w:tc>
          <w:tcPr>
            <w:tcW w:w="853" w:type="dxa"/>
            <w:tcBorders>
              <w:top w:val="nil"/>
              <w:left w:val="nil"/>
              <w:bottom w:val="single" w:sz="4" w:space="0" w:color="auto"/>
              <w:right w:val="single" w:sz="4" w:space="0" w:color="auto"/>
            </w:tcBorders>
            <w:shd w:val="clear" w:color="000000" w:fill="FCD5B4"/>
            <w:noWrap/>
            <w:vAlign w:val="bottom"/>
            <w:hideMark/>
          </w:tcPr>
          <w:p w14:paraId="18F420B5" w14:textId="77777777" w:rsidR="009A356E" w:rsidRPr="00C10545" w:rsidRDefault="009A356E" w:rsidP="009A356E">
            <w:pPr>
              <w:jc w:val="right"/>
              <w:rPr>
                <w:color w:val="000000"/>
                <w:sz w:val="18"/>
                <w:szCs w:val="18"/>
                <w:lang w:eastAsia="en-AU"/>
              </w:rPr>
            </w:pPr>
            <w:r w:rsidRPr="00C10545">
              <w:rPr>
                <w:color w:val="000000"/>
                <w:sz w:val="18"/>
                <w:szCs w:val="18"/>
                <w:lang w:eastAsia="en-AU"/>
              </w:rPr>
              <w:t>48.0%</w:t>
            </w:r>
          </w:p>
        </w:tc>
        <w:tc>
          <w:tcPr>
            <w:tcW w:w="853" w:type="dxa"/>
            <w:tcBorders>
              <w:top w:val="nil"/>
              <w:left w:val="nil"/>
              <w:bottom w:val="single" w:sz="4" w:space="0" w:color="auto"/>
              <w:right w:val="single" w:sz="4" w:space="0" w:color="auto"/>
            </w:tcBorders>
            <w:shd w:val="clear" w:color="000000" w:fill="FCD5B4"/>
            <w:noWrap/>
            <w:vAlign w:val="bottom"/>
            <w:hideMark/>
          </w:tcPr>
          <w:p w14:paraId="6897733A" w14:textId="77777777" w:rsidR="009A356E" w:rsidRPr="00C10545" w:rsidRDefault="009A356E" w:rsidP="009A356E">
            <w:pPr>
              <w:jc w:val="right"/>
              <w:rPr>
                <w:color w:val="000000"/>
                <w:sz w:val="18"/>
                <w:szCs w:val="18"/>
                <w:lang w:eastAsia="en-AU"/>
              </w:rPr>
            </w:pPr>
            <w:r w:rsidRPr="00C10545">
              <w:rPr>
                <w:color w:val="000000"/>
                <w:sz w:val="18"/>
                <w:szCs w:val="18"/>
                <w:lang w:eastAsia="en-AU"/>
              </w:rPr>
              <w:t>50.8%</w:t>
            </w:r>
          </w:p>
        </w:tc>
        <w:tc>
          <w:tcPr>
            <w:tcW w:w="853" w:type="dxa"/>
            <w:tcBorders>
              <w:top w:val="nil"/>
              <w:left w:val="nil"/>
              <w:bottom w:val="single" w:sz="4" w:space="0" w:color="auto"/>
              <w:right w:val="single" w:sz="4" w:space="0" w:color="auto"/>
            </w:tcBorders>
            <w:shd w:val="clear" w:color="000000" w:fill="FCD5B4"/>
            <w:noWrap/>
            <w:vAlign w:val="bottom"/>
            <w:hideMark/>
          </w:tcPr>
          <w:p w14:paraId="152C701C" w14:textId="77777777" w:rsidR="009A356E" w:rsidRPr="00C10545" w:rsidRDefault="009A356E" w:rsidP="009A356E">
            <w:pPr>
              <w:jc w:val="right"/>
              <w:rPr>
                <w:color w:val="000000"/>
                <w:sz w:val="18"/>
                <w:szCs w:val="18"/>
                <w:lang w:eastAsia="en-AU"/>
              </w:rPr>
            </w:pPr>
            <w:r w:rsidRPr="00C10545">
              <w:rPr>
                <w:color w:val="000000"/>
                <w:sz w:val="18"/>
                <w:szCs w:val="18"/>
                <w:lang w:eastAsia="en-AU"/>
              </w:rPr>
              <w:t>52.2%</w:t>
            </w:r>
          </w:p>
        </w:tc>
        <w:tc>
          <w:tcPr>
            <w:tcW w:w="714" w:type="dxa"/>
            <w:tcBorders>
              <w:top w:val="nil"/>
              <w:left w:val="nil"/>
              <w:bottom w:val="single" w:sz="4" w:space="0" w:color="auto"/>
              <w:right w:val="single" w:sz="4" w:space="0" w:color="auto"/>
            </w:tcBorders>
            <w:shd w:val="clear" w:color="000000" w:fill="FCD5B4"/>
            <w:noWrap/>
            <w:vAlign w:val="bottom"/>
            <w:hideMark/>
          </w:tcPr>
          <w:p w14:paraId="64D59532" w14:textId="77777777" w:rsidR="009A356E" w:rsidRPr="00C10545" w:rsidRDefault="009A356E" w:rsidP="009A356E">
            <w:pPr>
              <w:jc w:val="right"/>
              <w:rPr>
                <w:color w:val="000000"/>
                <w:sz w:val="18"/>
                <w:szCs w:val="18"/>
                <w:lang w:eastAsia="en-AU"/>
              </w:rPr>
            </w:pPr>
            <w:r w:rsidRPr="00C10545">
              <w:rPr>
                <w:color w:val="000000"/>
                <w:sz w:val="18"/>
                <w:szCs w:val="18"/>
                <w:lang w:eastAsia="en-AU"/>
              </w:rPr>
              <w:t>50.6%</w:t>
            </w:r>
          </w:p>
        </w:tc>
        <w:tc>
          <w:tcPr>
            <w:tcW w:w="727" w:type="dxa"/>
            <w:tcBorders>
              <w:top w:val="nil"/>
              <w:left w:val="nil"/>
              <w:bottom w:val="single" w:sz="4" w:space="0" w:color="auto"/>
              <w:right w:val="single" w:sz="4" w:space="0" w:color="auto"/>
            </w:tcBorders>
            <w:shd w:val="clear" w:color="auto" w:fill="auto"/>
            <w:noWrap/>
            <w:vAlign w:val="bottom"/>
            <w:hideMark/>
          </w:tcPr>
          <w:p w14:paraId="70C993C0" w14:textId="77777777" w:rsidR="009A356E" w:rsidRPr="00C10545" w:rsidRDefault="009A356E" w:rsidP="009A356E">
            <w:pPr>
              <w:jc w:val="right"/>
              <w:rPr>
                <w:color w:val="000000"/>
                <w:sz w:val="18"/>
                <w:szCs w:val="18"/>
                <w:lang w:eastAsia="en-AU"/>
              </w:rPr>
            </w:pPr>
            <w:r w:rsidRPr="00C10545">
              <w:rPr>
                <w:color w:val="000000"/>
                <w:sz w:val="18"/>
                <w:szCs w:val="18"/>
                <w:lang w:eastAsia="en-AU"/>
              </w:rPr>
              <w:t>38.7%</w:t>
            </w:r>
          </w:p>
        </w:tc>
        <w:tc>
          <w:tcPr>
            <w:tcW w:w="727" w:type="dxa"/>
            <w:tcBorders>
              <w:top w:val="nil"/>
              <w:left w:val="nil"/>
              <w:bottom w:val="single" w:sz="4" w:space="0" w:color="auto"/>
              <w:right w:val="single" w:sz="4" w:space="0" w:color="auto"/>
            </w:tcBorders>
            <w:shd w:val="clear" w:color="auto" w:fill="auto"/>
            <w:noWrap/>
            <w:vAlign w:val="bottom"/>
            <w:hideMark/>
          </w:tcPr>
          <w:p w14:paraId="00361EDF" w14:textId="77777777" w:rsidR="009A356E" w:rsidRPr="00C10545" w:rsidRDefault="009A356E" w:rsidP="009A356E">
            <w:pPr>
              <w:jc w:val="right"/>
              <w:rPr>
                <w:color w:val="000000"/>
                <w:sz w:val="18"/>
                <w:szCs w:val="18"/>
                <w:lang w:eastAsia="en-AU"/>
              </w:rPr>
            </w:pPr>
            <w:r w:rsidRPr="00C10545">
              <w:rPr>
                <w:color w:val="000000"/>
                <w:sz w:val="18"/>
                <w:szCs w:val="18"/>
                <w:lang w:eastAsia="en-AU"/>
              </w:rPr>
              <w:t>20.0%</w:t>
            </w:r>
          </w:p>
        </w:tc>
        <w:tc>
          <w:tcPr>
            <w:tcW w:w="727" w:type="dxa"/>
            <w:tcBorders>
              <w:top w:val="nil"/>
              <w:left w:val="nil"/>
              <w:bottom w:val="single" w:sz="4" w:space="0" w:color="auto"/>
              <w:right w:val="single" w:sz="4" w:space="0" w:color="auto"/>
            </w:tcBorders>
            <w:shd w:val="clear" w:color="auto" w:fill="auto"/>
            <w:noWrap/>
            <w:vAlign w:val="bottom"/>
            <w:hideMark/>
          </w:tcPr>
          <w:p w14:paraId="374AF6B4" w14:textId="77777777" w:rsidR="009A356E" w:rsidRPr="00C10545" w:rsidRDefault="009A356E" w:rsidP="009A356E">
            <w:pPr>
              <w:jc w:val="right"/>
              <w:rPr>
                <w:color w:val="000000"/>
                <w:sz w:val="18"/>
                <w:szCs w:val="18"/>
                <w:lang w:eastAsia="en-AU"/>
              </w:rPr>
            </w:pPr>
            <w:r w:rsidRPr="00C10545">
              <w:rPr>
                <w:color w:val="000000"/>
                <w:sz w:val="18"/>
                <w:szCs w:val="18"/>
                <w:lang w:eastAsia="en-AU"/>
              </w:rPr>
              <w:t>21.3%</w:t>
            </w:r>
          </w:p>
        </w:tc>
        <w:tc>
          <w:tcPr>
            <w:tcW w:w="872" w:type="dxa"/>
            <w:tcBorders>
              <w:top w:val="nil"/>
              <w:left w:val="nil"/>
              <w:bottom w:val="single" w:sz="4" w:space="0" w:color="auto"/>
              <w:right w:val="single" w:sz="4" w:space="0" w:color="auto"/>
            </w:tcBorders>
            <w:shd w:val="clear" w:color="auto" w:fill="auto"/>
            <w:noWrap/>
            <w:vAlign w:val="bottom"/>
            <w:hideMark/>
          </w:tcPr>
          <w:p w14:paraId="51E718E1" w14:textId="77777777" w:rsidR="009A356E" w:rsidRPr="00C10545" w:rsidRDefault="009A356E" w:rsidP="009A356E">
            <w:pPr>
              <w:jc w:val="right"/>
              <w:rPr>
                <w:color w:val="000000"/>
                <w:sz w:val="18"/>
                <w:szCs w:val="18"/>
                <w:lang w:eastAsia="en-AU"/>
              </w:rPr>
            </w:pPr>
            <w:r w:rsidRPr="00C10545">
              <w:rPr>
                <w:color w:val="000000"/>
                <w:sz w:val="18"/>
                <w:szCs w:val="18"/>
                <w:lang w:eastAsia="en-AU"/>
              </w:rPr>
              <w:t>52.2%</w:t>
            </w:r>
          </w:p>
        </w:tc>
        <w:tc>
          <w:tcPr>
            <w:tcW w:w="727" w:type="dxa"/>
            <w:tcBorders>
              <w:top w:val="nil"/>
              <w:left w:val="nil"/>
              <w:bottom w:val="single" w:sz="4" w:space="0" w:color="auto"/>
              <w:right w:val="single" w:sz="4" w:space="0" w:color="auto"/>
            </w:tcBorders>
            <w:shd w:val="clear" w:color="auto" w:fill="auto"/>
            <w:noWrap/>
            <w:vAlign w:val="bottom"/>
            <w:hideMark/>
          </w:tcPr>
          <w:p w14:paraId="29B24E86" w14:textId="77777777" w:rsidR="009A356E" w:rsidRPr="00C10545" w:rsidRDefault="009A356E" w:rsidP="009A356E">
            <w:pPr>
              <w:jc w:val="right"/>
              <w:rPr>
                <w:color w:val="000000"/>
                <w:sz w:val="18"/>
                <w:szCs w:val="18"/>
                <w:lang w:eastAsia="en-AU"/>
              </w:rPr>
            </w:pPr>
            <w:r w:rsidRPr="00C10545">
              <w:rPr>
                <w:color w:val="000000"/>
                <w:sz w:val="18"/>
                <w:szCs w:val="18"/>
                <w:lang w:eastAsia="en-AU"/>
              </w:rPr>
              <w:t>36.0%</w:t>
            </w:r>
          </w:p>
        </w:tc>
      </w:tr>
    </w:tbl>
    <w:p w14:paraId="6AB5E2DC" w14:textId="039D8BC5" w:rsidR="009A356E" w:rsidRPr="00CB3038" w:rsidRDefault="009A356E" w:rsidP="009A356E">
      <w:pPr>
        <w:rPr>
          <w:rFonts w:ascii="Times New Roman" w:hAnsi="Times New Roman"/>
          <w:sz w:val="18"/>
          <w:szCs w:val="18"/>
        </w:rPr>
      </w:pPr>
      <w:r>
        <w:rPr>
          <w:rFonts w:ascii="Times New Roman" w:hAnsi="Times New Roman"/>
          <w:sz w:val="18"/>
          <w:szCs w:val="18"/>
        </w:rPr>
        <w:t>Note: Councils anonymity provided in survey. Letters denote particular rural and regional councils</w:t>
      </w:r>
    </w:p>
    <w:p w14:paraId="5ECCF8DF" w14:textId="77777777" w:rsidR="009A356E" w:rsidRDefault="009A356E" w:rsidP="009A356E"/>
    <w:p w14:paraId="787472E0" w14:textId="77777777" w:rsidR="009A356E" w:rsidRDefault="009A356E" w:rsidP="009A356E">
      <w:r>
        <w:t>More recent State output prices and estimates of local government cost increases since 2013-14 suggest these ratios were indicative at least until the Commonwealth assumed major responsibility for the HACC program.</w:t>
      </w:r>
    </w:p>
    <w:p w14:paraId="266802D9" w14:textId="77777777" w:rsidR="009A356E" w:rsidRDefault="009A356E" w:rsidP="009A356E"/>
    <w:p w14:paraId="7F4201E4" w14:textId="3C551E45" w:rsidR="009A356E" w:rsidRDefault="009A356E" w:rsidP="00671FD6">
      <w:pPr>
        <w:pStyle w:val="Heading2"/>
      </w:pPr>
      <w:bookmarkStart w:id="17" w:name="_Toc462060568"/>
      <w:bookmarkStart w:id="18" w:name="_Toc462066807"/>
      <w:r w:rsidRPr="00D33B00">
        <w:t>Defined Benefits</w:t>
      </w:r>
      <w:r w:rsidR="003B6397">
        <w:t xml:space="preserve"> </w:t>
      </w:r>
      <w:bookmarkEnd w:id="17"/>
      <w:r w:rsidR="00437C6F">
        <w:t>Superannuation</w:t>
      </w:r>
      <w:bookmarkEnd w:id="18"/>
    </w:p>
    <w:p w14:paraId="734C1A76" w14:textId="77777777" w:rsidR="00671FD6" w:rsidRDefault="00671FD6" w:rsidP="009A356E"/>
    <w:p w14:paraId="224F7779" w14:textId="77777777" w:rsidR="009A356E" w:rsidRPr="00055913" w:rsidRDefault="009A356E" w:rsidP="009A356E">
      <w:r w:rsidRPr="00055913">
        <w:t xml:space="preserve">The sector has an ongoing legacy related to defined benefits superannuation that impacts </w:t>
      </w:r>
      <w:r>
        <w:t xml:space="preserve">adversely </w:t>
      </w:r>
      <w:r w:rsidRPr="00055913">
        <w:t>when market returns are unfavourable.</w:t>
      </w:r>
      <w:r>
        <w:t xml:space="preserve"> </w:t>
      </w:r>
      <w:r w:rsidRPr="00A4109E">
        <w:t>The Local Authorities Superannuation Fund Defined Benefit Plan was closed to new members in 1993, but there are still almost 5</w:t>
      </w:r>
      <w:r>
        <w:t>,</w:t>
      </w:r>
      <w:r w:rsidRPr="00A4109E">
        <w:t>000 people in the workforce who are still contributing to the schem</w:t>
      </w:r>
      <w:r>
        <w:t xml:space="preserve">e. There are also thousands of lifetime pensioners and </w:t>
      </w:r>
      <w:r w:rsidRPr="00A4109E">
        <w:t>defer</w:t>
      </w:r>
      <w:r>
        <w:t xml:space="preserve">red beneficiaries that continue to be entitled to </w:t>
      </w:r>
      <w:r w:rsidRPr="00A4109E">
        <w:t xml:space="preserve">payments from </w:t>
      </w:r>
      <w:r>
        <w:t>the fund</w:t>
      </w:r>
      <w:r w:rsidRPr="00A4109E">
        <w:t>.</w:t>
      </w:r>
    </w:p>
    <w:p w14:paraId="69F545F2" w14:textId="77777777" w:rsidR="00671FD6" w:rsidRPr="00055913" w:rsidRDefault="00671FD6" w:rsidP="009A356E"/>
    <w:p w14:paraId="5DA72928" w14:textId="08831A23" w:rsidR="009A356E" w:rsidRDefault="009A356E" w:rsidP="009A356E">
      <w:r>
        <w:t>Additional calls (including contributions tax) made on councils</w:t>
      </w:r>
      <w:r>
        <w:rPr>
          <w:rStyle w:val="FootnoteReference"/>
        </w:rPr>
        <w:footnoteReference w:id="3"/>
      </w:r>
      <w:r>
        <w:t xml:space="preserve"> have included $358m in 1997, $127m </w:t>
      </w:r>
      <w:r w:rsidRPr="004A6B20">
        <w:t xml:space="preserve">in 2003 and </w:t>
      </w:r>
      <w:r>
        <w:t xml:space="preserve">most recently a massive </w:t>
      </w:r>
      <w:r w:rsidRPr="00D33B00">
        <w:t xml:space="preserve">$463m </w:t>
      </w:r>
      <w:r>
        <w:t xml:space="preserve">in 2013.The impost is </w:t>
      </w:r>
      <w:r>
        <w:lastRenderedPageBreak/>
        <w:t>considerable, impacting councils differently with the age of workforces being a major consideration and impacts relatively more severe for rural councils because of employment longevity. Rural and regional councils accounted for the top quarter of councils in terms of the size of the additional call relative to their rates revenue with the vast majority of these being rural councils.</w:t>
      </w:r>
    </w:p>
    <w:p w14:paraId="70E2D951" w14:textId="288E78E9" w:rsidR="009A356E" w:rsidRDefault="009A356E" w:rsidP="009A356E">
      <w:pPr>
        <w:rPr>
          <w:b/>
          <w:sz w:val="20"/>
        </w:rPr>
      </w:pPr>
    </w:p>
    <w:p w14:paraId="49B7E6F2" w14:textId="77777777" w:rsidR="009A356E" w:rsidRPr="00F61A21" w:rsidRDefault="009A356E" w:rsidP="009A356E">
      <w:pPr>
        <w:rPr>
          <w:b/>
          <w:sz w:val="20"/>
        </w:rPr>
      </w:pPr>
      <w:r w:rsidRPr="00F61A21">
        <w:rPr>
          <w:b/>
          <w:sz w:val="20"/>
        </w:rPr>
        <w:t>Table</w:t>
      </w:r>
      <w:r>
        <w:rPr>
          <w:b/>
          <w:sz w:val="20"/>
        </w:rPr>
        <w:t xml:space="preserve"> 16</w:t>
      </w:r>
      <w:r w:rsidRPr="00F61A21">
        <w:rPr>
          <w:b/>
          <w:sz w:val="20"/>
        </w:rPr>
        <w:t xml:space="preserve">: Defined Benefits Call </w:t>
      </w:r>
      <w:r>
        <w:rPr>
          <w:b/>
          <w:sz w:val="20"/>
        </w:rPr>
        <w:t xml:space="preserve">(DBC) </w:t>
      </w:r>
      <w:r w:rsidRPr="00F61A21">
        <w:rPr>
          <w:b/>
          <w:sz w:val="20"/>
        </w:rPr>
        <w:t xml:space="preserve">in 2012 as % Rates 2012-13 </w:t>
      </w:r>
      <w:r>
        <w:rPr>
          <w:b/>
          <w:sz w:val="20"/>
        </w:rPr>
        <w:t xml:space="preserve">and Average Assets Renewal Spending </w:t>
      </w:r>
      <w:r w:rsidRPr="00F61A21">
        <w:rPr>
          <w:b/>
          <w:sz w:val="20"/>
        </w:rPr>
        <w:t xml:space="preserve">– Rural and Regional Councils </w:t>
      </w:r>
    </w:p>
    <w:tbl>
      <w:tblPr>
        <w:tblW w:w="5000" w:type="pct"/>
        <w:tblLook w:val="04A0" w:firstRow="1" w:lastRow="0" w:firstColumn="1" w:lastColumn="0" w:noHBand="0" w:noVBand="1"/>
      </w:tblPr>
      <w:tblGrid>
        <w:gridCol w:w="1949"/>
        <w:gridCol w:w="928"/>
        <w:gridCol w:w="904"/>
        <w:gridCol w:w="882"/>
        <w:gridCol w:w="952"/>
        <w:gridCol w:w="882"/>
        <w:gridCol w:w="1017"/>
        <w:gridCol w:w="1015"/>
      </w:tblGrid>
      <w:tr w:rsidR="009A356E" w:rsidRPr="00453D75" w14:paraId="72F9B8E3" w14:textId="77777777" w:rsidTr="009A356E">
        <w:trPr>
          <w:trHeight w:val="1620"/>
          <w:tblHeader/>
        </w:trPr>
        <w:tc>
          <w:tcPr>
            <w:tcW w:w="1143" w:type="pct"/>
            <w:tcBorders>
              <w:top w:val="single" w:sz="4" w:space="0" w:color="auto"/>
              <w:left w:val="single" w:sz="4" w:space="0" w:color="auto"/>
              <w:bottom w:val="single" w:sz="4" w:space="0" w:color="auto"/>
              <w:right w:val="single" w:sz="4" w:space="0" w:color="auto"/>
            </w:tcBorders>
            <w:shd w:val="clear" w:color="000000" w:fill="000000"/>
            <w:vAlign w:val="bottom"/>
            <w:hideMark/>
          </w:tcPr>
          <w:p w14:paraId="2F23A8C2" w14:textId="77777777" w:rsidR="009A356E" w:rsidRPr="00C10545" w:rsidRDefault="009A356E" w:rsidP="009A356E">
            <w:pPr>
              <w:rPr>
                <w:b/>
                <w:bCs/>
                <w:sz w:val="18"/>
                <w:szCs w:val="18"/>
                <w:lang w:eastAsia="en-AU"/>
              </w:rPr>
            </w:pPr>
            <w:r w:rsidRPr="00C10545">
              <w:rPr>
                <w:b/>
                <w:bCs/>
                <w:sz w:val="18"/>
                <w:szCs w:val="18"/>
                <w:lang w:eastAsia="en-AU"/>
              </w:rPr>
              <w:t> </w:t>
            </w:r>
          </w:p>
        </w:tc>
        <w:tc>
          <w:tcPr>
            <w:tcW w:w="544" w:type="pct"/>
            <w:tcBorders>
              <w:top w:val="single" w:sz="4" w:space="0" w:color="auto"/>
              <w:left w:val="nil"/>
              <w:bottom w:val="single" w:sz="4" w:space="0" w:color="auto"/>
              <w:right w:val="single" w:sz="4" w:space="0" w:color="auto"/>
            </w:tcBorders>
            <w:shd w:val="clear" w:color="auto" w:fill="auto"/>
            <w:vAlign w:val="bottom"/>
            <w:hideMark/>
          </w:tcPr>
          <w:p w14:paraId="060DE1F6" w14:textId="77777777" w:rsidR="009A356E" w:rsidRPr="00C10545" w:rsidRDefault="009A356E" w:rsidP="009A356E">
            <w:pPr>
              <w:jc w:val="center"/>
              <w:rPr>
                <w:b/>
                <w:bCs/>
                <w:color w:val="000000"/>
                <w:sz w:val="18"/>
                <w:szCs w:val="18"/>
                <w:lang w:eastAsia="en-AU"/>
              </w:rPr>
            </w:pPr>
            <w:r w:rsidRPr="00C10545">
              <w:rPr>
                <w:b/>
                <w:bCs/>
                <w:color w:val="000000"/>
                <w:sz w:val="18"/>
                <w:szCs w:val="18"/>
                <w:lang w:eastAsia="en-AU"/>
              </w:rPr>
              <w:t>DBC 2012 ($m)</w:t>
            </w:r>
          </w:p>
        </w:tc>
        <w:tc>
          <w:tcPr>
            <w:tcW w:w="530" w:type="pct"/>
            <w:tcBorders>
              <w:top w:val="single" w:sz="4" w:space="0" w:color="auto"/>
              <w:left w:val="nil"/>
              <w:bottom w:val="single" w:sz="4" w:space="0" w:color="auto"/>
              <w:right w:val="single" w:sz="4" w:space="0" w:color="auto"/>
            </w:tcBorders>
            <w:shd w:val="clear" w:color="auto" w:fill="auto"/>
            <w:vAlign w:val="bottom"/>
            <w:hideMark/>
          </w:tcPr>
          <w:p w14:paraId="5DA258C8" w14:textId="77777777" w:rsidR="009A356E" w:rsidRPr="00C10545" w:rsidRDefault="009A356E" w:rsidP="009A356E">
            <w:pPr>
              <w:jc w:val="center"/>
              <w:rPr>
                <w:b/>
                <w:bCs/>
                <w:color w:val="000000"/>
                <w:sz w:val="18"/>
                <w:szCs w:val="18"/>
                <w:lang w:eastAsia="en-AU"/>
              </w:rPr>
            </w:pPr>
            <w:r w:rsidRPr="00C10545">
              <w:rPr>
                <w:b/>
                <w:bCs/>
                <w:color w:val="000000"/>
                <w:sz w:val="18"/>
                <w:szCs w:val="18"/>
                <w:lang w:eastAsia="en-AU"/>
              </w:rPr>
              <w:t>Rates 2012-13 ($m)</w:t>
            </w:r>
          </w:p>
        </w:tc>
        <w:tc>
          <w:tcPr>
            <w:tcW w:w="517" w:type="pct"/>
            <w:tcBorders>
              <w:top w:val="single" w:sz="4" w:space="0" w:color="auto"/>
              <w:left w:val="nil"/>
              <w:bottom w:val="single" w:sz="4" w:space="0" w:color="auto"/>
              <w:right w:val="single" w:sz="4" w:space="0" w:color="auto"/>
            </w:tcBorders>
            <w:shd w:val="clear" w:color="auto" w:fill="auto"/>
            <w:vAlign w:val="bottom"/>
            <w:hideMark/>
          </w:tcPr>
          <w:p w14:paraId="3834D643" w14:textId="77777777" w:rsidR="009A356E" w:rsidRPr="00C10545" w:rsidRDefault="009A356E" w:rsidP="009A356E">
            <w:pPr>
              <w:jc w:val="center"/>
              <w:rPr>
                <w:b/>
                <w:bCs/>
                <w:color w:val="000000"/>
                <w:sz w:val="18"/>
                <w:szCs w:val="18"/>
                <w:lang w:eastAsia="en-AU"/>
              </w:rPr>
            </w:pPr>
            <w:r w:rsidRPr="00C10545">
              <w:rPr>
                <w:b/>
                <w:bCs/>
                <w:color w:val="000000"/>
                <w:sz w:val="18"/>
                <w:szCs w:val="18"/>
                <w:lang w:eastAsia="en-AU"/>
              </w:rPr>
              <w:t>DBC as % Rates 2012-13</w:t>
            </w:r>
          </w:p>
        </w:tc>
        <w:tc>
          <w:tcPr>
            <w:tcW w:w="558" w:type="pct"/>
            <w:tcBorders>
              <w:top w:val="single" w:sz="4" w:space="0" w:color="auto"/>
              <w:left w:val="nil"/>
              <w:bottom w:val="single" w:sz="4" w:space="0" w:color="auto"/>
              <w:right w:val="single" w:sz="4" w:space="0" w:color="auto"/>
            </w:tcBorders>
            <w:shd w:val="clear" w:color="auto" w:fill="auto"/>
            <w:vAlign w:val="bottom"/>
            <w:hideMark/>
          </w:tcPr>
          <w:p w14:paraId="5E0C8781" w14:textId="77777777" w:rsidR="009A356E" w:rsidRPr="00C10545" w:rsidRDefault="009A356E" w:rsidP="009A356E">
            <w:pPr>
              <w:jc w:val="center"/>
              <w:rPr>
                <w:b/>
                <w:bCs/>
                <w:color w:val="000000"/>
                <w:sz w:val="18"/>
                <w:szCs w:val="18"/>
                <w:lang w:eastAsia="en-AU"/>
              </w:rPr>
            </w:pPr>
            <w:r w:rsidRPr="00C10545">
              <w:rPr>
                <w:b/>
                <w:bCs/>
                <w:color w:val="000000"/>
                <w:sz w:val="18"/>
                <w:szCs w:val="18"/>
                <w:lang w:eastAsia="en-AU"/>
              </w:rPr>
              <w:t>DBC as % Rates 3 Years</w:t>
            </w:r>
          </w:p>
        </w:tc>
        <w:tc>
          <w:tcPr>
            <w:tcW w:w="517" w:type="pct"/>
            <w:tcBorders>
              <w:top w:val="single" w:sz="4" w:space="0" w:color="auto"/>
              <w:left w:val="nil"/>
              <w:bottom w:val="single" w:sz="4" w:space="0" w:color="auto"/>
              <w:right w:val="single" w:sz="4" w:space="0" w:color="auto"/>
            </w:tcBorders>
            <w:shd w:val="clear" w:color="auto" w:fill="auto"/>
            <w:vAlign w:val="bottom"/>
            <w:hideMark/>
          </w:tcPr>
          <w:p w14:paraId="21B73E6D" w14:textId="77777777" w:rsidR="009A356E" w:rsidRPr="00C10545" w:rsidRDefault="009A356E" w:rsidP="009A356E">
            <w:pPr>
              <w:jc w:val="center"/>
              <w:rPr>
                <w:b/>
                <w:bCs/>
                <w:color w:val="000000"/>
                <w:sz w:val="18"/>
                <w:szCs w:val="18"/>
                <w:lang w:eastAsia="en-AU"/>
              </w:rPr>
            </w:pPr>
            <w:r w:rsidRPr="00C10545">
              <w:rPr>
                <w:b/>
                <w:bCs/>
                <w:color w:val="000000"/>
                <w:sz w:val="18"/>
                <w:szCs w:val="18"/>
                <w:lang w:eastAsia="en-AU"/>
              </w:rPr>
              <w:t>DBC as % Rates 5 Years</w:t>
            </w:r>
          </w:p>
        </w:tc>
        <w:tc>
          <w:tcPr>
            <w:tcW w:w="596" w:type="pct"/>
            <w:tcBorders>
              <w:top w:val="single" w:sz="4" w:space="0" w:color="auto"/>
              <w:left w:val="nil"/>
              <w:bottom w:val="single" w:sz="4" w:space="0" w:color="auto"/>
              <w:right w:val="single" w:sz="4" w:space="0" w:color="auto"/>
            </w:tcBorders>
            <w:shd w:val="clear" w:color="auto" w:fill="auto"/>
            <w:vAlign w:val="bottom"/>
            <w:hideMark/>
          </w:tcPr>
          <w:p w14:paraId="0DE297EB" w14:textId="1CCA8765" w:rsidR="009A356E" w:rsidRPr="00C10545" w:rsidRDefault="009A356E" w:rsidP="009A356E">
            <w:pPr>
              <w:jc w:val="center"/>
              <w:rPr>
                <w:b/>
                <w:bCs/>
                <w:color w:val="000000"/>
                <w:sz w:val="18"/>
                <w:szCs w:val="18"/>
                <w:lang w:eastAsia="en-AU"/>
              </w:rPr>
            </w:pPr>
            <w:r w:rsidRPr="00C10545">
              <w:rPr>
                <w:b/>
                <w:bCs/>
                <w:color w:val="000000"/>
                <w:sz w:val="18"/>
                <w:szCs w:val="18"/>
                <w:lang w:eastAsia="en-AU"/>
              </w:rPr>
              <w:t>Capital Renewal Average Annual 5 Years to 2012-13 ($m)</w:t>
            </w:r>
          </w:p>
        </w:tc>
        <w:tc>
          <w:tcPr>
            <w:tcW w:w="596" w:type="pct"/>
            <w:tcBorders>
              <w:top w:val="single" w:sz="4" w:space="0" w:color="auto"/>
              <w:left w:val="nil"/>
              <w:bottom w:val="single" w:sz="4" w:space="0" w:color="auto"/>
              <w:right w:val="single" w:sz="4" w:space="0" w:color="auto"/>
            </w:tcBorders>
            <w:shd w:val="clear" w:color="auto" w:fill="auto"/>
            <w:vAlign w:val="bottom"/>
            <w:hideMark/>
          </w:tcPr>
          <w:p w14:paraId="48EACE50" w14:textId="77777777" w:rsidR="009A356E" w:rsidRPr="00C10545" w:rsidRDefault="009A356E" w:rsidP="009A356E">
            <w:pPr>
              <w:jc w:val="center"/>
              <w:rPr>
                <w:b/>
                <w:bCs/>
                <w:color w:val="000000"/>
                <w:sz w:val="18"/>
                <w:szCs w:val="18"/>
                <w:lang w:eastAsia="en-AU"/>
              </w:rPr>
            </w:pPr>
            <w:r w:rsidRPr="00C10545">
              <w:rPr>
                <w:b/>
                <w:bCs/>
                <w:color w:val="000000"/>
                <w:sz w:val="18"/>
                <w:szCs w:val="18"/>
                <w:lang w:eastAsia="en-AU"/>
              </w:rPr>
              <w:t>DBC as % Average Annual Renewal</w:t>
            </w:r>
          </w:p>
        </w:tc>
      </w:tr>
      <w:tr w:rsidR="009A356E" w:rsidRPr="00453D75" w14:paraId="7F5275AF" w14:textId="77777777" w:rsidTr="009A356E">
        <w:trPr>
          <w:trHeight w:val="240"/>
        </w:trPr>
        <w:tc>
          <w:tcPr>
            <w:tcW w:w="1143" w:type="pct"/>
            <w:tcBorders>
              <w:top w:val="nil"/>
              <w:left w:val="single" w:sz="4" w:space="0" w:color="auto"/>
              <w:bottom w:val="single" w:sz="4" w:space="0" w:color="auto"/>
              <w:right w:val="single" w:sz="4" w:space="0" w:color="auto"/>
            </w:tcBorders>
            <w:shd w:val="clear" w:color="auto" w:fill="auto"/>
            <w:noWrap/>
            <w:vAlign w:val="bottom"/>
            <w:hideMark/>
          </w:tcPr>
          <w:p w14:paraId="7136D6E5" w14:textId="77777777" w:rsidR="009A356E" w:rsidRPr="00C10545" w:rsidRDefault="009A356E" w:rsidP="009A356E">
            <w:pPr>
              <w:rPr>
                <w:sz w:val="18"/>
                <w:szCs w:val="18"/>
                <w:lang w:eastAsia="en-AU"/>
              </w:rPr>
            </w:pPr>
            <w:r w:rsidRPr="00C10545">
              <w:rPr>
                <w:sz w:val="18"/>
                <w:szCs w:val="18"/>
                <w:lang w:eastAsia="en-AU"/>
              </w:rPr>
              <w:t>Loddon</w:t>
            </w:r>
          </w:p>
        </w:tc>
        <w:tc>
          <w:tcPr>
            <w:tcW w:w="544" w:type="pct"/>
            <w:tcBorders>
              <w:top w:val="nil"/>
              <w:left w:val="nil"/>
              <w:bottom w:val="single" w:sz="4" w:space="0" w:color="auto"/>
              <w:right w:val="single" w:sz="4" w:space="0" w:color="auto"/>
            </w:tcBorders>
            <w:shd w:val="clear" w:color="auto" w:fill="auto"/>
            <w:noWrap/>
            <w:vAlign w:val="bottom"/>
            <w:hideMark/>
          </w:tcPr>
          <w:p w14:paraId="5FDF07C0" w14:textId="182443F5" w:rsidR="009A356E" w:rsidRPr="00C10545" w:rsidRDefault="009A356E" w:rsidP="009A356E">
            <w:pPr>
              <w:jc w:val="center"/>
              <w:rPr>
                <w:color w:val="000000"/>
                <w:sz w:val="18"/>
                <w:szCs w:val="18"/>
                <w:lang w:eastAsia="en-AU"/>
              </w:rPr>
            </w:pPr>
            <w:r w:rsidRPr="00C10545">
              <w:rPr>
                <w:color w:val="000000"/>
                <w:sz w:val="18"/>
                <w:szCs w:val="18"/>
                <w:lang w:eastAsia="en-AU"/>
              </w:rPr>
              <w:t xml:space="preserve">2.1 </w:t>
            </w:r>
          </w:p>
        </w:tc>
        <w:tc>
          <w:tcPr>
            <w:tcW w:w="530" w:type="pct"/>
            <w:tcBorders>
              <w:top w:val="nil"/>
              <w:left w:val="nil"/>
              <w:bottom w:val="single" w:sz="4" w:space="0" w:color="auto"/>
              <w:right w:val="single" w:sz="4" w:space="0" w:color="auto"/>
            </w:tcBorders>
            <w:shd w:val="clear" w:color="auto" w:fill="auto"/>
            <w:noWrap/>
            <w:vAlign w:val="bottom"/>
            <w:hideMark/>
          </w:tcPr>
          <w:p w14:paraId="0A3934A2" w14:textId="3131A31D" w:rsidR="009A356E" w:rsidRPr="00C10545" w:rsidRDefault="009A356E" w:rsidP="009A356E">
            <w:pPr>
              <w:jc w:val="center"/>
              <w:rPr>
                <w:color w:val="000000"/>
                <w:sz w:val="18"/>
                <w:szCs w:val="18"/>
                <w:lang w:eastAsia="en-AU"/>
              </w:rPr>
            </w:pPr>
            <w:r w:rsidRPr="00C10545">
              <w:rPr>
                <w:color w:val="000000"/>
                <w:sz w:val="18"/>
                <w:szCs w:val="18"/>
                <w:lang w:eastAsia="en-AU"/>
              </w:rPr>
              <w:t xml:space="preserve"> 8.2 </w:t>
            </w:r>
          </w:p>
        </w:tc>
        <w:tc>
          <w:tcPr>
            <w:tcW w:w="517" w:type="pct"/>
            <w:tcBorders>
              <w:top w:val="nil"/>
              <w:left w:val="nil"/>
              <w:bottom w:val="single" w:sz="4" w:space="0" w:color="auto"/>
              <w:right w:val="single" w:sz="4" w:space="0" w:color="auto"/>
            </w:tcBorders>
            <w:shd w:val="clear" w:color="auto" w:fill="auto"/>
            <w:noWrap/>
            <w:vAlign w:val="bottom"/>
            <w:hideMark/>
          </w:tcPr>
          <w:p w14:paraId="4FA4E332" w14:textId="77777777" w:rsidR="009A356E" w:rsidRPr="00C10545" w:rsidRDefault="009A356E" w:rsidP="009A356E">
            <w:pPr>
              <w:jc w:val="center"/>
              <w:rPr>
                <w:color w:val="000000"/>
                <w:sz w:val="18"/>
                <w:szCs w:val="18"/>
                <w:lang w:eastAsia="en-AU"/>
              </w:rPr>
            </w:pPr>
            <w:r w:rsidRPr="00C10545">
              <w:rPr>
                <w:color w:val="000000"/>
                <w:sz w:val="18"/>
                <w:szCs w:val="18"/>
                <w:lang w:eastAsia="en-AU"/>
              </w:rPr>
              <w:t>25.3%</w:t>
            </w:r>
          </w:p>
        </w:tc>
        <w:tc>
          <w:tcPr>
            <w:tcW w:w="558" w:type="pct"/>
            <w:tcBorders>
              <w:top w:val="nil"/>
              <w:left w:val="nil"/>
              <w:bottom w:val="single" w:sz="4" w:space="0" w:color="auto"/>
              <w:right w:val="single" w:sz="4" w:space="0" w:color="auto"/>
            </w:tcBorders>
            <w:shd w:val="clear" w:color="auto" w:fill="auto"/>
            <w:noWrap/>
            <w:vAlign w:val="bottom"/>
            <w:hideMark/>
          </w:tcPr>
          <w:p w14:paraId="03ACE5C9" w14:textId="77777777" w:rsidR="009A356E" w:rsidRPr="00C10545" w:rsidRDefault="009A356E" w:rsidP="009A356E">
            <w:pPr>
              <w:jc w:val="center"/>
              <w:rPr>
                <w:color w:val="000000"/>
                <w:sz w:val="18"/>
                <w:szCs w:val="18"/>
                <w:lang w:eastAsia="en-AU"/>
              </w:rPr>
            </w:pPr>
            <w:r w:rsidRPr="00C10545">
              <w:rPr>
                <w:color w:val="000000"/>
                <w:sz w:val="18"/>
                <w:szCs w:val="18"/>
                <w:lang w:eastAsia="en-AU"/>
              </w:rPr>
              <w:t>7.9%</w:t>
            </w:r>
          </w:p>
        </w:tc>
        <w:tc>
          <w:tcPr>
            <w:tcW w:w="517" w:type="pct"/>
            <w:tcBorders>
              <w:top w:val="nil"/>
              <w:left w:val="nil"/>
              <w:bottom w:val="single" w:sz="4" w:space="0" w:color="auto"/>
              <w:right w:val="single" w:sz="4" w:space="0" w:color="auto"/>
            </w:tcBorders>
            <w:shd w:val="clear" w:color="auto" w:fill="auto"/>
            <w:noWrap/>
            <w:vAlign w:val="bottom"/>
            <w:hideMark/>
          </w:tcPr>
          <w:p w14:paraId="1AF803B9" w14:textId="77777777" w:rsidR="009A356E" w:rsidRPr="00C10545" w:rsidRDefault="009A356E" w:rsidP="009A356E">
            <w:pPr>
              <w:jc w:val="center"/>
              <w:rPr>
                <w:color w:val="000000"/>
                <w:sz w:val="18"/>
                <w:szCs w:val="18"/>
                <w:lang w:eastAsia="en-AU"/>
              </w:rPr>
            </w:pPr>
            <w:r w:rsidRPr="00C10545">
              <w:rPr>
                <w:color w:val="000000"/>
                <w:sz w:val="18"/>
                <w:szCs w:val="18"/>
                <w:lang w:eastAsia="en-AU"/>
              </w:rPr>
              <w:t>4.5%</w:t>
            </w:r>
          </w:p>
        </w:tc>
        <w:tc>
          <w:tcPr>
            <w:tcW w:w="596" w:type="pct"/>
            <w:tcBorders>
              <w:top w:val="nil"/>
              <w:left w:val="nil"/>
              <w:bottom w:val="single" w:sz="4" w:space="0" w:color="auto"/>
              <w:right w:val="single" w:sz="4" w:space="0" w:color="auto"/>
            </w:tcBorders>
            <w:shd w:val="clear" w:color="auto" w:fill="auto"/>
            <w:noWrap/>
            <w:vAlign w:val="bottom"/>
            <w:hideMark/>
          </w:tcPr>
          <w:p w14:paraId="37B3906C" w14:textId="1223066C" w:rsidR="009A356E" w:rsidRPr="00C10545" w:rsidRDefault="009A356E" w:rsidP="009A356E">
            <w:pPr>
              <w:jc w:val="center"/>
              <w:rPr>
                <w:color w:val="000000"/>
                <w:sz w:val="18"/>
                <w:szCs w:val="18"/>
                <w:lang w:eastAsia="en-AU"/>
              </w:rPr>
            </w:pPr>
            <w:r w:rsidRPr="00C10545">
              <w:rPr>
                <w:color w:val="000000"/>
                <w:sz w:val="18"/>
                <w:szCs w:val="18"/>
                <w:lang w:eastAsia="en-AU"/>
              </w:rPr>
              <w:t xml:space="preserve"> 5.6 </w:t>
            </w:r>
          </w:p>
        </w:tc>
        <w:tc>
          <w:tcPr>
            <w:tcW w:w="596" w:type="pct"/>
            <w:tcBorders>
              <w:top w:val="nil"/>
              <w:left w:val="nil"/>
              <w:bottom w:val="single" w:sz="4" w:space="0" w:color="auto"/>
              <w:right w:val="single" w:sz="4" w:space="0" w:color="auto"/>
            </w:tcBorders>
            <w:shd w:val="clear" w:color="auto" w:fill="auto"/>
            <w:noWrap/>
            <w:vAlign w:val="bottom"/>
            <w:hideMark/>
          </w:tcPr>
          <w:p w14:paraId="7EB84C42" w14:textId="77777777" w:rsidR="009A356E" w:rsidRPr="00C10545" w:rsidRDefault="009A356E" w:rsidP="009A356E">
            <w:pPr>
              <w:jc w:val="right"/>
              <w:rPr>
                <w:color w:val="000000"/>
                <w:sz w:val="18"/>
                <w:szCs w:val="18"/>
                <w:lang w:eastAsia="en-AU"/>
              </w:rPr>
            </w:pPr>
            <w:r w:rsidRPr="00C10545">
              <w:rPr>
                <w:color w:val="000000"/>
                <w:sz w:val="18"/>
                <w:szCs w:val="18"/>
                <w:lang w:eastAsia="en-AU"/>
              </w:rPr>
              <w:t>37%</w:t>
            </w:r>
          </w:p>
        </w:tc>
      </w:tr>
      <w:tr w:rsidR="009A356E" w:rsidRPr="00453D75" w14:paraId="3DA5F7BC" w14:textId="77777777" w:rsidTr="009A356E">
        <w:trPr>
          <w:trHeight w:val="240"/>
        </w:trPr>
        <w:tc>
          <w:tcPr>
            <w:tcW w:w="1143" w:type="pct"/>
            <w:tcBorders>
              <w:top w:val="nil"/>
              <w:left w:val="single" w:sz="4" w:space="0" w:color="auto"/>
              <w:bottom w:val="single" w:sz="4" w:space="0" w:color="auto"/>
              <w:right w:val="single" w:sz="4" w:space="0" w:color="auto"/>
            </w:tcBorders>
            <w:shd w:val="clear" w:color="auto" w:fill="auto"/>
            <w:noWrap/>
            <w:vAlign w:val="bottom"/>
            <w:hideMark/>
          </w:tcPr>
          <w:p w14:paraId="1979C891" w14:textId="77777777" w:rsidR="009A356E" w:rsidRPr="00C10545" w:rsidRDefault="009A356E" w:rsidP="009A356E">
            <w:pPr>
              <w:rPr>
                <w:sz w:val="18"/>
                <w:szCs w:val="18"/>
                <w:lang w:eastAsia="en-AU"/>
              </w:rPr>
            </w:pPr>
            <w:r w:rsidRPr="00C10545">
              <w:rPr>
                <w:sz w:val="18"/>
                <w:szCs w:val="18"/>
                <w:lang w:eastAsia="en-AU"/>
              </w:rPr>
              <w:t>Pyrenees</w:t>
            </w:r>
          </w:p>
        </w:tc>
        <w:tc>
          <w:tcPr>
            <w:tcW w:w="544" w:type="pct"/>
            <w:tcBorders>
              <w:top w:val="nil"/>
              <w:left w:val="nil"/>
              <w:bottom w:val="single" w:sz="4" w:space="0" w:color="auto"/>
              <w:right w:val="single" w:sz="4" w:space="0" w:color="auto"/>
            </w:tcBorders>
            <w:shd w:val="clear" w:color="auto" w:fill="auto"/>
            <w:noWrap/>
            <w:vAlign w:val="bottom"/>
            <w:hideMark/>
          </w:tcPr>
          <w:p w14:paraId="70101E3E" w14:textId="717F15D7" w:rsidR="009A356E" w:rsidRPr="00C10545" w:rsidRDefault="009A356E" w:rsidP="009A356E">
            <w:pPr>
              <w:jc w:val="center"/>
              <w:rPr>
                <w:color w:val="000000"/>
                <w:sz w:val="18"/>
                <w:szCs w:val="18"/>
                <w:lang w:eastAsia="en-AU"/>
              </w:rPr>
            </w:pPr>
            <w:r w:rsidRPr="00C10545">
              <w:rPr>
                <w:color w:val="000000"/>
                <w:sz w:val="18"/>
                <w:szCs w:val="18"/>
                <w:lang w:eastAsia="en-AU"/>
              </w:rPr>
              <w:t xml:space="preserve">1.8 </w:t>
            </w:r>
          </w:p>
        </w:tc>
        <w:tc>
          <w:tcPr>
            <w:tcW w:w="530" w:type="pct"/>
            <w:tcBorders>
              <w:top w:val="nil"/>
              <w:left w:val="nil"/>
              <w:bottom w:val="single" w:sz="4" w:space="0" w:color="auto"/>
              <w:right w:val="single" w:sz="4" w:space="0" w:color="auto"/>
            </w:tcBorders>
            <w:shd w:val="clear" w:color="auto" w:fill="auto"/>
            <w:noWrap/>
            <w:vAlign w:val="bottom"/>
            <w:hideMark/>
          </w:tcPr>
          <w:p w14:paraId="356519E0" w14:textId="7586465C" w:rsidR="009A356E" w:rsidRPr="00C10545" w:rsidRDefault="009A356E" w:rsidP="009A356E">
            <w:pPr>
              <w:jc w:val="center"/>
              <w:rPr>
                <w:color w:val="000000"/>
                <w:sz w:val="18"/>
                <w:szCs w:val="18"/>
                <w:lang w:eastAsia="en-AU"/>
              </w:rPr>
            </w:pPr>
            <w:r w:rsidRPr="00C10545">
              <w:rPr>
                <w:color w:val="000000"/>
                <w:sz w:val="18"/>
                <w:szCs w:val="18"/>
                <w:lang w:eastAsia="en-AU"/>
              </w:rPr>
              <w:t xml:space="preserve"> 7.3 </w:t>
            </w:r>
          </w:p>
        </w:tc>
        <w:tc>
          <w:tcPr>
            <w:tcW w:w="517" w:type="pct"/>
            <w:tcBorders>
              <w:top w:val="nil"/>
              <w:left w:val="nil"/>
              <w:bottom w:val="single" w:sz="4" w:space="0" w:color="auto"/>
              <w:right w:val="single" w:sz="4" w:space="0" w:color="auto"/>
            </w:tcBorders>
            <w:shd w:val="clear" w:color="auto" w:fill="auto"/>
            <w:noWrap/>
            <w:vAlign w:val="bottom"/>
            <w:hideMark/>
          </w:tcPr>
          <w:p w14:paraId="029E68B1" w14:textId="77777777" w:rsidR="009A356E" w:rsidRPr="00C10545" w:rsidRDefault="009A356E" w:rsidP="009A356E">
            <w:pPr>
              <w:jc w:val="center"/>
              <w:rPr>
                <w:color w:val="000000"/>
                <w:sz w:val="18"/>
                <w:szCs w:val="18"/>
                <w:lang w:eastAsia="en-AU"/>
              </w:rPr>
            </w:pPr>
            <w:r w:rsidRPr="00C10545">
              <w:rPr>
                <w:color w:val="000000"/>
                <w:sz w:val="18"/>
                <w:szCs w:val="18"/>
                <w:lang w:eastAsia="en-AU"/>
              </w:rPr>
              <w:t>25.3%</w:t>
            </w:r>
          </w:p>
        </w:tc>
        <w:tc>
          <w:tcPr>
            <w:tcW w:w="558" w:type="pct"/>
            <w:tcBorders>
              <w:top w:val="nil"/>
              <w:left w:val="nil"/>
              <w:bottom w:val="single" w:sz="4" w:space="0" w:color="auto"/>
              <w:right w:val="single" w:sz="4" w:space="0" w:color="auto"/>
            </w:tcBorders>
            <w:shd w:val="clear" w:color="auto" w:fill="auto"/>
            <w:noWrap/>
            <w:vAlign w:val="bottom"/>
            <w:hideMark/>
          </w:tcPr>
          <w:p w14:paraId="1222F844" w14:textId="77777777" w:rsidR="009A356E" w:rsidRPr="00C10545" w:rsidRDefault="009A356E" w:rsidP="009A356E">
            <w:pPr>
              <w:jc w:val="center"/>
              <w:rPr>
                <w:color w:val="000000"/>
                <w:sz w:val="18"/>
                <w:szCs w:val="18"/>
                <w:lang w:eastAsia="en-AU"/>
              </w:rPr>
            </w:pPr>
            <w:r w:rsidRPr="00C10545">
              <w:rPr>
                <w:color w:val="000000"/>
                <w:sz w:val="18"/>
                <w:szCs w:val="18"/>
                <w:lang w:eastAsia="en-AU"/>
              </w:rPr>
              <w:t>8.0%</w:t>
            </w:r>
          </w:p>
        </w:tc>
        <w:tc>
          <w:tcPr>
            <w:tcW w:w="517" w:type="pct"/>
            <w:tcBorders>
              <w:top w:val="nil"/>
              <w:left w:val="nil"/>
              <w:bottom w:val="single" w:sz="4" w:space="0" w:color="auto"/>
              <w:right w:val="single" w:sz="4" w:space="0" w:color="auto"/>
            </w:tcBorders>
            <w:shd w:val="clear" w:color="auto" w:fill="auto"/>
            <w:noWrap/>
            <w:vAlign w:val="bottom"/>
            <w:hideMark/>
          </w:tcPr>
          <w:p w14:paraId="629AF164" w14:textId="77777777" w:rsidR="009A356E" w:rsidRPr="00C10545" w:rsidRDefault="009A356E" w:rsidP="009A356E">
            <w:pPr>
              <w:jc w:val="center"/>
              <w:rPr>
                <w:color w:val="000000"/>
                <w:sz w:val="18"/>
                <w:szCs w:val="18"/>
                <w:lang w:eastAsia="en-AU"/>
              </w:rPr>
            </w:pPr>
            <w:r w:rsidRPr="00C10545">
              <w:rPr>
                <w:color w:val="000000"/>
                <w:sz w:val="18"/>
                <w:szCs w:val="18"/>
                <w:lang w:eastAsia="en-AU"/>
              </w:rPr>
              <w:t>4.5%</w:t>
            </w:r>
          </w:p>
        </w:tc>
        <w:tc>
          <w:tcPr>
            <w:tcW w:w="596" w:type="pct"/>
            <w:tcBorders>
              <w:top w:val="nil"/>
              <w:left w:val="nil"/>
              <w:bottom w:val="single" w:sz="4" w:space="0" w:color="auto"/>
              <w:right w:val="single" w:sz="4" w:space="0" w:color="auto"/>
            </w:tcBorders>
            <w:shd w:val="clear" w:color="auto" w:fill="auto"/>
            <w:noWrap/>
            <w:vAlign w:val="bottom"/>
            <w:hideMark/>
          </w:tcPr>
          <w:p w14:paraId="6D2B6C02" w14:textId="13C6D76D" w:rsidR="009A356E" w:rsidRPr="00C10545" w:rsidRDefault="009A356E" w:rsidP="009A356E">
            <w:pPr>
              <w:jc w:val="center"/>
              <w:rPr>
                <w:color w:val="000000"/>
                <w:sz w:val="18"/>
                <w:szCs w:val="18"/>
                <w:lang w:eastAsia="en-AU"/>
              </w:rPr>
            </w:pPr>
            <w:r w:rsidRPr="00C10545">
              <w:rPr>
                <w:color w:val="000000"/>
                <w:sz w:val="18"/>
                <w:szCs w:val="18"/>
                <w:lang w:eastAsia="en-AU"/>
              </w:rPr>
              <w:t xml:space="preserve"> 3.0 </w:t>
            </w:r>
          </w:p>
        </w:tc>
        <w:tc>
          <w:tcPr>
            <w:tcW w:w="596" w:type="pct"/>
            <w:tcBorders>
              <w:top w:val="nil"/>
              <w:left w:val="nil"/>
              <w:bottom w:val="single" w:sz="4" w:space="0" w:color="auto"/>
              <w:right w:val="single" w:sz="4" w:space="0" w:color="auto"/>
            </w:tcBorders>
            <w:shd w:val="clear" w:color="auto" w:fill="auto"/>
            <w:noWrap/>
            <w:vAlign w:val="bottom"/>
            <w:hideMark/>
          </w:tcPr>
          <w:p w14:paraId="35DB6B09" w14:textId="77777777" w:rsidR="009A356E" w:rsidRPr="00C10545" w:rsidRDefault="009A356E" w:rsidP="009A356E">
            <w:pPr>
              <w:jc w:val="right"/>
              <w:rPr>
                <w:color w:val="000000"/>
                <w:sz w:val="18"/>
                <w:szCs w:val="18"/>
                <w:lang w:eastAsia="en-AU"/>
              </w:rPr>
            </w:pPr>
            <w:r w:rsidRPr="00C10545">
              <w:rPr>
                <w:color w:val="000000"/>
                <w:sz w:val="18"/>
                <w:szCs w:val="18"/>
                <w:lang w:eastAsia="en-AU"/>
              </w:rPr>
              <w:t>62%</w:t>
            </w:r>
          </w:p>
        </w:tc>
      </w:tr>
      <w:tr w:rsidR="009A356E" w:rsidRPr="00453D75" w14:paraId="33917C60" w14:textId="77777777" w:rsidTr="009A356E">
        <w:trPr>
          <w:trHeight w:val="240"/>
        </w:trPr>
        <w:tc>
          <w:tcPr>
            <w:tcW w:w="1143" w:type="pct"/>
            <w:tcBorders>
              <w:top w:val="nil"/>
              <w:left w:val="single" w:sz="4" w:space="0" w:color="auto"/>
              <w:bottom w:val="single" w:sz="4" w:space="0" w:color="auto"/>
              <w:right w:val="single" w:sz="4" w:space="0" w:color="auto"/>
            </w:tcBorders>
            <w:shd w:val="clear" w:color="auto" w:fill="auto"/>
            <w:noWrap/>
            <w:vAlign w:val="bottom"/>
            <w:hideMark/>
          </w:tcPr>
          <w:p w14:paraId="231DBB5E" w14:textId="77777777" w:rsidR="009A356E" w:rsidRPr="00C10545" w:rsidRDefault="009A356E" w:rsidP="009A356E">
            <w:pPr>
              <w:rPr>
                <w:sz w:val="18"/>
                <w:szCs w:val="18"/>
                <w:lang w:eastAsia="en-AU"/>
              </w:rPr>
            </w:pPr>
            <w:r w:rsidRPr="00C10545">
              <w:rPr>
                <w:sz w:val="18"/>
                <w:szCs w:val="18"/>
                <w:lang w:eastAsia="en-AU"/>
              </w:rPr>
              <w:t>Glenelg</w:t>
            </w:r>
          </w:p>
        </w:tc>
        <w:tc>
          <w:tcPr>
            <w:tcW w:w="544" w:type="pct"/>
            <w:tcBorders>
              <w:top w:val="nil"/>
              <w:left w:val="nil"/>
              <w:bottom w:val="single" w:sz="4" w:space="0" w:color="auto"/>
              <w:right w:val="single" w:sz="4" w:space="0" w:color="auto"/>
            </w:tcBorders>
            <w:shd w:val="clear" w:color="auto" w:fill="auto"/>
            <w:noWrap/>
            <w:vAlign w:val="bottom"/>
            <w:hideMark/>
          </w:tcPr>
          <w:p w14:paraId="46A9D758" w14:textId="603A83A8" w:rsidR="009A356E" w:rsidRPr="00C10545" w:rsidRDefault="009A356E" w:rsidP="009A356E">
            <w:pPr>
              <w:jc w:val="center"/>
              <w:rPr>
                <w:color w:val="000000"/>
                <w:sz w:val="18"/>
                <w:szCs w:val="18"/>
                <w:lang w:eastAsia="en-AU"/>
              </w:rPr>
            </w:pPr>
            <w:r w:rsidRPr="00C10545">
              <w:rPr>
                <w:color w:val="000000"/>
                <w:sz w:val="18"/>
                <w:szCs w:val="18"/>
                <w:lang w:eastAsia="en-AU"/>
              </w:rPr>
              <w:t xml:space="preserve">4.1 </w:t>
            </w:r>
          </w:p>
        </w:tc>
        <w:tc>
          <w:tcPr>
            <w:tcW w:w="530" w:type="pct"/>
            <w:tcBorders>
              <w:top w:val="nil"/>
              <w:left w:val="nil"/>
              <w:bottom w:val="single" w:sz="4" w:space="0" w:color="auto"/>
              <w:right w:val="single" w:sz="4" w:space="0" w:color="auto"/>
            </w:tcBorders>
            <w:shd w:val="clear" w:color="auto" w:fill="auto"/>
            <w:noWrap/>
            <w:vAlign w:val="bottom"/>
            <w:hideMark/>
          </w:tcPr>
          <w:p w14:paraId="7CB72EC5" w14:textId="72D3FEB6" w:rsidR="009A356E" w:rsidRPr="00C10545" w:rsidRDefault="009A356E" w:rsidP="009A356E">
            <w:pPr>
              <w:jc w:val="center"/>
              <w:rPr>
                <w:color w:val="000000"/>
                <w:sz w:val="18"/>
                <w:szCs w:val="18"/>
                <w:lang w:eastAsia="en-AU"/>
              </w:rPr>
            </w:pPr>
            <w:r w:rsidRPr="00C10545">
              <w:rPr>
                <w:color w:val="000000"/>
                <w:sz w:val="18"/>
                <w:szCs w:val="18"/>
                <w:lang w:eastAsia="en-AU"/>
              </w:rPr>
              <w:t xml:space="preserve"> 17.6 </w:t>
            </w:r>
          </w:p>
        </w:tc>
        <w:tc>
          <w:tcPr>
            <w:tcW w:w="517" w:type="pct"/>
            <w:tcBorders>
              <w:top w:val="nil"/>
              <w:left w:val="nil"/>
              <w:bottom w:val="single" w:sz="4" w:space="0" w:color="auto"/>
              <w:right w:val="single" w:sz="4" w:space="0" w:color="auto"/>
            </w:tcBorders>
            <w:shd w:val="clear" w:color="auto" w:fill="auto"/>
            <w:noWrap/>
            <w:vAlign w:val="bottom"/>
            <w:hideMark/>
          </w:tcPr>
          <w:p w14:paraId="1A8A39AC" w14:textId="77777777" w:rsidR="009A356E" w:rsidRPr="00C10545" w:rsidRDefault="009A356E" w:rsidP="009A356E">
            <w:pPr>
              <w:jc w:val="center"/>
              <w:rPr>
                <w:color w:val="000000"/>
                <w:sz w:val="18"/>
                <w:szCs w:val="18"/>
                <w:lang w:eastAsia="en-AU"/>
              </w:rPr>
            </w:pPr>
            <w:r w:rsidRPr="00C10545">
              <w:rPr>
                <w:color w:val="000000"/>
                <w:sz w:val="18"/>
                <w:szCs w:val="18"/>
                <w:lang w:eastAsia="en-AU"/>
              </w:rPr>
              <w:t>23.0%</w:t>
            </w:r>
          </w:p>
        </w:tc>
        <w:tc>
          <w:tcPr>
            <w:tcW w:w="558" w:type="pct"/>
            <w:tcBorders>
              <w:top w:val="nil"/>
              <w:left w:val="nil"/>
              <w:bottom w:val="single" w:sz="4" w:space="0" w:color="auto"/>
              <w:right w:val="single" w:sz="4" w:space="0" w:color="auto"/>
            </w:tcBorders>
            <w:shd w:val="clear" w:color="auto" w:fill="auto"/>
            <w:noWrap/>
            <w:vAlign w:val="bottom"/>
            <w:hideMark/>
          </w:tcPr>
          <w:p w14:paraId="43D349EF" w14:textId="77777777" w:rsidR="009A356E" w:rsidRPr="00C10545" w:rsidRDefault="009A356E" w:rsidP="009A356E">
            <w:pPr>
              <w:jc w:val="center"/>
              <w:rPr>
                <w:color w:val="000000"/>
                <w:sz w:val="18"/>
                <w:szCs w:val="18"/>
                <w:lang w:eastAsia="en-AU"/>
              </w:rPr>
            </w:pPr>
            <w:r w:rsidRPr="00C10545">
              <w:rPr>
                <w:color w:val="000000"/>
                <w:sz w:val="18"/>
                <w:szCs w:val="18"/>
                <w:lang w:eastAsia="en-AU"/>
              </w:rPr>
              <w:t>6.1%</w:t>
            </w:r>
          </w:p>
        </w:tc>
        <w:tc>
          <w:tcPr>
            <w:tcW w:w="517" w:type="pct"/>
            <w:tcBorders>
              <w:top w:val="nil"/>
              <w:left w:val="nil"/>
              <w:bottom w:val="single" w:sz="4" w:space="0" w:color="auto"/>
              <w:right w:val="single" w:sz="4" w:space="0" w:color="auto"/>
            </w:tcBorders>
            <w:shd w:val="clear" w:color="auto" w:fill="auto"/>
            <w:noWrap/>
            <w:vAlign w:val="bottom"/>
            <w:hideMark/>
          </w:tcPr>
          <w:p w14:paraId="1BC8367C" w14:textId="77777777" w:rsidR="009A356E" w:rsidRPr="00C10545" w:rsidRDefault="009A356E" w:rsidP="009A356E">
            <w:pPr>
              <w:jc w:val="center"/>
              <w:rPr>
                <w:color w:val="000000"/>
                <w:sz w:val="18"/>
                <w:szCs w:val="18"/>
                <w:lang w:eastAsia="en-AU"/>
              </w:rPr>
            </w:pPr>
            <w:r w:rsidRPr="00C10545">
              <w:rPr>
                <w:color w:val="000000"/>
                <w:sz w:val="18"/>
                <w:szCs w:val="18"/>
                <w:lang w:eastAsia="en-AU"/>
              </w:rPr>
              <w:t>3.2%</w:t>
            </w:r>
          </w:p>
        </w:tc>
        <w:tc>
          <w:tcPr>
            <w:tcW w:w="596" w:type="pct"/>
            <w:tcBorders>
              <w:top w:val="nil"/>
              <w:left w:val="nil"/>
              <w:bottom w:val="single" w:sz="4" w:space="0" w:color="auto"/>
              <w:right w:val="single" w:sz="4" w:space="0" w:color="auto"/>
            </w:tcBorders>
            <w:shd w:val="clear" w:color="auto" w:fill="auto"/>
            <w:noWrap/>
            <w:vAlign w:val="bottom"/>
            <w:hideMark/>
          </w:tcPr>
          <w:p w14:paraId="6ADEF2A9" w14:textId="0517AA71" w:rsidR="009A356E" w:rsidRPr="00C10545" w:rsidRDefault="009A356E" w:rsidP="009A356E">
            <w:pPr>
              <w:jc w:val="center"/>
              <w:rPr>
                <w:color w:val="000000"/>
                <w:sz w:val="18"/>
                <w:szCs w:val="18"/>
                <w:lang w:eastAsia="en-AU"/>
              </w:rPr>
            </w:pPr>
            <w:r w:rsidRPr="00C10545">
              <w:rPr>
                <w:color w:val="000000"/>
                <w:sz w:val="18"/>
                <w:szCs w:val="18"/>
                <w:lang w:eastAsia="en-AU"/>
              </w:rPr>
              <w:t xml:space="preserve"> 5.1 </w:t>
            </w:r>
          </w:p>
        </w:tc>
        <w:tc>
          <w:tcPr>
            <w:tcW w:w="596" w:type="pct"/>
            <w:tcBorders>
              <w:top w:val="nil"/>
              <w:left w:val="nil"/>
              <w:bottom w:val="single" w:sz="4" w:space="0" w:color="auto"/>
              <w:right w:val="single" w:sz="4" w:space="0" w:color="auto"/>
            </w:tcBorders>
            <w:shd w:val="clear" w:color="auto" w:fill="auto"/>
            <w:noWrap/>
            <w:vAlign w:val="bottom"/>
            <w:hideMark/>
          </w:tcPr>
          <w:p w14:paraId="06101F68" w14:textId="77777777" w:rsidR="009A356E" w:rsidRPr="00C10545" w:rsidRDefault="009A356E" w:rsidP="009A356E">
            <w:pPr>
              <w:jc w:val="right"/>
              <w:rPr>
                <w:color w:val="000000"/>
                <w:sz w:val="18"/>
                <w:szCs w:val="18"/>
                <w:lang w:eastAsia="en-AU"/>
              </w:rPr>
            </w:pPr>
            <w:r w:rsidRPr="00C10545">
              <w:rPr>
                <w:color w:val="000000"/>
                <w:sz w:val="18"/>
                <w:szCs w:val="18"/>
                <w:lang w:eastAsia="en-AU"/>
              </w:rPr>
              <w:t>80%</w:t>
            </w:r>
          </w:p>
        </w:tc>
      </w:tr>
      <w:tr w:rsidR="009A356E" w:rsidRPr="00453D75" w14:paraId="7ADC6C44" w14:textId="77777777" w:rsidTr="009A356E">
        <w:trPr>
          <w:trHeight w:val="240"/>
        </w:trPr>
        <w:tc>
          <w:tcPr>
            <w:tcW w:w="1143" w:type="pct"/>
            <w:tcBorders>
              <w:top w:val="nil"/>
              <w:left w:val="single" w:sz="4" w:space="0" w:color="auto"/>
              <w:bottom w:val="single" w:sz="4" w:space="0" w:color="auto"/>
              <w:right w:val="single" w:sz="4" w:space="0" w:color="auto"/>
            </w:tcBorders>
            <w:shd w:val="clear" w:color="auto" w:fill="auto"/>
            <w:noWrap/>
            <w:vAlign w:val="bottom"/>
            <w:hideMark/>
          </w:tcPr>
          <w:p w14:paraId="6F5D2D10" w14:textId="77777777" w:rsidR="009A356E" w:rsidRPr="00C10545" w:rsidRDefault="009A356E" w:rsidP="009A356E">
            <w:pPr>
              <w:rPr>
                <w:sz w:val="18"/>
                <w:szCs w:val="18"/>
                <w:lang w:eastAsia="en-AU"/>
              </w:rPr>
            </w:pPr>
            <w:proofErr w:type="spellStart"/>
            <w:r w:rsidRPr="00C10545">
              <w:rPr>
                <w:sz w:val="18"/>
                <w:szCs w:val="18"/>
                <w:lang w:eastAsia="en-AU"/>
              </w:rPr>
              <w:t>Yarriambiack</w:t>
            </w:r>
            <w:proofErr w:type="spellEnd"/>
          </w:p>
        </w:tc>
        <w:tc>
          <w:tcPr>
            <w:tcW w:w="544" w:type="pct"/>
            <w:tcBorders>
              <w:top w:val="nil"/>
              <w:left w:val="nil"/>
              <w:bottom w:val="single" w:sz="4" w:space="0" w:color="auto"/>
              <w:right w:val="single" w:sz="4" w:space="0" w:color="auto"/>
            </w:tcBorders>
            <w:shd w:val="clear" w:color="auto" w:fill="auto"/>
            <w:noWrap/>
            <w:vAlign w:val="bottom"/>
            <w:hideMark/>
          </w:tcPr>
          <w:p w14:paraId="6496B5DF" w14:textId="3DA7EAB3" w:rsidR="009A356E" w:rsidRPr="00C10545" w:rsidRDefault="009A356E" w:rsidP="009A356E">
            <w:pPr>
              <w:jc w:val="center"/>
              <w:rPr>
                <w:color w:val="000000"/>
                <w:sz w:val="18"/>
                <w:szCs w:val="18"/>
                <w:lang w:eastAsia="en-AU"/>
              </w:rPr>
            </w:pPr>
            <w:r w:rsidRPr="00C10545">
              <w:rPr>
                <w:color w:val="000000"/>
                <w:sz w:val="18"/>
                <w:szCs w:val="18"/>
                <w:lang w:eastAsia="en-AU"/>
              </w:rPr>
              <w:t xml:space="preserve">2.1 </w:t>
            </w:r>
          </w:p>
        </w:tc>
        <w:tc>
          <w:tcPr>
            <w:tcW w:w="530" w:type="pct"/>
            <w:tcBorders>
              <w:top w:val="nil"/>
              <w:left w:val="nil"/>
              <w:bottom w:val="single" w:sz="4" w:space="0" w:color="auto"/>
              <w:right w:val="single" w:sz="4" w:space="0" w:color="auto"/>
            </w:tcBorders>
            <w:shd w:val="clear" w:color="auto" w:fill="auto"/>
            <w:noWrap/>
            <w:vAlign w:val="bottom"/>
            <w:hideMark/>
          </w:tcPr>
          <w:p w14:paraId="04CC1DFB" w14:textId="61C26CF0" w:rsidR="009A356E" w:rsidRPr="00C10545" w:rsidRDefault="009A356E" w:rsidP="009A356E">
            <w:pPr>
              <w:jc w:val="center"/>
              <w:rPr>
                <w:color w:val="000000"/>
                <w:sz w:val="18"/>
                <w:szCs w:val="18"/>
                <w:lang w:eastAsia="en-AU"/>
              </w:rPr>
            </w:pPr>
            <w:r w:rsidRPr="00C10545">
              <w:rPr>
                <w:color w:val="000000"/>
                <w:sz w:val="18"/>
                <w:szCs w:val="18"/>
                <w:lang w:eastAsia="en-AU"/>
              </w:rPr>
              <w:t xml:space="preserve"> 9.5 </w:t>
            </w:r>
          </w:p>
        </w:tc>
        <w:tc>
          <w:tcPr>
            <w:tcW w:w="517" w:type="pct"/>
            <w:tcBorders>
              <w:top w:val="nil"/>
              <w:left w:val="nil"/>
              <w:bottom w:val="single" w:sz="4" w:space="0" w:color="auto"/>
              <w:right w:val="single" w:sz="4" w:space="0" w:color="auto"/>
            </w:tcBorders>
            <w:shd w:val="clear" w:color="auto" w:fill="auto"/>
            <w:noWrap/>
            <w:vAlign w:val="bottom"/>
            <w:hideMark/>
          </w:tcPr>
          <w:p w14:paraId="25A6E43A" w14:textId="77777777" w:rsidR="009A356E" w:rsidRPr="00C10545" w:rsidRDefault="009A356E" w:rsidP="009A356E">
            <w:pPr>
              <w:jc w:val="center"/>
              <w:rPr>
                <w:color w:val="000000"/>
                <w:sz w:val="18"/>
                <w:szCs w:val="18"/>
                <w:lang w:eastAsia="en-AU"/>
              </w:rPr>
            </w:pPr>
            <w:r w:rsidRPr="00C10545">
              <w:rPr>
                <w:color w:val="000000"/>
                <w:sz w:val="18"/>
                <w:szCs w:val="18"/>
                <w:lang w:eastAsia="en-AU"/>
              </w:rPr>
              <w:t>22.2%</w:t>
            </w:r>
          </w:p>
        </w:tc>
        <w:tc>
          <w:tcPr>
            <w:tcW w:w="558" w:type="pct"/>
            <w:tcBorders>
              <w:top w:val="nil"/>
              <w:left w:val="nil"/>
              <w:bottom w:val="single" w:sz="4" w:space="0" w:color="auto"/>
              <w:right w:val="single" w:sz="4" w:space="0" w:color="auto"/>
            </w:tcBorders>
            <w:shd w:val="clear" w:color="auto" w:fill="auto"/>
            <w:noWrap/>
            <w:vAlign w:val="bottom"/>
            <w:hideMark/>
          </w:tcPr>
          <w:p w14:paraId="0E8E47D6" w14:textId="77777777" w:rsidR="009A356E" w:rsidRPr="00C10545" w:rsidRDefault="009A356E" w:rsidP="009A356E">
            <w:pPr>
              <w:jc w:val="center"/>
              <w:rPr>
                <w:color w:val="000000"/>
                <w:sz w:val="18"/>
                <w:szCs w:val="18"/>
                <w:lang w:eastAsia="en-AU"/>
              </w:rPr>
            </w:pPr>
            <w:r w:rsidRPr="00C10545">
              <w:rPr>
                <w:color w:val="000000"/>
                <w:sz w:val="18"/>
                <w:szCs w:val="18"/>
                <w:lang w:eastAsia="en-AU"/>
              </w:rPr>
              <w:t>6.9%</w:t>
            </w:r>
          </w:p>
        </w:tc>
        <w:tc>
          <w:tcPr>
            <w:tcW w:w="517" w:type="pct"/>
            <w:tcBorders>
              <w:top w:val="nil"/>
              <w:left w:val="nil"/>
              <w:bottom w:val="single" w:sz="4" w:space="0" w:color="auto"/>
              <w:right w:val="single" w:sz="4" w:space="0" w:color="auto"/>
            </w:tcBorders>
            <w:shd w:val="clear" w:color="auto" w:fill="auto"/>
            <w:noWrap/>
            <w:vAlign w:val="bottom"/>
            <w:hideMark/>
          </w:tcPr>
          <w:p w14:paraId="03668A27" w14:textId="77777777" w:rsidR="009A356E" w:rsidRPr="00C10545" w:rsidRDefault="009A356E" w:rsidP="009A356E">
            <w:pPr>
              <w:jc w:val="center"/>
              <w:rPr>
                <w:color w:val="000000"/>
                <w:sz w:val="18"/>
                <w:szCs w:val="18"/>
                <w:lang w:eastAsia="en-AU"/>
              </w:rPr>
            </w:pPr>
            <w:r w:rsidRPr="00C10545">
              <w:rPr>
                <w:color w:val="000000"/>
                <w:sz w:val="18"/>
                <w:szCs w:val="18"/>
                <w:lang w:eastAsia="en-AU"/>
              </w:rPr>
              <w:t>3.9%</w:t>
            </w:r>
          </w:p>
        </w:tc>
        <w:tc>
          <w:tcPr>
            <w:tcW w:w="596" w:type="pct"/>
            <w:tcBorders>
              <w:top w:val="nil"/>
              <w:left w:val="nil"/>
              <w:bottom w:val="single" w:sz="4" w:space="0" w:color="auto"/>
              <w:right w:val="single" w:sz="4" w:space="0" w:color="auto"/>
            </w:tcBorders>
            <w:shd w:val="clear" w:color="auto" w:fill="auto"/>
            <w:noWrap/>
            <w:vAlign w:val="bottom"/>
            <w:hideMark/>
          </w:tcPr>
          <w:p w14:paraId="0FCEB07F" w14:textId="7CCBA8AE" w:rsidR="009A356E" w:rsidRPr="00C10545" w:rsidRDefault="009A356E" w:rsidP="009A356E">
            <w:pPr>
              <w:jc w:val="center"/>
              <w:rPr>
                <w:color w:val="000000"/>
                <w:sz w:val="18"/>
                <w:szCs w:val="18"/>
                <w:lang w:eastAsia="en-AU"/>
              </w:rPr>
            </w:pPr>
            <w:r w:rsidRPr="00C10545">
              <w:rPr>
                <w:color w:val="000000"/>
                <w:sz w:val="18"/>
                <w:szCs w:val="18"/>
                <w:lang w:eastAsia="en-AU"/>
              </w:rPr>
              <w:t xml:space="preserve"> 4.2 </w:t>
            </w:r>
          </w:p>
        </w:tc>
        <w:tc>
          <w:tcPr>
            <w:tcW w:w="596" w:type="pct"/>
            <w:tcBorders>
              <w:top w:val="nil"/>
              <w:left w:val="nil"/>
              <w:bottom w:val="single" w:sz="4" w:space="0" w:color="auto"/>
              <w:right w:val="single" w:sz="4" w:space="0" w:color="auto"/>
            </w:tcBorders>
            <w:shd w:val="clear" w:color="auto" w:fill="auto"/>
            <w:noWrap/>
            <w:vAlign w:val="bottom"/>
            <w:hideMark/>
          </w:tcPr>
          <w:p w14:paraId="07559FB4" w14:textId="77777777" w:rsidR="009A356E" w:rsidRPr="00C10545" w:rsidRDefault="009A356E" w:rsidP="009A356E">
            <w:pPr>
              <w:jc w:val="right"/>
              <w:rPr>
                <w:color w:val="000000"/>
                <w:sz w:val="18"/>
                <w:szCs w:val="18"/>
                <w:lang w:eastAsia="en-AU"/>
              </w:rPr>
            </w:pPr>
            <w:r w:rsidRPr="00C10545">
              <w:rPr>
                <w:color w:val="000000"/>
                <w:sz w:val="18"/>
                <w:szCs w:val="18"/>
                <w:lang w:eastAsia="en-AU"/>
              </w:rPr>
              <w:t>50%</w:t>
            </w:r>
          </w:p>
        </w:tc>
      </w:tr>
      <w:tr w:rsidR="009A356E" w:rsidRPr="00453D75" w14:paraId="73152D68" w14:textId="77777777" w:rsidTr="009A356E">
        <w:trPr>
          <w:trHeight w:val="240"/>
        </w:trPr>
        <w:tc>
          <w:tcPr>
            <w:tcW w:w="1143" w:type="pct"/>
            <w:tcBorders>
              <w:top w:val="nil"/>
              <w:left w:val="single" w:sz="4" w:space="0" w:color="auto"/>
              <w:bottom w:val="single" w:sz="4" w:space="0" w:color="auto"/>
              <w:right w:val="single" w:sz="4" w:space="0" w:color="auto"/>
            </w:tcBorders>
            <w:shd w:val="clear" w:color="auto" w:fill="auto"/>
            <w:noWrap/>
            <w:vAlign w:val="bottom"/>
            <w:hideMark/>
          </w:tcPr>
          <w:p w14:paraId="75326F86" w14:textId="77777777" w:rsidR="009A356E" w:rsidRPr="00C10545" w:rsidRDefault="009A356E" w:rsidP="009A356E">
            <w:pPr>
              <w:rPr>
                <w:sz w:val="18"/>
                <w:szCs w:val="18"/>
                <w:lang w:eastAsia="en-AU"/>
              </w:rPr>
            </w:pPr>
            <w:r w:rsidRPr="00C10545">
              <w:rPr>
                <w:sz w:val="18"/>
                <w:szCs w:val="18"/>
                <w:lang w:eastAsia="en-AU"/>
              </w:rPr>
              <w:t>West Wimmera</w:t>
            </w:r>
          </w:p>
        </w:tc>
        <w:tc>
          <w:tcPr>
            <w:tcW w:w="544" w:type="pct"/>
            <w:tcBorders>
              <w:top w:val="nil"/>
              <w:left w:val="nil"/>
              <w:bottom w:val="single" w:sz="4" w:space="0" w:color="auto"/>
              <w:right w:val="single" w:sz="4" w:space="0" w:color="auto"/>
            </w:tcBorders>
            <w:shd w:val="clear" w:color="auto" w:fill="auto"/>
            <w:noWrap/>
            <w:vAlign w:val="bottom"/>
            <w:hideMark/>
          </w:tcPr>
          <w:p w14:paraId="2AED6D6E" w14:textId="7621CE54" w:rsidR="009A356E" w:rsidRPr="00C10545" w:rsidRDefault="009A356E" w:rsidP="009A356E">
            <w:pPr>
              <w:jc w:val="center"/>
              <w:rPr>
                <w:color w:val="000000"/>
                <w:sz w:val="18"/>
                <w:szCs w:val="18"/>
                <w:lang w:eastAsia="en-AU"/>
              </w:rPr>
            </w:pPr>
            <w:r w:rsidRPr="00C10545">
              <w:rPr>
                <w:color w:val="000000"/>
                <w:sz w:val="18"/>
                <w:szCs w:val="18"/>
                <w:lang w:eastAsia="en-AU"/>
              </w:rPr>
              <w:t xml:space="preserve">1.2 </w:t>
            </w:r>
          </w:p>
        </w:tc>
        <w:tc>
          <w:tcPr>
            <w:tcW w:w="530" w:type="pct"/>
            <w:tcBorders>
              <w:top w:val="nil"/>
              <w:left w:val="nil"/>
              <w:bottom w:val="single" w:sz="4" w:space="0" w:color="auto"/>
              <w:right w:val="single" w:sz="4" w:space="0" w:color="auto"/>
            </w:tcBorders>
            <w:shd w:val="clear" w:color="auto" w:fill="auto"/>
            <w:noWrap/>
            <w:vAlign w:val="bottom"/>
            <w:hideMark/>
          </w:tcPr>
          <w:p w14:paraId="718BD147" w14:textId="476DFB51" w:rsidR="009A356E" w:rsidRPr="00C10545" w:rsidRDefault="009A356E" w:rsidP="009A356E">
            <w:pPr>
              <w:jc w:val="center"/>
              <w:rPr>
                <w:color w:val="000000"/>
                <w:sz w:val="18"/>
                <w:szCs w:val="18"/>
                <w:lang w:eastAsia="en-AU"/>
              </w:rPr>
            </w:pPr>
            <w:r w:rsidRPr="00C10545">
              <w:rPr>
                <w:color w:val="000000"/>
                <w:sz w:val="18"/>
                <w:szCs w:val="18"/>
                <w:lang w:eastAsia="en-AU"/>
              </w:rPr>
              <w:t xml:space="preserve"> 5.7 </w:t>
            </w:r>
          </w:p>
        </w:tc>
        <w:tc>
          <w:tcPr>
            <w:tcW w:w="517" w:type="pct"/>
            <w:tcBorders>
              <w:top w:val="nil"/>
              <w:left w:val="nil"/>
              <w:bottom w:val="single" w:sz="4" w:space="0" w:color="auto"/>
              <w:right w:val="single" w:sz="4" w:space="0" w:color="auto"/>
            </w:tcBorders>
            <w:shd w:val="clear" w:color="auto" w:fill="auto"/>
            <w:noWrap/>
            <w:vAlign w:val="bottom"/>
            <w:hideMark/>
          </w:tcPr>
          <w:p w14:paraId="1BE8731A" w14:textId="77777777" w:rsidR="009A356E" w:rsidRPr="00C10545" w:rsidRDefault="009A356E" w:rsidP="009A356E">
            <w:pPr>
              <w:jc w:val="center"/>
              <w:rPr>
                <w:color w:val="000000"/>
                <w:sz w:val="18"/>
                <w:szCs w:val="18"/>
                <w:lang w:eastAsia="en-AU"/>
              </w:rPr>
            </w:pPr>
            <w:r w:rsidRPr="00C10545">
              <w:rPr>
                <w:color w:val="000000"/>
                <w:sz w:val="18"/>
                <w:szCs w:val="18"/>
                <w:lang w:eastAsia="en-AU"/>
              </w:rPr>
              <w:t>21.1%</w:t>
            </w:r>
          </w:p>
        </w:tc>
        <w:tc>
          <w:tcPr>
            <w:tcW w:w="558" w:type="pct"/>
            <w:tcBorders>
              <w:top w:val="nil"/>
              <w:left w:val="nil"/>
              <w:bottom w:val="single" w:sz="4" w:space="0" w:color="auto"/>
              <w:right w:val="single" w:sz="4" w:space="0" w:color="auto"/>
            </w:tcBorders>
            <w:shd w:val="clear" w:color="auto" w:fill="auto"/>
            <w:noWrap/>
            <w:vAlign w:val="bottom"/>
            <w:hideMark/>
          </w:tcPr>
          <w:p w14:paraId="3F946BE9" w14:textId="77777777" w:rsidR="009A356E" w:rsidRPr="00C10545" w:rsidRDefault="009A356E" w:rsidP="009A356E">
            <w:pPr>
              <w:jc w:val="center"/>
              <w:rPr>
                <w:color w:val="000000"/>
                <w:sz w:val="18"/>
                <w:szCs w:val="18"/>
                <w:lang w:eastAsia="en-AU"/>
              </w:rPr>
            </w:pPr>
            <w:r w:rsidRPr="00C10545">
              <w:rPr>
                <w:color w:val="000000"/>
                <w:sz w:val="18"/>
                <w:szCs w:val="18"/>
                <w:lang w:eastAsia="en-AU"/>
              </w:rPr>
              <w:t>6.7%</w:t>
            </w:r>
          </w:p>
        </w:tc>
        <w:tc>
          <w:tcPr>
            <w:tcW w:w="517" w:type="pct"/>
            <w:tcBorders>
              <w:top w:val="nil"/>
              <w:left w:val="nil"/>
              <w:bottom w:val="single" w:sz="4" w:space="0" w:color="auto"/>
              <w:right w:val="single" w:sz="4" w:space="0" w:color="auto"/>
            </w:tcBorders>
            <w:shd w:val="clear" w:color="auto" w:fill="auto"/>
            <w:noWrap/>
            <w:vAlign w:val="bottom"/>
            <w:hideMark/>
          </w:tcPr>
          <w:p w14:paraId="3BFC9DB7" w14:textId="77777777" w:rsidR="009A356E" w:rsidRPr="00C10545" w:rsidRDefault="009A356E" w:rsidP="009A356E">
            <w:pPr>
              <w:jc w:val="center"/>
              <w:rPr>
                <w:color w:val="000000"/>
                <w:sz w:val="18"/>
                <w:szCs w:val="18"/>
                <w:lang w:eastAsia="en-AU"/>
              </w:rPr>
            </w:pPr>
            <w:r w:rsidRPr="00C10545">
              <w:rPr>
                <w:color w:val="000000"/>
                <w:sz w:val="18"/>
                <w:szCs w:val="18"/>
                <w:lang w:eastAsia="en-AU"/>
              </w:rPr>
              <w:t>3.8%</w:t>
            </w:r>
          </w:p>
        </w:tc>
        <w:tc>
          <w:tcPr>
            <w:tcW w:w="596" w:type="pct"/>
            <w:tcBorders>
              <w:top w:val="nil"/>
              <w:left w:val="nil"/>
              <w:bottom w:val="single" w:sz="4" w:space="0" w:color="auto"/>
              <w:right w:val="single" w:sz="4" w:space="0" w:color="auto"/>
            </w:tcBorders>
            <w:shd w:val="clear" w:color="auto" w:fill="auto"/>
            <w:noWrap/>
            <w:vAlign w:val="bottom"/>
            <w:hideMark/>
          </w:tcPr>
          <w:p w14:paraId="653B47AD" w14:textId="50167A7E" w:rsidR="009A356E" w:rsidRPr="00C10545" w:rsidRDefault="009A356E" w:rsidP="009A356E">
            <w:pPr>
              <w:jc w:val="center"/>
              <w:rPr>
                <w:color w:val="000000"/>
                <w:sz w:val="18"/>
                <w:szCs w:val="18"/>
                <w:lang w:eastAsia="en-AU"/>
              </w:rPr>
            </w:pPr>
            <w:r w:rsidRPr="00C10545">
              <w:rPr>
                <w:color w:val="000000"/>
                <w:sz w:val="18"/>
                <w:szCs w:val="18"/>
                <w:lang w:eastAsia="en-AU"/>
              </w:rPr>
              <w:t xml:space="preserve"> 4.2 </w:t>
            </w:r>
          </w:p>
        </w:tc>
        <w:tc>
          <w:tcPr>
            <w:tcW w:w="596" w:type="pct"/>
            <w:tcBorders>
              <w:top w:val="nil"/>
              <w:left w:val="nil"/>
              <w:bottom w:val="single" w:sz="4" w:space="0" w:color="auto"/>
              <w:right w:val="single" w:sz="4" w:space="0" w:color="auto"/>
            </w:tcBorders>
            <w:shd w:val="clear" w:color="auto" w:fill="auto"/>
            <w:noWrap/>
            <w:vAlign w:val="bottom"/>
            <w:hideMark/>
          </w:tcPr>
          <w:p w14:paraId="2E399BA7" w14:textId="77777777" w:rsidR="009A356E" w:rsidRPr="00C10545" w:rsidRDefault="009A356E" w:rsidP="009A356E">
            <w:pPr>
              <w:jc w:val="right"/>
              <w:rPr>
                <w:color w:val="000000"/>
                <w:sz w:val="18"/>
                <w:szCs w:val="18"/>
                <w:lang w:eastAsia="en-AU"/>
              </w:rPr>
            </w:pPr>
            <w:r w:rsidRPr="00C10545">
              <w:rPr>
                <w:color w:val="000000"/>
                <w:sz w:val="18"/>
                <w:szCs w:val="18"/>
                <w:lang w:eastAsia="en-AU"/>
              </w:rPr>
              <w:t>29%</w:t>
            </w:r>
          </w:p>
        </w:tc>
      </w:tr>
      <w:tr w:rsidR="009A356E" w:rsidRPr="00453D75" w14:paraId="25B759D8" w14:textId="77777777" w:rsidTr="009A356E">
        <w:trPr>
          <w:trHeight w:val="240"/>
        </w:trPr>
        <w:tc>
          <w:tcPr>
            <w:tcW w:w="1143" w:type="pct"/>
            <w:tcBorders>
              <w:top w:val="nil"/>
              <w:left w:val="single" w:sz="4" w:space="0" w:color="auto"/>
              <w:bottom w:val="single" w:sz="4" w:space="0" w:color="auto"/>
              <w:right w:val="single" w:sz="4" w:space="0" w:color="auto"/>
            </w:tcBorders>
            <w:shd w:val="clear" w:color="auto" w:fill="auto"/>
            <w:noWrap/>
            <w:vAlign w:val="bottom"/>
            <w:hideMark/>
          </w:tcPr>
          <w:p w14:paraId="0E7BE386" w14:textId="77777777" w:rsidR="009A356E" w:rsidRPr="00C10545" w:rsidRDefault="009A356E" w:rsidP="009A356E">
            <w:pPr>
              <w:rPr>
                <w:sz w:val="18"/>
                <w:szCs w:val="18"/>
                <w:lang w:eastAsia="en-AU"/>
              </w:rPr>
            </w:pPr>
            <w:r w:rsidRPr="00C10545">
              <w:rPr>
                <w:sz w:val="18"/>
                <w:szCs w:val="18"/>
                <w:lang w:eastAsia="en-AU"/>
              </w:rPr>
              <w:t>Central Goldfields</w:t>
            </w:r>
          </w:p>
        </w:tc>
        <w:tc>
          <w:tcPr>
            <w:tcW w:w="544" w:type="pct"/>
            <w:tcBorders>
              <w:top w:val="nil"/>
              <w:left w:val="nil"/>
              <w:bottom w:val="single" w:sz="4" w:space="0" w:color="auto"/>
              <w:right w:val="single" w:sz="4" w:space="0" w:color="auto"/>
            </w:tcBorders>
            <w:shd w:val="clear" w:color="auto" w:fill="auto"/>
            <w:noWrap/>
            <w:vAlign w:val="bottom"/>
            <w:hideMark/>
          </w:tcPr>
          <w:p w14:paraId="41D43F01" w14:textId="42B96B7D" w:rsidR="009A356E" w:rsidRPr="00C10545" w:rsidRDefault="009A356E" w:rsidP="009A356E">
            <w:pPr>
              <w:jc w:val="center"/>
              <w:rPr>
                <w:color w:val="000000"/>
                <w:sz w:val="18"/>
                <w:szCs w:val="18"/>
                <w:lang w:eastAsia="en-AU"/>
              </w:rPr>
            </w:pPr>
            <w:r w:rsidRPr="00C10545">
              <w:rPr>
                <w:color w:val="000000"/>
                <w:sz w:val="18"/>
                <w:szCs w:val="18"/>
                <w:lang w:eastAsia="en-AU"/>
              </w:rPr>
              <w:t xml:space="preserve">2.2 </w:t>
            </w:r>
          </w:p>
        </w:tc>
        <w:tc>
          <w:tcPr>
            <w:tcW w:w="530" w:type="pct"/>
            <w:tcBorders>
              <w:top w:val="nil"/>
              <w:left w:val="nil"/>
              <w:bottom w:val="single" w:sz="4" w:space="0" w:color="auto"/>
              <w:right w:val="single" w:sz="4" w:space="0" w:color="auto"/>
            </w:tcBorders>
            <w:shd w:val="clear" w:color="auto" w:fill="auto"/>
            <w:noWrap/>
            <w:vAlign w:val="bottom"/>
            <w:hideMark/>
          </w:tcPr>
          <w:p w14:paraId="0681F377" w14:textId="4A860786" w:rsidR="009A356E" w:rsidRPr="00C10545" w:rsidRDefault="009A356E" w:rsidP="009A356E">
            <w:pPr>
              <w:jc w:val="center"/>
              <w:rPr>
                <w:color w:val="000000"/>
                <w:sz w:val="18"/>
                <w:szCs w:val="18"/>
                <w:lang w:eastAsia="en-AU"/>
              </w:rPr>
            </w:pPr>
            <w:r w:rsidRPr="00C10545">
              <w:rPr>
                <w:color w:val="000000"/>
                <w:sz w:val="18"/>
                <w:szCs w:val="18"/>
                <w:lang w:eastAsia="en-AU"/>
              </w:rPr>
              <w:t xml:space="preserve"> 10.7 </w:t>
            </w:r>
          </w:p>
        </w:tc>
        <w:tc>
          <w:tcPr>
            <w:tcW w:w="517" w:type="pct"/>
            <w:tcBorders>
              <w:top w:val="nil"/>
              <w:left w:val="nil"/>
              <w:bottom w:val="single" w:sz="4" w:space="0" w:color="auto"/>
              <w:right w:val="single" w:sz="4" w:space="0" w:color="auto"/>
            </w:tcBorders>
            <w:shd w:val="clear" w:color="auto" w:fill="auto"/>
            <w:noWrap/>
            <w:vAlign w:val="bottom"/>
            <w:hideMark/>
          </w:tcPr>
          <w:p w14:paraId="4265D780" w14:textId="77777777" w:rsidR="009A356E" w:rsidRPr="00C10545" w:rsidRDefault="009A356E" w:rsidP="009A356E">
            <w:pPr>
              <w:jc w:val="center"/>
              <w:rPr>
                <w:color w:val="000000"/>
                <w:sz w:val="18"/>
                <w:szCs w:val="18"/>
                <w:lang w:eastAsia="en-AU"/>
              </w:rPr>
            </w:pPr>
            <w:r w:rsidRPr="00C10545">
              <w:rPr>
                <w:color w:val="000000"/>
                <w:sz w:val="18"/>
                <w:szCs w:val="18"/>
                <w:lang w:eastAsia="en-AU"/>
              </w:rPr>
              <w:t>21.0%</w:t>
            </w:r>
          </w:p>
        </w:tc>
        <w:tc>
          <w:tcPr>
            <w:tcW w:w="558" w:type="pct"/>
            <w:tcBorders>
              <w:top w:val="nil"/>
              <w:left w:val="nil"/>
              <w:bottom w:val="single" w:sz="4" w:space="0" w:color="auto"/>
              <w:right w:val="single" w:sz="4" w:space="0" w:color="auto"/>
            </w:tcBorders>
            <w:shd w:val="clear" w:color="auto" w:fill="auto"/>
            <w:noWrap/>
            <w:vAlign w:val="bottom"/>
            <w:hideMark/>
          </w:tcPr>
          <w:p w14:paraId="580916FA" w14:textId="77777777" w:rsidR="009A356E" w:rsidRPr="00C10545" w:rsidRDefault="009A356E" w:rsidP="009A356E">
            <w:pPr>
              <w:jc w:val="center"/>
              <w:rPr>
                <w:color w:val="000000"/>
                <w:sz w:val="18"/>
                <w:szCs w:val="18"/>
                <w:lang w:eastAsia="en-AU"/>
              </w:rPr>
            </w:pPr>
            <w:r w:rsidRPr="00C10545">
              <w:rPr>
                <w:color w:val="000000"/>
                <w:sz w:val="18"/>
                <w:szCs w:val="18"/>
                <w:lang w:eastAsia="en-AU"/>
              </w:rPr>
              <w:t>6.5%</w:t>
            </w:r>
          </w:p>
        </w:tc>
        <w:tc>
          <w:tcPr>
            <w:tcW w:w="517" w:type="pct"/>
            <w:tcBorders>
              <w:top w:val="nil"/>
              <w:left w:val="nil"/>
              <w:bottom w:val="single" w:sz="4" w:space="0" w:color="auto"/>
              <w:right w:val="single" w:sz="4" w:space="0" w:color="auto"/>
            </w:tcBorders>
            <w:shd w:val="clear" w:color="auto" w:fill="auto"/>
            <w:noWrap/>
            <w:vAlign w:val="bottom"/>
            <w:hideMark/>
          </w:tcPr>
          <w:p w14:paraId="6FC3479D" w14:textId="77777777" w:rsidR="009A356E" w:rsidRPr="00C10545" w:rsidRDefault="009A356E" w:rsidP="009A356E">
            <w:pPr>
              <w:jc w:val="center"/>
              <w:rPr>
                <w:color w:val="000000"/>
                <w:sz w:val="18"/>
                <w:szCs w:val="18"/>
                <w:lang w:eastAsia="en-AU"/>
              </w:rPr>
            </w:pPr>
            <w:r w:rsidRPr="00C10545">
              <w:rPr>
                <w:color w:val="000000"/>
                <w:sz w:val="18"/>
                <w:szCs w:val="18"/>
                <w:lang w:eastAsia="en-AU"/>
              </w:rPr>
              <w:t>3.7%</w:t>
            </w:r>
          </w:p>
        </w:tc>
        <w:tc>
          <w:tcPr>
            <w:tcW w:w="596" w:type="pct"/>
            <w:tcBorders>
              <w:top w:val="nil"/>
              <w:left w:val="nil"/>
              <w:bottom w:val="single" w:sz="4" w:space="0" w:color="auto"/>
              <w:right w:val="single" w:sz="4" w:space="0" w:color="auto"/>
            </w:tcBorders>
            <w:shd w:val="clear" w:color="auto" w:fill="auto"/>
            <w:noWrap/>
            <w:vAlign w:val="bottom"/>
            <w:hideMark/>
          </w:tcPr>
          <w:p w14:paraId="319F4739" w14:textId="187ECB54" w:rsidR="009A356E" w:rsidRPr="00C10545" w:rsidRDefault="009A356E" w:rsidP="009A356E">
            <w:pPr>
              <w:jc w:val="center"/>
              <w:rPr>
                <w:color w:val="000000"/>
                <w:sz w:val="18"/>
                <w:szCs w:val="18"/>
                <w:lang w:eastAsia="en-AU"/>
              </w:rPr>
            </w:pPr>
            <w:r w:rsidRPr="00C10545">
              <w:rPr>
                <w:color w:val="000000"/>
                <w:sz w:val="18"/>
                <w:szCs w:val="18"/>
                <w:lang w:eastAsia="en-AU"/>
              </w:rPr>
              <w:t xml:space="preserve"> 4.9 </w:t>
            </w:r>
          </w:p>
        </w:tc>
        <w:tc>
          <w:tcPr>
            <w:tcW w:w="596" w:type="pct"/>
            <w:tcBorders>
              <w:top w:val="nil"/>
              <w:left w:val="nil"/>
              <w:bottom w:val="single" w:sz="4" w:space="0" w:color="auto"/>
              <w:right w:val="single" w:sz="4" w:space="0" w:color="auto"/>
            </w:tcBorders>
            <w:shd w:val="clear" w:color="auto" w:fill="auto"/>
            <w:noWrap/>
            <w:vAlign w:val="bottom"/>
            <w:hideMark/>
          </w:tcPr>
          <w:p w14:paraId="467C32D8" w14:textId="77777777" w:rsidR="009A356E" w:rsidRPr="00C10545" w:rsidRDefault="009A356E" w:rsidP="009A356E">
            <w:pPr>
              <w:jc w:val="right"/>
              <w:rPr>
                <w:color w:val="000000"/>
                <w:sz w:val="18"/>
                <w:szCs w:val="18"/>
                <w:lang w:eastAsia="en-AU"/>
              </w:rPr>
            </w:pPr>
            <w:r w:rsidRPr="00C10545">
              <w:rPr>
                <w:color w:val="000000"/>
                <w:sz w:val="18"/>
                <w:szCs w:val="18"/>
                <w:lang w:eastAsia="en-AU"/>
              </w:rPr>
              <w:t>46%</w:t>
            </w:r>
          </w:p>
        </w:tc>
      </w:tr>
      <w:tr w:rsidR="009A356E" w:rsidRPr="00453D75" w14:paraId="32A7FB88" w14:textId="77777777" w:rsidTr="009A356E">
        <w:trPr>
          <w:trHeight w:val="240"/>
        </w:trPr>
        <w:tc>
          <w:tcPr>
            <w:tcW w:w="1143" w:type="pct"/>
            <w:tcBorders>
              <w:top w:val="nil"/>
              <w:left w:val="single" w:sz="4" w:space="0" w:color="auto"/>
              <w:bottom w:val="single" w:sz="4" w:space="0" w:color="auto"/>
              <w:right w:val="single" w:sz="4" w:space="0" w:color="auto"/>
            </w:tcBorders>
            <w:shd w:val="clear" w:color="auto" w:fill="auto"/>
            <w:noWrap/>
            <w:vAlign w:val="bottom"/>
            <w:hideMark/>
          </w:tcPr>
          <w:p w14:paraId="05FE70FD" w14:textId="77777777" w:rsidR="009A356E" w:rsidRPr="00C10545" w:rsidRDefault="009A356E" w:rsidP="009A356E">
            <w:pPr>
              <w:rPr>
                <w:sz w:val="18"/>
                <w:szCs w:val="18"/>
                <w:lang w:eastAsia="en-AU"/>
              </w:rPr>
            </w:pPr>
            <w:proofErr w:type="spellStart"/>
            <w:r w:rsidRPr="00C10545">
              <w:rPr>
                <w:sz w:val="18"/>
                <w:szCs w:val="18"/>
                <w:lang w:eastAsia="en-AU"/>
              </w:rPr>
              <w:t>Buloke</w:t>
            </w:r>
            <w:proofErr w:type="spellEnd"/>
          </w:p>
        </w:tc>
        <w:tc>
          <w:tcPr>
            <w:tcW w:w="544" w:type="pct"/>
            <w:tcBorders>
              <w:top w:val="nil"/>
              <w:left w:val="nil"/>
              <w:bottom w:val="single" w:sz="4" w:space="0" w:color="auto"/>
              <w:right w:val="single" w:sz="4" w:space="0" w:color="auto"/>
            </w:tcBorders>
            <w:shd w:val="clear" w:color="auto" w:fill="auto"/>
            <w:noWrap/>
            <w:vAlign w:val="bottom"/>
            <w:hideMark/>
          </w:tcPr>
          <w:p w14:paraId="0D415242" w14:textId="26063B03" w:rsidR="009A356E" w:rsidRPr="00C10545" w:rsidRDefault="009A356E" w:rsidP="009A356E">
            <w:pPr>
              <w:jc w:val="center"/>
              <w:rPr>
                <w:color w:val="000000"/>
                <w:sz w:val="18"/>
                <w:szCs w:val="18"/>
                <w:lang w:eastAsia="en-AU"/>
              </w:rPr>
            </w:pPr>
            <w:r w:rsidRPr="00C10545">
              <w:rPr>
                <w:color w:val="000000"/>
                <w:sz w:val="18"/>
                <w:szCs w:val="18"/>
                <w:lang w:eastAsia="en-AU"/>
              </w:rPr>
              <w:t xml:space="preserve">2.0 </w:t>
            </w:r>
          </w:p>
        </w:tc>
        <w:tc>
          <w:tcPr>
            <w:tcW w:w="530" w:type="pct"/>
            <w:tcBorders>
              <w:top w:val="nil"/>
              <w:left w:val="nil"/>
              <w:bottom w:val="single" w:sz="4" w:space="0" w:color="auto"/>
              <w:right w:val="single" w:sz="4" w:space="0" w:color="auto"/>
            </w:tcBorders>
            <w:shd w:val="clear" w:color="auto" w:fill="auto"/>
            <w:noWrap/>
            <w:vAlign w:val="bottom"/>
            <w:hideMark/>
          </w:tcPr>
          <w:p w14:paraId="1DFD783C" w14:textId="0DD994C8" w:rsidR="009A356E" w:rsidRPr="00C10545" w:rsidRDefault="009A356E" w:rsidP="009A356E">
            <w:pPr>
              <w:jc w:val="center"/>
              <w:rPr>
                <w:color w:val="000000"/>
                <w:sz w:val="18"/>
                <w:szCs w:val="18"/>
                <w:lang w:eastAsia="en-AU"/>
              </w:rPr>
            </w:pPr>
            <w:r w:rsidRPr="00C10545">
              <w:rPr>
                <w:color w:val="000000"/>
                <w:sz w:val="18"/>
                <w:szCs w:val="18"/>
                <w:lang w:eastAsia="en-AU"/>
              </w:rPr>
              <w:t xml:space="preserve"> 9.9 </w:t>
            </w:r>
          </w:p>
        </w:tc>
        <w:tc>
          <w:tcPr>
            <w:tcW w:w="517" w:type="pct"/>
            <w:tcBorders>
              <w:top w:val="nil"/>
              <w:left w:val="nil"/>
              <w:bottom w:val="single" w:sz="4" w:space="0" w:color="auto"/>
              <w:right w:val="single" w:sz="4" w:space="0" w:color="auto"/>
            </w:tcBorders>
            <w:shd w:val="clear" w:color="auto" w:fill="auto"/>
            <w:noWrap/>
            <w:vAlign w:val="bottom"/>
            <w:hideMark/>
          </w:tcPr>
          <w:p w14:paraId="1FFA4980" w14:textId="77777777" w:rsidR="009A356E" w:rsidRPr="00C10545" w:rsidRDefault="009A356E" w:rsidP="009A356E">
            <w:pPr>
              <w:jc w:val="center"/>
              <w:rPr>
                <w:color w:val="000000"/>
                <w:sz w:val="18"/>
                <w:szCs w:val="18"/>
                <w:lang w:eastAsia="en-AU"/>
              </w:rPr>
            </w:pPr>
            <w:r w:rsidRPr="00C10545">
              <w:rPr>
                <w:color w:val="000000"/>
                <w:sz w:val="18"/>
                <w:szCs w:val="18"/>
                <w:lang w:eastAsia="en-AU"/>
              </w:rPr>
              <w:t>20.1%</w:t>
            </w:r>
          </w:p>
        </w:tc>
        <w:tc>
          <w:tcPr>
            <w:tcW w:w="558" w:type="pct"/>
            <w:tcBorders>
              <w:top w:val="nil"/>
              <w:left w:val="nil"/>
              <w:bottom w:val="single" w:sz="4" w:space="0" w:color="auto"/>
              <w:right w:val="single" w:sz="4" w:space="0" w:color="auto"/>
            </w:tcBorders>
            <w:shd w:val="clear" w:color="auto" w:fill="auto"/>
            <w:noWrap/>
            <w:vAlign w:val="bottom"/>
            <w:hideMark/>
          </w:tcPr>
          <w:p w14:paraId="5FE273B6" w14:textId="77777777" w:rsidR="009A356E" w:rsidRPr="00C10545" w:rsidRDefault="009A356E" w:rsidP="009A356E">
            <w:pPr>
              <w:jc w:val="center"/>
              <w:rPr>
                <w:color w:val="000000"/>
                <w:sz w:val="18"/>
                <w:szCs w:val="18"/>
                <w:lang w:eastAsia="en-AU"/>
              </w:rPr>
            </w:pPr>
            <w:r w:rsidRPr="00C10545">
              <w:rPr>
                <w:color w:val="000000"/>
                <w:sz w:val="18"/>
                <w:szCs w:val="18"/>
                <w:lang w:eastAsia="en-AU"/>
              </w:rPr>
              <w:t>6.2%</w:t>
            </w:r>
          </w:p>
        </w:tc>
        <w:tc>
          <w:tcPr>
            <w:tcW w:w="517" w:type="pct"/>
            <w:tcBorders>
              <w:top w:val="nil"/>
              <w:left w:val="nil"/>
              <w:bottom w:val="single" w:sz="4" w:space="0" w:color="auto"/>
              <w:right w:val="single" w:sz="4" w:space="0" w:color="auto"/>
            </w:tcBorders>
            <w:shd w:val="clear" w:color="auto" w:fill="auto"/>
            <w:noWrap/>
            <w:vAlign w:val="bottom"/>
            <w:hideMark/>
          </w:tcPr>
          <w:p w14:paraId="0D7E0083" w14:textId="77777777" w:rsidR="009A356E" w:rsidRPr="00C10545" w:rsidRDefault="009A356E" w:rsidP="009A356E">
            <w:pPr>
              <w:jc w:val="center"/>
              <w:rPr>
                <w:color w:val="000000"/>
                <w:sz w:val="18"/>
                <w:szCs w:val="18"/>
                <w:lang w:eastAsia="en-AU"/>
              </w:rPr>
            </w:pPr>
            <w:r w:rsidRPr="00C10545">
              <w:rPr>
                <w:color w:val="000000"/>
                <w:sz w:val="18"/>
                <w:szCs w:val="18"/>
                <w:lang w:eastAsia="en-AU"/>
              </w:rPr>
              <w:t>3.5%</w:t>
            </w:r>
          </w:p>
        </w:tc>
        <w:tc>
          <w:tcPr>
            <w:tcW w:w="596" w:type="pct"/>
            <w:tcBorders>
              <w:top w:val="nil"/>
              <w:left w:val="nil"/>
              <w:bottom w:val="single" w:sz="4" w:space="0" w:color="auto"/>
              <w:right w:val="single" w:sz="4" w:space="0" w:color="auto"/>
            </w:tcBorders>
            <w:shd w:val="clear" w:color="auto" w:fill="auto"/>
            <w:noWrap/>
            <w:vAlign w:val="bottom"/>
            <w:hideMark/>
          </w:tcPr>
          <w:p w14:paraId="35E64A94" w14:textId="180F3501" w:rsidR="009A356E" w:rsidRPr="00C10545" w:rsidRDefault="009A356E" w:rsidP="009A356E">
            <w:pPr>
              <w:jc w:val="center"/>
              <w:rPr>
                <w:color w:val="000000"/>
                <w:sz w:val="18"/>
                <w:szCs w:val="18"/>
                <w:lang w:eastAsia="en-AU"/>
              </w:rPr>
            </w:pPr>
            <w:r w:rsidRPr="00C10545">
              <w:rPr>
                <w:color w:val="000000"/>
                <w:sz w:val="18"/>
                <w:szCs w:val="18"/>
                <w:lang w:eastAsia="en-AU"/>
              </w:rPr>
              <w:t xml:space="preserve"> 5.2 </w:t>
            </w:r>
          </w:p>
        </w:tc>
        <w:tc>
          <w:tcPr>
            <w:tcW w:w="596" w:type="pct"/>
            <w:tcBorders>
              <w:top w:val="nil"/>
              <w:left w:val="nil"/>
              <w:bottom w:val="single" w:sz="4" w:space="0" w:color="auto"/>
              <w:right w:val="single" w:sz="4" w:space="0" w:color="auto"/>
            </w:tcBorders>
            <w:shd w:val="clear" w:color="auto" w:fill="auto"/>
            <w:noWrap/>
            <w:vAlign w:val="bottom"/>
            <w:hideMark/>
          </w:tcPr>
          <w:p w14:paraId="5EC7D0F4" w14:textId="77777777" w:rsidR="009A356E" w:rsidRPr="00C10545" w:rsidRDefault="009A356E" w:rsidP="009A356E">
            <w:pPr>
              <w:jc w:val="right"/>
              <w:rPr>
                <w:color w:val="000000"/>
                <w:sz w:val="18"/>
                <w:szCs w:val="18"/>
                <w:lang w:eastAsia="en-AU"/>
              </w:rPr>
            </w:pPr>
            <w:r w:rsidRPr="00C10545">
              <w:rPr>
                <w:color w:val="000000"/>
                <w:sz w:val="18"/>
                <w:szCs w:val="18"/>
                <w:lang w:eastAsia="en-AU"/>
              </w:rPr>
              <w:t>38%</w:t>
            </w:r>
          </w:p>
        </w:tc>
      </w:tr>
      <w:tr w:rsidR="009A356E" w:rsidRPr="00453D75" w14:paraId="39B4263C" w14:textId="77777777" w:rsidTr="009A356E">
        <w:trPr>
          <w:trHeight w:val="240"/>
        </w:trPr>
        <w:tc>
          <w:tcPr>
            <w:tcW w:w="1143" w:type="pct"/>
            <w:tcBorders>
              <w:top w:val="nil"/>
              <w:left w:val="single" w:sz="4" w:space="0" w:color="auto"/>
              <w:bottom w:val="single" w:sz="4" w:space="0" w:color="auto"/>
              <w:right w:val="single" w:sz="4" w:space="0" w:color="auto"/>
            </w:tcBorders>
            <w:shd w:val="clear" w:color="auto" w:fill="auto"/>
            <w:noWrap/>
            <w:vAlign w:val="bottom"/>
            <w:hideMark/>
          </w:tcPr>
          <w:p w14:paraId="7169508B" w14:textId="77777777" w:rsidR="009A356E" w:rsidRPr="00C10545" w:rsidRDefault="009A356E" w:rsidP="009A356E">
            <w:pPr>
              <w:rPr>
                <w:sz w:val="18"/>
                <w:szCs w:val="18"/>
                <w:lang w:eastAsia="en-AU"/>
              </w:rPr>
            </w:pPr>
            <w:r w:rsidRPr="00C10545">
              <w:rPr>
                <w:sz w:val="18"/>
                <w:szCs w:val="18"/>
                <w:lang w:eastAsia="en-AU"/>
              </w:rPr>
              <w:t>Hindmarsh</w:t>
            </w:r>
          </w:p>
        </w:tc>
        <w:tc>
          <w:tcPr>
            <w:tcW w:w="544" w:type="pct"/>
            <w:tcBorders>
              <w:top w:val="nil"/>
              <w:left w:val="nil"/>
              <w:bottom w:val="single" w:sz="4" w:space="0" w:color="auto"/>
              <w:right w:val="single" w:sz="4" w:space="0" w:color="auto"/>
            </w:tcBorders>
            <w:shd w:val="clear" w:color="auto" w:fill="auto"/>
            <w:noWrap/>
            <w:vAlign w:val="bottom"/>
            <w:hideMark/>
          </w:tcPr>
          <w:p w14:paraId="7043D0EA" w14:textId="66529411" w:rsidR="009A356E" w:rsidRPr="00C10545" w:rsidRDefault="009A356E" w:rsidP="009A356E">
            <w:pPr>
              <w:jc w:val="center"/>
              <w:rPr>
                <w:color w:val="000000"/>
                <w:sz w:val="18"/>
                <w:szCs w:val="18"/>
                <w:lang w:eastAsia="en-AU"/>
              </w:rPr>
            </w:pPr>
            <w:r w:rsidRPr="00C10545">
              <w:rPr>
                <w:color w:val="000000"/>
                <w:sz w:val="18"/>
                <w:szCs w:val="18"/>
                <w:lang w:eastAsia="en-AU"/>
              </w:rPr>
              <w:t xml:space="preserve">1.3 </w:t>
            </w:r>
          </w:p>
        </w:tc>
        <w:tc>
          <w:tcPr>
            <w:tcW w:w="530" w:type="pct"/>
            <w:tcBorders>
              <w:top w:val="nil"/>
              <w:left w:val="nil"/>
              <w:bottom w:val="single" w:sz="4" w:space="0" w:color="auto"/>
              <w:right w:val="single" w:sz="4" w:space="0" w:color="auto"/>
            </w:tcBorders>
            <w:shd w:val="clear" w:color="auto" w:fill="auto"/>
            <w:noWrap/>
            <w:vAlign w:val="bottom"/>
            <w:hideMark/>
          </w:tcPr>
          <w:p w14:paraId="74B29AEA" w14:textId="6861C3AB" w:rsidR="009A356E" w:rsidRPr="00C10545" w:rsidRDefault="009A356E" w:rsidP="009A356E">
            <w:pPr>
              <w:jc w:val="center"/>
              <w:rPr>
                <w:color w:val="000000"/>
                <w:sz w:val="18"/>
                <w:szCs w:val="18"/>
                <w:lang w:eastAsia="en-AU"/>
              </w:rPr>
            </w:pPr>
            <w:r w:rsidRPr="00C10545">
              <w:rPr>
                <w:color w:val="000000"/>
                <w:sz w:val="18"/>
                <w:szCs w:val="18"/>
                <w:lang w:eastAsia="en-AU"/>
              </w:rPr>
              <w:t xml:space="preserve"> 6.4 </w:t>
            </w:r>
          </w:p>
        </w:tc>
        <w:tc>
          <w:tcPr>
            <w:tcW w:w="517" w:type="pct"/>
            <w:tcBorders>
              <w:top w:val="nil"/>
              <w:left w:val="nil"/>
              <w:bottom w:val="single" w:sz="4" w:space="0" w:color="auto"/>
              <w:right w:val="single" w:sz="4" w:space="0" w:color="auto"/>
            </w:tcBorders>
            <w:shd w:val="clear" w:color="auto" w:fill="auto"/>
            <w:noWrap/>
            <w:vAlign w:val="bottom"/>
            <w:hideMark/>
          </w:tcPr>
          <w:p w14:paraId="02EDF13B" w14:textId="77777777" w:rsidR="009A356E" w:rsidRPr="00C10545" w:rsidRDefault="009A356E" w:rsidP="009A356E">
            <w:pPr>
              <w:jc w:val="center"/>
              <w:rPr>
                <w:color w:val="000000"/>
                <w:sz w:val="18"/>
                <w:szCs w:val="18"/>
                <w:lang w:eastAsia="en-AU"/>
              </w:rPr>
            </w:pPr>
            <w:r w:rsidRPr="00C10545">
              <w:rPr>
                <w:color w:val="000000"/>
                <w:sz w:val="18"/>
                <w:szCs w:val="18"/>
                <w:lang w:eastAsia="en-AU"/>
              </w:rPr>
              <w:t>19.8%</w:t>
            </w:r>
          </w:p>
        </w:tc>
        <w:tc>
          <w:tcPr>
            <w:tcW w:w="558" w:type="pct"/>
            <w:tcBorders>
              <w:top w:val="nil"/>
              <w:left w:val="nil"/>
              <w:bottom w:val="single" w:sz="4" w:space="0" w:color="auto"/>
              <w:right w:val="single" w:sz="4" w:space="0" w:color="auto"/>
            </w:tcBorders>
            <w:shd w:val="clear" w:color="auto" w:fill="auto"/>
            <w:noWrap/>
            <w:vAlign w:val="bottom"/>
            <w:hideMark/>
          </w:tcPr>
          <w:p w14:paraId="7D4C1F66" w14:textId="77777777" w:rsidR="009A356E" w:rsidRPr="00C10545" w:rsidRDefault="009A356E" w:rsidP="009A356E">
            <w:pPr>
              <w:jc w:val="center"/>
              <w:rPr>
                <w:color w:val="000000"/>
                <w:sz w:val="18"/>
                <w:szCs w:val="18"/>
                <w:lang w:eastAsia="en-AU"/>
              </w:rPr>
            </w:pPr>
            <w:r w:rsidRPr="00C10545">
              <w:rPr>
                <w:color w:val="000000"/>
                <w:sz w:val="18"/>
                <w:szCs w:val="18"/>
                <w:lang w:eastAsia="en-AU"/>
              </w:rPr>
              <w:t>6.1%</w:t>
            </w:r>
          </w:p>
        </w:tc>
        <w:tc>
          <w:tcPr>
            <w:tcW w:w="517" w:type="pct"/>
            <w:tcBorders>
              <w:top w:val="nil"/>
              <w:left w:val="nil"/>
              <w:bottom w:val="single" w:sz="4" w:space="0" w:color="auto"/>
              <w:right w:val="single" w:sz="4" w:space="0" w:color="auto"/>
            </w:tcBorders>
            <w:shd w:val="clear" w:color="auto" w:fill="auto"/>
            <w:noWrap/>
            <w:vAlign w:val="bottom"/>
            <w:hideMark/>
          </w:tcPr>
          <w:p w14:paraId="6C5D8A62" w14:textId="77777777" w:rsidR="009A356E" w:rsidRPr="00C10545" w:rsidRDefault="009A356E" w:rsidP="009A356E">
            <w:pPr>
              <w:jc w:val="center"/>
              <w:rPr>
                <w:color w:val="000000"/>
                <w:sz w:val="18"/>
                <w:szCs w:val="18"/>
                <w:lang w:eastAsia="en-AU"/>
              </w:rPr>
            </w:pPr>
            <w:r w:rsidRPr="00C10545">
              <w:rPr>
                <w:color w:val="000000"/>
                <w:sz w:val="18"/>
                <w:szCs w:val="18"/>
                <w:lang w:eastAsia="en-AU"/>
              </w:rPr>
              <w:t>3.5%</w:t>
            </w:r>
          </w:p>
        </w:tc>
        <w:tc>
          <w:tcPr>
            <w:tcW w:w="596" w:type="pct"/>
            <w:tcBorders>
              <w:top w:val="nil"/>
              <w:left w:val="nil"/>
              <w:bottom w:val="single" w:sz="4" w:space="0" w:color="auto"/>
              <w:right w:val="single" w:sz="4" w:space="0" w:color="auto"/>
            </w:tcBorders>
            <w:shd w:val="clear" w:color="auto" w:fill="auto"/>
            <w:noWrap/>
            <w:vAlign w:val="bottom"/>
            <w:hideMark/>
          </w:tcPr>
          <w:p w14:paraId="5B92CBCF" w14:textId="6F4AA00D" w:rsidR="009A356E" w:rsidRPr="00C10545" w:rsidRDefault="009A356E" w:rsidP="009A356E">
            <w:pPr>
              <w:jc w:val="center"/>
              <w:rPr>
                <w:color w:val="000000"/>
                <w:sz w:val="18"/>
                <w:szCs w:val="18"/>
                <w:lang w:eastAsia="en-AU"/>
              </w:rPr>
            </w:pPr>
            <w:r w:rsidRPr="00C10545">
              <w:rPr>
                <w:color w:val="000000"/>
                <w:sz w:val="18"/>
                <w:szCs w:val="18"/>
                <w:lang w:eastAsia="en-AU"/>
              </w:rPr>
              <w:t xml:space="preserve"> 5.5 </w:t>
            </w:r>
          </w:p>
        </w:tc>
        <w:tc>
          <w:tcPr>
            <w:tcW w:w="596" w:type="pct"/>
            <w:tcBorders>
              <w:top w:val="nil"/>
              <w:left w:val="nil"/>
              <w:bottom w:val="single" w:sz="4" w:space="0" w:color="auto"/>
              <w:right w:val="single" w:sz="4" w:space="0" w:color="auto"/>
            </w:tcBorders>
            <w:shd w:val="clear" w:color="auto" w:fill="auto"/>
            <w:noWrap/>
            <w:vAlign w:val="bottom"/>
            <w:hideMark/>
          </w:tcPr>
          <w:p w14:paraId="29A1A7EE" w14:textId="77777777" w:rsidR="009A356E" w:rsidRPr="00C10545" w:rsidRDefault="009A356E" w:rsidP="009A356E">
            <w:pPr>
              <w:jc w:val="right"/>
              <w:rPr>
                <w:color w:val="000000"/>
                <w:sz w:val="18"/>
                <w:szCs w:val="18"/>
                <w:lang w:eastAsia="en-AU"/>
              </w:rPr>
            </w:pPr>
            <w:r w:rsidRPr="00C10545">
              <w:rPr>
                <w:color w:val="000000"/>
                <w:sz w:val="18"/>
                <w:szCs w:val="18"/>
                <w:lang w:eastAsia="en-AU"/>
              </w:rPr>
              <w:t>23%</w:t>
            </w:r>
          </w:p>
        </w:tc>
      </w:tr>
      <w:tr w:rsidR="009A356E" w:rsidRPr="00453D75" w14:paraId="0B5D5F9F" w14:textId="77777777" w:rsidTr="009A356E">
        <w:trPr>
          <w:trHeight w:val="240"/>
        </w:trPr>
        <w:tc>
          <w:tcPr>
            <w:tcW w:w="1143" w:type="pct"/>
            <w:tcBorders>
              <w:top w:val="nil"/>
              <w:left w:val="single" w:sz="4" w:space="0" w:color="auto"/>
              <w:bottom w:val="single" w:sz="4" w:space="0" w:color="auto"/>
              <w:right w:val="single" w:sz="4" w:space="0" w:color="auto"/>
            </w:tcBorders>
            <w:shd w:val="clear" w:color="auto" w:fill="auto"/>
            <w:noWrap/>
            <w:vAlign w:val="bottom"/>
            <w:hideMark/>
          </w:tcPr>
          <w:p w14:paraId="4F2B9E4B" w14:textId="77777777" w:rsidR="009A356E" w:rsidRPr="00C10545" w:rsidRDefault="009A356E" w:rsidP="009A356E">
            <w:pPr>
              <w:rPr>
                <w:sz w:val="18"/>
                <w:szCs w:val="18"/>
                <w:lang w:eastAsia="en-AU"/>
              </w:rPr>
            </w:pPr>
            <w:r w:rsidRPr="00C10545">
              <w:rPr>
                <w:sz w:val="18"/>
                <w:szCs w:val="18"/>
                <w:lang w:eastAsia="en-AU"/>
              </w:rPr>
              <w:t>Ararat</w:t>
            </w:r>
          </w:p>
        </w:tc>
        <w:tc>
          <w:tcPr>
            <w:tcW w:w="544" w:type="pct"/>
            <w:tcBorders>
              <w:top w:val="nil"/>
              <w:left w:val="nil"/>
              <w:bottom w:val="single" w:sz="4" w:space="0" w:color="auto"/>
              <w:right w:val="single" w:sz="4" w:space="0" w:color="auto"/>
            </w:tcBorders>
            <w:shd w:val="clear" w:color="auto" w:fill="auto"/>
            <w:noWrap/>
            <w:vAlign w:val="bottom"/>
            <w:hideMark/>
          </w:tcPr>
          <w:p w14:paraId="57647C8F" w14:textId="2A763D21" w:rsidR="009A356E" w:rsidRPr="00C10545" w:rsidRDefault="009A356E" w:rsidP="009A356E">
            <w:pPr>
              <w:jc w:val="center"/>
              <w:rPr>
                <w:color w:val="000000"/>
                <w:sz w:val="18"/>
                <w:szCs w:val="18"/>
                <w:lang w:eastAsia="en-AU"/>
              </w:rPr>
            </w:pPr>
            <w:r w:rsidRPr="00C10545">
              <w:rPr>
                <w:color w:val="000000"/>
                <w:sz w:val="18"/>
                <w:szCs w:val="18"/>
                <w:lang w:eastAsia="en-AU"/>
              </w:rPr>
              <w:t xml:space="preserve">2.6 </w:t>
            </w:r>
          </w:p>
        </w:tc>
        <w:tc>
          <w:tcPr>
            <w:tcW w:w="530" w:type="pct"/>
            <w:tcBorders>
              <w:top w:val="nil"/>
              <w:left w:val="nil"/>
              <w:bottom w:val="single" w:sz="4" w:space="0" w:color="auto"/>
              <w:right w:val="single" w:sz="4" w:space="0" w:color="auto"/>
            </w:tcBorders>
            <w:shd w:val="clear" w:color="auto" w:fill="auto"/>
            <w:noWrap/>
            <w:vAlign w:val="bottom"/>
            <w:hideMark/>
          </w:tcPr>
          <w:p w14:paraId="450B6792" w14:textId="00B7E598" w:rsidR="009A356E" w:rsidRPr="00C10545" w:rsidRDefault="009A356E" w:rsidP="009A356E">
            <w:pPr>
              <w:jc w:val="center"/>
              <w:rPr>
                <w:color w:val="000000"/>
                <w:sz w:val="18"/>
                <w:szCs w:val="18"/>
                <w:lang w:eastAsia="en-AU"/>
              </w:rPr>
            </w:pPr>
            <w:r w:rsidRPr="00C10545">
              <w:rPr>
                <w:color w:val="000000"/>
                <w:sz w:val="18"/>
                <w:szCs w:val="18"/>
                <w:lang w:eastAsia="en-AU"/>
              </w:rPr>
              <w:t xml:space="preserve"> 12.9 </w:t>
            </w:r>
          </w:p>
        </w:tc>
        <w:tc>
          <w:tcPr>
            <w:tcW w:w="517" w:type="pct"/>
            <w:tcBorders>
              <w:top w:val="nil"/>
              <w:left w:val="nil"/>
              <w:bottom w:val="single" w:sz="4" w:space="0" w:color="auto"/>
              <w:right w:val="single" w:sz="4" w:space="0" w:color="auto"/>
            </w:tcBorders>
            <w:shd w:val="clear" w:color="auto" w:fill="auto"/>
            <w:noWrap/>
            <w:vAlign w:val="bottom"/>
            <w:hideMark/>
          </w:tcPr>
          <w:p w14:paraId="61911BE9" w14:textId="77777777" w:rsidR="009A356E" w:rsidRPr="00C10545" w:rsidRDefault="009A356E" w:rsidP="009A356E">
            <w:pPr>
              <w:jc w:val="center"/>
              <w:rPr>
                <w:color w:val="000000"/>
                <w:sz w:val="18"/>
                <w:szCs w:val="18"/>
                <w:lang w:eastAsia="en-AU"/>
              </w:rPr>
            </w:pPr>
            <w:r w:rsidRPr="00C10545">
              <w:rPr>
                <w:color w:val="000000"/>
                <w:sz w:val="18"/>
                <w:szCs w:val="18"/>
                <w:lang w:eastAsia="en-AU"/>
              </w:rPr>
              <w:t>19.7%</w:t>
            </w:r>
          </w:p>
        </w:tc>
        <w:tc>
          <w:tcPr>
            <w:tcW w:w="558" w:type="pct"/>
            <w:tcBorders>
              <w:top w:val="nil"/>
              <w:left w:val="nil"/>
              <w:bottom w:val="single" w:sz="4" w:space="0" w:color="auto"/>
              <w:right w:val="single" w:sz="4" w:space="0" w:color="auto"/>
            </w:tcBorders>
            <w:shd w:val="clear" w:color="auto" w:fill="auto"/>
            <w:noWrap/>
            <w:vAlign w:val="bottom"/>
            <w:hideMark/>
          </w:tcPr>
          <w:p w14:paraId="16E8AB9D" w14:textId="77777777" w:rsidR="009A356E" w:rsidRPr="00C10545" w:rsidRDefault="009A356E" w:rsidP="009A356E">
            <w:pPr>
              <w:jc w:val="center"/>
              <w:rPr>
                <w:color w:val="000000"/>
                <w:sz w:val="18"/>
                <w:szCs w:val="18"/>
                <w:lang w:eastAsia="en-AU"/>
              </w:rPr>
            </w:pPr>
            <w:r w:rsidRPr="00C10545">
              <w:rPr>
                <w:color w:val="000000"/>
                <w:sz w:val="18"/>
                <w:szCs w:val="18"/>
                <w:lang w:eastAsia="en-AU"/>
              </w:rPr>
              <w:t>6.2%</w:t>
            </w:r>
          </w:p>
        </w:tc>
        <w:tc>
          <w:tcPr>
            <w:tcW w:w="517" w:type="pct"/>
            <w:tcBorders>
              <w:top w:val="nil"/>
              <w:left w:val="nil"/>
              <w:bottom w:val="single" w:sz="4" w:space="0" w:color="auto"/>
              <w:right w:val="single" w:sz="4" w:space="0" w:color="auto"/>
            </w:tcBorders>
            <w:shd w:val="clear" w:color="auto" w:fill="auto"/>
            <w:noWrap/>
            <w:vAlign w:val="bottom"/>
            <w:hideMark/>
          </w:tcPr>
          <w:p w14:paraId="770C6413" w14:textId="77777777" w:rsidR="009A356E" w:rsidRPr="00C10545" w:rsidRDefault="009A356E" w:rsidP="009A356E">
            <w:pPr>
              <w:jc w:val="center"/>
              <w:rPr>
                <w:color w:val="000000"/>
                <w:sz w:val="18"/>
                <w:szCs w:val="18"/>
                <w:lang w:eastAsia="en-AU"/>
              </w:rPr>
            </w:pPr>
            <w:r w:rsidRPr="00C10545">
              <w:rPr>
                <w:color w:val="000000"/>
                <w:sz w:val="18"/>
                <w:szCs w:val="18"/>
                <w:lang w:eastAsia="en-AU"/>
              </w:rPr>
              <w:t>3.5%</w:t>
            </w:r>
          </w:p>
        </w:tc>
        <w:tc>
          <w:tcPr>
            <w:tcW w:w="596" w:type="pct"/>
            <w:tcBorders>
              <w:top w:val="nil"/>
              <w:left w:val="nil"/>
              <w:bottom w:val="single" w:sz="4" w:space="0" w:color="auto"/>
              <w:right w:val="single" w:sz="4" w:space="0" w:color="auto"/>
            </w:tcBorders>
            <w:shd w:val="clear" w:color="auto" w:fill="auto"/>
            <w:noWrap/>
            <w:vAlign w:val="bottom"/>
            <w:hideMark/>
          </w:tcPr>
          <w:p w14:paraId="31681607" w14:textId="4991836C" w:rsidR="009A356E" w:rsidRPr="00C10545" w:rsidRDefault="009A356E" w:rsidP="009A356E">
            <w:pPr>
              <w:jc w:val="center"/>
              <w:rPr>
                <w:color w:val="000000"/>
                <w:sz w:val="18"/>
                <w:szCs w:val="18"/>
                <w:lang w:eastAsia="en-AU"/>
              </w:rPr>
            </w:pPr>
            <w:r w:rsidRPr="00C10545">
              <w:rPr>
                <w:color w:val="000000"/>
                <w:sz w:val="18"/>
                <w:szCs w:val="18"/>
                <w:lang w:eastAsia="en-AU"/>
              </w:rPr>
              <w:t xml:space="preserve"> 4.4 </w:t>
            </w:r>
          </w:p>
        </w:tc>
        <w:tc>
          <w:tcPr>
            <w:tcW w:w="596" w:type="pct"/>
            <w:tcBorders>
              <w:top w:val="nil"/>
              <w:left w:val="nil"/>
              <w:bottom w:val="single" w:sz="4" w:space="0" w:color="auto"/>
              <w:right w:val="single" w:sz="4" w:space="0" w:color="auto"/>
            </w:tcBorders>
            <w:shd w:val="clear" w:color="auto" w:fill="auto"/>
            <w:noWrap/>
            <w:vAlign w:val="bottom"/>
            <w:hideMark/>
          </w:tcPr>
          <w:p w14:paraId="0121DE64" w14:textId="77777777" w:rsidR="009A356E" w:rsidRPr="00C10545" w:rsidRDefault="009A356E" w:rsidP="009A356E">
            <w:pPr>
              <w:jc w:val="right"/>
              <w:rPr>
                <w:color w:val="000000"/>
                <w:sz w:val="18"/>
                <w:szCs w:val="18"/>
                <w:lang w:eastAsia="en-AU"/>
              </w:rPr>
            </w:pPr>
            <w:r w:rsidRPr="00C10545">
              <w:rPr>
                <w:color w:val="000000"/>
                <w:sz w:val="18"/>
                <w:szCs w:val="18"/>
                <w:lang w:eastAsia="en-AU"/>
              </w:rPr>
              <w:t>58%</w:t>
            </w:r>
          </w:p>
        </w:tc>
      </w:tr>
      <w:tr w:rsidR="009A356E" w:rsidRPr="00453D75" w14:paraId="6B038456" w14:textId="77777777" w:rsidTr="009A356E">
        <w:trPr>
          <w:trHeight w:val="240"/>
        </w:trPr>
        <w:tc>
          <w:tcPr>
            <w:tcW w:w="1143" w:type="pct"/>
            <w:tcBorders>
              <w:top w:val="nil"/>
              <w:left w:val="single" w:sz="4" w:space="0" w:color="auto"/>
              <w:bottom w:val="single" w:sz="4" w:space="0" w:color="auto"/>
              <w:right w:val="single" w:sz="4" w:space="0" w:color="auto"/>
            </w:tcBorders>
            <w:shd w:val="clear" w:color="auto" w:fill="auto"/>
            <w:noWrap/>
            <w:vAlign w:val="bottom"/>
            <w:hideMark/>
          </w:tcPr>
          <w:p w14:paraId="182A2092" w14:textId="77777777" w:rsidR="009A356E" w:rsidRPr="00C10545" w:rsidRDefault="009A356E" w:rsidP="009A356E">
            <w:pPr>
              <w:rPr>
                <w:sz w:val="18"/>
                <w:szCs w:val="18"/>
                <w:lang w:eastAsia="en-AU"/>
              </w:rPr>
            </w:pPr>
            <w:r w:rsidRPr="00C10545">
              <w:rPr>
                <w:sz w:val="18"/>
                <w:szCs w:val="18"/>
                <w:lang w:eastAsia="en-AU"/>
              </w:rPr>
              <w:t>Southern Grampians</w:t>
            </w:r>
          </w:p>
        </w:tc>
        <w:tc>
          <w:tcPr>
            <w:tcW w:w="544" w:type="pct"/>
            <w:tcBorders>
              <w:top w:val="nil"/>
              <w:left w:val="nil"/>
              <w:bottom w:val="single" w:sz="4" w:space="0" w:color="auto"/>
              <w:right w:val="single" w:sz="4" w:space="0" w:color="auto"/>
            </w:tcBorders>
            <w:shd w:val="clear" w:color="auto" w:fill="auto"/>
            <w:noWrap/>
            <w:vAlign w:val="bottom"/>
            <w:hideMark/>
          </w:tcPr>
          <w:p w14:paraId="23303CCC" w14:textId="291D5720" w:rsidR="009A356E" w:rsidRPr="00C10545" w:rsidRDefault="009A356E" w:rsidP="009A356E">
            <w:pPr>
              <w:jc w:val="center"/>
              <w:rPr>
                <w:color w:val="000000"/>
                <w:sz w:val="18"/>
                <w:szCs w:val="18"/>
                <w:lang w:eastAsia="en-AU"/>
              </w:rPr>
            </w:pPr>
            <w:r w:rsidRPr="00C10545">
              <w:rPr>
                <w:color w:val="000000"/>
                <w:sz w:val="18"/>
                <w:szCs w:val="18"/>
                <w:lang w:eastAsia="en-AU"/>
              </w:rPr>
              <w:t xml:space="preserve">2.8 </w:t>
            </w:r>
          </w:p>
        </w:tc>
        <w:tc>
          <w:tcPr>
            <w:tcW w:w="530" w:type="pct"/>
            <w:tcBorders>
              <w:top w:val="nil"/>
              <w:left w:val="nil"/>
              <w:bottom w:val="single" w:sz="4" w:space="0" w:color="auto"/>
              <w:right w:val="single" w:sz="4" w:space="0" w:color="auto"/>
            </w:tcBorders>
            <w:shd w:val="clear" w:color="auto" w:fill="auto"/>
            <w:noWrap/>
            <w:vAlign w:val="bottom"/>
            <w:hideMark/>
          </w:tcPr>
          <w:p w14:paraId="0C991F57" w14:textId="74D76A91" w:rsidR="009A356E" w:rsidRPr="00C10545" w:rsidRDefault="009A356E" w:rsidP="009A356E">
            <w:pPr>
              <w:jc w:val="center"/>
              <w:rPr>
                <w:color w:val="000000"/>
                <w:sz w:val="18"/>
                <w:szCs w:val="18"/>
                <w:lang w:eastAsia="en-AU"/>
              </w:rPr>
            </w:pPr>
            <w:r w:rsidRPr="00C10545">
              <w:rPr>
                <w:color w:val="000000"/>
                <w:sz w:val="18"/>
                <w:szCs w:val="18"/>
                <w:lang w:eastAsia="en-AU"/>
              </w:rPr>
              <w:t xml:space="preserve"> 15.3 </w:t>
            </w:r>
          </w:p>
        </w:tc>
        <w:tc>
          <w:tcPr>
            <w:tcW w:w="517" w:type="pct"/>
            <w:tcBorders>
              <w:top w:val="nil"/>
              <w:left w:val="nil"/>
              <w:bottom w:val="single" w:sz="4" w:space="0" w:color="auto"/>
              <w:right w:val="single" w:sz="4" w:space="0" w:color="auto"/>
            </w:tcBorders>
            <w:shd w:val="clear" w:color="auto" w:fill="auto"/>
            <w:noWrap/>
            <w:vAlign w:val="bottom"/>
            <w:hideMark/>
          </w:tcPr>
          <w:p w14:paraId="6953F16E" w14:textId="77777777" w:rsidR="009A356E" w:rsidRPr="00C10545" w:rsidRDefault="009A356E" w:rsidP="009A356E">
            <w:pPr>
              <w:jc w:val="center"/>
              <w:rPr>
                <w:color w:val="000000"/>
                <w:sz w:val="18"/>
                <w:szCs w:val="18"/>
                <w:lang w:eastAsia="en-AU"/>
              </w:rPr>
            </w:pPr>
            <w:r w:rsidRPr="00C10545">
              <w:rPr>
                <w:color w:val="000000"/>
                <w:sz w:val="18"/>
                <w:szCs w:val="18"/>
                <w:lang w:eastAsia="en-AU"/>
              </w:rPr>
              <w:t>18.3%</w:t>
            </w:r>
          </w:p>
        </w:tc>
        <w:tc>
          <w:tcPr>
            <w:tcW w:w="558" w:type="pct"/>
            <w:tcBorders>
              <w:top w:val="nil"/>
              <w:left w:val="nil"/>
              <w:bottom w:val="single" w:sz="4" w:space="0" w:color="auto"/>
              <w:right w:val="single" w:sz="4" w:space="0" w:color="auto"/>
            </w:tcBorders>
            <w:shd w:val="clear" w:color="auto" w:fill="auto"/>
            <w:noWrap/>
            <w:vAlign w:val="bottom"/>
            <w:hideMark/>
          </w:tcPr>
          <w:p w14:paraId="54620095" w14:textId="77777777" w:rsidR="009A356E" w:rsidRPr="00C10545" w:rsidRDefault="009A356E" w:rsidP="009A356E">
            <w:pPr>
              <w:jc w:val="center"/>
              <w:rPr>
                <w:color w:val="000000"/>
                <w:sz w:val="18"/>
                <w:szCs w:val="18"/>
                <w:lang w:eastAsia="en-AU"/>
              </w:rPr>
            </w:pPr>
            <w:r w:rsidRPr="00C10545">
              <w:rPr>
                <w:color w:val="000000"/>
                <w:sz w:val="18"/>
                <w:szCs w:val="18"/>
                <w:lang w:eastAsia="en-AU"/>
              </w:rPr>
              <w:t>5.7%</w:t>
            </w:r>
          </w:p>
        </w:tc>
        <w:tc>
          <w:tcPr>
            <w:tcW w:w="517" w:type="pct"/>
            <w:tcBorders>
              <w:top w:val="nil"/>
              <w:left w:val="nil"/>
              <w:bottom w:val="single" w:sz="4" w:space="0" w:color="auto"/>
              <w:right w:val="single" w:sz="4" w:space="0" w:color="auto"/>
            </w:tcBorders>
            <w:shd w:val="clear" w:color="auto" w:fill="auto"/>
            <w:noWrap/>
            <w:vAlign w:val="bottom"/>
            <w:hideMark/>
          </w:tcPr>
          <w:p w14:paraId="4EBD40C6" w14:textId="77777777" w:rsidR="009A356E" w:rsidRPr="00C10545" w:rsidRDefault="009A356E" w:rsidP="009A356E">
            <w:pPr>
              <w:jc w:val="center"/>
              <w:rPr>
                <w:color w:val="000000"/>
                <w:sz w:val="18"/>
                <w:szCs w:val="18"/>
                <w:lang w:eastAsia="en-AU"/>
              </w:rPr>
            </w:pPr>
            <w:r w:rsidRPr="00C10545">
              <w:rPr>
                <w:color w:val="000000"/>
                <w:sz w:val="18"/>
                <w:szCs w:val="18"/>
                <w:lang w:eastAsia="en-AU"/>
              </w:rPr>
              <w:t>3.3%</w:t>
            </w:r>
          </w:p>
        </w:tc>
        <w:tc>
          <w:tcPr>
            <w:tcW w:w="596" w:type="pct"/>
            <w:tcBorders>
              <w:top w:val="nil"/>
              <w:left w:val="nil"/>
              <w:bottom w:val="single" w:sz="4" w:space="0" w:color="auto"/>
              <w:right w:val="single" w:sz="4" w:space="0" w:color="auto"/>
            </w:tcBorders>
            <w:shd w:val="clear" w:color="auto" w:fill="auto"/>
            <w:noWrap/>
            <w:vAlign w:val="bottom"/>
            <w:hideMark/>
          </w:tcPr>
          <w:p w14:paraId="4D6AD44E" w14:textId="47FE1DD9" w:rsidR="009A356E" w:rsidRPr="00C10545" w:rsidRDefault="009A356E" w:rsidP="009A356E">
            <w:pPr>
              <w:jc w:val="center"/>
              <w:rPr>
                <w:color w:val="000000"/>
                <w:sz w:val="18"/>
                <w:szCs w:val="18"/>
                <w:lang w:eastAsia="en-AU"/>
              </w:rPr>
            </w:pPr>
            <w:r w:rsidRPr="00C10545">
              <w:rPr>
                <w:color w:val="000000"/>
                <w:sz w:val="18"/>
                <w:szCs w:val="18"/>
                <w:lang w:eastAsia="en-AU"/>
              </w:rPr>
              <w:t xml:space="preserve"> 6.0 </w:t>
            </w:r>
          </w:p>
        </w:tc>
        <w:tc>
          <w:tcPr>
            <w:tcW w:w="596" w:type="pct"/>
            <w:tcBorders>
              <w:top w:val="nil"/>
              <w:left w:val="nil"/>
              <w:bottom w:val="single" w:sz="4" w:space="0" w:color="auto"/>
              <w:right w:val="single" w:sz="4" w:space="0" w:color="auto"/>
            </w:tcBorders>
            <w:shd w:val="clear" w:color="auto" w:fill="auto"/>
            <w:noWrap/>
            <w:vAlign w:val="bottom"/>
            <w:hideMark/>
          </w:tcPr>
          <w:p w14:paraId="165F8F27" w14:textId="77777777" w:rsidR="009A356E" w:rsidRPr="00C10545" w:rsidRDefault="009A356E" w:rsidP="009A356E">
            <w:pPr>
              <w:jc w:val="right"/>
              <w:rPr>
                <w:color w:val="000000"/>
                <w:sz w:val="18"/>
                <w:szCs w:val="18"/>
                <w:lang w:eastAsia="en-AU"/>
              </w:rPr>
            </w:pPr>
            <w:r w:rsidRPr="00C10545">
              <w:rPr>
                <w:color w:val="000000"/>
                <w:sz w:val="18"/>
                <w:szCs w:val="18"/>
                <w:lang w:eastAsia="en-AU"/>
              </w:rPr>
              <w:t>47%</w:t>
            </w:r>
          </w:p>
        </w:tc>
      </w:tr>
      <w:tr w:rsidR="009A356E" w:rsidRPr="00453D75" w14:paraId="07CD8E28" w14:textId="77777777" w:rsidTr="009A356E">
        <w:trPr>
          <w:trHeight w:val="240"/>
        </w:trPr>
        <w:tc>
          <w:tcPr>
            <w:tcW w:w="1143" w:type="pct"/>
            <w:tcBorders>
              <w:top w:val="nil"/>
              <w:left w:val="single" w:sz="4" w:space="0" w:color="auto"/>
              <w:bottom w:val="single" w:sz="4" w:space="0" w:color="auto"/>
              <w:right w:val="single" w:sz="4" w:space="0" w:color="auto"/>
            </w:tcBorders>
            <w:shd w:val="clear" w:color="auto" w:fill="auto"/>
            <w:noWrap/>
            <w:vAlign w:val="bottom"/>
            <w:hideMark/>
          </w:tcPr>
          <w:p w14:paraId="00F8C7CA" w14:textId="77777777" w:rsidR="009A356E" w:rsidRPr="00C10545" w:rsidRDefault="009A356E" w:rsidP="009A356E">
            <w:pPr>
              <w:rPr>
                <w:sz w:val="18"/>
                <w:szCs w:val="18"/>
                <w:lang w:eastAsia="en-AU"/>
              </w:rPr>
            </w:pPr>
            <w:proofErr w:type="spellStart"/>
            <w:r w:rsidRPr="00C10545">
              <w:rPr>
                <w:sz w:val="18"/>
                <w:szCs w:val="18"/>
                <w:lang w:eastAsia="en-AU"/>
              </w:rPr>
              <w:t>Gannawarra</w:t>
            </w:r>
            <w:proofErr w:type="spellEnd"/>
          </w:p>
        </w:tc>
        <w:tc>
          <w:tcPr>
            <w:tcW w:w="544" w:type="pct"/>
            <w:tcBorders>
              <w:top w:val="nil"/>
              <w:left w:val="nil"/>
              <w:bottom w:val="single" w:sz="4" w:space="0" w:color="auto"/>
              <w:right w:val="single" w:sz="4" w:space="0" w:color="auto"/>
            </w:tcBorders>
            <w:shd w:val="clear" w:color="auto" w:fill="auto"/>
            <w:noWrap/>
            <w:vAlign w:val="bottom"/>
            <w:hideMark/>
          </w:tcPr>
          <w:p w14:paraId="63153D1D" w14:textId="4E457609" w:rsidR="009A356E" w:rsidRPr="00C10545" w:rsidRDefault="009A356E" w:rsidP="009A356E">
            <w:pPr>
              <w:jc w:val="center"/>
              <w:rPr>
                <w:color w:val="000000"/>
                <w:sz w:val="18"/>
                <w:szCs w:val="18"/>
                <w:lang w:eastAsia="en-AU"/>
              </w:rPr>
            </w:pPr>
            <w:r w:rsidRPr="00C10545">
              <w:rPr>
                <w:color w:val="000000"/>
                <w:sz w:val="18"/>
                <w:szCs w:val="18"/>
                <w:lang w:eastAsia="en-AU"/>
              </w:rPr>
              <w:t xml:space="preserve">1.8 </w:t>
            </w:r>
          </w:p>
        </w:tc>
        <w:tc>
          <w:tcPr>
            <w:tcW w:w="530" w:type="pct"/>
            <w:tcBorders>
              <w:top w:val="nil"/>
              <w:left w:val="nil"/>
              <w:bottom w:val="single" w:sz="4" w:space="0" w:color="auto"/>
              <w:right w:val="single" w:sz="4" w:space="0" w:color="auto"/>
            </w:tcBorders>
            <w:shd w:val="clear" w:color="auto" w:fill="auto"/>
            <w:noWrap/>
            <w:vAlign w:val="bottom"/>
            <w:hideMark/>
          </w:tcPr>
          <w:p w14:paraId="40D66C3C" w14:textId="0A70700B" w:rsidR="009A356E" w:rsidRPr="00C10545" w:rsidRDefault="009A356E" w:rsidP="009A356E">
            <w:pPr>
              <w:jc w:val="center"/>
              <w:rPr>
                <w:color w:val="000000"/>
                <w:sz w:val="18"/>
                <w:szCs w:val="18"/>
                <w:lang w:eastAsia="en-AU"/>
              </w:rPr>
            </w:pPr>
            <w:r w:rsidRPr="00C10545">
              <w:rPr>
                <w:color w:val="000000"/>
                <w:sz w:val="18"/>
                <w:szCs w:val="18"/>
                <w:lang w:eastAsia="en-AU"/>
              </w:rPr>
              <w:t xml:space="preserve"> 10.0 </w:t>
            </w:r>
          </w:p>
        </w:tc>
        <w:tc>
          <w:tcPr>
            <w:tcW w:w="517" w:type="pct"/>
            <w:tcBorders>
              <w:top w:val="nil"/>
              <w:left w:val="nil"/>
              <w:bottom w:val="single" w:sz="4" w:space="0" w:color="auto"/>
              <w:right w:val="single" w:sz="4" w:space="0" w:color="auto"/>
            </w:tcBorders>
            <w:shd w:val="clear" w:color="auto" w:fill="auto"/>
            <w:noWrap/>
            <w:vAlign w:val="bottom"/>
            <w:hideMark/>
          </w:tcPr>
          <w:p w14:paraId="7D0311E9" w14:textId="77777777" w:rsidR="009A356E" w:rsidRPr="00C10545" w:rsidRDefault="009A356E" w:rsidP="009A356E">
            <w:pPr>
              <w:jc w:val="center"/>
              <w:rPr>
                <w:color w:val="000000"/>
                <w:sz w:val="18"/>
                <w:szCs w:val="18"/>
                <w:lang w:eastAsia="en-AU"/>
              </w:rPr>
            </w:pPr>
            <w:r w:rsidRPr="00C10545">
              <w:rPr>
                <w:color w:val="000000"/>
                <w:sz w:val="18"/>
                <w:szCs w:val="18"/>
                <w:lang w:eastAsia="en-AU"/>
              </w:rPr>
              <w:t>18.1%</w:t>
            </w:r>
          </w:p>
        </w:tc>
        <w:tc>
          <w:tcPr>
            <w:tcW w:w="558" w:type="pct"/>
            <w:tcBorders>
              <w:top w:val="nil"/>
              <w:left w:val="nil"/>
              <w:bottom w:val="single" w:sz="4" w:space="0" w:color="auto"/>
              <w:right w:val="single" w:sz="4" w:space="0" w:color="auto"/>
            </w:tcBorders>
            <w:shd w:val="clear" w:color="auto" w:fill="auto"/>
            <w:noWrap/>
            <w:vAlign w:val="bottom"/>
            <w:hideMark/>
          </w:tcPr>
          <w:p w14:paraId="79D308DC" w14:textId="77777777" w:rsidR="009A356E" w:rsidRPr="00C10545" w:rsidRDefault="009A356E" w:rsidP="009A356E">
            <w:pPr>
              <w:jc w:val="center"/>
              <w:rPr>
                <w:color w:val="000000"/>
                <w:sz w:val="18"/>
                <w:szCs w:val="18"/>
                <w:lang w:eastAsia="en-AU"/>
              </w:rPr>
            </w:pPr>
            <w:r w:rsidRPr="00C10545">
              <w:rPr>
                <w:color w:val="000000"/>
                <w:sz w:val="18"/>
                <w:szCs w:val="18"/>
                <w:lang w:eastAsia="en-AU"/>
              </w:rPr>
              <w:t>5.8%</w:t>
            </w:r>
          </w:p>
        </w:tc>
        <w:tc>
          <w:tcPr>
            <w:tcW w:w="517" w:type="pct"/>
            <w:tcBorders>
              <w:top w:val="nil"/>
              <w:left w:val="nil"/>
              <w:bottom w:val="single" w:sz="4" w:space="0" w:color="auto"/>
              <w:right w:val="single" w:sz="4" w:space="0" w:color="auto"/>
            </w:tcBorders>
            <w:shd w:val="clear" w:color="auto" w:fill="auto"/>
            <w:noWrap/>
            <w:vAlign w:val="bottom"/>
            <w:hideMark/>
          </w:tcPr>
          <w:p w14:paraId="3007CB72" w14:textId="77777777" w:rsidR="009A356E" w:rsidRPr="00C10545" w:rsidRDefault="009A356E" w:rsidP="009A356E">
            <w:pPr>
              <w:jc w:val="center"/>
              <w:rPr>
                <w:color w:val="000000"/>
                <w:sz w:val="18"/>
                <w:szCs w:val="18"/>
                <w:lang w:eastAsia="en-AU"/>
              </w:rPr>
            </w:pPr>
            <w:r w:rsidRPr="00C10545">
              <w:rPr>
                <w:color w:val="000000"/>
                <w:sz w:val="18"/>
                <w:szCs w:val="18"/>
                <w:lang w:eastAsia="en-AU"/>
              </w:rPr>
              <w:t>3.3%</w:t>
            </w:r>
          </w:p>
        </w:tc>
        <w:tc>
          <w:tcPr>
            <w:tcW w:w="596" w:type="pct"/>
            <w:tcBorders>
              <w:top w:val="nil"/>
              <w:left w:val="nil"/>
              <w:bottom w:val="single" w:sz="4" w:space="0" w:color="auto"/>
              <w:right w:val="single" w:sz="4" w:space="0" w:color="auto"/>
            </w:tcBorders>
            <w:shd w:val="clear" w:color="auto" w:fill="auto"/>
            <w:noWrap/>
            <w:vAlign w:val="bottom"/>
            <w:hideMark/>
          </w:tcPr>
          <w:p w14:paraId="3614A111" w14:textId="6A665D1E" w:rsidR="009A356E" w:rsidRPr="00C10545" w:rsidRDefault="009A356E" w:rsidP="009A356E">
            <w:pPr>
              <w:jc w:val="center"/>
              <w:rPr>
                <w:color w:val="000000"/>
                <w:sz w:val="18"/>
                <w:szCs w:val="18"/>
                <w:lang w:eastAsia="en-AU"/>
              </w:rPr>
            </w:pPr>
            <w:r w:rsidRPr="00C10545">
              <w:rPr>
                <w:color w:val="000000"/>
                <w:sz w:val="18"/>
                <w:szCs w:val="18"/>
                <w:lang w:eastAsia="en-AU"/>
              </w:rPr>
              <w:t xml:space="preserve"> 5.3 </w:t>
            </w:r>
          </w:p>
        </w:tc>
        <w:tc>
          <w:tcPr>
            <w:tcW w:w="596" w:type="pct"/>
            <w:tcBorders>
              <w:top w:val="nil"/>
              <w:left w:val="nil"/>
              <w:bottom w:val="single" w:sz="4" w:space="0" w:color="auto"/>
              <w:right w:val="single" w:sz="4" w:space="0" w:color="auto"/>
            </w:tcBorders>
            <w:shd w:val="clear" w:color="auto" w:fill="auto"/>
            <w:noWrap/>
            <w:vAlign w:val="bottom"/>
            <w:hideMark/>
          </w:tcPr>
          <w:p w14:paraId="5073DC0C" w14:textId="77777777" w:rsidR="009A356E" w:rsidRPr="00C10545" w:rsidRDefault="009A356E" w:rsidP="009A356E">
            <w:pPr>
              <w:jc w:val="right"/>
              <w:rPr>
                <w:color w:val="000000"/>
                <w:sz w:val="18"/>
                <w:szCs w:val="18"/>
                <w:lang w:eastAsia="en-AU"/>
              </w:rPr>
            </w:pPr>
            <w:r w:rsidRPr="00C10545">
              <w:rPr>
                <w:color w:val="000000"/>
                <w:sz w:val="18"/>
                <w:szCs w:val="18"/>
                <w:lang w:eastAsia="en-AU"/>
              </w:rPr>
              <w:t>34%</w:t>
            </w:r>
          </w:p>
        </w:tc>
      </w:tr>
      <w:tr w:rsidR="009A356E" w:rsidRPr="00453D75" w14:paraId="43C1EE43" w14:textId="77777777" w:rsidTr="009A356E">
        <w:trPr>
          <w:trHeight w:val="240"/>
        </w:trPr>
        <w:tc>
          <w:tcPr>
            <w:tcW w:w="1143" w:type="pct"/>
            <w:tcBorders>
              <w:top w:val="nil"/>
              <w:left w:val="single" w:sz="4" w:space="0" w:color="auto"/>
              <w:bottom w:val="single" w:sz="4" w:space="0" w:color="auto"/>
              <w:right w:val="single" w:sz="4" w:space="0" w:color="auto"/>
            </w:tcBorders>
            <w:shd w:val="clear" w:color="auto" w:fill="auto"/>
            <w:noWrap/>
            <w:vAlign w:val="bottom"/>
            <w:hideMark/>
          </w:tcPr>
          <w:p w14:paraId="73D3472E" w14:textId="77777777" w:rsidR="009A356E" w:rsidRPr="00C10545" w:rsidRDefault="009A356E" w:rsidP="009A356E">
            <w:pPr>
              <w:rPr>
                <w:sz w:val="18"/>
                <w:szCs w:val="18"/>
                <w:lang w:eastAsia="en-AU"/>
              </w:rPr>
            </w:pPr>
            <w:r w:rsidRPr="00C10545">
              <w:rPr>
                <w:sz w:val="18"/>
                <w:szCs w:val="18"/>
                <w:lang w:eastAsia="en-AU"/>
              </w:rPr>
              <w:t>Swan Hill</w:t>
            </w:r>
          </w:p>
        </w:tc>
        <w:tc>
          <w:tcPr>
            <w:tcW w:w="544" w:type="pct"/>
            <w:tcBorders>
              <w:top w:val="nil"/>
              <w:left w:val="nil"/>
              <w:bottom w:val="single" w:sz="4" w:space="0" w:color="auto"/>
              <w:right w:val="single" w:sz="4" w:space="0" w:color="auto"/>
            </w:tcBorders>
            <w:shd w:val="clear" w:color="auto" w:fill="auto"/>
            <w:noWrap/>
            <w:vAlign w:val="bottom"/>
            <w:hideMark/>
          </w:tcPr>
          <w:p w14:paraId="0B5EA7D3" w14:textId="301D0755" w:rsidR="009A356E" w:rsidRPr="00C10545" w:rsidRDefault="009A356E" w:rsidP="009A356E">
            <w:pPr>
              <w:jc w:val="center"/>
              <w:rPr>
                <w:color w:val="000000"/>
                <w:sz w:val="18"/>
                <w:szCs w:val="18"/>
                <w:lang w:eastAsia="en-AU"/>
              </w:rPr>
            </w:pPr>
            <w:r w:rsidRPr="00C10545">
              <w:rPr>
                <w:color w:val="000000"/>
                <w:sz w:val="18"/>
                <w:szCs w:val="18"/>
                <w:lang w:eastAsia="en-AU"/>
              </w:rPr>
              <w:t xml:space="preserve">4.0 </w:t>
            </w:r>
          </w:p>
        </w:tc>
        <w:tc>
          <w:tcPr>
            <w:tcW w:w="530" w:type="pct"/>
            <w:tcBorders>
              <w:top w:val="nil"/>
              <w:left w:val="nil"/>
              <w:bottom w:val="single" w:sz="4" w:space="0" w:color="auto"/>
              <w:right w:val="single" w:sz="4" w:space="0" w:color="auto"/>
            </w:tcBorders>
            <w:shd w:val="clear" w:color="auto" w:fill="auto"/>
            <w:noWrap/>
            <w:vAlign w:val="bottom"/>
            <w:hideMark/>
          </w:tcPr>
          <w:p w14:paraId="495903B9" w14:textId="364A19AD" w:rsidR="009A356E" w:rsidRPr="00C10545" w:rsidRDefault="009A356E" w:rsidP="009A356E">
            <w:pPr>
              <w:jc w:val="center"/>
              <w:rPr>
                <w:color w:val="000000"/>
                <w:sz w:val="18"/>
                <w:szCs w:val="18"/>
                <w:lang w:eastAsia="en-AU"/>
              </w:rPr>
            </w:pPr>
            <w:r w:rsidRPr="00C10545">
              <w:rPr>
                <w:color w:val="000000"/>
                <w:sz w:val="18"/>
                <w:szCs w:val="18"/>
                <w:lang w:eastAsia="en-AU"/>
              </w:rPr>
              <w:t xml:space="preserve"> 22.0 </w:t>
            </w:r>
          </w:p>
        </w:tc>
        <w:tc>
          <w:tcPr>
            <w:tcW w:w="517" w:type="pct"/>
            <w:tcBorders>
              <w:top w:val="nil"/>
              <w:left w:val="nil"/>
              <w:bottom w:val="single" w:sz="4" w:space="0" w:color="auto"/>
              <w:right w:val="single" w:sz="4" w:space="0" w:color="auto"/>
            </w:tcBorders>
            <w:shd w:val="clear" w:color="auto" w:fill="auto"/>
            <w:noWrap/>
            <w:vAlign w:val="bottom"/>
            <w:hideMark/>
          </w:tcPr>
          <w:p w14:paraId="76F0A147" w14:textId="77777777" w:rsidR="009A356E" w:rsidRPr="00C10545" w:rsidRDefault="009A356E" w:rsidP="009A356E">
            <w:pPr>
              <w:jc w:val="center"/>
              <w:rPr>
                <w:color w:val="000000"/>
                <w:sz w:val="18"/>
                <w:szCs w:val="18"/>
                <w:lang w:eastAsia="en-AU"/>
              </w:rPr>
            </w:pPr>
            <w:r w:rsidRPr="00C10545">
              <w:rPr>
                <w:color w:val="000000"/>
                <w:sz w:val="18"/>
                <w:szCs w:val="18"/>
                <w:lang w:eastAsia="en-AU"/>
              </w:rPr>
              <w:t>18.1%</w:t>
            </w:r>
          </w:p>
        </w:tc>
        <w:tc>
          <w:tcPr>
            <w:tcW w:w="558" w:type="pct"/>
            <w:tcBorders>
              <w:top w:val="nil"/>
              <w:left w:val="nil"/>
              <w:bottom w:val="single" w:sz="4" w:space="0" w:color="auto"/>
              <w:right w:val="single" w:sz="4" w:space="0" w:color="auto"/>
            </w:tcBorders>
            <w:shd w:val="clear" w:color="auto" w:fill="auto"/>
            <w:noWrap/>
            <w:vAlign w:val="bottom"/>
            <w:hideMark/>
          </w:tcPr>
          <w:p w14:paraId="08680F2B" w14:textId="77777777" w:rsidR="009A356E" w:rsidRPr="00C10545" w:rsidRDefault="009A356E" w:rsidP="009A356E">
            <w:pPr>
              <w:jc w:val="center"/>
              <w:rPr>
                <w:color w:val="000000"/>
                <w:sz w:val="18"/>
                <w:szCs w:val="18"/>
                <w:lang w:eastAsia="en-AU"/>
              </w:rPr>
            </w:pPr>
            <w:r w:rsidRPr="00C10545">
              <w:rPr>
                <w:color w:val="000000"/>
                <w:sz w:val="18"/>
                <w:szCs w:val="18"/>
                <w:lang w:eastAsia="en-AU"/>
              </w:rPr>
              <w:t>5.8%</w:t>
            </w:r>
          </w:p>
        </w:tc>
        <w:tc>
          <w:tcPr>
            <w:tcW w:w="517" w:type="pct"/>
            <w:tcBorders>
              <w:top w:val="nil"/>
              <w:left w:val="nil"/>
              <w:bottom w:val="single" w:sz="4" w:space="0" w:color="auto"/>
              <w:right w:val="single" w:sz="4" w:space="0" w:color="auto"/>
            </w:tcBorders>
            <w:shd w:val="clear" w:color="auto" w:fill="auto"/>
            <w:noWrap/>
            <w:vAlign w:val="bottom"/>
            <w:hideMark/>
          </w:tcPr>
          <w:p w14:paraId="1B1A872A" w14:textId="77777777" w:rsidR="009A356E" w:rsidRPr="00C10545" w:rsidRDefault="009A356E" w:rsidP="009A356E">
            <w:pPr>
              <w:jc w:val="center"/>
              <w:rPr>
                <w:color w:val="000000"/>
                <w:sz w:val="18"/>
                <w:szCs w:val="18"/>
                <w:lang w:eastAsia="en-AU"/>
              </w:rPr>
            </w:pPr>
            <w:r w:rsidRPr="00C10545">
              <w:rPr>
                <w:color w:val="000000"/>
                <w:sz w:val="18"/>
                <w:szCs w:val="18"/>
                <w:lang w:eastAsia="en-AU"/>
              </w:rPr>
              <w:t>3.3%</w:t>
            </w:r>
          </w:p>
        </w:tc>
        <w:tc>
          <w:tcPr>
            <w:tcW w:w="596" w:type="pct"/>
            <w:tcBorders>
              <w:top w:val="nil"/>
              <w:left w:val="nil"/>
              <w:bottom w:val="single" w:sz="4" w:space="0" w:color="auto"/>
              <w:right w:val="single" w:sz="4" w:space="0" w:color="auto"/>
            </w:tcBorders>
            <w:shd w:val="clear" w:color="auto" w:fill="auto"/>
            <w:noWrap/>
            <w:vAlign w:val="bottom"/>
            <w:hideMark/>
          </w:tcPr>
          <w:p w14:paraId="63C025FB" w14:textId="44DC9CA3" w:rsidR="009A356E" w:rsidRPr="00C10545" w:rsidRDefault="009A356E" w:rsidP="009A356E">
            <w:pPr>
              <w:jc w:val="center"/>
              <w:rPr>
                <w:color w:val="000000"/>
                <w:sz w:val="18"/>
                <w:szCs w:val="18"/>
                <w:lang w:eastAsia="en-AU"/>
              </w:rPr>
            </w:pPr>
            <w:r w:rsidRPr="00C10545">
              <w:rPr>
                <w:color w:val="000000"/>
                <w:sz w:val="18"/>
                <w:szCs w:val="18"/>
                <w:lang w:eastAsia="en-AU"/>
              </w:rPr>
              <w:t xml:space="preserve"> 7.1 </w:t>
            </w:r>
          </w:p>
        </w:tc>
        <w:tc>
          <w:tcPr>
            <w:tcW w:w="596" w:type="pct"/>
            <w:tcBorders>
              <w:top w:val="nil"/>
              <w:left w:val="nil"/>
              <w:bottom w:val="single" w:sz="4" w:space="0" w:color="auto"/>
              <w:right w:val="single" w:sz="4" w:space="0" w:color="auto"/>
            </w:tcBorders>
            <w:shd w:val="clear" w:color="auto" w:fill="auto"/>
            <w:noWrap/>
            <w:vAlign w:val="bottom"/>
            <w:hideMark/>
          </w:tcPr>
          <w:p w14:paraId="5D7DF236" w14:textId="77777777" w:rsidR="009A356E" w:rsidRPr="00C10545" w:rsidRDefault="009A356E" w:rsidP="009A356E">
            <w:pPr>
              <w:jc w:val="right"/>
              <w:rPr>
                <w:color w:val="000000"/>
                <w:sz w:val="18"/>
                <w:szCs w:val="18"/>
                <w:lang w:eastAsia="en-AU"/>
              </w:rPr>
            </w:pPr>
            <w:r w:rsidRPr="00C10545">
              <w:rPr>
                <w:color w:val="000000"/>
                <w:sz w:val="18"/>
                <w:szCs w:val="18"/>
                <w:lang w:eastAsia="en-AU"/>
              </w:rPr>
              <w:t>56%</w:t>
            </w:r>
          </w:p>
        </w:tc>
      </w:tr>
      <w:tr w:rsidR="009A356E" w:rsidRPr="00453D75" w14:paraId="6BFEAC68" w14:textId="77777777" w:rsidTr="009A356E">
        <w:trPr>
          <w:trHeight w:val="240"/>
        </w:trPr>
        <w:tc>
          <w:tcPr>
            <w:tcW w:w="1143" w:type="pct"/>
            <w:tcBorders>
              <w:top w:val="nil"/>
              <w:left w:val="single" w:sz="4" w:space="0" w:color="auto"/>
              <w:bottom w:val="single" w:sz="4" w:space="0" w:color="auto"/>
              <w:right w:val="single" w:sz="4" w:space="0" w:color="auto"/>
            </w:tcBorders>
            <w:shd w:val="clear" w:color="auto" w:fill="auto"/>
            <w:noWrap/>
            <w:vAlign w:val="bottom"/>
            <w:hideMark/>
          </w:tcPr>
          <w:p w14:paraId="01DE68B8" w14:textId="77777777" w:rsidR="009A356E" w:rsidRPr="00C10545" w:rsidRDefault="009A356E" w:rsidP="009A356E">
            <w:pPr>
              <w:rPr>
                <w:sz w:val="18"/>
                <w:szCs w:val="18"/>
                <w:lang w:eastAsia="en-AU"/>
              </w:rPr>
            </w:pPr>
            <w:r w:rsidRPr="00C10545">
              <w:rPr>
                <w:sz w:val="18"/>
                <w:szCs w:val="18"/>
                <w:lang w:eastAsia="en-AU"/>
              </w:rPr>
              <w:t>Warrnambool</w:t>
            </w:r>
          </w:p>
        </w:tc>
        <w:tc>
          <w:tcPr>
            <w:tcW w:w="544" w:type="pct"/>
            <w:tcBorders>
              <w:top w:val="nil"/>
              <w:left w:val="nil"/>
              <w:bottom w:val="single" w:sz="4" w:space="0" w:color="auto"/>
              <w:right w:val="single" w:sz="4" w:space="0" w:color="auto"/>
            </w:tcBorders>
            <w:shd w:val="clear" w:color="auto" w:fill="auto"/>
            <w:noWrap/>
            <w:vAlign w:val="bottom"/>
            <w:hideMark/>
          </w:tcPr>
          <w:p w14:paraId="4C640F4B" w14:textId="7CEB7B4B" w:rsidR="009A356E" w:rsidRPr="00C10545" w:rsidRDefault="009A356E" w:rsidP="009A356E">
            <w:pPr>
              <w:jc w:val="center"/>
              <w:rPr>
                <w:color w:val="000000"/>
                <w:sz w:val="18"/>
                <w:szCs w:val="18"/>
                <w:lang w:eastAsia="en-AU"/>
              </w:rPr>
            </w:pPr>
            <w:r w:rsidRPr="00C10545">
              <w:rPr>
                <w:color w:val="000000"/>
                <w:sz w:val="18"/>
                <w:szCs w:val="18"/>
                <w:lang w:eastAsia="en-AU"/>
              </w:rPr>
              <w:t xml:space="preserve">4.8 </w:t>
            </w:r>
          </w:p>
        </w:tc>
        <w:tc>
          <w:tcPr>
            <w:tcW w:w="530" w:type="pct"/>
            <w:tcBorders>
              <w:top w:val="nil"/>
              <w:left w:val="nil"/>
              <w:bottom w:val="single" w:sz="4" w:space="0" w:color="auto"/>
              <w:right w:val="single" w:sz="4" w:space="0" w:color="auto"/>
            </w:tcBorders>
            <w:shd w:val="clear" w:color="auto" w:fill="auto"/>
            <w:noWrap/>
            <w:vAlign w:val="bottom"/>
            <w:hideMark/>
          </w:tcPr>
          <w:p w14:paraId="35AB8FC8" w14:textId="02012704" w:rsidR="009A356E" w:rsidRPr="00C10545" w:rsidRDefault="009A356E" w:rsidP="009A356E">
            <w:pPr>
              <w:jc w:val="center"/>
              <w:rPr>
                <w:color w:val="000000"/>
                <w:sz w:val="18"/>
                <w:szCs w:val="18"/>
                <w:lang w:eastAsia="en-AU"/>
              </w:rPr>
            </w:pPr>
            <w:r w:rsidRPr="00C10545">
              <w:rPr>
                <w:color w:val="000000"/>
                <w:sz w:val="18"/>
                <w:szCs w:val="18"/>
                <w:lang w:eastAsia="en-AU"/>
              </w:rPr>
              <w:t xml:space="preserve"> 27.6 </w:t>
            </w:r>
          </w:p>
        </w:tc>
        <w:tc>
          <w:tcPr>
            <w:tcW w:w="517" w:type="pct"/>
            <w:tcBorders>
              <w:top w:val="nil"/>
              <w:left w:val="nil"/>
              <w:bottom w:val="single" w:sz="4" w:space="0" w:color="auto"/>
              <w:right w:val="single" w:sz="4" w:space="0" w:color="auto"/>
            </w:tcBorders>
            <w:shd w:val="clear" w:color="auto" w:fill="auto"/>
            <w:noWrap/>
            <w:vAlign w:val="bottom"/>
            <w:hideMark/>
          </w:tcPr>
          <w:p w14:paraId="11B7CCD7" w14:textId="77777777" w:rsidR="009A356E" w:rsidRPr="00C10545" w:rsidRDefault="009A356E" w:rsidP="009A356E">
            <w:pPr>
              <w:jc w:val="center"/>
              <w:rPr>
                <w:color w:val="000000"/>
                <w:sz w:val="18"/>
                <w:szCs w:val="18"/>
                <w:lang w:eastAsia="en-AU"/>
              </w:rPr>
            </w:pPr>
            <w:r w:rsidRPr="00C10545">
              <w:rPr>
                <w:color w:val="000000"/>
                <w:sz w:val="18"/>
                <w:szCs w:val="18"/>
                <w:lang w:eastAsia="en-AU"/>
              </w:rPr>
              <w:t>17.4%</w:t>
            </w:r>
          </w:p>
        </w:tc>
        <w:tc>
          <w:tcPr>
            <w:tcW w:w="558" w:type="pct"/>
            <w:tcBorders>
              <w:top w:val="nil"/>
              <w:left w:val="nil"/>
              <w:bottom w:val="single" w:sz="4" w:space="0" w:color="auto"/>
              <w:right w:val="single" w:sz="4" w:space="0" w:color="auto"/>
            </w:tcBorders>
            <w:shd w:val="clear" w:color="auto" w:fill="auto"/>
            <w:noWrap/>
            <w:vAlign w:val="bottom"/>
            <w:hideMark/>
          </w:tcPr>
          <w:p w14:paraId="533A1E22" w14:textId="77777777" w:rsidR="009A356E" w:rsidRPr="00C10545" w:rsidRDefault="009A356E" w:rsidP="009A356E">
            <w:pPr>
              <w:jc w:val="center"/>
              <w:rPr>
                <w:color w:val="000000"/>
                <w:sz w:val="18"/>
                <w:szCs w:val="18"/>
                <w:lang w:eastAsia="en-AU"/>
              </w:rPr>
            </w:pPr>
            <w:r w:rsidRPr="00C10545">
              <w:rPr>
                <w:color w:val="000000"/>
                <w:sz w:val="18"/>
                <w:szCs w:val="18"/>
                <w:lang w:eastAsia="en-AU"/>
              </w:rPr>
              <w:t>5.5%</w:t>
            </w:r>
          </w:p>
        </w:tc>
        <w:tc>
          <w:tcPr>
            <w:tcW w:w="517" w:type="pct"/>
            <w:tcBorders>
              <w:top w:val="nil"/>
              <w:left w:val="nil"/>
              <w:bottom w:val="single" w:sz="4" w:space="0" w:color="auto"/>
              <w:right w:val="single" w:sz="4" w:space="0" w:color="auto"/>
            </w:tcBorders>
            <w:shd w:val="clear" w:color="auto" w:fill="auto"/>
            <w:noWrap/>
            <w:vAlign w:val="bottom"/>
            <w:hideMark/>
          </w:tcPr>
          <w:p w14:paraId="77A2E9DF" w14:textId="77777777" w:rsidR="009A356E" w:rsidRPr="00C10545" w:rsidRDefault="009A356E" w:rsidP="009A356E">
            <w:pPr>
              <w:jc w:val="center"/>
              <w:rPr>
                <w:color w:val="000000"/>
                <w:sz w:val="18"/>
                <w:szCs w:val="18"/>
                <w:lang w:eastAsia="en-AU"/>
              </w:rPr>
            </w:pPr>
            <w:r w:rsidRPr="00C10545">
              <w:rPr>
                <w:color w:val="000000"/>
                <w:sz w:val="18"/>
                <w:szCs w:val="18"/>
                <w:lang w:eastAsia="en-AU"/>
              </w:rPr>
              <w:t>3.1%</w:t>
            </w:r>
          </w:p>
        </w:tc>
        <w:tc>
          <w:tcPr>
            <w:tcW w:w="596" w:type="pct"/>
            <w:tcBorders>
              <w:top w:val="nil"/>
              <w:left w:val="nil"/>
              <w:bottom w:val="single" w:sz="4" w:space="0" w:color="auto"/>
              <w:right w:val="single" w:sz="4" w:space="0" w:color="auto"/>
            </w:tcBorders>
            <w:shd w:val="clear" w:color="auto" w:fill="auto"/>
            <w:noWrap/>
            <w:vAlign w:val="bottom"/>
            <w:hideMark/>
          </w:tcPr>
          <w:p w14:paraId="3FF302F4" w14:textId="3505785D" w:rsidR="009A356E" w:rsidRPr="00C10545" w:rsidRDefault="009A356E" w:rsidP="009A356E">
            <w:pPr>
              <w:jc w:val="center"/>
              <w:rPr>
                <w:color w:val="000000"/>
                <w:sz w:val="18"/>
                <w:szCs w:val="18"/>
                <w:lang w:eastAsia="en-AU"/>
              </w:rPr>
            </w:pPr>
            <w:r w:rsidRPr="00C10545">
              <w:rPr>
                <w:color w:val="000000"/>
                <w:sz w:val="18"/>
                <w:szCs w:val="18"/>
                <w:lang w:eastAsia="en-AU"/>
              </w:rPr>
              <w:t xml:space="preserve"> 7.6 </w:t>
            </w:r>
          </w:p>
        </w:tc>
        <w:tc>
          <w:tcPr>
            <w:tcW w:w="596" w:type="pct"/>
            <w:tcBorders>
              <w:top w:val="nil"/>
              <w:left w:val="nil"/>
              <w:bottom w:val="single" w:sz="4" w:space="0" w:color="auto"/>
              <w:right w:val="single" w:sz="4" w:space="0" w:color="auto"/>
            </w:tcBorders>
            <w:shd w:val="clear" w:color="auto" w:fill="auto"/>
            <w:noWrap/>
            <w:vAlign w:val="bottom"/>
            <w:hideMark/>
          </w:tcPr>
          <w:p w14:paraId="68C5168A" w14:textId="77777777" w:rsidR="009A356E" w:rsidRPr="00C10545" w:rsidRDefault="009A356E" w:rsidP="009A356E">
            <w:pPr>
              <w:jc w:val="right"/>
              <w:rPr>
                <w:color w:val="000000"/>
                <w:sz w:val="18"/>
                <w:szCs w:val="18"/>
                <w:lang w:eastAsia="en-AU"/>
              </w:rPr>
            </w:pPr>
            <w:r w:rsidRPr="00C10545">
              <w:rPr>
                <w:color w:val="000000"/>
                <w:sz w:val="18"/>
                <w:szCs w:val="18"/>
                <w:lang w:eastAsia="en-AU"/>
              </w:rPr>
              <w:t>63%</w:t>
            </w:r>
          </w:p>
        </w:tc>
      </w:tr>
      <w:tr w:rsidR="009A356E" w:rsidRPr="00453D75" w14:paraId="66D62BA3" w14:textId="77777777" w:rsidTr="009A356E">
        <w:trPr>
          <w:trHeight w:val="240"/>
        </w:trPr>
        <w:tc>
          <w:tcPr>
            <w:tcW w:w="1143" w:type="pct"/>
            <w:tcBorders>
              <w:top w:val="nil"/>
              <w:left w:val="single" w:sz="4" w:space="0" w:color="auto"/>
              <w:bottom w:val="single" w:sz="4" w:space="0" w:color="auto"/>
              <w:right w:val="single" w:sz="4" w:space="0" w:color="auto"/>
            </w:tcBorders>
            <w:shd w:val="clear" w:color="auto" w:fill="auto"/>
            <w:noWrap/>
            <w:vAlign w:val="bottom"/>
            <w:hideMark/>
          </w:tcPr>
          <w:p w14:paraId="242910C9" w14:textId="77777777" w:rsidR="009A356E" w:rsidRPr="00C10545" w:rsidRDefault="009A356E" w:rsidP="009A356E">
            <w:pPr>
              <w:rPr>
                <w:sz w:val="18"/>
                <w:szCs w:val="18"/>
                <w:lang w:eastAsia="en-AU"/>
              </w:rPr>
            </w:pPr>
            <w:r w:rsidRPr="00C10545">
              <w:rPr>
                <w:sz w:val="18"/>
                <w:szCs w:val="18"/>
                <w:lang w:eastAsia="en-AU"/>
              </w:rPr>
              <w:t>Corangamite</w:t>
            </w:r>
          </w:p>
        </w:tc>
        <w:tc>
          <w:tcPr>
            <w:tcW w:w="544" w:type="pct"/>
            <w:tcBorders>
              <w:top w:val="nil"/>
              <w:left w:val="nil"/>
              <w:bottom w:val="single" w:sz="4" w:space="0" w:color="auto"/>
              <w:right w:val="single" w:sz="4" w:space="0" w:color="auto"/>
            </w:tcBorders>
            <w:shd w:val="clear" w:color="auto" w:fill="auto"/>
            <w:noWrap/>
            <w:vAlign w:val="bottom"/>
            <w:hideMark/>
          </w:tcPr>
          <w:p w14:paraId="5675C45D" w14:textId="7486CF03" w:rsidR="009A356E" w:rsidRPr="00C10545" w:rsidRDefault="009A356E" w:rsidP="009A356E">
            <w:pPr>
              <w:jc w:val="center"/>
              <w:rPr>
                <w:color w:val="000000"/>
                <w:sz w:val="18"/>
                <w:szCs w:val="18"/>
                <w:lang w:eastAsia="en-AU"/>
              </w:rPr>
            </w:pPr>
            <w:r w:rsidRPr="00C10545">
              <w:rPr>
                <w:color w:val="000000"/>
                <w:sz w:val="18"/>
                <w:szCs w:val="18"/>
                <w:lang w:eastAsia="en-AU"/>
              </w:rPr>
              <w:t xml:space="preserve">2.9 </w:t>
            </w:r>
          </w:p>
        </w:tc>
        <w:tc>
          <w:tcPr>
            <w:tcW w:w="530" w:type="pct"/>
            <w:tcBorders>
              <w:top w:val="nil"/>
              <w:left w:val="nil"/>
              <w:bottom w:val="single" w:sz="4" w:space="0" w:color="auto"/>
              <w:right w:val="single" w:sz="4" w:space="0" w:color="auto"/>
            </w:tcBorders>
            <w:shd w:val="clear" w:color="auto" w:fill="auto"/>
            <w:noWrap/>
            <w:vAlign w:val="bottom"/>
            <w:hideMark/>
          </w:tcPr>
          <w:p w14:paraId="7EFAF95A" w14:textId="6E13228B" w:rsidR="009A356E" w:rsidRPr="00C10545" w:rsidRDefault="009A356E" w:rsidP="009A356E">
            <w:pPr>
              <w:jc w:val="center"/>
              <w:rPr>
                <w:color w:val="000000"/>
                <w:sz w:val="18"/>
                <w:szCs w:val="18"/>
                <w:lang w:eastAsia="en-AU"/>
              </w:rPr>
            </w:pPr>
            <w:r w:rsidRPr="00C10545">
              <w:rPr>
                <w:color w:val="000000"/>
                <w:sz w:val="18"/>
                <w:szCs w:val="18"/>
                <w:lang w:eastAsia="en-AU"/>
              </w:rPr>
              <w:t xml:space="preserve"> 16.9 </w:t>
            </w:r>
          </w:p>
        </w:tc>
        <w:tc>
          <w:tcPr>
            <w:tcW w:w="517" w:type="pct"/>
            <w:tcBorders>
              <w:top w:val="nil"/>
              <w:left w:val="nil"/>
              <w:bottom w:val="single" w:sz="4" w:space="0" w:color="auto"/>
              <w:right w:val="single" w:sz="4" w:space="0" w:color="auto"/>
            </w:tcBorders>
            <w:shd w:val="clear" w:color="auto" w:fill="auto"/>
            <w:noWrap/>
            <w:vAlign w:val="bottom"/>
            <w:hideMark/>
          </w:tcPr>
          <w:p w14:paraId="7D3CDC2A" w14:textId="77777777" w:rsidR="009A356E" w:rsidRPr="00C10545" w:rsidRDefault="009A356E" w:rsidP="009A356E">
            <w:pPr>
              <w:jc w:val="center"/>
              <w:rPr>
                <w:color w:val="000000"/>
                <w:sz w:val="18"/>
                <w:szCs w:val="18"/>
                <w:lang w:eastAsia="en-AU"/>
              </w:rPr>
            </w:pPr>
            <w:r w:rsidRPr="00C10545">
              <w:rPr>
                <w:color w:val="000000"/>
                <w:sz w:val="18"/>
                <w:szCs w:val="18"/>
                <w:lang w:eastAsia="en-AU"/>
              </w:rPr>
              <w:t>17.2%</w:t>
            </w:r>
          </w:p>
        </w:tc>
        <w:tc>
          <w:tcPr>
            <w:tcW w:w="558" w:type="pct"/>
            <w:tcBorders>
              <w:top w:val="nil"/>
              <w:left w:val="nil"/>
              <w:bottom w:val="single" w:sz="4" w:space="0" w:color="auto"/>
              <w:right w:val="single" w:sz="4" w:space="0" w:color="auto"/>
            </w:tcBorders>
            <w:shd w:val="clear" w:color="auto" w:fill="auto"/>
            <w:noWrap/>
            <w:vAlign w:val="bottom"/>
            <w:hideMark/>
          </w:tcPr>
          <w:p w14:paraId="22D73BCF" w14:textId="77777777" w:rsidR="009A356E" w:rsidRPr="00C10545" w:rsidRDefault="009A356E" w:rsidP="009A356E">
            <w:pPr>
              <w:jc w:val="center"/>
              <w:rPr>
                <w:color w:val="000000"/>
                <w:sz w:val="18"/>
                <w:szCs w:val="18"/>
                <w:lang w:eastAsia="en-AU"/>
              </w:rPr>
            </w:pPr>
            <w:r w:rsidRPr="00C10545">
              <w:rPr>
                <w:color w:val="000000"/>
                <w:sz w:val="18"/>
                <w:szCs w:val="18"/>
                <w:lang w:eastAsia="en-AU"/>
              </w:rPr>
              <w:t>5.4%</w:t>
            </w:r>
          </w:p>
        </w:tc>
        <w:tc>
          <w:tcPr>
            <w:tcW w:w="517" w:type="pct"/>
            <w:tcBorders>
              <w:top w:val="nil"/>
              <w:left w:val="nil"/>
              <w:bottom w:val="single" w:sz="4" w:space="0" w:color="auto"/>
              <w:right w:val="single" w:sz="4" w:space="0" w:color="auto"/>
            </w:tcBorders>
            <w:shd w:val="clear" w:color="auto" w:fill="auto"/>
            <w:noWrap/>
            <w:vAlign w:val="bottom"/>
            <w:hideMark/>
          </w:tcPr>
          <w:p w14:paraId="361E341D" w14:textId="77777777" w:rsidR="009A356E" w:rsidRPr="00C10545" w:rsidRDefault="009A356E" w:rsidP="009A356E">
            <w:pPr>
              <w:jc w:val="center"/>
              <w:rPr>
                <w:color w:val="000000"/>
                <w:sz w:val="18"/>
                <w:szCs w:val="18"/>
                <w:lang w:eastAsia="en-AU"/>
              </w:rPr>
            </w:pPr>
            <w:r w:rsidRPr="00C10545">
              <w:rPr>
                <w:color w:val="000000"/>
                <w:sz w:val="18"/>
                <w:szCs w:val="18"/>
                <w:lang w:eastAsia="en-AU"/>
              </w:rPr>
              <w:t>3.1%</w:t>
            </w:r>
          </w:p>
        </w:tc>
        <w:tc>
          <w:tcPr>
            <w:tcW w:w="596" w:type="pct"/>
            <w:tcBorders>
              <w:top w:val="nil"/>
              <w:left w:val="nil"/>
              <w:bottom w:val="single" w:sz="4" w:space="0" w:color="auto"/>
              <w:right w:val="single" w:sz="4" w:space="0" w:color="auto"/>
            </w:tcBorders>
            <w:shd w:val="clear" w:color="auto" w:fill="auto"/>
            <w:noWrap/>
            <w:vAlign w:val="bottom"/>
            <w:hideMark/>
          </w:tcPr>
          <w:p w14:paraId="3FC2140D" w14:textId="1A75A1D1" w:rsidR="009A356E" w:rsidRPr="00C10545" w:rsidRDefault="009A356E" w:rsidP="009A356E">
            <w:pPr>
              <w:jc w:val="center"/>
              <w:rPr>
                <w:color w:val="000000"/>
                <w:sz w:val="18"/>
                <w:szCs w:val="18"/>
                <w:lang w:eastAsia="en-AU"/>
              </w:rPr>
            </w:pPr>
            <w:r w:rsidRPr="00C10545">
              <w:rPr>
                <w:color w:val="000000"/>
                <w:sz w:val="18"/>
                <w:szCs w:val="18"/>
                <w:lang w:eastAsia="en-AU"/>
              </w:rPr>
              <w:t xml:space="preserve"> 6.2 </w:t>
            </w:r>
          </w:p>
        </w:tc>
        <w:tc>
          <w:tcPr>
            <w:tcW w:w="596" w:type="pct"/>
            <w:tcBorders>
              <w:top w:val="nil"/>
              <w:left w:val="nil"/>
              <w:bottom w:val="single" w:sz="4" w:space="0" w:color="auto"/>
              <w:right w:val="single" w:sz="4" w:space="0" w:color="auto"/>
            </w:tcBorders>
            <w:shd w:val="clear" w:color="auto" w:fill="auto"/>
            <w:noWrap/>
            <w:vAlign w:val="bottom"/>
            <w:hideMark/>
          </w:tcPr>
          <w:p w14:paraId="1388168F" w14:textId="77777777" w:rsidR="009A356E" w:rsidRPr="00C10545" w:rsidRDefault="009A356E" w:rsidP="009A356E">
            <w:pPr>
              <w:jc w:val="right"/>
              <w:rPr>
                <w:color w:val="000000"/>
                <w:sz w:val="18"/>
                <w:szCs w:val="18"/>
                <w:lang w:eastAsia="en-AU"/>
              </w:rPr>
            </w:pPr>
            <w:r w:rsidRPr="00C10545">
              <w:rPr>
                <w:color w:val="000000"/>
                <w:sz w:val="18"/>
                <w:szCs w:val="18"/>
                <w:lang w:eastAsia="en-AU"/>
              </w:rPr>
              <w:t>46%</w:t>
            </w:r>
          </w:p>
        </w:tc>
      </w:tr>
      <w:tr w:rsidR="009A356E" w:rsidRPr="00453D75" w14:paraId="43634330" w14:textId="77777777" w:rsidTr="009A356E">
        <w:trPr>
          <w:trHeight w:val="240"/>
        </w:trPr>
        <w:tc>
          <w:tcPr>
            <w:tcW w:w="1143" w:type="pct"/>
            <w:tcBorders>
              <w:top w:val="nil"/>
              <w:left w:val="single" w:sz="4" w:space="0" w:color="auto"/>
              <w:bottom w:val="single" w:sz="4" w:space="0" w:color="auto"/>
              <w:right w:val="single" w:sz="4" w:space="0" w:color="auto"/>
            </w:tcBorders>
            <w:shd w:val="clear" w:color="auto" w:fill="auto"/>
            <w:noWrap/>
            <w:vAlign w:val="bottom"/>
            <w:hideMark/>
          </w:tcPr>
          <w:p w14:paraId="4154F531" w14:textId="77777777" w:rsidR="009A356E" w:rsidRPr="00C10545" w:rsidRDefault="009A356E" w:rsidP="009A356E">
            <w:pPr>
              <w:rPr>
                <w:sz w:val="18"/>
                <w:szCs w:val="18"/>
                <w:lang w:eastAsia="en-AU"/>
              </w:rPr>
            </w:pPr>
            <w:r w:rsidRPr="00C10545">
              <w:rPr>
                <w:sz w:val="18"/>
                <w:szCs w:val="18"/>
                <w:lang w:eastAsia="en-AU"/>
              </w:rPr>
              <w:t>Moyne</w:t>
            </w:r>
          </w:p>
        </w:tc>
        <w:tc>
          <w:tcPr>
            <w:tcW w:w="544" w:type="pct"/>
            <w:tcBorders>
              <w:top w:val="nil"/>
              <w:left w:val="nil"/>
              <w:bottom w:val="single" w:sz="4" w:space="0" w:color="auto"/>
              <w:right w:val="single" w:sz="4" w:space="0" w:color="auto"/>
            </w:tcBorders>
            <w:shd w:val="clear" w:color="auto" w:fill="auto"/>
            <w:noWrap/>
            <w:vAlign w:val="bottom"/>
            <w:hideMark/>
          </w:tcPr>
          <w:p w14:paraId="734F1EA2" w14:textId="79AA8C45" w:rsidR="009A356E" w:rsidRPr="00C10545" w:rsidRDefault="009A356E" w:rsidP="009A356E">
            <w:pPr>
              <w:jc w:val="center"/>
              <w:rPr>
                <w:color w:val="000000"/>
                <w:sz w:val="18"/>
                <w:szCs w:val="18"/>
                <w:lang w:eastAsia="en-AU"/>
              </w:rPr>
            </w:pPr>
            <w:r w:rsidRPr="00C10545">
              <w:rPr>
                <w:color w:val="000000"/>
                <w:sz w:val="18"/>
                <w:szCs w:val="18"/>
                <w:lang w:eastAsia="en-AU"/>
              </w:rPr>
              <w:t xml:space="preserve">2.8 </w:t>
            </w:r>
          </w:p>
        </w:tc>
        <w:tc>
          <w:tcPr>
            <w:tcW w:w="530" w:type="pct"/>
            <w:tcBorders>
              <w:top w:val="nil"/>
              <w:left w:val="nil"/>
              <w:bottom w:val="single" w:sz="4" w:space="0" w:color="auto"/>
              <w:right w:val="single" w:sz="4" w:space="0" w:color="auto"/>
            </w:tcBorders>
            <w:shd w:val="clear" w:color="auto" w:fill="auto"/>
            <w:noWrap/>
            <w:vAlign w:val="bottom"/>
            <w:hideMark/>
          </w:tcPr>
          <w:p w14:paraId="3D5711C8" w14:textId="6D8A403F" w:rsidR="009A356E" w:rsidRPr="00C10545" w:rsidRDefault="009A356E" w:rsidP="009A356E">
            <w:pPr>
              <w:jc w:val="center"/>
              <w:rPr>
                <w:color w:val="000000"/>
                <w:sz w:val="18"/>
                <w:szCs w:val="18"/>
                <w:lang w:eastAsia="en-AU"/>
              </w:rPr>
            </w:pPr>
            <w:r w:rsidRPr="00C10545">
              <w:rPr>
                <w:color w:val="000000"/>
                <w:sz w:val="18"/>
                <w:szCs w:val="18"/>
                <w:lang w:eastAsia="en-AU"/>
              </w:rPr>
              <w:t xml:space="preserve"> 16.7 </w:t>
            </w:r>
          </w:p>
        </w:tc>
        <w:tc>
          <w:tcPr>
            <w:tcW w:w="517" w:type="pct"/>
            <w:tcBorders>
              <w:top w:val="nil"/>
              <w:left w:val="nil"/>
              <w:bottom w:val="single" w:sz="4" w:space="0" w:color="auto"/>
              <w:right w:val="single" w:sz="4" w:space="0" w:color="auto"/>
            </w:tcBorders>
            <w:shd w:val="clear" w:color="auto" w:fill="auto"/>
            <w:noWrap/>
            <w:vAlign w:val="bottom"/>
            <w:hideMark/>
          </w:tcPr>
          <w:p w14:paraId="5051F2E8" w14:textId="77777777" w:rsidR="009A356E" w:rsidRPr="00C10545" w:rsidRDefault="009A356E" w:rsidP="009A356E">
            <w:pPr>
              <w:jc w:val="center"/>
              <w:rPr>
                <w:color w:val="000000"/>
                <w:sz w:val="18"/>
                <w:szCs w:val="18"/>
                <w:lang w:eastAsia="en-AU"/>
              </w:rPr>
            </w:pPr>
            <w:r w:rsidRPr="00C10545">
              <w:rPr>
                <w:color w:val="000000"/>
                <w:sz w:val="18"/>
                <w:szCs w:val="18"/>
                <w:lang w:eastAsia="en-AU"/>
              </w:rPr>
              <w:t>16.7%</w:t>
            </w:r>
          </w:p>
        </w:tc>
        <w:tc>
          <w:tcPr>
            <w:tcW w:w="558" w:type="pct"/>
            <w:tcBorders>
              <w:top w:val="nil"/>
              <w:left w:val="nil"/>
              <w:bottom w:val="single" w:sz="4" w:space="0" w:color="auto"/>
              <w:right w:val="single" w:sz="4" w:space="0" w:color="auto"/>
            </w:tcBorders>
            <w:shd w:val="clear" w:color="auto" w:fill="auto"/>
            <w:noWrap/>
            <w:vAlign w:val="bottom"/>
            <w:hideMark/>
          </w:tcPr>
          <w:p w14:paraId="72E09288" w14:textId="77777777" w:rsidR="009A356E" w:rsidRPr="00C10545" w:rsidRDefault="009A356E" w:rsidP="009A356E">
            <w:pPr>
              <w:jc w:val="center"/>
              <w:rPr>
                <w:color w:val="000000"/>
                <w:sz w:val="18"/>
                <w:szCs w:val="18"/>
                <w:lang w:eastAsia="en-AU"/>
              </w:rPr>
            </w:pPr>
            <w:r w:rsidRPr="00C10545">
              <w:rPr>
                <w:color w:val="000000"/>
                <w:sz w:val="18"/>
                <w:szCs w:val="18"/>
                <w:lang w:eastAsia="en-AU"/>
              </w:rPr>
              <w:t>5.2%</w:t>
            </w:r>
          </w:p>
        </w:tc>
        <w:tc>
          <w:tcPr>
            <w:tcW w:w="517" w:type="pct"/>
            <w:tcBorders>
              <w:top w:val="nil"/>
              <w:left w:val="nil"/>
              <w:bottom w:val="single" w:sz="4" w:space="0" w:color="auto"/>
              <w:right w:val="single" w:sz="4" w:space="0" w:color="auto"/>
            </w:tcBorders>
            <w:shd w:val="clear" w:color="auto" w:fill="auto"/>
            <w:noWrap/>
            <w:vAlign w:val="bottom"/>
            <w:hideMark/>
          </w:tcPr>
          <w:p w14:paraId="2C626CF5" w14:textId="77777777" w:rsidR="009A356E" w:rsidRPr="00C10545" w:rsidRDefault="009A356E" w:rsidP="009A356E">
            <w:pPr>
              <w:jc w:val="center"/>
              <w:rPr>
                <w:color w:val="000000"/>
                <w:sz w:val="18"/>
                <w:szCs w:val="18"/>
                <w:lang w:eastAsia="en-AU"/>
              </w:rPr>
            </w:pPr>
            <w:r w:rsidRPr="00C10545">
              <w:rPr>
                <w:color w:val="000000"/>
                <w:sz w:val="18"/>
                <w:szCs w:val="18"/>
                <w:lang w:eastAsia="en-AU"/>
              </w:rPr>
              <w:t>3.0%</w:t>
            </w:r>
          </w:p>
        </w:tc>
        <w:tc>
          <w:tcPr>
            <w:tcW w:w="596" w:type="pct"/>
            <w:tcBorders>
              <w:top w:val="nil"/>
              <w:left w:val="nil"/>
              <w:bottom w:val="single" w:sz="4" w:space="0" w:color="auto"/>
              <w:right w:val="single" w:sz="4" w:space="0" w:color="auto"/>
            </w:tcBorders>
            <w:shd w:val="clear" w:color="auto" w:fill="auto"/>
            <w:noWrap/>
            <w:vAlign w:val="bottom"/>
            <w:hideMark/>
          </w:tcPr>
          <w:p w14:paraId="56FACF17" w14:textId="51120E46" w:rsidR="009A356E" w:rsidRPr="00C10545" w:rsidRDefault="009A356E" w:rsidP="009A356E">
            <w:pPr>
              <w:jc w:val="center"/>
              <w:rPr>
                <w:color w:val="000000"/>
                <w:sz w:val="18"/>
                <w:szCs w:val="18"/>
                <w:lang w:eastAsia="en-AU"/>
              </w:rPr>
            </w:pPr>
            <w:r w:rsidRPr="00C10545">
              <w:rPr>
                <w:color w:val="000000"/>
                <w:sz w:val="18"/>
                <w:szCs w:val="18"/>
                <w:lang w:eastAsia="en-AU"/>
              </w:rPr>
              <w:t xml:space="preserve"> 9.2 </w:t>
            </w:r>
          </w:p>
        </w:tc>
        <w:tc>
          <w:tcPr>
            <w:tcW w:w="596" w:type="pct"/>
            <w:tcBorders>
              <w:top w:val="nil"/>
              <w:left w:val="nil"/>
              <w:bottom w:val="single" w:sz="4" w:space="0" w:color="auto"/>
              <w:right w:val="single" w:sz="4" w:space="0" w:color="auto"/>
            </w:tcBorders>
            <w:shd w:val="clear" w:color="auto" w:fill="auto"/>
            <w:noWrap/>
            <w:vAlign w:val="bottom"/>
            <w:hideMark/>
          </w:tcPr>
          <w:p w14:paraId="6EE78842" w14:textId="77777777" w:rsidR="009A356E" w:rsidRPr="00C10545" w:rsidRDefault="009A356E" w:rsidP="009A356E">
            <w:pPr>
              <w:jc w:val="right"/>
              <w:rPr>
                <w:color w:val="000000"/>
                <w:sz w:val="18"/>
                <w:szCs w:val="18"/>
                <w:lang w:eastAsia="en-AU"/>
              </w:rPr>
            </w:pPr>
            <w:r w:rsidRPr="00C10545">
              <w:rPr>
                <w:color w:val="000000"/>
                <w:sz w:val="18"/>
                <w:szCs w:val="18"/>
                <w:lang w:eastAsia="en-AU"/>
              </w:rPr>
              <w:t>30%</w:t>
            </w:r>
          </w:p>
        </w:tc>
      </w:tr>
      <w:tr w:rsidR="009A356E" w:rsidRPr="00453D75" w14:paraId="7DF13416" w14:textId="77777777" w:rsidTr="009A356E">
        <w:trPr>
          <w:trHeight w:val="240"/>
        </w:trPr>
        <w:tc>
          <w:tcPr>
            <w:tcW w:w="1143" w:type="pct"/>
            <w:tcBorders>
              <w:top w:val="nil"/>
              <w:left w:val="single" w:sz="4" w:space="0" w:color="auto"/>
              <w:bottom w:val="single" w:sz="4" w:space="0" w:color="auto"/>
              <w:right w:val="single" w:sz="4" w:space="0" w:color="auto"/>
            </w:tcBorders>
            <w:shd w:val="clear" w:color="auto" w:fill="auto"/>
            <w:noWrap/>
            <w:vAlign w:val="bottom"/>
            <w:hideMark/>
          </w:tcPr>
          <w:p w14:paraId="521561FA" w14:textId="77777777" w:rsidR="009A356E" w:rsidRPr="00C10545" w:rsidRDefault="009A356E" w:rsidP="009A356E">
            <w:pPr>
              <w:rPr>
                <w:sz w:val="18"/>
                <w:szCs w:val="18"/>
                <w:lang w:eastAsia="en-AU"/>
              </w:rPr>
            </w:pPr>
            <w:r w:rsidRPr="00C10545">
              <w:rPr>
                <w:sz w:val="18"/>
                <w:szCs w:val="18"/>
                <w:lang w:eastAsia="en-AU"/>
              </w:rPr>
              <w:t>Towong</w:t>
            </w:r>
          </w:p>
        </w:tc>
        <w:tc>
          <w:tcPr>
            <w:tcW w:w="544" w:type="pct"/>
            <w:tcBorders>
              <w:top w:val="nil"/>
              <w:left w:val="nil"/>
              <w:bottom w:val="single" w:sz="4" w:space="0" w:color="auto"/>
              <w:right w:val="single" w:sz="4" w:space="0" w:color="auto"/>
            </w:tcBorders>
            <w:shd w:val="clear" w:color="auto" w:fill="auto"/>
            <w:noWrap/>
            <w:vAlign w:val="bottom"/>
            <w:hideMark/>
          </w:tcPr>
          <w:p w14:paraId="195C8FFC" w14:textId="6E90914C" w:rsidR="009A356E" w:rsidRPr="00C10545" w:rsidRDefault="009A356E" w:rsidP="009A356E">
            <w:pPr>
              <w:jc w:val="center"/>
              <w:rPr>
                <w:color w:val="000000"/>
                <w:sz w:val="18"/>
                <w:szCs w:val="18"/>
                <w:lang w:eastAsia="en-AU"/>
              </w:rPr>
            </w:pPr>
            <w:r w:rsidRPr="00C10545">
              <w:rPr>
                <w:color w:val="000000"/>
                <w:sz w:val="18"/>
                <w:szCs w:val="18"/>
                <w:lang w:eastAsia="en-AU"/>
              </w:rPr>
              <w:t xml:space="preserve">1.0 </w:t>
            </w:r>
          </w:p>
        </w:tc>
        <w:tc>
          <w:tcPr>
            <w:tcW w:w="530" w:type="pct"/>
            <w:tcBorders>
              <w:top w:val="nil"/>
              <w:left w:val="nil"/>
              <w:bottom w:val="single" w:sz="4" w:space="0" w:color="auto"/>
              <w:right w:val="single" w:sz="4" w:space="0" w:color="auto"/>
            </w:tcBorders>
            <w:shd w:val="clear" w:color="auto" w:fill="auto"/>
            <w:noWrap/>
            <w:vAlign w:val="bottom"/>
            <w:hideMark/>
          </w:tcPr>
          <w:p w14:paraId="0F0C7A10" w14:textId="2BFB3A98" w:rsidR="009A356E" w:rsidRPr="00C10545" w:rsidRDefault="009A356E" w:rsidP="009A356E">
            <w:pPr>
              <w:jc w:val="center"/>
              <w:rPr>
                <w:color w:val="000000"/>
                <w:sz w:val="18"/>
                <w:szCs w:val="18"/>
                <w:lang w:eastAsia="en-AU"/>
              </w:rPr>
            </w:pPr>
            <w:r w:rsidRPr="00C10545">
              <w:rPr>
                <w:color w:val="000000"/>
                <w:sz w:val="18"/>
                <w:szCs w:val="18"/>
                <w:lang w:eastAsia="en-AU"/>
              </w:rPr>
              <w:t xml:space="preserve"> 6.3 </w:t>
            </w:r>
          </w:p>
        </w:tc>
        <w:tc>
          <w:tcPr>
            <w:tcW w:w="517" w:type="pct"/>
            <w:tcBorders>
              <w:top w:val="nil"/>
              <w:left w:val="nil"/>
              <w:bottom w:val="single" w:sz="4" w:space="0" w:color="auto"/>
              <w:right w:val="single" w:sz="4" w:space="0" w:color="auto"/>
            </w:tcBorders>
            <w:shd w:val="clear" w:color="auto" w:fill="auto"/>
            <w:noWrap/>
            <w:vAlign w:val="bottom"/>
            <w:hideMark/>
          </w:tcPr>
          <w:p w14:paraId="6CB35E2C" w14:textId="77777777" w:rsidR="009A356E" w:rsidRPr="00C10545" w:rsidRDefault="009A356E" w:rsidP="009A356E">
            <w:pPr>
              <w:jc w:val="center"/>
              <w:rPr>
                <w:color w:val="000000"/>
                <w:sz w:val="18"/>
                <w:szCs w:val="18"/>
                <w:lang w:eastAsia="en-AU"/>
              </w:rPr>
            </w:pPr>
            <w:r w:rsidRPr="00C10545">
              <w:rPr>
                <w:color w:val="000000"/>
                <w:sz w:val="18"/>
                <w:szCs w:val="18"/>
                <w:lang w:eastAsia="en-AU"/>
              </w:rPr>
              <w:t>16.6%</w:t>
            </w:r>
          </w:p>
        </w:tc>
        <w:tc>
          <w:tcPr>
            <w:tcW w:w="558" w:type="pct"/>
            <w:tcBorders>
              <w:top w:val="nil"/>
              <w:left w:val="nil"/>
              <w:bottom w:val="single" w:sz="4" w:space="0" w:color="auto"/>
              <w:right w:val="single" w:sz="4" w:space="0" w:color="auto"/>
            </w:tcBorders>
            <w:shd w:val="clear" w:color="auto" w:fill="auto"/>
            <w:noWrap/>
            <w:vAlign w:val="bottom"/>
            <w:hideMark/>
          </w:tcPr>
          <w:p w14:paraId="3830BE30" w14:textId="77777777" w:rsidR="009A356E" w:rsidRPr="00C10545" w:rsidRDefault="009A356E" w:rsidP="009A356E">
            <w:pPr>
              <w:jc w:val="center"/>
              <w:rPr>
                <w:color w:val="000000"/>
                <w:sz w:val="18"/>
                <w:szCs w:val="18"/>
                <w:lang w:eastAsia="en-AU"/>
              </w:rPr>
            </w:pPr>
            <w:r w:rsidRPr="00C10545">
              <w:rPr>
                <w:color w:val="000000"/>
                <w:sz w:val="18"/>
                <w:szCs w:val="18"/>
                <w:lang w:eastAsia="en-AU"/>
              </w:rPr>
              <w:t>5.2%</w:t>
            </w:r>
          </w:p>
        </w:tc>
        <w:tc>
          <w:tcPr>
            <w:tcW w:w="517" w:type="pct"/>
            <w:tcBorders>
              <w:top w:val="nil"/>
              <w:left w:val="nil"/>
              <w:bottom w:val="single" w:sz="4" w:space="0" w:color="auto"/>
              <w:right w:val="single" w:sz="4" w:space="0" w:color="auto"/>
            </w:tcBorders>
            <w:shd w:val="clear" w:color="auto" w:fill="auto"/>
            <w:noWrap/>
            <w:vAlign w:val="bottom"/>
            <w:hideMark/>
          </w:tcPr>
          <w:p w14:paraId="40FD092F" w14:textId="77777777" w:rsidR="009A356E" w:rsidRPr="00C10545" w:rsidRDefault="009A356E" w:rsidP="009A356E">
            <w:pPr>
              <w:jc w:val="center"/>
              <w:rPr>
                <w:color w:val="000000"/>
                <w:sz w:val="18"/>
                <w:szCs w:val="18"/>
                <w:lang w:eastAsia="en-AU"/>
              </w:rPr>
            </w:pPr>
            <w:r w:rsidRPr="00C10545">
              <w:rPr>
                <w:color w:val="000000"/>
                <w:sz w:val="18"/>
                <w:szCs w:val="18"/>
                <w:lang w:eastAsia="en-AU"/>
              </w:rPr>
              <w:t>3.0%</w:t>
            </w:r>
          </w:p>
        </w:tc>
        <w:tc>
          <w:tcPr>
            <w:tcW w:w="596" w:type="pct"/>
            <w:tcBorders>
              <w:top w:val="nil"/>
              <w:left w:val="nil"/>
              <w:bottom w:val="single" w:sz="4" w:space="0" w:color="auto"/>
              <w:right w:val="single" w:sz="4" w:space="0" w:color="auto"/>
            </w:tcBorders>
            <w:shd w:val="clear" w:color="auto" w:fill="auto"/>
            <w:noWrap/>
            <w:vAlign w:val="bottom"/>
            <w:hideMark/>
          </w:tcPr>
          <w:p w14:paraId="4656306F" w14:textId="6CC52B97" w:rsidR="009A356E" w:rsidRPr="00C10545" w:rsidRDefault="009A356E" w:rsidP="009A356E">
            <w:pPr>
              <w:jc w:val="center"/>
              <w:rPr>
                <w:color w:val="000000"/>
                <w:sz w:val="18"/>
                <w:szCs w:val="18"/>
                <w:lang w:eastAsia="en-AU"/>
              </w:rPr>
            </w:pPr>
            <w:r w:rsidRPr="00C10545">
              <w:rPr>
                <w:color w:val="000000"/>
                <w:sz w:val="18"/>
                <w:szCs w:val="18"/>
                <w:lang w:eastAsia="en-AU"/>
              </w:rPr>
              <w:t xml:space="preserve"> 3.0 </w:t>
            </w:r>
          </w:p>
        </w:tc>
        <w:tc>
          <w:tcPr>
            <w:tcW w:w="596" w:type="pct"/>
            <w:tcBorders>
              <w:top w:val="nil"/>
              <w:left w:val="nil"/>
              <w:bottom w:val="single" w:sz="4" w:space="0" w:color="auto"/>
              <w:right w:val="single" w:sz="4" w:space="0" w:color="auto"/>
            </w:tcBorders>
            <w:shd w:val="clear" w:color="auto" w:fill="auto"/>
            <w:noWrap/>
            <w:vAlign w:val="bottom"/>
            <w:hideMark/>
          </w:tcPr>
          <w:p w14:paraId="738CDC6D" w14:textId="77777777" w:rsidR="009A356E" w:rsidRPr="00C10545" w:rsidRDefault="009A356E" w:rsidP="009A356E">
            <w:pPr>
              <w:jc w:val="right"/>
              <w:rPr>
                <w:color w:val="000000"/>
                <w:sz w:val="18"/>
                <w:szCs w:val="18"/>
                <w:lang w:eastAsia="en-AU"/>
              </w:rPr>
            </w:pPr>
            <w:r w:rsidRPr="00C10545">
              <w:rPr>
                <w:color w:val="000000"/>
                <w:sz w:val="18"/>
                <w:szCs w:val="18"/>
                <w:lang w:eastAsia="en-AU"/>
              </w:rPr>
              <w:t>35%</w:t>
            </w:r>
          </w:p>
        </w:tc>
      </w:tr>
      <w:tr w:rsidR="009A356E" w:rsidRPr="00453D75" w14:paraId="677CAFC5" w14:textId="77777777" w:rsidTr="009A356E">
        <w:trPr>
          <w:trHeight w:val="240"/>
        </w:trPr>
        <w:tc>
          <w:tcPr>
            <w:tcW w:w="1143" w:type="pct"/>
            <w:tcBorders>
              <w:top w:val="nil"/>
              <w:left w:val="single" w:sz="4" w:space="0" w:color="auto"/>
              <w:bottom w:val="single" w:sz="4" w:space="0" w:color="auto"/>
              <w:right w:val="single" w:sz="4" w:space="0" w:color="auto"/>
            </w:tcBorders>
            <w:shd w:val="clear" w:color="auto" w:fill="auto"/>
            <w:noWrap/>
            <w:vAlign w:val="bottom"/>
            <w:hideMark/>
          </w:tcPr>
          <w:p w14:paraId="29681ED0" w14:textId="77777777" w:rsidR="009A356E" w:rsidRPr="00C10545" w:rsidRDefault="009A356E" w:rsidP="009A356E">
            <w:pPr>
              <w:rPr>
                <w:sz w:val="18"/>
                <w:szCs w:val="18"/>
                <w:lang w:eastAsia="en-AU"/>
              </w:rPr>
            </w:pPr>
            <w:r w:rsidRPr="00C10545">
              <w:rPr>
                <w:sz w:val="18"/>
                <w:szCs w:val="18"/>
                <w:lang w:eastAsia="en-AU"/>
              </w:rPr>
              <w:t>Horsham</w:t>
            </w:r>
          </w:p>
        </w:tc>
        <w:tc>
          <w:tcPr>
            <w:tcW w:w="544" w:type="pct"/>
            <w:tcBorders>
              <w:top w:val="nil"/>
              <w:left w:val="nil"/>
              <w:bottom w:val="single" w:sz="4" w:space="0" w:color="auto"/>
              <w:right w:val="single" w:sz="4" w:space="0" w:color="auto"/>
            </w:tcBorders>
            <w:shd w:val="clear" w:color="auto" w:fill="auto"/>
            <w:noWrap/>
            <w:vAlign w:val="bottom"/>
            <w:hideMark/>
          </w:tcPr>
          <w:p w14:paraId="1A72DDEB" w14:textId="16E60857" w:rsidR="009A356E" w:rsidRPr="00C10545" w:rsidRDefault="009A356E" w:rsidP="009A356E">
            <w:pPr>
              <w:jc w:val="center"/>
              <w:rPr>
                <w:color w:val="000000"/>
                <w:sz w:val="18"/>
                <w:szCs w:val="18"/>
                <w:lang w:eastAsia="en-AU"/>
              </w:rPr>
            </w:pPr>
            <w:r w:rsidRPr="00C10545">
              <w:rPr>
                <w:color w:val="000000"/>
                <w:sz w:val="18"/>
                <w:szCs w:val="18"/>
                <w:lang w:eastAsia="en-AU"/>
              </w:rPr>
              <w:t xml:space="preserve">3.1 </w:t>
            </w:r>
          </w:p>
        </w:tc>
        <w:tc>
          <w:tcPr>
            <w:tcW w:w="530" w:type="pct"/>
            <w:tcBorders>
              <w:top w:val="nil"/>
              <w:left w:val="nil"/>
              <w:bottom w:val="single" w:sz="4" w:space="0" w:color="auto"/>
              <w:right w:val="single" w:sz="4" w:space="0" w:color="auto"/>
            </w:tcBorders>
            <w:shd w:val="clear" w:color="auto" w:fill="auto"/>
            <w:noWrap/>
            <w:vAlign w:val="bottom"/>
            <w:hideMark/>
          </w:tcPr>
          <w:p w14:paraId="43B8375E" w14:textId="51773240" w:rsidR="009A356E" w:rsidRPr="00C10545" w:rsidRDefault="009A356E" w:rsidP="009A356E">
            <w:pPr>
              <w:jc w:val="center"/>
              <w:rPr>
                <w:color w:val="000000"/>
                <w:sz w:val="18"/>
                <w:szCs w:val="18"/>
                <w:lang w:eastAsia="en-AU"/>
              </w:rPr>
            </w:pPr>
            <w:r w:rsidRPr="00C10545">
              <w:rPr>
                <w:color w:val="000000"/>
                <w:sz w:val="18"/>
                <w:szCs w:val="18"/>
                <w:lang w:eastAsia="en-AU"/>
              </w:rPr>
              <w:t xml:space="preserve"> 19.4 </w:t>
            </w:r>
          </w:p>
        </w:tc>
        <w:tc>
          <w:tcPr>
            <w:tcW w:w="517" w:type="pct"/>
            <w:tcBorders>
              <w:top w:val="nil"/>
              <w:left w:val="nil"/>
              <w:bottom w:val="single" w:sz="4" w:space="0" w:color="auto"/>
              <w:right w:val="single" w:sz="4" w:space="0" w:color="auto"/>
            </w:tcBorders>
            <w:shd w:val="clear" w:color="auto" w:fill="auto"/>
            <w:noWrap/>
            <w:vAlign w:val="bottom"/>
            <w:hideMark/>
          </w:tcPr>
          <w:p w14:paraId="0D30F76E" w14:textId="77777777" w:rsidR="009A356E" w:rsidRPr="00C10545" w:rsidRDefault="009A356E" w:rsidP="009A356E">
            <w:pPr>
              <w:jc w:val="center"/>
              <w:rPr>
                <w:color w:val="000000"/>
                <w:sz w:val="18"/>
                <w:szCs w:val="18"/>
                <w:lang w:eastAsia="en-AU"/>
              </w:rPr>
            </w:pPr>
            <w:r w:rsidRPr="00C10545">
              <w:rPr>
                <w:color w:val="000000"/>
                <w:sz w:val="18"/>
                <w:szCs w:val="18"/>
                <w:lang w:eastAsia="en-AU"/>
              </w:rPr>
              <w:t>15.9%</w:t>
            </w:r>
          </w:p>
        </w:tc>
        <w:tc>
          <w:tcPr>
            <w:tcW w:w="558" w:type="pct"/>
            <w:tcBorders>
              <w:top w:val="nil"/>
              <w:left w:val="nil"/>
              <w:bottom w:val="single" w:sz="4" w:space="0" w:color="auto"/>
              <w:right w:val="single" w:sz="4" w:space="0" w:color="auto"/>
            </w:tcBorders>
            <w:shd w:val="clear" w:color="auto" w:fill="auto"/>
            <w:noWrap/>
            <w:vAlign w:val="bottom"/>
            <w:hideMark/>
          </w:tcPr>
          <w:p w14:paraId="2A90E81E" w14:textId="77777777" w:rsidR="009A356E" w:rsidRPr="00C10545" w:rsidRDefault="009A356E" w:rsidP="009A356E">
            <w:pPr>
              <w:jc w:val="center"/>
              <w:rPr>
                <w:color w:val="000000"/>
                <w:sz w:val="18"/>
                <w:szCs w:val="18"/>
                <w:lang w:eastAsia="en-AU"/>
              </w:rPr>
            </w:pPr>
            <w:r w:rsidRPr="00C10545">
              <w:rPr>
                <w:color w:val="000000"/>
                <w:sz w:val="18"/>
                <w:szCs w:val="18"/>
                <w:lang w:eastAsia="en-AU"/>
              </w:rPr>
              <w:t>4.9%</w:t>
            </w:r>
          </w:p>
        </w:tc>
        <w:tc>
          <w:tcPr>
            <w:tcW w:w="517" w:type="pct"/>
            <w:tcBorders>
              <w:top w:val="nil"/>
              <w:left w:val="nil"/>
              <w:bottom w:val="single" w:sz="4" w:space="0" w:color="auto"/>
              <w:right w:val="single" w:sz="4" w:space="0" w:color="auto"/>
            </w:tcBorders>
            <w:shd w:val="clear" w:color="auto" w:fill="auto"/>
            <w:noWrap/>
            <w:vAlign w:val="bottom"/>
            <w:hideMark/>
          </w:tcPr>
          <w:p w14:paraId="1425805F" w14:textId="77777777" w:rsidR="009A356E" w:rsidRPr="00C10545" w:rsidRDefault="009A356E" w:rsidP="009A356E">
            <w:pPr>
              <w:jc w:val="center"/>
              <w:rPr>
                <w:color w:val="000000"/>
                <w:sz w:val="18"/>
                <w:szCs w:val="18"/>
                <w:lang w:eastAsia="en-AU"/>
              </w:rPr>
            </w:pPr>
            <w:r w:rsidRPr="00C10545">
              <w:rPr>
                <w:color w:val="000000"/>
                <w:sz w:val="18"/>
                <w:szCs w:val="18"/>
                <w:lang w:eastAsia="en-AU"/>
              </w:rPr>
              <w:t>2.8%</w:t>
            </w:r>
          </w:p>
        </w:tc>
        <w:tc>
          <w:tcPr>
            <w:tcW w:w="596" w:type="pct"/>
            <w:tcBorders>
              <w:top w:val="nil"/>
              <w:left w:val="nil"/>
              <w:bottom w:val="single" w:sz="4" w:space="0" w:color="auto"/>
              <w:right w:val="single" w:sz="4" w:space="0" w:color="auto"/>
            </w:tcBorders>
            <w:shd w:val="clear" w:color="auto" w:fill="auto"/>
            <w:noWrap/>
            <w:vAlign w:val="bottom"/>
            <w:hideMark/>
          </w:tcPr>
          <w:p w14:paraId="7DBA7C33" w14:textId="56B1715F" w:rsidR="009A356E" w:rsidRPr="00C10545" w:rsidRDefault="009A356E" w:rsidP="009A356E">
            <w:pPr>
              <w:jc w:val="center"/>
              <w:rPr>
                <w:color w:val="000000"/>
                <w:sz w:val="18"/>
                <w:szCs w:val="18"/>
                <w:lang w:eastAsia="en-AU"/>
              </w:rPr>
            </w:pPr>
            <w:r w:rsidRPr="00C10545">
              <w:rPr>
                <w:color w:val="000000"/>
                <w:sz w:val="18"/>
                <w:szCs w:val="18"/>
                <w:lang w:eastAsia="en-AU"/>
              </w:rPr>
              <w:t xml:space="preserve"> 7.8 </w:t>
            </w:r>
          </w:p>
        </w:tc>
        <w:tc>
          <w:tcPr>
            <w:tcW w:w="596" w:type="pct"/>
            <w:tcBorders>
              <w:top w:val="nil"/>
              <w:left w:val="nil"/>
              <w:bottom w:val="single" w:sz="4" w:space="0" w:color="auto"/>
              <w:right w:val="single" w:sz="4" w:space="0" w:color="auto"/>
            </w:tcBorders>
            <w:shd w:val="clear" w:color="auto" w:fill="auto"/>
            <w:noWrap/>
            <w:vAlign w:val="bottom"/>
            <w:hideMark/>
          </w:tcPr>
          <w:p w14:paraId="763B9980" w14:textId="77777777" w:rsidR="009A356E" w:rsidRPr="00C10545" w:rsidRDefault="009A356E" w:rsidP="009A356E">
            <w:pPr>
              <w:jc w:val="right"/>
              <w:rPr>
                <w:color w:val="000000"/>
                <w:sz w:val="18"/>
                <w:szCs w:val="18"/>
                <w:lang w:eastAsia="en-AU"/>
              </w:rPr>
            </w:pPr>
            <w:r w:rsidRPr="00C10545">
              <w:rPr>
                <w:color w:val="000000"/>
                <w:sz w:val="18"/>
                <w:szCs w:val="18"/>
                <w:lang w:eastAsia="en-AU"/>
              </w:rPr>
              <w:t>39%</w:t>
            </w:r>
          </w:p>
        </w:tc>
      </w:tr>
      <w:tr w:rsidR="009A356E" w:rsidRPr="00453D75" w14:paraId="63F332E8" w14:textId="77777777" w:rsidTr="009A356E">
        <w:trPr>
          <w:trHeight w:val="240"/>
        </w:trPr>
        <w:tc>
          <w:tcPr>
            <w:tcW w:w="1143" w:type="pct"/>
            <w:tcBorders>
              <w:top w:val="nil"/>
              <w:left w:val="single" w:sz="4" w:space="0" w:color="auto"/>
              <w:bottom w:val="single" w:sz="4" w:space="0" w:color="auto"/>
              <w:right w:val="single" w:sz="4" w:space="0" w:color="auto"/>
            </w:tcBorders>
            <w:shd w:val="clear" w:color="auto" w:fill="auto"/>
            <w:noWrap/>
            <w:vAlign w:val="bottom"/>
            <w:hideMark/>
          </w:tcPr>
          <w:p w14:paraId="3570048A" w14:textId="77777777" w:rsidR="009A356E" w:rsidRPr="00C10545" w:rsidRDefault="009A356E" w:rsidP="009A356E">
            <w:pPr>
              <w:rPr>
                <w:sz w:val="18"/>
                <w:szCs w:val="18"/>
                <w:lang w:eastAsia="en-AU"/>
              </w:rPr>
            </w:pPr>
            <w:r w:rsidRPr="00C10545">
              <w:rPr>
                <w:sz w:val="18"/>
                <w:szCs w:val="18"/>
                <w:lang w:eastAsia="en-AU"/>
              </w:rPr>
              <w:t>Northern Grampians</w:t>
            </w:r>
          </w:p>
        </w:tc>
        <w:tc>
          <w:tcPr>
            <w:tcW w:w="544" w:type="pct"/>
            <w:tcBorders>
              <w:top w:val="nil"/>
              <w:left w:val="nil"/>
              <w:bottom w:val="single" w:sz="4" w:space="0" w:color="auto"/>
              <w:right w:val="single" w:sz="4" w:space="0" w:color="auto"/>
            </w:tcBorders>
            <w:shd w:val="clear" w:color="auto" w:fill="auto"/>
            <w:noWrap/>
            <w:vAlign w:val="bottom"/>
            <w:hideMark/>
          </w:tcPr>
          <w:p w14:paraId="256AF228" w14:textId="1E51C792" w:rsidR="009A356E" w:rsidRPr="00C10545" w:rsidRDefault="009A356E" w:rsidP="009A356E">
            <w:pPr>
              <w:jc w:val="center"/>
              <w:rPr>
                <w:color w:val="000000"/>
                <w:sz w:val="18"/>
                <w:szCs w:val="18"/>
                <w:lang w:eastAsia="en-AU"/>
              </w:rPr>
            </w:pPr>
            <w:r w:rsidRPr="00C10545">
              <w:rPr>
                <w:color w:val="000000"/>
                <w:sz w:val="18"/>
                <w:szCs w:val="18"/>
                <w:lang w:eastAsia="en-AU"/>
              </w:rPr>
              <w:t xml:space="preserve">2.1 </w:t>
            </w:r>
          </w:p>
        </w:tc>
        <w:tc>
          <w:tcPr>
            <w:tcW w:w="530" w:type="pct"/>
            <w:tcBorders>
              <w:top w:val="nil"/>
              <w:left w:val="nil"/>
              <w:bottom w:val="single" w:sz="4" w:space="0" w:color="auto"/>
              <w:right w:val="single" w:sz="4" w:space="0" w:color="auto"/>
            </w:tcBorders>
            <w:shd w:val="clear" w:color="auto" w:fill="auto"/>
            <w:noWrap/>
            <w:vAlign w:val="bottom"/>
            <w:hideMark/>
          </w:tcPr>
          <w:p w14:paraId="12D8C213" w14:textId="58460E8B" w:rsidR="009A356E" w:rsidRPr="00C10545" w:rsidRDefault="009A356E" w:rsidP="009A356E">
            <w:pPr>
              <w:jc w:val="center"/>
              <w:rPr>
                <w:color w:val="000000"/>
                <w:sz w:val="18"/>
                <w:szCs w:val="18"/>
                <w:lang w:eastAsia="en-AU"/>
              </w:rPr>
            </w:pPr>
            <w:r w:rsidRPr="00C10545">
              <w:rPr>
                <w:color w:val="000000"/>
                <w:sz w:val="18"/>
                <w:szCs w:val="18"/>
                <w:lang w:eastAsia="en-AU"/>
              </w:rPr>
              <w:t xml:space="preserve"> 13.7 </w:t>
            </w:r>
          </w:p>
        </w:tc>
        <w:tc>
          <w:tcPr>
            <w:tcW w:w="517" w:type="pct"/>
            <w:tcBorders>
              <w:top w:val="nil"/>
              <w:left w:val="nil"/>
              <w:bottom w:val="single" w:sz="4" w:space="0" w:color="auto"/>
              <w:right w:val="single" w:sz="4" w:space="0" w:color="auto"/>
            </w:tcBorders>
            <w:shd w:val="clear" w:color="auto" w:fill="auto"/>
            <w:noWrap/>
            <w:vAlign w:val="bottom"/>
            <w:hideMark/>
          </w:tcPr>
          <w:p w14:paraId="209A08B4" w14:textId="77777777" w:rsidR="009A356E" w:rsidRPr="00C10545" w:rsidRDefault="009A356E" w:rsidP="009A356E">
            <w:pPr>
              <w:jc w:val="center"/>
              <w:rPr>
                <w:color w:val="000000"/>
                <w:sz w:val="18"/>
                <w:szCs w:val="18"/>
                <w:lang w:eastAsia="en-AU"/>
              </w:rPr>
            </w:pPr>
            <w:r w:rsidRPr="00C10545">
              <w:rPr>
                <w:color w:val="000000"/>
                <w:sz w:val="18"/>
                <w:szCs w:val="18"/>
                <w:lang w:eastAsia="en-AU"/>
              </w:rPr>
              <w:t>15.4%</w:t>
            </w:r>
          </w:p>
        </w:tc>
        <w:tc>
          <w:tcPr>
            <w:tcW w:w="558" w:type="pct"/>
            <w:tcBorders>
              <w:top w:val="nil"/>
              <w:left w:val="nil"/>
              <w:bottom w:val="single" w:sz="4" w:space="0" w:color="auto"/>
              <w:right w:val="single" w:sz="4" w:space="0" w:color="auto"/>
            </w:tcBorders>
            <w:shd w:val="clear" w:color="auto" w:fill="auto"/>
            <w:noWrap/>
            <w:vAlign w:val="bottom"/>
            <w:hideMark/>
          </w:tcPr>
          <w:p w14:paraId="504CA4E6" w14:textId="77777777" w:rsidR="009A356E" w:rsidRPr="00C10545" w:rsidRDefault="009A356E" w:rsidP="009A356E">
            <w:pPr>
              <w:jc w:val="center"/>
              <w:rPr>
                <w:color w:val="000000"/>
                <w:sz w:val="18"/>
                <w:szCs w:val="18"/>
                <w:lang w:eastAsia="en-AU"/>
              </w:rPr>
            </w:pPr>
            <w:r w:rsidRPr="00C10545">
              <w:rPr>
                <w:color w:val="000000"/>
                <w:sz w:val="18"/>
                <w:szCs w:val="18"/>
                <w:lang w:eastAsia="en-AU"/>
              </w:rPr>
              <w:t>4.9%</w:t>
            </w:r>
          </w:p>
        </w:tc>
        <w:tc>
          <w:tcPr>
            <w:tcW w:w="517" w:type="pct"/>
            <w:tcBorders>
              <w:top w:val="nil"/>
              <w:left w:val="nil"/>
              <w:bottom w:val="single" w:sz="4" w:space="0" w:color="auto"/>
              <w:right w:val="single" w:sz="4" w:space="0" w:color="auto"/>
            </w:tcBorders>
            <w:shd w:val="clear" w:color="auto" w:fill="auto"/>
            <w:noWrap/>
            <w:vAlign w:val="bottom"/>
            <w:hideMark/>
          </w:tcPr>
          <w:p w14:paraId="275EFEA5" w14:textId="77777777" w:rsidR="009A356E" w:rsidRPr="00C10545" w:rsidRDefault="009A356E" w:rsidP="009A356E">
            <w:pPr>
              <w:jc w:val="center"/>
              <w:rPr>
                <w:color w:val="000000"/>
                <w:sz w:val="18"/>
                <w:szCs w:val="18"/>
                <w:lang w:eastAsia="en-AU"/>
              </w:rPr>
            </w:pPr>
            <w:r w:rsidRPr="00C10545">
              <w:rPr>
                <w:color w:val="000000"/>
                <w:sz w:val="18"/>
                <w:szCs w:val="18"/>
                <w:lang w:eastAsia="en-AU"/>
              </w:rPr>
              <w:t>2.8%</w:t>
            </w:r>
          </w:p>
        </w:tc>
        <w:tc>
          <w:tcPr>
            <w:tcW w:w="596" w:type="pct"/>
            <w:tcBorders>
              <w:top w:val="nil"/>
              <w:left w:val="nil"/>
              <w:bottom w:val="single" w:sz="4" w:space="0" w:color="auto"/>
              <w:right w:val="single" w:sz="4" w:space="0" w:color="auto"/>
            </w:tcBorders>
            <w:shd w:val="clear" w:color="auto" w:fill="auto"/>
            <w:noWrap/>
            <w:vAlign w:val="bottom"/>
            <w:hideMark/>
          </w:tcPr>
          <w:p w14:paraId="025BD9C9" w14:textId="6F6C18E9" w:rsidR="009A356E" w:rsidRPr="00C10545" w:rsidRDefault="009A356E" w:rsidP="009A356E">
            <w:pPr>
              <w:jc w:val="center"/>
              <w:rPr>
                <w:color w:val="000000"/>
                <w:sz w:val="18"/>
                <w:szCs w:val="18"/>
                <w:lang w:eastAsia="en-AU"/>
              </w:rPr>
            </w:pPr>
            <w:r w:rsidRPr="00C10545">
              <w:rPr>
                <w:color w:val="000000"/>
                <w:sz w:val="18"/>
                <w:szCs w:val="18"/>
                <w:lang w:eastAsia="en-AU"/>
              </w:rPr>
              <w:t xml:space="preserve"> 9.0 </w:t>
            </w:r>
          </w:p>
        </w:tc>
        <w:tc>
          <w:tcPr>
            <w:tcW w:w="596" w:type="pct"/>
            <w:tcBorders>
              <w:top w:val="nil"/>
              <w:left w:val="nil"/>
              <w:bottom w:val="single" w:sz="4" w:space="0" w:color="auto"/>
              <w:right w:val="single" w:sz="4" w:space="0" w:color="auto"/>
            </w:tcBorders>
            <w:shd w:val="clear" w:color="auto" w:fill="auto"/>
            <w:noWrap/>
            <w:vAlign w:val="bottom"/>
            <w:hideMark/>
          </w:tcPr>
          <w:p w14:paraId="18BE9F55" w14:textId="77777777" w:rsidR="009A356E" w:rsidRPr="00C10545" w:rsidRDefault="009A356E" w:rsidP="009A356E">
            <w:pPr>
              <w:jc w:val="right"/>
              <w:rPr>
                <w:color w:val="000000"/>
                <w:sz w:val="18"/>
                <w:szCs w:val="18"/>
                <w:lang w:eastAsia="en-AU"/>
              </w:rPr>
            </w:pPr>
            <w:r w:rsidRPr="00C10545">
              <w:rPr>
                <w:color w:val="000000"/>
                <w:sz w:val="18"/>
                <w:szCs w:val="18"/>
                <w:lang w:eastAsia="en-AU"/>
              </w:rPr>
              <w:t>23%</w:t>
            </w:r>
          </w:p>
        </w:tc>
      </w:tr>
      <w:tr w:rsidR="009A356E" w:rsidRPr="00453D75" w14:paraId="26DB8277" w14:textId="77777777" w:rsidTr="009A356E">
        <w:trPr>
          <w:trHeight w:val="240"/>
        </w:trPr>
        <w:tc>
          <w:tcPr>
            <w:tcW w:w="1143" w:type="pct"/>
            <w:tcBorders>
              <w:top w:val="nil"/>
              <w:left w:val="single" w:sz="4" w:space="0" w:color="auto"/>
              <w:bottom w:val="single" w:sz="4" w:space="0" w:color="auto"/>
              <w:right w:val="single" w:sz="4" w:space="0" w:color="auto"/>
            </w:tcBorders>
            <w:shd w:val="clear" w:color="auto" w:fill="auto"/>
            <w:noWrap/>
            <w:vAlign w:val="bottom"/>
            <w:hideMark/>
          </w:tcPr>
          <w:p w14:paraId="03F4D383" w14:textId="77777777" w:rsidR="009A356E" w:rsidRPr="00C10545" w:rsidRDefault="009A356E" w:rsidP="009A356E">
            <w:pPr>
              <w:rPr>
                <w:sz w:val="18"/>
                <w:szCs w:val="18"/>
                <w:lang w:eastAsia="en-AU"/>
              </w:rPr>
            </w:pPr>
            <w:r w:rsidRPr="00C10545">
              <w:rPr>
                <w:sz w:val="18"/>
                <w:szCs w:val="18"/>
                <w:lang w:eastAsia="en-AU"/>
              </w:rPr>
              <w:t>Greater Shepparton</w:t>
            </w:r>
          </w:p>
        </w:tc>
        <w:tc>
          <w:tcPr>
            <w:tcW w:w="544" w:type="pct"/>
            <w:tcBorders>
              <w:top w:val="nil"/>
              <w:left w:val="nil"/>
              <w:bottom w:val="single" w:sz="4" w:space="0" w:color="auto"/>
              <w:right w:val="single" w:sz="4" w:space="0" w:color="auto"/>
            </w:tcBorders>
            <w:shd w:val="clear" w:color="auto" w:fill="auto"/>
            <w:noWrap/>
            <w:vAlign w:val="bottom"/>
            <w:hideMark/>
          </w:tcPr>
          <w:p w14:paraId="62630B46" w14:textId="17910606" w:rsidR="009A356E" w:rsidRPr="00C10545" w:rsidRDefault="009A356E" w:rsidP="009A356E">
            <w:pPr>
              <w:jc w:val="center"/>
              <w:rPr>
                <w:color w:val="000000"/>
                <w:sz w:val="18"/>
                <w:szCs w:val="18"/>
                <w:lang w:eastAsia="en-AU"/>
              </w:rPr>
            </w:pPr>
            <w:r w:rsidRPr="00C10545">
              <w:rPr>
                <w:color w:val="000000"/>
                <w:sz w:val="18"/>
                <w:szCs w:val="18"/>
                <w:lang w:eastAsia="en-AU"/>
              </w:rPr>
              <w:t xml:space="preserve">8.6 </w:t>
            </w:r>
          </w:p>
        </w:tc>
        <w:tc>
          <w:tcPr>
            <w:tcW w:w="530" w:type="pct"/>
            <w:tcBorders>
              <w:top w:val="nil"/>
              <w:left w:val="nil"/>
              <w:bottom w:val="single" w:sz="4" w:space="0" w:color="auto"/>
              <w:right w:val="single" w:sz="4" w:space="0" w:color="auto"/>
            </w:tcBorders>
            <w:shd w:val="clear" w:color="auto" w:fill="auto"/>
            <w:noWrap/>
            <w:vAlign w:val="bottom"/>
            <w:hideMark/>
          </w:tcPr>
          <w:p w14:paraId="0CB46F99" w14:textId="717AA482" w:rsidR="009A356E" w:rsidRPr="00C10545" w:rsidRDefault="009A356E" w:rsidP="009A356E">
            <w:pPr>
              <w:jc w:val="center"/>
              <w:rPr>
                <w:color w:val="000000"/>
                <w:sz w:val="18"/>
                <w:szCs w:val="18"/>
                <w:lang w:eastAsia="en-AU"/>
              </w:rPr>
            </w:pPr>
            <w:r w:rsidRPr="00C10545">
              <w:rPr>
                <w:color w:val="000000"/>
                <w:sz w:val="18"/>
                <w:szCs w:val="18"/>
                <w:lang w:eastAsia="en-AU"/>
              </w:rPr>
              <w:t xml:space="preserve"> 56.8 </w:t>
            </w:r>
          </w:p>
        </w:tc>
        <w:tc>
          <w:tcPr>
            <w:tcW w:w="517" w:type="pct"/>
            <w:tcBorders>
              <w:top w:val="nil"/>
              <w:left w:val="nil"/>
              <w:bottom w:val="single" w:sz="4" w:space="0" w:color="auto"/>
              <w:right w:val="single" w:sz="4" w:space="0" w:color="auto"/>
            </w:tcBorders>
            <w:shd w:val="clear" w:color="auto" w:fill="auto"/>
            <w:noWrap/>
            <w:vAlign w:val="bottom"/>
            <w:hideMark/>
          </w:tcPr>
          <w:p w14:paraId="0129FB08" w14:textId="77777777" w:rsidR="009A356E" w:rsidRPr="00C10545" w:rsidRDefault="009A356E" w:rsidP="009A356E">
            <w:pPr>
              <w:jc w:val="center"/>
              <w:rPr>
                <w:color w:val="000000"/>
                <w:sz w:val="18"/>
                <w:szCs w:val="18"/>
                <w:lang w:eastAsia="en-AU"/>
              </w:rPr>
            </w:pPr>
            <w:r w:rsidRPr="00C10545">
              <w:rPr>
                <w:color w:val="000000"/>
                <w:sz w:val="18"/>
                <w:szCs w:val="18"/>
                <w:lang w:eastAsia="en-AU"/>
              </w:rPr>
              <w:t>15.2%</w:t>
            </w:r>
          </w:p>
        </w:tc>
        <w:tc>
          <w:tcPr>
            <w:tcW w:w="558" w:type="pct"/>
            <w:tcBorders>
              <w:top w:val="nil"/>
              <w:left w:val="nil"/>
              <w:bottom w:val="single" w:sz="4" w:space="0" w:color="auto"/>
              <w:right w:val="single" w:sz="4" w:space="0" w:color="auto"/>
            </w:tcBorders>
            <w:shd w:val="clear" w:color="auto" w:fill="auto"/>
            <w:noWrap/>
            <w:vAlign w:val="bottom"/>
            <w:hideMark/>
          </w:tcPr>
          <w:p w14:paraId="42900918" w14:textId="77777777" w:rsidR="009A356E" w:rsidRPr="00C10545" w:rsidRDefault="009A356E" w:rsidP="009A356E">
            <w:pPr>
              <w:jc w:val="center"/>
              <w:rPr>
                <w:color w:val="000000"/>
                <w:sz w:val="18"/>
                <w:szCs w:val="18"/>
                <w:lang w:eastAsia="en-AU"/>
              </w:rPr>
            </w:pPr>
            <w:r w:rsidRPr="00C10545">
              <w:rPr>
                <w:color w:val="000000"/>
                <w:sz w:val="18"/>
                <w:szCs w:val="18"/>
                <w:lang w:eastAsia="en-AU"/>
              </w:rPr>
              <w:t>4.8%</w:t>
            </w:r>
          </w:p>
        </w:tc>
        <w:tc>
          <w:tcPr>
            <w:tcW w:w="517" w:type="pct"/>
            <w:tcBorders>
              <w:top w:val="nil"/>
              <w:left w:val="nil"/>
              <w:bottom w:val="single" w:sz="4" w:space="0" w:color="auto"/>
              <w:right w:val="single" w:sz="4" w:space="0" w:color="auto"/>
            </w:tcBorders>
            <w:shd w:val="clear" w:color="auto" w:fill="auto"/>
            <w:noWrap/>
            <w:vAlign w:val="bottom"/>
            <w:hideMark/>
          </w:tcPr>
          <w:p w14:paraId="2AB9B77C" w14:textId="77777777" w:rsidR="009A356E" w:rsidRPr="00C10545" w:rsidRDefault="009A356E" w:rsidP="009A356E">
            <w:pPr>
              <w:jc w:val="center"/>
              <w:rPr>
                <w:color w:val="000000"/>
                <w:sz w:val="18"/>
                <w:szCs w:val="18"/>
                <w:lang w:eastAsia="en-AU"/>
              </w:rPr>
            </w:pPr>
            <w:r w:rsidRPr="00C10545">
              <w:rPr>
                <w:color w:val="000000"/>
                <w:sz w:val="18"/>
                <w:szCs w:val="18"/>
                <w:lang w:eastAsia="en-AU"/>
              </w:rPr>
              <w:t>2.7%</w:t>
            </w:r>
          </w:p>
        </w:tc>
        <w:tc>
          <w:tcPr>
            <w:tcW w:w="596" w:type="pct"/>
            <w:tcBorders>
              <w:top w:val="nil"/>
              <w:left w:val="nil"/>
              <w:bottom w:val="single" w:sz="4" w:space="0" w:color="auto"/>
              <w:right w:val="single" w:sz="4" w:space="0" w:color="auto"/>
            </w:tcBorders>
            <w:shd w:val="clear" w:color="auto" w:fill="auto"/>
            <w:noWrap/>
            <w:vAlign w:val="bottom"/>
            <w:hideMark/>
          </w:tcPr>
          <w:p w14:paraId="31C0E637" w14:textId="23B28335" w:rsidR="009A356E" w:rsidRPr="00C10545" w:rsidRDefault="009A356E" w:rsidP="009A356E">
            <w:pPr>
              <w:jc w:val="center"/>
              <w:rPr>
                <w:color w:val="000000"/>
                <w:sz w:val="18"/>
                <w:szCs w:val="18"/>
                <w:lang w:eastAsia="en-AU"/>
              </w:rPr>
            </w:pPr>
            <w:r w:rsidRPr="00C10545">
              <w:rPr>
                <w:color w:val="000000"/>
                <w:sz w:val="18"/>
                <w:szCs w:val="18"/>
                <w:lang w:eastAsia="en-AU"/>
              </w:rPr>
              <w:t xml:space="preserve"> 12.4 </w:t>
            </w:r>
          </w:p>
        </w:tc>
        <w:tc>
          <w:tcPr>
            <w:tcW w:w="596" w:type="pct"/>
            <w:tcBorders>
              <w:top w:val="nil"/>
              <w:left w:val="nil"/>
              <w:bottom w:val="single" w:sz="4" w:space="0" w:color="auto"/>
              <w:right w:val="single" w:sz="4" w:space="0" w:color="auto"/>
            </w:tcBorders>
            <w:shd w:val="clear" w:color="auto" w:fill="auto"/>
            <w:noWrap/>
            <w:vAlign w:val="bottom"/>
            <w:hideMark/>
          </w:tcPr>
          <w:p w14:paraId="504CA179" w14:textId="77777777" w:rsidR="009A356E" w:rsidRPr="00C10545" w:rsidRDefault="009A356E" w:rsidP="009A356E">
            <w:pPr>
              <w:jc w:val="right"/>
              <w:rPr>
                <w:color w:val="000000"/>
                <w:sz w:val="18"/>
                <w:szCs w:val="18"/>
                <w:lang w:eastAsia="en-AU"/>
              </w:rPr>
            </w:pPr>
            <w:r w:rsidRPr="00C10545">
              <w:rPr>
                <w:color w:val="000000"/>
                <w:sz w:val="18"/>
                <w:szCs w:val="18"/>
                <w:lang w:eastAsia="en-AU"/>
              </w:rPr>
              <w:t>70%</w:t>
            </w:r>
          </w:p>
        </w:tc>
      </w:tr>
      <w:tr w:rsidR="009A356E" w:rsidRPr="00453D75" w14:paraId="3E87799D" w14:textId="77777777" w:rsidTr="009A356E">
        <w:trPr>
          <w:trHeight w:val="240"/>
        </w:trPr>
        <w:tc>
          <w:tcPr>
            <w:tcW w:w="1143" w:type="pct"/>
            <w:tcBorders>
              <w:top w:val="nil"/>
              <w:left w:val="single" w:sz="4" w:space="0" w:color="auto"/>
              <w:bottom w:val="single" w:sz="4" w:space="0" w:color="auto"/>
              <w:right w:val="single" w:sz="4" w:space="0" w:color="auto"/>
            </w:tcBorders>
            <w:shd w:val="clear" w:color="auto" w:fill="auto"/>
            <w:noWrap/>
            <w:vAlign w:val="bottom"/>
            <w:hideMark/>
          </w:tcPr>
          <w:p w14:paraId="4E28CB19" w14:textId="77777777" w:rsidR="009A356E" w:rsidRPr="00C10545" w:rsidRDefault="009A356E" w:rsidP="009A356E">
            <w:pPr>
              <w:rPr>
                <w:sz w:val="18"/>
                <w:szCs w:val="18"/>
                <w:lang w:eastAsia="en-AU"/>
              </w:rPr>
            </w:pPr>
            <w:r w:rsidRPr="00C10545">
              <w:rPr>
                <w:sz w:val="18"/>
                <w:szCs w:val="18"/>
                <w:lang w:eastAsia="en-AU"/>
              </w:rPr>
              <w:t>South Gippsland</w:t>
            </w:r>
          </w:p>
        </w:tc>
        <w:tc>
          <w:tcPr>
            <w:tcW w:w="544" w:type="pct"/>
            <w:tcBorders>
              <w:top w:val="nil"/>
              <w:left w:val="nil"/>
              <w:bottom w:val="single" w:sz="4" w:space="0" w:color="auto"/>
              <w:right w:val="single" w:sz="4" w:space="0" w:color="auto"/>
            </w:tcBorders>
            <w:shd w:val="clear" w:color="auto" w:fill="auto"/>
            <w:noWrap/>
            <w:vAlign w:val="bottom"/>
            <w:hideMark/>
          </w:tcPr>
          <w:p w14:paraId="0E045CF2" w14:textId="6304C5C3" w:rsidR="009A356E" w:rsidRPr="00C10545" w:rsidRDefault="009A356E" w:rsidP="009A356E">
            <w:pPr>
              <w:jc w:val="center"/>
              <w:rPr>
                <w:color w:val="000000"/>
                <w:sz w:val="18"/>
                <w:szCs w:val="18"/>
                <w:lang w:eastAsia="en-AU"/>
              </w:rPr>
            </w:pPr>
            <w:r w:rsidRPr="00C10545">
              <w:rPr>
                <w:color w:val="000000"/>
                <w:sz w:val="18"/>
                <w:szCs w:val="18"/>
                <w:lang w:eastAsia="en-AU"/>
              </w:rPr>
              <w:t xml:space="preserve">4.6 </w:t>
            </w:r>
          </w:p>
        </w:tc>
        <w:tc>
          <w:tcPr>
            <w:tcW w:w="530" w:type="pct"/>
            <w:tcBorders>
              <w:top w:val="nil"/>
              <w:left w:val="nil"/>
              <w:bottom w:val="single" w:sz="4" w:space="0" w:color="auto"/>
              <w:right w:val="single" w:sz="4" w:space="0" w:color="auto"/>
            </w:tcBorders>
            <w:shd w:val="clear" w:color="auto" w:fill="auto"/>
            <w:noWrap/>
            <w:vAlign w:val="bottom"/>
            <w:hideMark/>
          </w:tcPr>
          <w:p w14:paraId="586E61BD" w14:textId="0175B3D5" w:rsidR="009A356E" w:rsidRPr="00C10545" w:rsidRDefault="009A356E" w:rsidP="009A356E">
            <w:pPr>
              <w:jc w:val="center"/>
              <w:rPr>
                <w:color w:val="000000"/>
                <w:sz w:val="18"/>
                <w:szCs w:val="18"/>
                <w:lang w:eastAsia="en-AU"/>
              </w:rPr>
            </w:pPr>
            <w:r w:rsidRPr="00C10545">
              <w:rPr>
                <w:color w:val="000000"/>
                <w:sz w:val="18"/>
                <w:szCs w:val="18"/>
                <w:lang w:eastAsia="en-AU"/>
              </w:rPr>
              <w:t xml:space="preserve"> 31.4 </w:t>
            </w:r>
          </w:p>
        </w:tc>
        <w:tc>
          <w:tcPr>
            <w:tcW w:w="517" w:type="pct"/>
            <w:tcBorders>
              <w:top w:val="nil"/>
              <w:left w:val="nil"/>
              <w:bottom w:val="single" w:sz="4" w:space="0" w:color="auto"/>
              <w:right w:val="single" w:sz="4" w:space="0" w:color="auto"/>
            </w:tcBorders>
            <w:shd w:val="clear" w:color="auto" w:fill="auto"/>
            <w:noWrap/>
            <w:vAlign w:val="bottom"/>
            <w:hideMark/>
          </w:tcPr>
          <w:p w14:paraId="1DA887D9" w14:textId="77777777" w:rsidR="009A356E" w:rsidRPr="00C10545" w:rsidRDefault="009A356E" w:rsidP="009A356E">
            <w:pPr>
              <w:jc w:val="center"/>
              <w:rPr>
                <w:color w:val="000000"/>
                <w:sz w:val="18"/>
                <w:szCs w:val="18"/>
                <w:lang w:eastAsia="en-AU"/>
              </w:rPr>
            </w:pPr>
            <w:r w:rsidRPr="00C10545">
              <w:rPr>
                <w:color w:val="000000"/>
                <w:sz w:val="18"/>
                <w:szCs w:val="18"/>
                <w:lang w:eastAsia="en-AU"/>
              </w:rPr>
              <w:t>14.7%</w:t>
            </w:r>
          </w:p>
        </w:tc>
        <w:tc>
          <w:tcPr>
            <w:tcW w:w="558" w:type="pct"/>
            <w:tcBorders>
              <w:top w:val="nil"/>
              <w:left w:val="nil"/>
              <w:bottom w:val="single" w:sz="4" w:space="0" w:color="auto"/>
              <w:right w:val="single" w:sz="4" w:space="0" w:color="auto"/>
            </w:tcBorders>
            <w:shd w:val="clear" w:color="auto" w:fill="auto"/>
            <w:noWrap/>
            <w:vAlign w:val="bottom"/>
            <w:hideMark/>
          </w:tcPr>
          <w:p w14:paraId="657050CB" w14:textId="77777777" w:rsidR="009A356E" w:rsidRPr="00C10545" w:rsidRDefault="009A356E" w:rsidP="009A356E">
            <w:pPr>
              <w:jc w:val="center"/>
              <w:rPr>
                <w:color w:val="000000"/>
                <w:sz w:val="18"/>
                <w:szCs w:val="18"/>
                <w:lang w:eastAsia="en-AU"/>
              </w:rPr>
            </w:pPr>
            <w:r w:rsidRPr="00C10545">
              <w:rPr>
                <w:color w:val="000000"/>
                <w:sz w:val="18"/>
                <w:szCs w:val="18"/>
                <w:lang w:eastAsia="en-AU"/>
              </w:rPr>
              <w:t>4.6%</w:t>
            </w:r>
          </w:p>
        </w:tc>
        <w:tc>
          <w:tcPr>
            <w:tcW w:w="517" w:type="pct"/>
            <w:tcBorders>
              <w:top w:val="nil"/>
              <w:left w:val="nil"/>
              <w:bottom w:val="single" w:sz="4" w:space="0" w:color="auto"/>
              <w:right w:val="single" w:sz="4" w:space="0" w:color="auto"/>
            </w:tcBorders>
            <w:shd w:val="clear" w:color="auto" w:fill="auto"/>
            <w:noWrap/>
            <w:vAlign w:val="bottom"/>
            <w:hideMark/>
          </w:tcPr>
          <w:p w14:paraId="20D86818" w14:textId="77777777" w:rsidR="009A356E" w:rsidRPr="00C10545" w:rsidRDefault="009A356E" w:rsidP="009A356E">
            <w:pPr>
              <w:jc w:val="center"/>
              <w:rPr>
                <w:color w:val="000000"/>
                <w:sz w:val="18"/>
                <w:szCs w:val="18"/>
                <w:lang w:eastAsia="en-AU"/>
              </w:rPr>
            </w:pPr>
            <w:r w:rsidRPr="00C10545">
              <w:rPr>
                <w:color w:val="000000"/>
                <w:sz w:val="18"/>
                <w:szCs w:val="18"/>
                <w:lang w:eastAsia="en-AU"/>
              </w:rPr>
              <w:t>2.6%</w:t>
            </w:r>
          </w:p>
        </w:tc>
        <w:tc>
          <w:tcPr>
            <w:tcW w:w="596" w:type="pct"/>
            <w:tcBorders>
              <w:top w:val="nil"/>
              <w:left w:val="nil"/>
              <w:bottom w:val="single" w:sz="4" w:space="0" w:color="auto"/>
              <w:right w:val="single" w:sz="4" w:space="0" w:color="auto"/>
            </w:tcBorders>
            <w:shd w:val="clear" w:color="auto" w:fill="auto"/>
            <w:noWrap/>
            <w:vAlign w:val="bottom"/>
            <w:hideMark/>
          </w:tcPr>
          <w:p w14:paraId="291E2D39" w14:textId="56BC7D94" w:rsidR="009A356E" w:rsidRPr="00C10545" w:rsidRDefault="009A356E" w:rsidP="009A356E">
            <w:pPr>
              <w:jc w:val="center"/>
              <w:rPr>
                <w:color w:val="000000"/>
                <w:sz w:val="18"/>
                <w:szCs w:val="18"/>
                <w:lang w:eastAsia="en-AU"/>
              </w:rPr>
            </w:pPr>
            <w:r w:rsidRPr="00C10545">
              <w:rPr>
                <w:color w:val="000000"/>
                <w:sz w:val="18"/>
                <w:szCs w:val="18"/>
                <w:lang w:eastAsia="en-AU"/>
              </w:rPr>
              <w:t xml:space="preserve"> 6.5 </w:t>
            </w:r>
          </w:p>
        </w:tc>
        <w:tc>
          <w:tcPr>
            <w:tcW w:w="596" w:type="pct"/>
            <w:tcBorders>
              <w:top w:val="nil"/>
              <w:left w:val="nil"/>
              <w:bottom w:val="single" w:sz="4" w:space="0" w:color="auto"/>
              <w:right w:val="single" w:sz="4" w:space="0" w:color="auto"/>
            </w:tcBorders>
            <w:shd w:val="clear" w:color="auto" w:fill="auto"/>
            <w:noWrap/>
            <w:vAlign w:val="bottom"/>
            <w:hideMark/>
          </w:tcPr>
          <w:p w14:paraId="05B9A8A5" w14:textId="77777777" w:rsidR="009A356E" w:rsidRPr="00C10545" w:rsidRDefault="009A356E" w:rsidP="009A356E">
            <w:pPr>
              <w:jc w:val="right"/>
              <w:rPr>
                <w:color w:val="000000"/>
                <w:sz w:val="18"/>
                <w:szCs w:val="18"/>
                <w:lang w:eastAsia="en-AU"/>
              </w:rPr>
            </w:pPr>
            <w:r w:rsidRPr="00C10545">
              <w:rPr>
                <w:color w:val="000000"/>
                <w:sz w:val="18"/>
                <w:szCs w:val="18"/>
                <w:lang w:eastAsia="en-AU"/>
              </w:rPr>
              <w:t>70%</w:t>
            </w:r>
          </w:p>
        </w:tc>
      </w:tr>
      <w:tr w:rsidR="009A356E" w:rsidRPr="00453D75" w14:paraId="65FCACB3" w14:textId="77777777" w:rsidTr="009A356E">
        <w:trPr>
          <w:trHeight w:val="240"/>
        </w:trPr>
        <w:tc>
          <w:tcPr>
            <w:tcW w:w="1143" w:type="pct"/>
            <w:tcBorders>
              <w:top w:val="nil"/>
              <w:left w:val="single" w:sz="4" w:space="0" w:color="auto"/>
              <w:bottom w:val="single" w:sz="4" w:space="0" w:color="auto"/>
              <w:right w:val="single" w:sz="4" w:space="0" w:color="auto"/>
            </w:tcBorders>
            <w:shd w:val="clear" w:color="auto" w:fill="auto"/>
            <w:noWrap/>
            <w:vAlign w:val="bottom"/>
            <w:hideMark/>
          </w:tcPr>
          <w:p w14:paraId="6E51544C" w14:textId="77777777" w:rsidR="009A356E" w:rsidRPr="00C10545" w:rsidRDefault="009A356E" w:rsidP="009A356E">
            <w:pPr>
              <w:rPr>
                <w:sz w:val="18"/>
                <w:szCs w:val="18"/>
                <w:lang w:eastAsia="en-AU"/>
              </w:rPr>
            </w:pPr>
            <w:r w:rsidRPr="00C10545">
              <w:rPr>
                <w:sz w:val="18"/>
                <w:szCs w:val="18"/>
                <w:lang w:eastAsia="en-AU"/>
              </w:rPr>
              <w:t>Greater Geelong</w:t>
            </w:r>
          </w:p>
        </w:tc>
        <w:tc>
          <w:tcPr>
            <w:tcW w:w="544" w:type="pct"/>
            <w:tcBorders>
              <w:top w:val="nil"/>
              <w:left w:val="nil"/>
              <w:bottom w:val="single" w:sz="4" w:space="0" w:color="auto"/>
              <w:right w:val="single" w:sz="4" w:space="0" w:color="auto"/>
            </w:tcBorders>
            <w:shd w:val="clear" w:color="auto" w:fill="auto"/>
            <w:noWrap/>
            <w:vAlign w:val="bottom"/>
            <w:hideMark/>
          </w:tcPr>
          <w:p w14:paraId="411BE6C3" w14:textId="534CA073" w:rsidR="009A356E" w:rsidRPr="00C10545" w:rsidRDefault="009A356E" w:rsidP="009A356E">
            <w:pPr>
              <w:jc w:val="center"/>
              <w:rPr>
                <w:color w:val="000000"/>
                <w:sz w:val="18"/>
                <w:szCs w:val="18"/>
                <w:lang w:eastAsia="en-AU"/>
              </w:rPr>
            </w:pPr>
            <w:r w:rsidRPr="00C10545">
              <w:rPr>
                <w:color w:val="000000"/>
                <w:sz w:val="18"/>
                <w:szCs w:val="18"/>
                <w:lang w:eastAsia="en-AU"/>
              </w:rPr>
              <w:t xml:space="preserve">23.5 </w:t>
            </w:r>
          </w:p>
        </w:tc>
        <w:tc>
          <w:tcPr>
            <w:tcW w:w="530" w:type="pct"/>
            <w:tcBorders>
              <w:top w:val="nil"/>
              <w:left w:val="nil"/>
              <w:bottom w:val="single" w:sz="4" w:space="0" w:color="auto"/>
              <w:right w:val="single" w:sz="4" w:space="0" w:color="auto"/>
            </w:tcBorders>
            <w:shd w:val="clear" w:color="auto" w:fill="auto"/>
            <w:noWrap/>
            <w:vAlign w:val="bottom"/>
            <w:hideMark/>
          </w:tcPr>
          <w:p w14:paraId="6670AA1E" w14:textId="44600CBF" w:rsidR="009A356E" w:rsidRPr="00C10545" w:rsidRDefault="009A356E" w:rsidP="009A356E">
            <w:pPr>
              <w:jc w:val="center"/>
              <w:rPr>
                <w:color w:val="000000"/>
                <w:sz w:val="18"/>
                <w:szCs w:val="18"/>
                <w:lang w:eastAsia="en-AU"/>
              </w:rPr>
            </w:pPr>
            <w:r w:rsidRPr="00C10545">
              <w:rPr>
                <w:color w:val="000000"/>
                <w:sz w:val="18"/>
                <w:szCs w:val="18"/>
                <w:lang w:eastAsia="en-AU"/>
              </w:rPr>
              <w:t xml:space="preserve"> 160.9 </w:t>
            </w:r>
          </w:p>
        </w:tc>
        <w:tc>
          <w:tcPr>
            <w:tcW w:w="517" w:type="pct"/>
            <w:tcBorders>
              <w:top w:val="nil"/>
              <w:left w:val="nil"/>
              <w:bottom w:val="single" w:sz="4" w:space="0" w:color="auto"/>
              <w:right w:val="single" w:sz="4" w:space="0" w:color="auto"/>
            </w:tcBorders>
            <w:shd w:val="clear" w:color="auto" w:fill="auto"/>
            <w:noWrap/>
            <w:vAlign w:val="bottom"/>
            <w:hideMark/>
          </w:tcPr>
          <w:p w14:paraId="0B3B3497" w14:textId="77777777" w:rsidR="009A356E" w:rsidRPr="00C10545" w:rsidRDefault="009A356E" w:rsidP="009A356E">
            <w:pPr>
              <w:jc w:val="center"/>
              <w:rPr>
                <w:color w:val="000000"/>
                <w:sz w:val="18"/>
                <w:szCs w:val="18"/>
                <w:lang w:eastAsia="en-AU"/>
              </w:rPr>
            </w:pPr>
            <w:r w:rsidRPr="00C10545">
              <w:rPr>
                <w:color w:val="000000"/>
                <w:sz w:val="18"/>
                <w:szCs w:val="18"/>
                <w:lang w:eastAsia="en-AU"/>
              </w:rPr>
              <w:t>14.6%</w:t>
            </w:r>
          </w:p>
        </w:tc>
        <w:tc>
          <w:tcPr>
            <w:tcW w:w="558" w:type="pct"/>
            <w:tcBorders>
              <w:top w:val="nil"/>
              <w:left w:val="nil"/>
              <w:bottom w:val="single" w:sz="4" w:space="0" w:color="auto"/>
              <w:right w:val="single" w:sz="4" w:space="0" w:color="auto"/>
            </w:tcBorders>
            <w:shd w:val="clear" w:color="auto" w:fill="auto"/>
            <w:noWrap/>
            <w:vAlign w:val="bottom"/>
            <w:hideMark/>
          </w:tcPr>
          <w:p w14:paraId="795D49B6" w14:textId="77777777" w:rsidR="009A356E" w:rsidRPr="00C10545" w:rsidRDefault="009A356E" w:rsidP="009A356E">
            <w:pPr>
              <w:jc w:val="center"/>
              <w:rPr>
                <w:color w:val="000000"/>
                <w:sz w:val="18"/>
                <w:szCs w:val="18"/>
                <w:lang w:eastAsia="en-AU"/>
              </w:rPr>
            </w:pPr>
            <w:r w:rsidRPr="00C10545">
              <w:rPr>
                <w:color w:val="000000"/>
                <w:sz w:val="18"/>
                <w:szCs w:val="18"/>
                <w:lang w:eastAsia="en-AU"/>
              </w:rPr>
              <w:t>4.6%</w:t>
            </w:r>
          </w:p>
        </w:tc>
        <w:tc>
          <w:tcPr>
            <w:tcW w:w="517" w:type="pct"/>
            <w:tcBorders>
              <w:top w:val="nil"/>
              <w:left w:val="nil"/>
              <w:bottom w:val="single" w:sz="4" w:space="0" w:color="auto"/>
              <w:right w:val="single" w:sz="4" w:space="0" w:color="auto"/>
            </w:tcBorders>
            <w:shd w:val="clear" w:color="auto" w:fill="auto"/>
            <w:noWrap/>
            <w:vAlign w:val="bottom"/>
            <w:hideMark/>
          </w:tcPr>
          <w:p w14:paraId="0AE1C88D" w14:textId="77777777" w:rsidR="009A356E" w:rsidRPr="00C10545" w:rsidRDefault="009A356E" w:rsidP="009A356E">
            <w:pPr>
              <w:jc w:val="center"/>
              <w:rPr>
                <w:color w:val="000000"/>
                <w:sz w:val="18"/>
                <w:szCs w:val="18"/>
                <w:lang w:eastAsia="en-AU"/>
              </w:rPr>
            </w:pPr>
            <w:r w:rsidRPr="00C10545">
              <w:rPr>
                <w:color w:val="000000"/>
                <w:sz w:val="18"/>
                <w:szCs w:val="18"/>
                <w:lang w:eastAsia="en-AU"/>
              </w:rPr>
              <w:t>2.6%</w:t>
            </w:r>
          </w:p>
        </w:tc>
        <w:tc>
          <w:tcPr>
            <w:tcW w:w="596" w:type="pct"/>
            <w:tcBorders>
              <w:top w:val="nil"/>
              <w:left w:val="nil"/>
              <w:bottom w:val="single" w:sz="4" w:space="0" w:color="auto"/>
              <w:right w:val="single" w:sz="4" w:space="0" w:color="auto"/>
            </w:tcBorders>
            <w:shd w:val="clear" w:color="auto" w:fill="auto"/>
            <w:noWrap/>
            <w:vAlign w:val="bottom"/>
            <w:hideMark/>
          </w:tcPr>
          <w:p w14:paraId="12D77F40" w14:textId="4B343487" w:rsidR="009A356E" w:rsidRPr="00C10545" w:rsidRDefault="009A356E" w:rsidP="009A356E">
            <w:pPr>
              <w:jc w:val="center"/>
              <w:rPr>
                <w:color w:val="000000"/>
                <w:sz w:val="18"/>
                <w:szCs w:val="18"/>
                <w:lang w:eastAsia="en-AU"/>
              </w:rPr>
            </w:pPr>
            <w:r w:rsidRPr="00C10545">
              <w:rPr>
                <w:color w:val="000000"/>
                <w:sz w:val="18"/>
                <w:szCs w:val="18"/>
                <w:lang w:eastAsia="en-AU"/>
              </w:rPr>
              <w:t xml:space="preserve"> 20.1 </w:t>
            </w:r>
          </w:p>
        </w:tc>
        <w:tc>
          <w:tcPr>
            <w:tcW w:w="596" w:type="pct"/>
            <w:tcBorders>
              <w:top w:val="nil"/>
              <w:left w:val="nil"/>
              <w:bottom w:val="single" w:sz="4" w:space="0" w:color="auto"/>
              <w:right w:val="single" w:sz="4" w:space="0" w:color="auto"/>
            </w:tcBorders>
            <w:shd w:val="clear" w:color="auto" w:fill="auto"/>
            <w:noWrap/>
            <w:vAlign w:val="bottom"/>
            <w:hideMark/>
          </w:tcPr>
          <w:p w14:paraId="70396C4D" w14:textId="77777777" w:rsidR="009A356E" w:rsidRPr="00C10545" w:rsidRDefault="009A356E" w:rsidP="009A356E">
            <w:pPr>
              <w:jc w:val="right"/>
              <w:rPr>
                <w:color w:val="000000"/>
                <w:sz w:val="18"/>
                <w:szCs w:val="18"/>
                <w:lang w:eastAsia="en-AU"/>
              </w:rPr>
            </w:pPr>
            <w:r w:rsidRPr="00C10545">
              <w:rPr>
                <w:color w:val="000000"/>
                <w:sz w:val="18"/>
                <w:szCs w:val="18"/>
                <w:lang w:eastAsia="en-AU"/>
              </w:rPr>
              <w:t>117%</w:t>
            </w:r>
          </w:p>
        </w:tc>
      </w:tr>
      <w:tr w:rsidR="009A356E" w:rsidRPr="00453D75" w14:paraId="335624CF" w14:textId="77777777" w:rsidTr="009A356E">
        <w:trPr>
          <w:trHeight w:val="240"/>
        </w:trPr>
        <w:tc>
          <w:tcPr>
            <w:tcW w:w="1143" w:type="pct"/>
            <w:tcBorders>
              <w:top w:val="nil"/>
              <w:left w:val="single" w:sz="4" w:space="0" w:color="auto"/>
              <w:bottom w:val="single" w:sz="4" w:space="0" w:color="auto"/>
              <w:right w:val="single" w:sz="4" w:space="0" w:color="auto"/>
            </w:tcBorders>
            <w:shd w:val="clear" w:color="auto" w:fill="auto"/>
            <w:noWrap/>
            <w:vAlign w:val="bottom"/>
            <w:hideMark/>
          </w:tcPr>
          <w:p w14:paraId="297A2A11" w14:textId="77777777" w:rsidR="009A356E" w:rsidRPr="00C10545" w:rsidRDefault="009A356E" w:rsidP="009A356E">
            <w:pPr>
              <w:rPr>
                <w:sz w:val="18"/>
                <w:szCs w:val="18"/>
                <w:lang w:eastAsia="en-AU"/>
              </w:rPr>
            </w:pPr>
            <w:r w:rsidRPr="00C10545">
              <w:rPr>
                <w:sz w:val="18"/>
                <w:szCs w:val="18"/>
                <w:lang w:eastAsia="en-AU"/>
              </w:rPr>
              <w:t>Campaspe</w:t>
            </w:r>
          </w:p>
        </w:tc>
        <w:tc>
          <w:tcPr>
            <w:tcW w:w="544" w:type="pct"/>
            <w:tcBorders>
              <w:top w:val="nil"/>
              <w:left w:val="nil"/>
              <w:bottom w:val="single" w:sz="4" w:space="0" w:color="auto"/>
              <w:right w:val="single" w:sz="4" w:space="0" w:color="auto"/>
            </w:tcBorders>
            <w:shd w:val="clear" w:color="auto" w:fill="auto"/>
            <w:noWrap/>
            <w:vAlign w:val="bottom"/>
            <w:hideMark/>
          </w:tcPr>
          <w:p w14:paraId="4EAC9C40" w14:textId="47180C3C" w:rsidR="009A356E" w:rsidRPr="00C10545" w:rsidRDefault="009A356E" w:rsidP="009A356E">
            <w:pPr>
              <w:jc w:val="center"/>
              <w:rPr>
                <w:color w:val="000000"/>
                <w:sz w:val="18"/>
                <w:szCs w:val="18"/>
                <w:lang w:eastAsia="en-AU"/>
              </w:rPr>
            </w:pPr>
            <w:r w:rsidRPr="00C10545">
              <w:rPr>
                <w:color w:val="000000"/>
                <w:sz w:val="18"/>
                <w:szCs w:val="18"/>
                <w:lang w:eastAsia="en-AU"/>
              </w:rPr>
              <w:t xml:space="preserve">4.5 </w:t>
            </w:r>
          </w:p>
        </w:tc>
        <w:tc>
          <w:tcPr>
            <w:tcW w:w="530" w:type="pct"/>
            <w:tcBorders>
              <w:top w:val="nil"/>
              <w:left w:val="nil"/>
              <w:bottom w:val="single" w:sz="4" w:space="0" w:color="auto"/>
              <w:right w:val="single" w:sz="4" w:space="0" w:color="auto"/>
            </w:tcBorders>
            <w:shd w:val="clear" w:color="auto" w:fill="auto"/>
            <w:noWrap/>
            <w:vAlign w:val="bottom"/>
            <w:hideMark/>
          </w:tcPr>
          <w:p w14:paraId="4EF3276E" w14:textId="2F6F941B" w:rsidR="009A356E" w:rsidRPr="00C10545" w:rsidRDefault="009A356E" w:rsidP="009A356E">
            <w:pPr>
              <w:jc w:val="center"/>
              <w:rPr>
                <w:color w:val="000000"/>
                <w:sz w:val="18"/>
                <w:szCs w:val="18"/>
                <w:lang w:eastAsia="en-AU"/>
              </w:rPr>
            </w:pPr>
            <w:r w:rsidRPr="00C10545">
              <w:rPr>
                <w:color w:val="000000"/>
                <w:sz w:val="18"/>
                <w:szCs w:val="18"/>
                <w:lang w:eastAsia="en-AU"/>
              </w:rPr>
              <w:t xml:space="preserve"> 31.7 </w:t>
            </w:r>
          </w:p>
        </w:tc>
        <w:tc>
          <w:tcPr>
            <w:tcW w:w="517" w:type="pct"/>
            <w:tcBorders>
              <w:top w:val="nil"/>
              <w:left w:val="nil"/>
              <w:bottom w:val="single" w:sz="4" w:space="0" w:color="auto"/>
              <w:right w:val="single" w:sz="4" w:space="0" w:color="auto"/>
            </w:tcBorders>
            <w:shd w:val="clear" w:color="auto" w:fill="auto"/>
            <w:noWrap/>
            <w:vAlign w:val="bottom"/>
            <w:hideMark/>
          </w:tcPr>
          <w:p w14:paraId="613C7B2E" w14:textId="77777777" w:rsidR="009A356E" w:rsidRPr="00C10545" w:rsidRDefault="009A356E" w:rsidP="009A356E">
            <w:pPr>
              <w:jc w:val="center"/>
              <w:rPr>
                <w:color w:val="000000"/>
                <w:sz w:val="18"/>
                <w:szCs w:val="18"/>
                <w:lang w:eastAsia="en-AU"/>
              </w:rPr>
            </w:pPr>
            <w:r w:rsidRPr="00C10545">
              <w:rPr>
                <w:color w:val="000000"/>
                <w:sz w:val="18"/>
                <w:szCs w:val="18"/>
                <w:lang w:eastAsia="en-AU"/>
              </w:rPr>
              <w:t>14.1%</w:t>
            </w:r>
          </w:p>
        </w:tc>
        <w:tc>
          <w:tcPr>
            <w:tcW w:w="558" w:type="pct"/>
            <w:tcBorders>
              <w:top w:val="nil"/>
              <w:left w:val="nil"/>
              <w:bottom w:val="single" w:sz="4" w:space="0" w:color="auto"/>
              <w:right w:val="single" w:sz="4" w:space="0" w:color="auto"/>
            </w:tcBorders>
            <w:shd w:val="clear" w:color="auto" w:fill="auto"/>
            <w:noWrap/>
            <w:vAlign w:val="bottom"/>
            <w:hideMark/>
          </w:tcPr>
          <w:p w14:paraId="684E73D8" w14:textId="77777777" w:rsidR="009A356E" w:rsidRPr="00C10545" w:rsidRDefault="009A356E" w:rsidP="009A356E">
            <w:pPr>
              <w:jc w:val="center"/>
              <w:rPr>
                <w:color w:val="000000"/>
                <w:sz w:val="18"/>
                <w:szCs w:val="18"/>
                <w:lang w:eastAsia="en-AU"/>
              </w:rPr>
            </w:pPr>
            <w:r w:rsidRPr="00C10545">
              <w:rPr>
                <w:color w:val="000000"/>
                <w:sz w:val="18"/>
                <w:szCs w:val="18"/>
                <w:lang w:eastAsia="en-AU"/>
              </w:rPr>
              <w:t>4.4%</w:t>
            </w:r>
          </w:p>
        </w:tc>
        <w:tc>
          <w:tcPr>
            <w:tcW w:w="517" w:type="pct"/>
            <w:tcBorders>
              <w:top w:val="nil"/>
              <w:left w:val="nil"/>
              <w:bottom w:val="single" w:sz="4" w:space="0" w:color="auto"/>
              <w:right w:val="single" w:sz="4" w:space="0" w:color="auto"/>
            </w:tcBorders>
            <w:shd w:val="clear" w:color="auto" w:fill="auto"/>
            <w:noWrap/>
            <w:vAlign w:val="bottom"/>
            <w:hideMark/>
          </w:tcPr>
          <w:p w14:paraId="24BF0108" w14:textId="77777777" w:rsidR="009A356E" w:rsidRPr="00C10545" w:rsidRDefault="009A356E" w:rsidP="009A356E">
            <w:pPr>
              <w:jc w:val="center"/>
              <w:rPr>
                <w:color w:val="000000"/>
                <w:sz w:val="18"/>
                <w:szCs w:val="18"/>
                <w:lang w:eastAsia="en-AU"/>
              </w:rPr>
            </w:pPr>
            <w:r w:rsidRPr="00C10545">
              <w:rPr>
                <w:color w:val="000000"/>
                <w:sz w:val="18"/>
                <w:szCs w:val="18"/>
                <w:lang w:eastAsia="en-AU"/>
              </w:rPr>
              <w:t>2.5%</w:t>
            </w:r>
          </w:p>
        </w:tc>
        <w:tc>
          <w:tcPr>
            <w:tcW w:w="596" w:type="pct"/>
            <w:tcBorders>
              <w:top w:val="nil"/>
              <w:left w:val="nil"/>
              <w:bottom w:val="single" w:sz="4" w:space="0" w:color="auto"/>
              <w:right w:val="single" w:sz="4" w:space="0" w:color="auto"/>
            </w:tcBorders>
            <w:shd w:val="clear" w:color="auto" w:fill="auto"/>
            <w:noWrap/>
            <w:vAlign w:val="bottom"/>
            <w:hideMark/>
          </w:tcPr>
          <w:p w14:paraId="4E976865" w14:textId="7ABC34AB" w:rsidR="009A356E" w:rsidRPr="00C10545" w:rsidRDefault="009A356E" w:rsidP="009A356E">
            <w:pPr>
              <w:jc w:val="center"/>
              <w:rPr>
                <w:color w:val="000000"/>
                <w:sz w:val="18"/>
                <w:szCs w:val="18"/>
                <w:lang w:eastAsia="en-AU"/>
              </w:rPr>
            </w:pPr>
            <w:r w:rsidRPr="00C10545">
              <w:rPr>
                <w:color w:val="000000"/>
                <w:sz w:val="18"/>
                <w:szCs w:val="18"/>
                <w:lang w:eastAsia="en-AU"/>
              </w:rPr>
              <w:t xml:space="preserve"> 12.7 </w:t>
            </w:r>
          </w:p>
        </w:tc>
        <w:tc>
          <w:tcPr>
            <w:tcW w:w="596" w:type="pct"/>
            <w:tcBorders>
              <w:top w:val="nil"/>
              <w:left w:val="nil"/>
              <w:bottom w:val="single" w:sz="4" w:space="0" w:color="auto"/>
              <w:right w:val="single" w:sz="4" w:space="0" w:color="auto"/>
            </w:tcBorders>
            <w:shd w:val="clear" w:color="auto" w:fill="auto"/>
            <w:noWrap/>
            <w:vAlign w:val="bottom"/>
            <w:hideMark/>
          </w:tcPr>
          <w:p w14:paraId="218CD863" w14:textId="77777777" w:rsidR="009A356E" w:rsidRPr="00C10545" w:rsidRDefault="009A356E" w:rsidP="009A356E">
            <w:pPr>
              <w:jc w:val="right"/>
              <w:rPr>
                <w:color w:val="000000"/>
                <w:sz w:val="18"/>
                <w:szCs w:val="18"/>
                <w:lang w:eastAsia="en-AU"/>
              </w:rPr>
            </w:pPr>
            <w:r w:rsidRPr="00C10545">
              <w:rPr>
                <w:color w:val="000000"/>
                <w:sz w:val="18"/>
                <w:szCs w:val="18"/>
                <w:lang w:eastAsia="en-AU"/>
              </w:rPr>
              <w:t>35%</w:t>
            </w:r>
          </w:p>
        </w:tc>
      </w:tr>
      <w:tr w:rsidR="009A356E" w:rsidRPr="00453D75" w14:paraId="3AD4213F" w14:textId="77777777" w:rsidTr="009A356E">
        <w:trPr>
          <w:trHeight w:val="240"/>
        </w:trPr>
        <w:tc>
          <w:tcPr>
            <w:tcW w:w="1143" w:type="pct"/>
            <w:tcBorders>
              <w:top w:val="nil"/>
              <w:left w:val="single" w:sz="4" w:space="0" w:color="auto"/>
              <w:bottom w:val="single" w:sz="4" w:space="0" w:color="auto"/>
              <w:right w:val="single" w:sz="4" w:space="0" w:color="auto"/>
            </w:tcBorders>
            <w:shd w:val="clear" w:color="auto" w:fill="auto"/>
            <w:noWrap/>
            <w:vAlign w:val="bottom"/>
            <w:hideMark/>
          </w:tcPr>
          <w:p w14:paraId="0ACEE0AF" w14:textId="77777777" w:rsidR="009A356E" w:rsidRPr="00C10545" w:rsidRDefault="009A356E" w:rsidP="009A356E">
            <w:pPr>
              <w:rPr>
                <w:sz w:val="18"/>
                <w:szCs w:val="18"/>
                <w:lang w:eastAsia="en-AU"/>
              </w:rPr>
            </w:pPr>
            <w:r w:rsidRPr="00C10545">
              <w:rPr>
                <w:sz w:val="18"/>
                <w:szCs w:val="18"/>
                <w:lang w:eastAsia="en-AU"/>
              </w:rPr>
              <w:t>Wangaratta</w:t>
            </w:r>
          </w:p>
        </w:tc>
        <w:tc>
          <w:tcPr>
            <w:tcW w:w="544" w:type="pct"/>
            <w:tcBorders>
              <w:top w:val="nil"/>
              <w:left w:val="nil"/>
              <w:bottom w:val="single" w:sz="4" w:space="0" w:color="auto"/>
              <w:right w:val="single" w:sz="4" w:space="0" w:color="auto"/>
            </w:tcBorders>
            <w:shd w:val="clear" w:color="auto" w:fill="auto"/>
            <w:noWrap/>
            <w:vAlign w:val="bottom"/>
            <w:hideMark/>
          </w:tcPr>
          <w:p w14:paraId="3D8E57FD" w14:textId="35590234" w:rsidR="009A356E" w:rsidRPr="00C10545" w:rsidRDefault="009A356E" w:rsidP="009A356E">
            <w:pPr>
              <w:jc w:val="center"/>
              <w:rPr>
                <w:color w:val="000000"/>
                <w:sz w:val="18"/>
                <w:szCs w:val="18"/>
                <w:lang w:eastAsia="en-AU"/>
              </w:rPr>
            </w:pPr>
            <w:r w:rsidRPr="00C10545">
              <w:rPr>
                <w:color w:val="000000"/>
                <w:sz w:val="18"/>
                <w:szCs w:val="18"/>
                <w:lang w:eastAsia="en-AU"/>
              </w:rPr>
              <w:t xml:space="preserve">3.2 </w:t>
            </w:r>
          </w:p>
        </w:tc>
        <w:tc>
          <w:tcPr>
            <w:tcW w:w="530" w:type="pct"/>
            <w:tcBorders>
              <w:top w:val="nil"/>
              <w:left w:val="nil"/>
              <w:bottom w:val="single" w:sz="4" w:space="0" w:color="auto"/>
              <w:right w:val="single" w:sz="4" w:space="0" w:color="auto"/>
            </w:tcBorders>
            <w:shd w:val="clear" w:color="auto" w:fill="auto"/>
            <w:noWrap/>
            <w:vAlign w:val="bottom"/>
            <w:hideMark/>
          </w:tcPr>
          <w:p w14:paraId="18D26A84" w14:textId="4E94BB83" w:rsidR="009A356E" w:rsidRPr="00C10545" w:rsidRDefault="009A356E" w:rsidP="009A356E">
            <w:pPr>
              <w:jc w:val="center"/>
              <w:rPr>
                <w:color w:val="000000"/>
                <w:sz w:val="18"/>
                <w:szCs w:val="18"/>
                <w:lang w:eastAsia="en-AU"/>
              </w:rPr>
            </w:pPr>
            <w:r w:rsidRPr="00C10545">
              <w:rPr>
                <w:color w:val="000000"/>
                <w:sz w:val="18"/>
                <w:szCs w:val="18"/>
                <w:lang w:eastAsia="en-AU"/>
              </w:rPr>
              <w:t xml:space="preserve"> 23.2 </w:t>
            </w:r>
          </w:p>
        </w:tc>
        <w:tc>
          <w:tcPr>
            <w:tcW w:w="517" w:type="pct"/>
            <w:tcBorders>
              <w:top w:val="nil"/>
              <w:left w:val="nil"/>
              <w:bottom w:val="single" w:sz="4" w:space="0" w:color="auto"/>
              <w:right w:val="single" w:sz="4" w:space="0" w:color="auto"/>
            </w:tcBorders>
            <w:shd w:val="clear" w:color="auto" w:fill="auto"/>
            <w:noWrap/>
            <w:vAlign w:val="bottom"/>
            <w:hideMark/>
          </w:tcPr>
          <w:p w14:paraId="5B4D091E" w14:textId="77777777" w:rsidR="009A356E" w:rsidRPr="00C10545" w:rsidRDefault="009A356E" w:rsidP="009A356E">
            <w:pPr>
              <w:jc w:val="center"/>
              <w:rPr>
                <w:color w:val="000000"/>
                <w:sz w:val="18"/>
                <w:szCs w:val="18"/>
                <w:lang w:eastAsia="en-AU"/>
              </w:rPr>
            </w:pPr>
            <w:r w:rsidRPr="00C10545">
              <w:rPr>
                <w:color w:val="000000"/>
                <w:sz w:val="18"/>
                <w:szCs w:val="18"/>
                <w:lang w:eastAsia="en-AU"/>
              </w:rPr>
              <w:t>13.9%</w:t>
            </w:r>
          </w:p>
        </w:tc>
        <w:tc>
          <w:tcPr>
            <w:tcW w:w="558" w:type="pct"/>
            <w:tcBorders>
              <w:top w:val="nil"/>
              <w:left w:val="nil"/>
              <w:bottom w:val="single" w:sz="4" w:space="0" w:color="auto"/>
              <w:right w:val="single" w:sz="4" w:space="0" w:color="auto"/>
            </w:tcBorders>
            <w:shd w:val="clear" w:color="auto" w:fill="auto"/>
            <w:noWrap/>
            <w:vAlign w:val="bottom"/>
            <w:hideMark/>
          </w:tcPr>
          <w:p w14:paraId="3563A275" w14:textId="77777777" w:rsidR="009A356E" w:rsidRPr="00C10545" w:rsidRDefault="009A356E" w:rsidP="009A356E">
            <w:pPr>
              <w:jc w:val="center"/>
              <w:rPr>
                <w:color w:val="000000"/>
                <w:sz w:val="18"/>
                <w:szCs w:val="18"/>
                <w:lang w:eastAsia="en-AU"/>
              </w:rPr>
            </w:pPr>
            <w:r w:rsidRPr="00C10545">
              <w:rPr>
                <w:color w:val="000000"/>
                <w:sz w:val="18"/>
                <w:szCs w:val="18"/>
                <w:lang w:eastAsia="en-AU"/>
              </w:rPr>
              <w:t>4.4%</w:t>
            </w:r>
          </w:p>
        </w:tc>
        <w:tc>
          <w:tcPr>
            <w:tcW w:w="517" w:type="pct"/>
            <w:tcBorders>
              <w:top w:val="nil"/>
              <w:left w:val="nil"/>
              <w:bottom w:val="single" w:sz="4" w:space="0" w:color="auto"/>
              <w:right w:val="single" w:sz="4" w:space="0" w:color="auto"/>
            </w:tcBorders>
            <w:shd w:val="clear" w:color="auto" w:fill="auto"/>
            <w:noWrap/>
            <w:vAlign w:val="bottom"/>
            <w:hideMark/>
          </w:tcPr>
          <w:p w14:paraId="4A5C452F" w14:textId="77777777" w:rsidR="009A356E" w:rsidRPr="00C10545" w:rsidRDefault="009A356E" w:rsidP="009A356E">
            <w:pPr>
              <w:jc w:val="center"/>
              <w:rPr>
                <w:color w:val="000000"/>
                <w:sz w:val="18"/>
                <w:szCs w:val="18"/>
                <w:lang w:eastAsia="en-AU"/>
              </w:rPr>
            </w:pPr>
            <w:r w:rsidRPr="00C10545">
              <w:rPr>
                <w:color w:val="000000"/>
                <w:sz w:val="18"/>
                <w:szCs w:val="18"/>
                <w:lang w:eastAsia="en-AU"/>
              </w:rPr>
              <w:t>2.5%</w:t>
            </w:r>
          </w:p>
        </w:tc>
        <w:tc>
          <w:tcPr>
            <w:tcW w:w="596" w:type="pct"/>
            <w:tcBorders>
              <w:top w:val="nil"/>
              <w:left w:val="nil"/>
              <w:bottom w:val="single" w:sz="4" w:space="0" w:color="auto"/>
              <w:right w:val="single" w:sz="4" w:space="0" w:color="auto"/>
            </w:tcBorders>
            <w:shd w:val="clear" w:color="auto" w:fill="auto"/>
            <w:noWrap/>
            <w:vAlign w:val="bottom"/>
            <w:hideMark/>
          </w:tcPr>
          <w:p w14:paraId="50D6FE61" w14:textId="6A90457B" w:rsidR="009A356E" w:rsidRPr="00C10545" w:rsidRDefault="009A356E" w:rsidP="009A356E">
            <w:pPr>
              <w:jc w:val="center"/>
              <w:rPr>
                <w:color w:val="000000"/>
                <w:sz w:val="18"/>
                <w:szCs w:val="18"/>
                <w:lang w:eastAsia="en-AU"/>
              </w:rPr>
            </w:pPr>
            <w:r w:rsidRPr="00C10545">
              <w:rPr>
                <w:color w:val="000000"/>
                <w:sz w:val="18"/>
                <w:szCs w:val="18"/>
                <w:lang w:eastAsia="en-AU"/>
              </w:rPr>
              <w:t xml:space="preserve"> 6.1 </w:t>
            </w:r>
          </w:p>
        </w:tc>
        <w:tc>
          <w:tcPr>
            <w:tcW w:w="596" w:type="pct"/>
            <w:tcBorders>
              <w:top w:val="nil"/>
              <w:left w:val="nil"/>
              <w:bottom w:val="single" w:sz="4" w:space="0" w:color="auto"/>
              <w:right w:val="single" w:sz="4" w:space="0" w:color="auto"/>
            </w:tcBorders>
            <w:shd w:val="clear" w:color="auto" w:fill="auto"/>
            <w:noWrap/>
            <w:vAlign w:val="bottom"/>
            <w:hideMark/>
          </w:tcPr>
          <w:p w14:paraId="62E9B510" w14:textId="77777777" w:rsidR="009A356E" w:rsidRPr="00C10545" w:rsidRDefault="009A356E" w:rsidP="009A356E">
            <w:pPr>
              <w:jc w:val="right"/>
              <w:rPr>
                <w:color w:val="000000"/>
                <w:sz w:val="18"/>
                <w:szCs w:val="18"/>
                <w:lang w:eastAsia="en-AU"/>
              </w:rPr>
            </w:pPr>
            <w:r w:rsidRPr="00C10545">
              <w:rPr>
                <w:color w:val="000000"/>
                <w:sz w:val="18"/>
                <w:szCs w:val="18"/>
                <w:lang w:eastAsia="en-AU"/>
              </w:rPr>
              <w:t>53%</w:t>
            </w:r>
          </w:p>
        </w:tc>
      </w:tr>
      <w:tr w:rsidR="009A356E" w:rsidRPr="00453D75" w14:paraId="69EF4105" w14:textId="77777777" w:rsidTr="009A356E">
        <w:trPr>
          <w:trHeight w:val="240"/>
        </w:trPr>
        <w:tc>
          <w:tcPr>
            <w:tcW w:w="1143" w:type="pct"/>
            <w:tcBorders>
              <w:top w:val="nil"/>
              <w:left w:val="single" w:sz="4" w:space="0" w:color="auto"/>
              <w:bottom w:val="single" w:sz="4" w:space="0" w:color="auto"/>
              <w:right w:val="single" w:sz="4" w:space="0" w:color="auto"/>
            </w:tcBorders>
            <w:shd w:val="clear" w:color="auto" w:fill="auto"/>
            <w:noWrap/>
            <w:vAlign w:val="bottom"/>
            <w:hideMark/>
          </w:tcPr>
          <w:p w14:paraId="770C4014" w14:textId="77777777" w:rsidR="009A356E" w:rsidRPr="00C10545" w:rsidRDefault="009A356E" w:rsidP="009A356E">
            <w:pPr>
              <w:rPr>
                <w:sz w:val="18"/>
                <w:szCs w:val="18"/>
                <w:lang w:eastAsia="en-AU"/>
              </w:rPr>
            </w:pPr>
            <w:r w:rsidRPr="00C10545">
              <w:rPr>
                <w:sz w:val="18"/>
                <w:szCs w:val="18"/>
                <w:lang w:eastAsia="en-AU"/>
              </w:rPr>
              <w:t>Mildura</w:t>
            </w:r>
          </w:p>
        </w:tc>
        <w:tc>
          <w:tcPr>
            <w:tcW w:w="544" w:type="pct"/>
            <w:tcBorders>
              <w:top w:val="nil"/>
              <w:left w:val="nil"/>
              <w:bottom w:val="single" w:sz="4" w:space="0" w:color="auto"/>
              <w:right w:val="single" w:sz="4" w:space="0" w:color="auto"/>
            </w:tcBorders>
            <w:shd w:val="clear" w:color="auto" w:fill="auto"/>
            <w:noWrap/>
            <w:vAlign w:val="bottom"/>
            <w:hideMark/>
          </w:tcPr>
          <w:p w14:paraId="2C03496F" w14:textId="4FAC6407" w:rsidR="009A356E" w:rsidRPr="00C10545" w:rsidRDefault="009A356E" w:rsidP="009A356E">
            <w:pPr>
              <w:jc w:val="center"/>
              <w:rPr>
                <w:color w:val="000000"/>
                <w:sz w:val="18"/>
                <w:szCs w:val="18"/>
                <w:lang w:eastAsia="en-AU"/>
              </w:rPr>
            </w:pPr>
            <w:r w:rsidRPr="00C10545">
              <w:rPr>
                <w:color w:val="000000"/>
                <w:sz w:val="18"/>
                <w:szCs w:val="18"/>
                <w:lang w:eastAsia="en-AU"/>
              </w:rPr>
              <w:t xml:space="preserve">7.3 </w:t>
            </w:r>
          </w:p>
        </w:tc>
        <w:tc>
          <w:tcPr>
            <w:tcW w:w="530" w:type="pct"/>
            <w:tcBorders>
              <w:top w:val="nil"/>
              <w:left w:val="nil"/>
              <w:bottom w:val="single" w:sz="4" w:space="0" w:color="auto"/>
              <w:right w:val="single" w:sz="4" w:space="0" w:color="auto"/>
            </w:tcBorders>
            <w:shd w:val="clear" w:color="auto" w:fill="auto"/>
            <w:noWrap/>
            <w:vAlign w:val="bottom"/>
            <w:hideMark/>
          </w:tcPr>
          <w:p w14:paraId="1524FF11" w14:textId="3872EC53" w:rsidR="009A356E" w:rsidRPr="00C10545" w:rsidRDefault="009A356E" w:rsidP="009A356E">
            <w:pPr>
              <w:jc w:val="center"/>
              <w:rPr>
                <w:color w:val="000000"/>
                <w:sz w:val="18"/>
                <w:szCs w:val="18"/>
                <w:lang w:eastAsia="en-AU"/>
              </w:rPr>
            </w:pPr>
            <w:r w:rsidRPr="00C10545">
              <w:rPr>
                <w:color w:val="000000"/>
                <w:sz w:val="18"/>
                <w:szCs w:val="18"/>
                <w:lang w:eastAsia="en-AU"/>
              </w:rPr>
              <w:t xml:space="preserve"> 52.5 </w:t>
            </w:r>
          </w:p>
        </w:tc>
        <w:tc>
          <w:tcPr>
            <w:tcW w:w="517" w:type="pct"/>
            <w:tcBorders>
              <w:top w:val="nil"/>
              <w:left w:val="nil"/>
              <w:bottom w:val="single" w:sz="4" w:space="0" w:color="auto"/>
              <w:right w:val="single" w:sz="4" w:space="0" w:color="auto"/>
            </w:tcBorders>
            <w:shd w:val="clear" w:color="auto" w:fill="auto"/>
            <w:noWrap/>
            <w:vAlign w:val="bottom"/>
            <w:hideMark/>
          </w:tcPr>
          <w:p w14:paraId="4759FD8D" w14:textId="77777777" w:rsidR="009A356E" w:rsidRPr="00C10545" w:rsidRDefault="009A356E" w:rsidP="009A356E">
            <w:pPr>
              <w:jc w:val="center"/>
              <w:rPr>
                <w:color w:val="000000"/>
                <w:sz w:val="18"/>
                <w:szCs w:val="18"/>
                <w:lang w:eastAsia="en-AU"/>
              </w:rPr>
            </w:pPr>
            <w:r w:rsidRPr="00C10545">
              <w:rPr>
                <w:color w:val="000000"/>
                <w:sz w:val="18"/>
                <w:szCs w:val="18"/>
                <w:lang w:eastAsia="en-AU"/>
              </w:rPr>
              <w:t>13.8%</w:t>
            </w:r>
          </w:p>
        </w:tc>
        <w:tc>
          <w:tcPr>
            <w:tcW w:w="558" w:type="pct"/>
            <w:tcBorders>
              <w:top w:val="nil"/>
              <w:left w:val="nil"/>
              <w:bottom w:val="single" w:sz="4" w:space="0" w:color="auto"/>
              <w:right w:val="single" w:sz="4" w:space="0" w:color="auto"/>
            </w:tcBorders>
            <w:shd w:val="clear" w:color="auto" w:fill="auto"/>
            <w:noWrap/>
            <w:vAlign w:val="bottom"/>
            <w:hideMark/>
          </w:tcPr>
          <w:p w14:paraId="6260E3E9" w14:textId="77777777" w:rsidR="009A356E" w:rsidRPr="00C10545" w:rsidRDefault="009A356E" w:rsidP="009A356E">
            <w:pPr>
              <w:jc w:val="center"/>
              <w:rPr>
                <w:color w:val="000000"/>
                <w:sz w:val="18"/>
                <w:szCs w:val="18"/>
                <w:lang w:eastAsia="en-AU"/>
              </w:rPr>
            </w:pPr>
            <w:r w:rsidRPr="00C10545">
              <w:rPr>
                <w:color w:val="000000"/>
                <w:sz w:val="18"/>
                <w:szCs w:val="18"/>
                <w:lang w:eastAsia="en-AU"/>
              </w:rPr>
              <w:t>4.3%</w:t>
            </w:r>
          </w:p>
        </w:tc>
        <w:tc>
          <w:tcPr>
            <w:tcW w:w="517" w:type="pct"/>
            <w:tcBorders>
              <w:top w:val="nil"/>
              <w:left w:val="nil"/>
              <w:bottom w:val="single" w:sz="4" w:space="0" w:color="auto"/>
              <w:right w:val="single" w:sz="4" w:space="0" w:color="auto"/>
            </w:tcBorders>
            <w:shd w:val="clear" w:color="auto" w:fill="auto"/>
            <w:noWrap/>
            <w:vAlign w:val="bottom"/>
            <w:hideMark/>
          </w:tcPr>
          <w:p w14:paraId="3A144BBE" w14:textId="77777777" w:rsidR="009A356E" w:rsidRPr="00C10545" w:rsidRDefault="009A356E" w:rsidP="009A356E">
            <w:pPr>
              <w:jc w:val="center"/>
              <w:rPr>
                <w:color w:val="000000"/>
                <w:sz w:val="18"/>
                <w:szCs w:val="18"/>
                <w:lang w:eastAsia="en-AU"/>
              </w:rPr>
            </w:pPr>
            <w:r w:rsidRPr="00C10545">
              <w:rPr>
                <w:color w:val="000000"/>
                <w:sz w:val="18"/>
                <w:szCs w:val="18"/>
                <w:lang w:eastAsia="en-AU"/>
              </w:rPr>
              <w:t>2.5%</w:t>
            </w:r>
          </w:p>
        </w:tc>
        <w:tc>
          <w:tcPr>
            <w:tcW w:w="596" w:type="pct"/>
            <w:tcBorders>
              <w:top w:val="nil"/>
              <w:left w:val="nil"/>
              <w:bottom w:val="single" w:sz="4" w:space="0" w:color="auto"/>
              <w:right w:val="single" w:sz="4" w:space="0" w:color="auto"/>
            </w:tcBorders>
            <w:shd w:val="clear" w:color="auto" w:fill="auto"/>
            <w:noWrap/>
            <w:vAlign w:val="bottom"/>
            <w:hideMark/>
          </w:tcPr>
          <w:p w14:paraId="37AA99A8" w14:textId="124C34A8" w:rsidR="009A356E" w:rsidRPr="00C10545" w:rsidRDefault="009A356E" w:rsidP="009A356E">
            <w:pPr>
              <w:jc w:val="center"/>
              <w:rPr>
                <w:color w:val="000000"/>
                <w:sz w:val="18"/>
                <w:szCs w:val="18"/>
                <w:lang w:eastAsia="en-AU"/>
              </w:rPr>
            </w:pPr>
            <w:r w:rsidRPr="00C10545">
              <w:rPr>
                <w:color w:val="000000"/>
                <w:sz w:val="18"/>
                <w:szCs w:val="18"/>
                <w:lang w:eastAsia="en-AU"/>
              </w:rPr>
              <w:t xml:space="preserve"> 13.5 </w:t>
            </w:r>
          </w:p>
        </w:tc>
        <w:tc>
          <w:tcPr>
            <w:tcW w:w="596" w:type="pct"/>
            <w:tcBorders>
              <w:top w:val="nil"/>
              <w:left w:val="nil"/>
              <w:bottom w:val="single" w:sz="4" w:space="0" w:color="auto"/>
              <w:right w:val="single" w:sz="4" w:space="0" w:color="auto"/>
            </w:tcBorders>
            <w:shd w:val="clear" w:color="auto" w:fill="auto"/>
            <w:noWrap/>
            <w:vAlign w:val="bottom"/>
            <w:hideMark/>
          </w:tcPr>
          <w:p w14:paraId="26D58F82" w14:textId="77777777" w:rsidR="009A356E" w:rsidRPr="00C10545" w:rsidRDefault="009A356E" w:rsidP="009A356E">
            <w:pPr>
              <w:jc w:val="right"/>
              <w:rPr>
                <w:color w:val="000000"/>
                <w:sz w:val="18"/>
                <w:szCs w:val="18"/>
                <w:lang w:eastAsia="en-AU"/>
              </w:rPr>
            </w:pPr>
            <w:r w:rsidRPr="00C10545">
              <w:rPr>
                <w:color w:val="000000"/>
                <w:sz w:val="18"/>
                <w:szCs w:val="18"/>
                <w:lang w:eastAsia="en-AU"/>
              </w:rPr>
              <w:t>54%</w:t>
            </w:r>
          </w:p>
        </w:tc>
      </w:tr>
      <w:tr w:rsidR="009A356E" w:rsidRPr="00453D75" w14:paraId="3E84884A" w14:textId="77777777" w:rsidTr="009A356E">
        <w:trPr>
          <w:trHeight w:val="240"/>
        </w:trPr>
        <w:tc>
          <w:tcPr>
            <w:tcW w:w="1143" w:type="pct"/>
            <w:tcBorders>
              <w:top w:val="nil"/>
              <w:left w:val="single" w:sz="4" w:space="0" w:color="auto"/>
              <w:bottom w:val="single" w:sz="4" w:space="0" w:color="auto"/>
              <w:right w:val="single" w:sz="4" w:space="0" w:color="auto"/>
            </w:tcBorders>
            <w:shd w:val="clear" w:color="auto" w:fill="auto"/>
            <w:noWrap/>
            <w:vAlign w:val="bottom"/>
            <w:hideMark/>
          </w:tcPr>
          <w:p w14:paraId="1A9E5202" w14:textId="77777777" w:rsidR="009A356E" w:rsidRPr="00C10545" w:rsidRDefault="009A356E" w:rsidP="009A356E">
            <w:pPr>
              <w:rPr>
                <w:sz w:val="18"/>
                <w:szCs w:val="18"/>
                <w:lang w:eastAsia="en-AU"/>
              </w:rPr>
            </w:pPr>
            <w:r w:rsidRPr="00C10545">
              <w:rPr>
                <w:sz w:val="18"/>
                <w:szCs w:val="18"/>
                <w:lang w:eastAsia="en-AU"/>
              </w:rPr>
              <w:t>Colac-Otway</w:t>
            </w:r>
          </w:p>
        </w:tc>
        <w:tc>
          <w:tcPr>
            <w:tcW w:w="544" w:type="pct"/>
            <w:tcBorders>
              <w:top w:val="nil"/>
              <w:left w:val="nil"/>
              <w:bottom w:val="single" w:sz="4" w:space="0" w:color="auto"/>
              <w:right w:val="single" w:sz="4" w:space="0" w:color="auto"/>
            </w:tcBorders>
            <w:shd w:val="clear" w:color="auto" w:fill="auto"/>
            <w:noWrap/>
            <w:vAlign w:val="bottom"/>
            <w:hideMark/>
          </w:tcPr>
          <w:p w14:paraId="46BCCD80" w14:textId="6214684E" w:rsidR="009A356E" w:rsidRPr="00C10545" w:rsidRDefault="009A356E" w:rsidP="009A356E">
            <w:pPr>
              <w:jc w:val="center"/>
              <w:rPr>
                <w:color w:val="000000"/>
                <w:sz w:val="18"/>
                <w:szCs w:val="18"/>
                <w:lang w:eastAsia="en-AU"/>
              </w:rPr>
            </w:pPr>
            <w:r w:rsidRPr="00C10545">
              <w:rPr>
                <w:color w:val="000000"/>
                <w:sz w:val="18"/>
                <w:szCs w:val="18"/>
                <w:lang w:eastAsia="en-AU"/>
              </w:rPr>
              <w:t xml:space="preserve">3.2 </w:t>
            </w:r>
          </w:p>
        </w:tc>
        <w:tc>
          <w:tcPr>
            <w:tcW w:w="530" w:type="pct"/>
            <w:tcBorders>
              <w:top w:val="nil"/>
              <w:left w:val="nil"/>
              <w:bottom w:val="single" w:sz="4" w:space="0" w:color="auto"/>
              <w:right w:val="single" w:sz="4" w:space="0" w:color="auto"/>
            </w:tcBorders>
            <w:shd w:val="clear" w:color="auto" w:fill="auto"/>
            <w:noWrap/>
            <w:vAlign w:val="bottom"/>
            <w:hideMark/>
          </w:tcPr>
          <w:p w14:paraId="542478DF" w14:textId="655F1DC3" w:rsidR="009A356E" w:rsidRPr="00C10545" w:rsidRDefault="009A356E" w:rsidP="009A356E">
            <w:pPr>
              <w:jc w:val="center"/>
              <w:rPr>
                <w:color w:val="000000"/>
                <w:sz w:val="18"/>
                <w:szCs w:val="18"/>
                <w:lang w:eastAsia="en-AU"/>
              </w:rPr>
            </w:pPr>
            <w:r w:rsidRPr="00C10545">
              <w:rPr>
                <w:color w:val="000000"/>
                <w:sz w:val="18"/>
                <w:szCs w:val="18"/>
                <w:lang w:eastAsia="en-AU"/>
              </w:rPr>
              <w:t xml:space="preserve"> 23.3 </w:t>
            </w:r>
          </w:p>
        </w:tc>
        <w:tc>
          <w:tcPr>
            <w:tcW w:w="517" w:type="pct"/>
            <w:tcBorders>
              <w:top w:val="nil"/>
              <w:left w:val="nil"/>
              <w:bottom w:val="single" w:sz="4" w:space="0" w:color="auto"/>
              <w:right w:val="single" w:sz="4" w:space="0" w:color="auto"/>
            </w:tcBorders>
            <w:shd w:val="clear" w:color="auto" w:fill="auto"/>
            <w:noWrap/>
            <w:vAlign w:val="bottom"/>
            <w:hideMark/>
          </w:tcPr>
          <w:p w14:paraId="163DE6E5" w14:textId="77777777" w:rsidR="009A356E" w:rsidRPr="00C10545" w:rsidRDefault="009A356E" w:rsidP="009A356E">
            <w:pPr>
              <w:jc w:val="center"/>
              <w:rPr>
                <w:color w:val="000000"/>
                <w:sz w:val="18"/>
                <w:szCs w:val="18"/>
                <w:lang w:eastAsia="en-AU"/>
              </w:rPr>
            </w:pPr>
            <w:r w:rsidRPr="00C10545">
              <w:rPr>
                <w:color w:val="000000"/>
                <w:sz w:val="18"/>
                <w:szCs w:val="18"/>
                <w:lang w:eastAsia="en-AU"/>
              </w:rPr>
              <w:t>13.6%</w:t>
            </w:r>
          </w:p>
        </w:tc>
        <w:tc>
          <w:tcPr>
            <w:tcW w:w="558" w:type="pct"/>
            <w:tcBorders>
              <w:top w:val="nil"/>
              <w:left w:val="nil"/>
              <w:bottom w:val="single" w:sz="4" w:space="0" w:color="auto"/>
              <w:right w:val="single" w:sz="4" w:space="0" w:color="auto"/>
            </w:tcBorders>
            <w:shd w:val="clear" w:color="auto" w:fill="auto"/>
            <w:noWrap/>
            <w:vAlign w:val="bottom"/>
            <w:hideMark/>
          </w:tcPr>
          <w:p w14:paraId="5FCF9789" w14:textId="77777777" w:rsidR="009A356E" w:rsidRPr="00C10545" w:rsidRDefault="009A356E" w:rsidP="009A356E">
            <w:pPr>
              <w:jc w:val="center"/>
              <w:rPr>
                <w:color w:val="000000"/>
                <w:sz w:val="18"/>
                <w:szCs w:val="18"/>
                <w:lang w:eastAsia="en-AU"/>
              </w:rPr>
            </w:pPr>
            <w:r w:rsidRPr="00C10545">
              <w:rPr>
                <w:color w:val="000000"/>
                <w:sz w:val="18"/>
                <w:szCs w:val="18"/>
                <w:lang w:eastAsia="en-AU"/>
              </w:rPr>
              <w:t>4.2%</w:t>
            </w:r>
          </w:p>
        </w:tc>
        <w:tc>
          <w:tcPr>
            <w:tcW w:w="517" w:type="pct"/>
            <w:tcBorders>
              <w:top w:val="nil"/>
              <w:left w:val="nil"/>
              <w:bottom w:val="single" w:sz="4" w:space="0" w:color="auto"/>
              <w:right w:val="single" w:sz="4" w:space="0" w:color="auto"/>
            </w:tcBorders>
            <w:shd w:val="clear" w:color="auto" w:fill="auto"/>
            <w:noWrap/>
            <w:vAlign w:val="bottom"/>
            <w:hideMark/>
          </w:tcPr>
          <w:p w14:paraId="39F55363" w14:textId="77777777" w:rsidR="009A356E" w:rsidRPr="00C10545" w:rsidRDefault="009A356E" w:rsidP="009A356E">
            <w:pPr>
              <w:jc w:val="center"/>
              <w:rPr>
                <w:color w:val="000000"/>
                <w:sz w:val="18"/>
                <w:szCs w:val="18"/>
                <w:lang w:eastAsia="en-AU"/>
              </w:rPr>
            </w:pPr>
            <w:r w:rsidRPr="00C10545">
              <w:rPr>
                <w:color w:val="000000"/>
                <w:sz w:val="18"/>
                <w:szCs w:val="18"/>
                <w:lang w:eastAsia="en-AU"/>
              </w:rPr>
              <w:t>2.4%</w:t>
            </w:r>
          </w:p>
        </w:tc>
        <w:tc>
          <w:tcPr>
            <w:tcW w:w="596" w:type="pct"/>
            <w:tcBorders>
              <w:top w:val="nil"/>
              <w:left w:val="nil"/>
              <w:bottom w:val="single" w:sz="4" w:space="0" w:color="auto"/>
              <w:right w:val="single" w:sz="4" w:space="0" w:color="auto"/>
            </w:tcBorders>
            <w:shd w:val="clear" w:color="auto" w:fill="auto"/>
            <w:noWrap/>
            <w:vAlign w:val="bottom"/>
            <w:hideMark/>
          </w:tcPr>
          <w:p w14:paraId="138CD708" w14:textId="6BFB0568" w:rsidR="009A356E" w:rsidRPr="00C10545" w:rsidRDefault="009A356E" w:rsidP="009A356E">
            <w:pPr>
              <w:jc w:val="center"/>
              <w:rPr>
                <w:color w:val="000000"/>
                <w:sz w:val="18"/>
                <w:szCs w:val="18"/>
                <w:lang w:eastAsia="en-AU"/>
              </w:rPr>
            </w:pPr>
            <w:r w:rsidRPr="00C10545">
              <w:rPr>
                <w:color w:val="000000"/>
                <w:sz w:val="18"/>
                <w:szCs w:val="18"/>
                <w:lang w:eastAsia="en-AU"/>
              </w:rPr>
              <w:t xml:space="preserve"> 6.9 </w:t>
            </w:r>
          </w:p>
        </w:tc>
        <w:tc>
          <w:tcPr>
            <w:tcW w:w="596" w:type="pct"/>
            <w:tcBorders>
              <w:top w:val="nil"/>
              <w:left w:val="nil"/>
              <w:bottom w:val="single" w:sz="4" w:space="0" w:color="auto"/>
              <w:right w:val="single" w:sz="4" w:space="0" w:color="auto"/>
            </w:tcBorders>
            <w:shd w:val="clear" w:color="auto" w:fill="auto"/>
            <w:noWrap/>
            <w:vAlign w:val="bottom"/>
            <w:hideMark/>
          </w:tcPr>
          <w:p w14:paraId="1D220E1F" w14:textId="77777777" w:rsidR="009A356E" w:rsidRPr="00C10545" w:rsidRDefault="009A356E" w:rsidP="009A356E">
            <w:pPr>
              <w:jc w:val="right"/>
              <w:rPr>
                <w:color w:val="000000"/>
                <w:sz w:val="18"/>
                <w:szCs w:val="18"/>
                <w:lang w:eastAsia="en-AU"/>
              </w:rPr>
            </w:pPr>
            <w:r w:rsidRPr="00C10545">
              <w:rPr>
                <w:color w:val="000000"/>
                <w:sz w:val="18"/>
                <w:szCs w:val="18"/>
                <w:lang w:eastAsia="en-AU"/>
              </w:rPr>
              <w:t>46%</w:t>
            </w:r>
          </w:p>
        </w:tc>
      </w:tr>
      <w:tr w:rsidR="009A356E" w:rsidRPr="00453D75" w14:paraId="7F31DD05" w14:textId="77777777" w:rsidTr="009A356E">
        <w:trPr>
          <w:trHeight w:val="240"/>
        </w:trPr>
        <w:tc>
          <w:tcPr>
            <w:tcW w:w="1143" w:type="pct"/>
            <w:tcBorders>
              <w:top w:val="nil"/>
              <w:left w:val="single" w:sz="4" w:space="0" w:color="auto"/>
              <w:bottom w:val="single" w:sz="4" w:space="0" w:color="auto"/>
              <w:right w:val="single" w:sz="4" w:space="0" w:color="auto"/>
            </w:tcBorders>
            <w:shd w:val="clear" w:color="auto" w:fill="auto"/>
            <w:noWrap/>
            <w:vAlign w:val="bottom"/>
            <w:hideMark/>
          </w:tcPr>
          <w:p w14:paraId="7D6D4E3A" w14:textId="77777777" w:rsidR="009A356E" w:rsidRPr="00C10545" w:rsidRDefault="009A356E" w:rsidP="009A356E">
            <w:pPr>
              <w:rPr>
                <w:sz w:val="18"/>
                <w:szCs w:val="18"/>
                <w:lang w:eastAsia="en-AU"/>
              </w:rPr>
            </w:pPr>
            <w:r w:rsidRPr="00C10545">
              <w:rPr>
                <w:sz w:val="18"/>
                <w:szCs w:val="18"/>
                <w:lang w:eastAsia="en-AU"/>
              </w:rPr>
              <w:t>Benalla</w:t>
            </w:r>
          </w:p>
        </w:tc>
        <w:tc>
          <w:tcPr>
            <w:tcW w:w="544" w:type="pct"/>
            <w:tcBorders>
              <w:top w:val="nil"/>
              <w:left w:val="nil"/>
              <w:bottom w:val="single" w:sz="4" w:space="0" w:color="auto"/>
              <w:right w:val="single" w:sz="4" w:space="0" w:color="auto"/>
            </w:tcBorders>
            <w:shd w:val="clear" w:color="auto" w:fill="auto"/>
            <w:noWrap/>
            <w:vAlign w:val="bottom"/>
            <w:hideMark/>
          </w:tcPr>
          <w:p w14:paraId="655F14FC" w14:textId="4A4B05B1" w:rsidR="009A356E" w:rsidRPr="00C10545" w:rsidRDefault="009A356E" w:rsidP="009A356E">
            <w:pPr>
              <w:jc w:val="center"/>
              <w:rPr>
                <w:color w:val="000000"/>
                <w:sz w:val="18"/>
                <w:szCs w:val="18"/>
                <w:lang w:eastAsia="en-AU"/>
              </w:rPr>
            </w:pPr>
            <w:r w:rsidRPr="00C10545">
              <w:rPr>
                <w:color w:val="000000"/>
                <w:sz w:val="18"/>
                <w:szCs w:val="18"/>
                <w:lang w:eastAsia="en-AU"/>
              </w:rPr>
              <w:t xml:space="preserve">1.8 </w:t>
            </w:r>
          </w:p>
        </w:tc>
        <w:tc>
          <w:tcPr>
            <w:tcW w:w="530" w:type="pct"/>
            <w:tcBorders>
              <w:top w:val="nil"/>
              <w:left w:val="nil"/>
              <w:bottom w:val="single" w:sz="4" w:space="0" w:color="auto"/>
              <w:right w:val="single" w:sz="4" w:space="0" w:color="auto"/>
            </w:tcBorders>
            <w:shd w:val="clear" w:color="auto" w:fill="auto"/>
            <w:noWrap/>
            <w:vAlign w:val="bottom"/>
            <w:hideMark/>
          </w:tcPr>
          <w:p w14:paraId="0BB4E270" w14:textId="11F541C5" w:rsidR="009A356E" w:rsidRPr="00C10545" w:rsidRDefault="009A356E" w:rsidP="009A356E">
            <w:pPr>
              <w:jc w:val="center"/>
              <w:rPr>
                <w:color w:val="000000"/>
                <w:sz w:val="18"/>
                <w:szCs w:val="18"/>
                <w:lang w:eastAsia="en-AU"/>
              </w:rPr>
            </w:pPr>
            <w:r w:rsidRPr="00C10545">
              <w:rPr>
                <w:color w:val="000000"/>
                <w:sz w:val="18"/>
                <w:szCs w:val="18"/>
                <w:lang w:eastAsia="en-AU"/>
              </w:rPr>
              <w:t xml:space="preserve"> 13.4 </w:t>
            </w:r>
          </w:p>
        </w:tc>
        <w:tc>
          <w:tcPr>
            <w:tcW w:w="517" w:type="pct"/>
            <w:tcBorders>
              <w:top w:val="nil"/>
              <w:left w:val="nil"/>
              <w:bottom w:val="single" w:sz="4" w:space="0" w:color="auto"/>
              <w:right w:val="single" w:sz="4" w:space="0" w:color="auto"/>
            </w:tcBorders>
            <w:shd w:val="clear" w:color="auto" w:fill="auto"/>
            <w:noWrap/>
            <w:vAlign w:val="bottom"/>
            <w:hideMark/>
          </w:tcPr>
          <w:p w14:paraId="355FA2D4" w14:textId="77777777" w:rsidR="009A356E" w:rsidRPr="00C10545" w:rsidRDefault="009A356E" w:rsidP="009A356E">
            <w:pPr>
              <w:jc w:val="center"/>
              <w:rPr>
                <w:color w:val="000000"/>
                <w:sz w:val="18"/>
                <w:szCs w:val="18"/>
                <w:lang w:eastAsia="en-AU"/>
              </w:rPr>
            </w:pPr>
            <w:r w:rsidRPr="00C10545">
              <w:rPr>
                <w:color w:val="000000"/>
                <w:sz w:val="18"/>
                <w:szCs w:val="18"/>
                <w:lang w:eastAsia="en-AU"/>
              </w:rPr>
              <w:t>13.6%</w:t>
            </w:r>
          </w:p>
        </w:tc>
        <w:tc>
          <w:tcPr>
            <w:tcW w:w="558" w:type="pct"/>
            <w:tcBorders>
              <w:top w:val="nil"/>
              <w:left w:val="nil"/>
              <w:bottom w:val="single" w:sz="4" w:space="0" w:color="auto"/>
              <w:right w:val="single" w:sz="4" w:space="0" w:color="auto"/>
            </w:tcBorders>
            <w:shd w:val="clear" w:color="auto" w:fill="auto"/>
            <w:noWrap/>
            <w:vAlign w:val="bottom"/>
            <w:hideMark/>
          </w:tcPr>
          <w:p w14:paraId="30F66513" w14:textId="77777777" w:rsidR="009A356E" w:rsidRPr="00C10545" w:rsidRDefault="009A356E" w:rsidP="009A356E">
            <w:pPr>
              <w:jc w:val="center"/>
              <w:rPr>
                <w:color w:val="000000"/>
                <w:sz w:val="18"/>
                <w:szCs w:val="18"/>
                <w:lang w:eastAsia="en-AU"/>
              </w:rPr>
            </w:pPr>
            <w:r w:rsidRPr="00C10545">
              <w:rPr>
                <w:color w:val="000000"/>
                <w:sz w:val="18"/>
                <w:szCs w:val="18"/>
                <w:lang w:eastAsia="en-AU"/>
              </w:rPr>
              <w:t>4.3%</w:t>
            </w:r>
          </w:p>
        </w:tc>
        <w:tc>
          <w:tcPr>
            <w:tcW w:w="517" w:type="pct"/>
            <w:tcBorders>
              <w:top w:val="nil"/>
              <w:left w:val="nil"/>
              <w:bottom w:val="single" w:sz="4" w:space="0" w:color="auto"/>
              <w:right w:val="single" w:sz="4" w:space="0" w:color="auto"/>
            </w:tcBorders>
            <w:shd w:val="clear" w:color="auto" w:fill="auto"/>
            <w:noWrap/>
            <w:vAlign w:val="bottom"/>
            <w:hideMark/>
          </w:tcPr>
          <w:p w14:paraId="77905D5F" w14:textId="77777777" w:rsidR="009A356E" w:rsidRPr="00C10545" w:rsidRDefault="009A356E" w:rsidP="009A356E">
            <w:pPr>
              <w:jc w:val="center"/>
              <w:rPr>
                <w:color w:val="000000"/>
                <w:sz w:val="18"/>
                <w:szCs w:val="18"/>
                <w:lang w:eastAsia="en-AU"/>
              </w:rPr>
            </w:pPr>
            <w:r w:rsidRPr="00C10545">
              <w:rPr>
                <w:color w:val="000000"/>
                <w:sz w:val="18"/>
                <w:szCs w:val="18"/>
                <w:lang w:eastAsia="en-AU"/>
              </w:rPr>
              <w:t>2.5%</w:t>
            </w:r>
          </w:p>
        </w:tc>
        <w:tc>
          <w:tcPr>
            <w:tcW w:w="596" w:type="pct"/>
            <w:tcBorders>
              <w:top w:val="nil"/>
              <w:left w:val="nil"/>
              <w:bottom w:val="single" w:sz="4" w:space="0" w:color="auto"/>
              <w:right w:val="single" w:sz="4" w:space="0" w:color="auto"/>
            </w:tcBorders>
            <w:shd w:val="clear" w:color="auto" w:fill="auto"/>
            <w:noWrap/>
            <w:vAlign w:val="bottom"/>
            <w:hideMark/>
          </w:tcPr>
          <w:p w14:paraId="785AECAF" w14:textId="6D6D1AF0" w:rsidR="009A356E" w:rsidRPr="00C10545" w:rsidRDefault="009A356E" w:rsidP="009A356E">
            <w:pPr>
              <w:jc w:val="center"/>
              <w:rPr>
                <w:color w:val="000000"/>
                <w:sz w:val="18"/>
                <w:szCs w:val="18"/>
                <w:lang w:eastAsia="en-AU"/>
              </w:rPr>
            </w:pPr>
            <w:r w:rsidRPr="00C10545">
              <w:rPr>
                <w:color w:val="000000"/>
                <w:sz w:val="18"/>
                <w:szCs w:val="18"/>
                <w:lang w:eastAsia="en-AU"/>
              </w:rPr>
              <w:t xml:space="preserve"> 3.1 </w:t>
            </w:r>
          </w:p>
        </w:tc>
        <w:tc>
          <w:tcPr>
            <w:tcW w:w="596" w:type="pct"/>
            <w:tcBorders>
              <w:top w:val="nil"/>
              <w:left w:val="nil"/>
              <w:bottom w:val="single" w:sz="4" w:space="0" w:color="auto"/>
              <w:right w:val="single" w:sz="4" w:space="0" w:color="auto"/>
            </w:tcBorders>
            <w:shd w:val="clear" w:color="auto" w:fill="auto"/>
            <w:noWrap/>
            <w:vAlign w:val="bottom"/>
            <w:hideMark/>
          </w:tcPr>
          <w:p w14:paraId="5336FA6C" w14:textId="77777777" w:rsidR="009A356E" w:rsidRPr="00C10545" w:rsidRDefault="009A356E" w:rsidP="009A356E">
            <w:pPr>
              <w:jc w:val="right"/>
              <w:rPr>
                <w:color w:val="000000"/>
                <w:sz w:val="18"/>
                <w:szCs w:val="18"/>
                <w:lang w:eastAsia="en-AU"/>
              </w:rPr>
            </w:pPr>
            <w:r w:rsidRPr="00C10545">
              <w:rPr>
                <w:color w:val="000000"/>
                <w:sz w:val="18"/>
                <w:szCs w:val="18"/>
                <w:lang w:eastAsia="en-AU"/>
              </w:rPr>
              <w:t>58%</w:t>
            </w:r>
          </w:p>
        </w:tc>
      </w:tr>
      <w:tr w:rsidR="009A356E" w:rsidRPr="00453D75" w14:paraId="7AED5950" w14:textId="77777777" w:rsidTr="009A356E">
        <w:trPr>
          <w:trHeight w:val="240"/>
        </w:trPr>
        <w:tc>
          <w:tcPr>
            <w:tcW w:w="1143" w:type="pct"/>
            <w:tcBorders>
              <w:top w:val="nil"/>
              <w:left w:val="single" w:sz="4" w:space="0" w:color="auto"/>
              <w:bottom w:val="single" w:sz="4" w:space="0" w:color="auto"/>
              <w:right w:val="single" w:sz="4" w:space="0" w:color="auto"/>
            </w:tcBorders>
            <w:shd w:val="clear" w:color="auto" w:fill="auto"/>
            <w:noWrap/>
            <w:vAlign w:val="bottom"/>
            <w:hideMark/>
          </w:tcPr>
          <w:p w14:paraId="36F8F636" w14:textId="77777777" w:rsidR="009A356E" w:rsidRPr="00C10545" w:rsidRDefault="009A356E" w:rsidP="009A356E">
            <w:pPr>
              <w:rPr>
                <w:sz w:val="18"/>
                <w:szCs w:val="18"/>
                <w:lang w:eastAsia="en-AU"/>
              </w:rPr>
            </w:pPr>
            <w:r w:rsidRPr="00C10545">
              <w:rPr>
                <w:sz w:val="18"/>
                <w:szCs w:val="18"/>
                <w:lang w:eastAsia="en-AU"/>
              </w:rPr>
              <w:t>Murrindindi</w:t>
            </w:r>
          </w:p>
        </w:tc>
        <w:tc>
          <w:tcPr>
            <w:tcW w:w="544" w:type="pct"/>
            <w:tcBorders>
              <w:top w:val="nil"/>
              <w:left w:val="nil"/>
              <w:bottom w:val="single" w:sz="4" w:space="0" w:color="auto"/>
              <w:right w:val="single" w:sz="4" w:space="0" w:color="auto"/>
            </w:tcBorders>
            <w:shd w:val="clear" w:color="auto" w:fill="auto"/>
            <w:noWrap/>
            <w:vAlign w:val="bottom"/>
            <w:hideMark/>
          </w:tcPr>
          <w:p w14:paraId="080A56F4" w14:textId="043A0E40" w:rsidR="009A356E" w:rsidRPr="00C10545" w:rsidRDefault="009A356E" w:rsidP="009A356E">
            <w:pPr>
              <w:jc w:val="center"/>
              <w:rPr>
                <w:color w:val="000000"/>
                <w:sz w:val="18"/>
                <w:szCs w:val="18"/>
                <w:lang w:eastAsia="en-AU"/>
              </w:rPr>
            </w:pPr>
            <w:r w:rsidRPr="00C10545">
              <w:rPr>
                <w:color w:val="000000"/>
                <w:sz w:val="18"/>
                <w:szCs w:val="18"/>
                <w:lang w:eastAsia="en-AU"/>
              </w:rPr>
              <w:t xml:space="preserve">2.0 </w:t>
            </w:r>
          </w:p>
        </w:tc>
        <w:tc>
          <w:tcPr>
            <w:tcW w:w="530" w:type="pct"/>
            <w:tcBorders>
              <w:top w:val="nil"/>
              <w:left w:val="nil"/>
              <w:bottom w:val="single" w:sz="4" w:space="0" w:color="auto"/>
              <w:right w:val="single" w:sz="4" w:space="0" w:color="auto"/>
            </w:tcBorders>
            <w:shd w:val="clear" w:color="auto" w:fill="auto"/>
            <w:noWrap/>
            <w:vAlign w:val="bottom"/>
            <w:hideMark/>
          </w:tcPr>
          <w:p w14:paraId="0FB6803F" w14:textId="0C3C6F39" w:rsidR="009A356E" w:rsidRPr="00C10545" w:rsidRDefault="009A356E" w:rsidP="009A356E">
            <w:pPr>
              <w:jc w:val="center"/>
              <w:rPr>
                <w:color w:val="000000"/>
                <w:sz w:val="18"/>
                <w:szCs w:val="18"/>
                <w:lang w:eastAsia="en-AU"/>
              </w:rPr>
            </w:pPr>
            <w:r w:rsidRPr="00C10545">
              <w:rPr>
                <w:color w:val="000000"/>
                <w:sz w:val="18"/>
                <w:szCs w:val="18"/>
                <w:lang w:eastAsia="en-AU"/>
              </w:rPr>
              <w:t xml:space="preserve"> 14.6 </w:t>
            </w:r>
          </w:p>
        </w:tc>
        <w:tc>
          <w:tcPr>
            <w:tcW w:w="517" w:type="pct"/>
            <w:tcBorders>
              <w:top w:val="nil"/>
              <w:left w:val="nil"/>
              <w:bottom w:val="single" w:sz="4" w:space="0" w:color="auto"/>
              <w:right w:val="single" w:sz="4" w:space="0" w:color="auto"/>
            </w:tcBorders>
            <w:shd w:val="clear" w:color="auto" w:fill="auto"/>
            <w:noWrap/>
            <w:vAlign w:val="bottom"/>
            <w:hideMark/>
          </w:tcPr>
          <w:p w14:paraId="6762ADCD" w14:textId="77777777" w:rsidR="009A356E" w:rsidRPr="00C10545" w:rsidRDefault="009A356E" w:rsidP="009A356E">
            <w:pPr>
              <w:jc w:val="center"/>
              <w:rPr>
                <w:color w:val="000000"/>
                <w:sz w:val="18"/>
                <w:szCs w:val="18"/>
                <w:lang w:eastAsia="en-AU"/>
              </w:rPr>
            </w:pPr>
            <w:r w:rsidRPr="00C10545">
              <w:rPr>
                <w:color w:val="000000"/>
                <w:sz w:val="18"/>
                <w:szCs w:val="18"/>
                <w:lang w:eastAsia="en-AU"/>
              </w:rPr>
              <w:t>13.6%</w:t>
            </w:r>
          </w:p>
        </w:tc>
        <w:tc>
          <w:tcPr>
            <w:tcW w:w="558" w:type="pct"/>
            <w:tcBorders>
              <w:top w:val="nil"/>
              <w:left w:val="nil"/>
              <w:bottom w:val="single" w:sz="4" w:space="0" w:color="auto"/>
              <w:right w:val="single" w:sz="4" w:space="0" w:color="auto"/>
            </w:tcBorders>
            <w:shd w:val="clear" w:color="auto" w:fill="auto"/>
            <w:noWrap/>
            <w:vAlign w:val="bottom"/>
            <w:hideMark/>
          </w:tcPr>
          <w:p w14:paraId="4FB28529" w14:textId="77777777" w:rsidR="009A356E" w:rsidRPr="00C10545" w:rsidRDefault="009A356E" w:rsidP="009A356E">
            <w:pPr>
              <w:jc w:val="center"/>
              <w:rPr>
                <w:color w:val="000000"/>
                <w:sz w:val="18"/>
                <w:szCs w:val="18"/>
                <w:lang w:eastAsia="en-AU"/>
              </w:rPr>
            </w:pPr>
            <w:r w:rsidRPr="00C10545">
              <w:rPr>
                <w:color w:val="000000"/>
                <w:sz w:val="18"/>
                <w:szCs w:val="18"/>
                <w:lang w:eastAsia="en-AU"/>
              </w:rPr>
              <w:t>4.2%</w:t>
            </w:r>
          </w:p>
        </w:tc>
        <w:tc>
          <w:tcPr>
            <w:tcW w:w="517" w:type="pct"/>
            <w:tcBorders>
              <w:top w:val="nil"/>
              <w:left w:val="nil"/>
              <w:bottom w:val="single" w:sz="4" w:space="0" w:color="auto"/>
              <w:right w:val="single" w:sz="4" w:space="0" w:color="auto"/>
            </w:tcBorders>
            <w:shd w:val="clear" w:color="auto" w:fill="auto"/>
            <w:noWrap/>
            <w:vAlign w:val="bottom"/>
            <w:hideMark/>
          </w:tcPr>
          <w:p w14:paraId="0EAB611F" w14:textId="77777777" w:rsidR="009A356E" w:rsidRPr="00C10545" w:rsidRDefault="009A356E" w:rsidP="009A356E">
            <w:pPr>
              <w:jc w:val="center"/>
              <w:rPr>
                <w:color w:val="000000"/>
                <w:sz w:val="18"/>
                <w:szCs w:val="18"/>
                <w:lang w:eastAsia="en-AU"/>
              </w:rPr>
            </w:pPr>
            <w:r w:rsidRPr="00C10545">
              <w:rPr>
                <w:color w:val="000000"/>
                <w:sz w:val="18"/>
                <w:szCs w:val="18"/>
                <w:lang w:eastAsia="en-AU"/>
              </w:rPr>
              <w:t>2.4%</w:t>
            </w:r>
          </w:p>
        </w:tc>
        <w:tc>
          <w:tcPr>
            <w:tcW w:w="596" w:type="pct"/>
            <w:tcBorders>
              <w:top w:val="nil"/>
              <w:left w:val="nil"/>
              <w:bottom w:val="single" w:sz="4" w:space="0" w:color="auto"/>
              <w:right w:val="single" w:sz="4" w:space="0" w:color="auto"/>
            </w:tcBorders>
            <w:shd w:val="clear" w:color="auto" w:fill="auto"/>
            <w:noWrap/>
            <w:vAlign w:val="bottom"/>
            <w:hideMark/>
          </w:tcPr>
          <w:p w14:paraId="5FB992F7" w14:textId="26E57AE7" w:rsidR="009A356E" w:rsidRPr="00C10545" w:rsidRDefault="009A356E" w:rsidP="009A356E">
            <w:pPr>
              <w:jc w:val="center"/>
              <w:rPr>
                <w:color w:val="000000"/>
                <w:sz w:val="18"/>
                <w:szCs w:val="18"/>
                <w:lang w:eastAsia="en-AU"/>
              </w:rPr>
            </w:pPr>
            <w:r w:rsidRPr="00C10545">
              <w:rPr>
                <w:color w:val="000000"/>
                <w:sz w:val="18"/>
                <w:szCs w:val="18"/>
                <w:lang w:eastAsia="en-AU"/>
              </w:rPr>
              <w:t xml:space="preserve"> 3.2 </w:t>
            </w:r>
          </w:p>
        </w:tc>
        <w:tc>
          <w:tcPr>
            <w:tcW w:w="596" w:type="pct"/>
            <w:tcBorders>
              <w:top w:val="nil"/>
              <w:left w:val="nil"/>
              <w:bottom w:val="single" w:sz="4" w:space="0" w:color="auto"/>
              <w:right w:val="single" w:sz="4" w:space="0" w:color="auto"/>
            </w:tcBorders>
            <w:shd w:val="clear" w:color="auto" w:fill="auto"/>
            <w:noWrap/>
            <w:vAlign w:val="bottom"/>
            <w:hideMark/>
          </w:tcPr>
          <w:p w14:paraId="6D47EA1D" w14:textId="77777777" w:rsidR="009A356E" w:rsidRPr="00C10545" w:rsidRDefault="009A356E" w:rsidP="009A356E">
            <w:pPr>
              <w:jc w:val="right"/>
              <w:rPr>
                <w:color w:val="000000"/>
                <w:sz w:val="18"/>
                <w:szCs w:val="18"/>
                <w:lang w:eastAsia="en-AU"/>
              </w:rPr>
            </w:pPr>
            <w:r w:rsidRPr="00C10545">
              <w:rPr>
                <w:color w:val="000000"/>
                <w:sz w:val="18"/>
                <w:szCs w:val="18"/>
                <w:lang w:eastAsia="en-AU"/>
              </w:rPr>
              <w:t>62%</w:t>
            </w:r>
          </w:p>
        </w:tc>
      </w:tr>
      <w:tr w:rsidR="009A356E" w:rsidRPr="00453D75" w14:paraId="47971B01" w14:textId="77777777" w:rsidTr="009A356E">
        <w:trPr>
          <w:trHeight w:val="240"/>
        </w:trPr>
        <w:tc>
          <w:tcPr>
            <w:tcW w:w="1143" w:type="pct"/>
            <w:tcBorders>
              <w:top w:val="nil"/>
              <w:left w:val="single" w:sz="4" w:space="0" w:color="auto"/>
              <w:bottom w:val="single" w:sz="4" w:space="0" w:color="auto"/>
              <w:right w:val="single" w:sz="4" w:space="0" w:color="auto"/>
            </w:tcBorders>
            <w:shd w:val="clear" w:color="auto" w:fill="auto"/>
            <w:noWrap/>
            <w:vAlign w:val="bottom"/>
            <w:hideMark/>
          </w:tcPr>
          <w:p w14:paraId="7E8838C9" w14:textId="77777777" w:rsidR="009A356E" w:rsidRPr="00C10545" w:rsidRDefault="009A356E" w:rsidP="009A356E">
            <w:pPr>
              <w:rPr>
                <w:sz w:val="18"/>
                <w:szCs w:val="18"/>
                <w:lang w:eastAsia="en-AU"/>
              </w:rPr>
            </w:pPr>
            <w:r w:rsidRPr="00C10545">
              <w:rPr>
                <w:sz w:val="18"/>
                <w:szCs w:val="18"/>
                <w:lang w:eastAsia="en-AU"/>
              </w:rPr>
              <w:t>Greater Bendigo</w:t>
            </w:r>
          </w:p>
        </w:tc>
        <w:tc>
          <w:tcPr>
            <w:tcW w:w="544" w:type="pct"/>
            <w:tcBorders>
              <w:top w:val="nil"/>
              <w:left w:val="nil"/>
              <w:bottom w:val="single" w:sz="4" w:space="0" w:color="auto"/>
              <w:right w:val="single" w:sz="4" w:space="0" w:color="auto"/>
            </w:tcBorders>
            <w:shd w:val="clear" w:color="auto" w:fill="auto"/>
            <w:noWrap/>
            <w:vAlign w:val="bottom"/>
            <w:hideMark/>
          </w:tcPr>
          <w:p w14:paraId="4AF7786C" w14:textId="4315E827" w:rsidR="009A356E" w:rsidRPr="00C10545" w:rsidRDefault="009A356E" w:rsidP="009A356E">
            <w:pPr>
              <w:jc w:val="center"/>
              <w:rPr>
                <w:color w:val="000000"/>
                <w:sz w:val="18"/>
                <w:szCs w:val="18"/>
                <w:lang w:eastAsia="en-AU"/>
              </w:rPr>
            </w:pPr>
            <w:r w:rsidRPr="00C10545">
              <w:rPr>
                <w:color w:val="000000"/>
                <w:sz w:val="18"/>
                <w:szCs w:val="18"/>
                <w:lang w:eastAsia="en-AU"/>
              </w:rPr>
              <w:t xml:space="preserve">10.3 </w:t>
            </w:r>
          </w:p>
        </w:tc>
        <w:tc>
          <w:tcPr>
            <w:tcW w:w="530" w:type="pct"/>
            <w:tcBorders>
              <w:top w:val="nil"/>
              <w:left w:val="nil"/>
              <w:bottom w:val="single" w:sz="4" w:space="0" w:color="auto"/>
              <w:right w:val="single" w:sz="4" w:space="0" w:color="auto"/>
            </w:tcBorders>
            <w:shd w:val="clear" w:color="auto" w:fill="auto"/>
            <w:noWrap/>
            <w:vAlign w:val="bottom"/>
            <w:hideMark/>
          </w:tcPr>
          <w:p w14:paraId="12D39563" w14:textId="2E69048C" w:rsidR="009A356E" w:rsidRPr="00C10545" w:rsidRDefault="009A356E" w:rsidP="009A356E">
            <w:pPr>
              <w:jc w:val="center"/>
              <w:rPr>
                <w:color w:val="000000"/>
                <w:sz w:val="18"/>
                <w:szCs w:val="18"/>
                <w:lang w:eastAsia="en-AU"/>
              </w:rPr>
            </w:pPr>
            <w:r w:rsidRPr="00C10545">
              <w:rPr>
                <w:color w:val="000000"/>
                <w:sz w:val="18"/>
                <w:szCs w:val="18"/>
                <w:lang w:eastAsia="en-AU"/>
              </w:rPr>
              <w:t xml:space="preserve"> 79.9 </w:t>
            </w:r>
          </w:p>
        </w:tc>
        <w:tc>
          <w:tcPr>
            <w:tcW w:w="517" w:type="pct"/>
            <w:tcBorders>
              <w:top w:val="nil"/>
              <w:left w:val="nil"/>
              <w:bottom w:val="single" w:sz="4" w:space="0" w:color="auto"/>
              <w:right w:val="single" w:sz="4" w:space="0" w:color="auto"/>
            </w:tcBorders>
            <w:shd w:val="clear" w:color="auto" w:fill="auto"/>
            <w:noWrap/>
            <w:vAlign w:val="bottom"/>
            <w:hideMark/>
          </w:tcPr>
          <w:p w14:paraId="5A16BBBF" w14:textId="77777777" w:rsidR="009A356E" w:rsidRPr="00C10545" w:rsidRDefault="009A356E" w:rsidP="009A356E">
            <w:pPr>
              <w:jc w:val="center"/>
              <w:rPr>
                <w:color w:val="000000"/>
                <w:sz w:val="18"/>
                <w:szCs w:val="18"/>
                <w:lang w:eastAsia="en-AU"/>
              </w:rPr>
            </w:pPr>
            <w:r w:rsidRPr="00C10545">
              <w:rPr>
                <w:color w:val="000000"/>
                <w:sz w:val="18"/>
                <w:szCs w:val="18"/>
                <w:lang w:eastAsia="en-AU"/>
              </w:rPr>
              <w:t>12.9%</w:t>
            </w:r>
          </w:p>
        </w:tc>
        <w:tc>
          <w:tcPr>
            <w:tcW w:w="558" w:type="pct"/>
            <w:tcBorders>
              <w:top w:val="nil"/>
              <w:left w:val="nil"/>
              <w:bottom w:val="single" w:sz="4" w:space="0" w:color="auto"/>
              <w:right w:val="single" w:sz="4" w:space="0" w:color="auto"/>
            </w:tcBorders>
            <w:shd w:val="clear" w:color="auto" w:fill="auto"/>
            <w:noWrap/>
            <w:vAlign w:val="bottom"/>
            <w:hideMark/>
          </w:tcPr>
          <w:p w14:paraId="352D84D9" w14:textId="77777777" w:rsidR="009A356E" w:rsidRPr="00C10545" w:rsidRDefault="009A356E" w:rsidP="009A356E">
            <w:pPr>
              <w:jc w:val="center"/>
              <w:rPr>
                <w:color w:val="000000"/>
                <w:sz w:val="18"/>
                <w:szCs w:val="18"/>
                <w:lang w:eastAsia="en-AU"/>
              </w:rPr>
            </w:pPr>
            <w:r w:rsidRPr="00C10545">
              <w:rPr>
                <w:color w:val="000000"/>
                <w:sz w:val="18"/>
                <w:szCs w:val="18"/>
                <w:lang w:eastAsia="en-AU"/>
              </w:rPr>
              <w:t>4.0%</w:t>
            </w:r>
          </w:p>
        </w:tc>
        <w:tc>
          <w:tcPr>
            <w:tcW w:w="517" w:type="pct"/>
            <w:tcBorders>
              <w:top w:val="nil"/>
              <w:left w:val="nil"/>
              <w:bottom w:val="single" w:sz="4" w:space="0" w:color="auto"/>
              <w:right w:val="single" w:sz="4" w:space="0" w:color="auto"/>
            </w:tcBorders>
            <w:shd w:val="clear" w:color="auto" w:fill="auto"/>
            <w:noWrap/>
            <w:vAlign w:val="bottom"/>
            <w:hideMark/>
          </w:tcPr>
          <w:p w14:paraId="2E4E5957" w14:textId="77777777" w:rsidR="009A356E" w:rsidRPr="00C10545" w:rsidRDefault="009A356E" w:rsidP="009A356E">
            <w:pPr>
              <w:jc w:val="center"/>
              <w:rPr>
                <w:color w:val="000000"/>
                <w:sz w:val="18"/>
                <w:szCs w:val="18"/>
                <w:lang w:eastAsia="en-AU"/>
              </w:rPr>
            </w:pPr>
            <w:r w:rsidRPr="00C10545">
              <w:rPr>
                <w:color w:val="000000"/>
                <w:sz w:val="18"/>
                <w:szCs w:val="18"/>
                <w:lang w:eastAsia="en-AU"/>
              </w:rPr>
              <w:t>2.2%</w:t>
            </w:r>
          </w:p>
        </w:tc>
        <w:tc>
          <w:tcPr>
            <w:tcW w:w="596" w:type="pct"/>
            <w:tcBorders>
              <w:top w:val="nil"/>
              <w:left w:val="nil"/>
              <w:bottom w:val="single" w:sz="4" w:space="0" w:color="auto"/>
              <w:right w:val="single" w:sz="4" w:space="0" w:color="auto"/>
            </w:tcBorders>
            <w:shd w:val="clear" w:color="auto" w:fill="auto"/>
            <w:noWrap/>
            <w:vAlign w:val="bottom"/>
            <w:hideMark/>
          </w:tcPr>
          <w:p w14:paraId="0EC636A6" w14:textId="5ABAB5E6" w:rsidR="009A356E" w:rsidRPr="00C10545" w:rsidRDefault="009A356E" w:rsidP="009A356E">
            <w:pPr>
              <w:jc w:val="center"/>
              <w:rPr>
                <w:color w:val="000000"/>
                <w:sz w:val="18"/>
                <w:szCs w:val="18"/>
                <w:lang w:eastAsia="en-AU"/>
              </w:rPr>
            </w:pPr>
            <w:r w:rsidRPr="00C10545">
              <w:rPr>
                <w:color w:val="000000"/>
                <w:sz w:val="18"/>
                <w:szCs w:val="18"/>
                <w:lang w:eastAsia="en-AU"/>
              </w:rPr>
              <w:t xml:space="preserve"> 21.0 </w:t>
            </w:r>
          </w:p>
        </w:tc>
        <w:tc>
          <w:tcPr>
            <w:tcW w:w="596" w:type="pct"/>
            <w:tcBorders>
              <w:top w:val="nil"/>
              <w:left w:val="nil"/>
              <w:bottom w:val="single" w:sz="4" w:space="0" w:color="auto"/>
              <w:right w:val="single" w:sz="4" w:space="0" w:color="auto"/>
            </w:tcBorders>
            <w:shd w:val="clear" w:color="auto" w:fill="auto"/>
            <w:noWrap/>
            <w:vAlign w:val="bottom"/>
            <w:hideMark/>
          </w:tcPr>
          <w:p w14:paraId="652B4230" w14:textId="77777777" w:rsidR="009A356E" w:rsidRPr="00C10545" w:rsidRDefault="009A356E" w:rsidP="009A356E">
            <w:pPr>
              <w:jc w:val="right"/>
              <w:rPr>
                <w:color w:val="000000"/>
                <w:sz w:val="18"/>
                <w:szCs w:val="18"/>
                <w:lang w:eastAsia="en-AU"/>
              </w:rPr>
            </w:pPr>
            <w:r w:rsidRPr="00C10545">
              <w:rPr>
                <w:color w:val="000000"/>
                <w:sz w:val="18"/>
                <w:szCs w:val="18"/>
                <w:lang w:eastAsia="en-AU"/>
              </w:rPr>
              <w:t>49%</w:t>
            </w:r>
          </w:p>
        </w:tc>
      </w:tr>
      <w:tr w:rsidR="009A356E" w:rsidRPr="00453D75" w14:paraId="6B48B236" w14:textId="77777777" w:rsidTr="009A356E">
        <w:trPr>
          <w:trHeight w:val="240"/>
        </w:trPr>
        <w:tc>
          <w:tcPr>
            <w:tcW w:w="1143" w:type="pct"/>
            <w:tcBorders>
              <w:top w:val="nil"/>
              <w:left w:val="single" w:sz="4" w:space="0" w:color="auto"/>
              <w:bottom w:val="single" w:sz="4" w:space="0" w:color="auto"/>
              <w:right w:val="single" w:sz="4" w:space="0" w:color="auto"/>
            </w:tcBorders>
            <w:shd w:val="clear" w:color="auto" w:fill="auto"/>
            <w:noWrap/>
            <w:vAlign w:val="bottom"/>
            <w:hideMark/>
          </w:tcPr>
          <w:p w14:paraId="0AF3E0F7" w14:textId="77777777" w:rsidR="009A356E" w:rsidRPr="00C10545" w:rsidRDefault="009A356E" w:rsidP="009A356E">
            <w:pPr>
              <w:rPr>
                <w:sz w:val="18"/>
                <w:szCs w:val="18"/>
                <w:lang w:eastAsia="en-AU"/>
              </w:rPr>
            </w:pPr>
            <w:r w:rsidRPr="00C10545">
              <w:rPr>
                <w:sz w:val="18"/>
                <w:szCs w:val="18"/>
                <w:lang w:eastAsia="en-AU"/>
              </w:rPr>
              <w:t>Ballarat</w:t>
            </w:r>
          </w:p>
        </w:tc>
        <w:tc>
          <w:tcPr>
            <w:tcW w:w="544" w:type="pct"/>
            <w:tcBorders>
              <w:top w:val="nil"/>
              <w:left w:val="nil"/>
              <w:bottom w:val="single" w:sz="4" w:space="0" w:color="auto"/>
              <w:right w:val="single" w:sz="4" w:space="0" w:color="auto"/>
            </w:tcBorders>
            <w:shd w:val="clear" w:color="auto" w:fill="auto"/>
            <w:noWrap/>
            <w:vAlign w:val="bottom"/>
            <w:hideMark/>
          </w:tcPr>
          <w:p w14:paraId="490A10E9" w14:textId="456D3873" w:rsidR="009A356E" w:rsidRPr="00C10545" w:rsidRDefault="009A356E" w:rsidP="009A356E">
            <w:pPr>
              <w:jc w:val="center"/>
              <w:rPr>
                <w:color w:val="000000"/>
                <w:sz w:val="18"/>
                <w:szCs w:val="18"/>
                <w:lang w:eastAsia="en-AU"/>
              </w:rPr>
            </w:pPr>
            <w:r w:rsidRPr="00C10545">
              <w:rPr>
                <w:color w:val="000000"/>
                <w:sz w:val="18"/>
                <w:szCs w:val="18"/>
                <w:lang w:eastAsia="en-AU"/>
              </w:rPr>
              <w:t xml:space="preserve">9.6 </w:t>
            </w:r>
          </w:p>
        </w:tc>
        <w:tc>
          <w:tcPr>
            <w:tcW w:w="530" w:type="pct"/>
            <w:tcBorders>
              <w:top w:val="nil"/>
              <w:left w:val="nil"/>
              <w:bottom w:val="single" w:sz="4" w:space="0" w:color="auto"/>
              <w:right w:val="single" w:sz="4" w:space="0" w:color="auto"/>
            </w:tcBorders>
            <w:shd w:val="clear" w:color="auto" w:fill="auto"/>
            <w:noWrap/>
            <w:vAlign w:val="bottom"/>
            <w:hideMark/>
          </w:tcPr>
          <w:p w14:paraId="2237A8CB" w14:textId="298A0FA0" w:rsidR="009A356E" w:rsidRPr="00C10545" w:rsidRDefault="009A356E" w:rsidP="009A356E">
            <w:pPr>
              <w:jc w:val="center"/>
              <w:rPr>
                <w:color w:val="000000"/>
                <w:sz w:val="18"/>
                <w:szCs w:val="18"/>
                <w:lang w:eastAsia="en-AU"/>
              </w:rPr>
            </w:pPr>
            <w:r w:rsidRPr="00C10545">
              <w:rPr>
                <w:color w:val="000000"/>
                <w:sz w:val="18"/>
                <w:szCs w:val="18"/>
                <w:lang w:eastAsia="en-AU"/>
              </w:rPr>
              <w:t xml:space="preserve"> 77.3 </w:t>
            </w:r>
          </w:p>
        </w:tc>
        <w:tc>
          <w:tcPr>
            <w:tcW w:w="517" w:type="pct"/>
            <w:tcBorders>
              <w:top w:val="nil"/>
              <w:left w:val="nil"/>
              <w:bottom w:val="single" w:sz="4" w:space="0" w:color="auto"/>
              <w:right w:val="single" w:sz="4" w:space="0" w:color="auto"/>
            </w:tcBorders>
            <w:shd w:val="clear" w:color="auto" w:fill="auto"/>
            <w:noWrap/>
            <w:vAlign w:val="bottom"/>
            <w:hideMark/>
          </w:tcPr>
          <w:p w14:paraId="4C5327AC" w14:textId="77777777" w:rsidR="009A356E" w:rsidRPr="00C10545" w:rsidRDefault="009A356E" w:rsidP="009A356E">
            <w:pPr>
              <w:jc w:val="center"/>
              <w:rPr>
                <w:color w:val="000000"/>
                <w:sz w:val="18"/>
                <w:szCs w:val="18"/>
                <w:lang w:eastAsia="en-AU"/>
              </w:rPr>
            </w:pPr>
            <w:r w:rsidRPr="00C10545">
              <w:rPr>
                <w:color w:val="000000"/>
                <w:sz w:val="18"/>
                <w:szCs w:val="18"/>
                <w:lang w:eastAsia="en-AU"/>
              </w:rPr>
              <w:t>12.5%</w:t>
            </w:r>
          </w:p>
        </w:tc>
        <w:tc>
          <w:tcPr>
            <w:tcW w:w="558" w:type="pct"/>
            <w:tcBorders>
              <w:top w:val="nil"/>
              <w:left w:val="nil"/>
              <w:bottom w:val="single" w:sz="4" w:space="0" w:color="auto"/>
              <w:right w:val="single" w:sz="4" w:space="0" w:color="auto"/>
            </w:tcBorders>
            <w:shd w:val="clear" w:color="auto" w:fill="auto"/>
            <w:noWrap/>
            <w:vAlign w:val="bottom"/>
            <w:hideMark/>
          </w:tcPr>
          <w:p w14:paraId="2D25C69B" w14:textId="77777777" w:rsidR="009A356E" w:rsidRPr="00C10545" w:rsidRDefault="009A356E" w:rsidP="009A356E">
            <w:pPr>
              <w:jc w:val="center"/>
              <w:rPr>
                <w:color w:val="000000"/>
                <w:sz w:val="18"/>
                <w:szCs w:val="18"/>
                <w:lang w:eastAsia="en-AU"/>
              </w:rPr>
            </w:pPr>
            <w:r w:rsidRPr="00C10545">
              <w:rPr>
                <w:color w:val="000000"/>
                <w:sz w:val="18"/>
                <w:szCs w:val="18"/>
                <w:lang w:eastAsia="en-AU"/>
              </w:rPr>
              <w:t>3.8%</w:t>
            </w:r>
          </w:p>
        </w:tc>
        <w:tc>
          <w:tcPr>
            <w:tcW w:w="517" w:type="pct"/>
            <w:tcBorders>
              <w:top w:val="nil"/>
              <w:left w:val="nil"/>
              <w:bottom w:val="single" w:sz="4" w:space="0" w:color="auto"/>
              <w:right w:val="single" w:sz="4" w:space="0" w:color="auto"/>
            </w:tcBorders>
            <w:shd w:val="clear" w:color="auto" w:fill="auto"/>
            <w:noWrap/>
            <w:vAlign w:val="bottom"/>
            <w:hideMark/>
          </w:tcPr>
          <w:p w14:paraId="1D40E8F9" w14:textId="77777777" w:rsidR="009A356E" w:rsidRPr="00C10545" w:rsidRDefault="009A356E" w:rsidP="009A356E">
            <w:pPr>
              <w:jc w:val="center"/>
              <w:rPr>
                <w:color w:val="000000"/>
                <w:sz w:val="18"/>
                <w:szCs w:val="18"/>
                <w:lang w:eastAsia="en-AU"/>
              </w:rPr>
            </w:pPr>
            <w:r w:rsidRPr="00C10545">
              <w:rPr>
                <w:color w:val="000000"/>
                <w:sz w:val="18"/>
                <w:szCs w:val="18"/>
                <w:lang w:eastAsia="en-AU"/>
              </w:rPr>
              <w:t>2.1%</w:t>
            </w:r>
          </w:p>
        </w:tc>
        <w:tc>
          <w:tcPr>
            <w:tcW w:w="596" w:type="pct"/>
            <w:tcBorders>
              <w:top w:val="nil"/>
              <w:left w:val="nil"/>
              <w:bottom w:val="single" w:sz="4" w:space="0" w:color="auto"/>
              <w:right w:val="single" w:sz="4" w:space="0" w:color="auto"/>
            </w:tcBorders>
            <w:shd w:val="clear" w:color="auto" w:fill="auto"/>
            <w:noWrap/>
            <w:vAlign w:val="bottom"/>
            <w:hideMark/>
          </w:tcPr>
          <w:p w14:paraId="5E3668EE" w14:textId="06C50D45" w:rsidR="009A356E" w:rsidRPr="00C10545" w:rsidRDefault="009A356E" w:rsidP="009A356E">
            <w:pPr>
              <w:jc w:val="center"/>
              <w:rPr>
                <w:color w:val="000000"/>
                <w:sz w:val="18"/>
                <w:szCs w:val="18"/>
                <w:lang w:eastAsia="en-AU"/>
              </w:rPr>
            </w:pPr>
            <w:r w:rsidRPr="00C10545">
              <w:rPr>
                <w:color w:val="000000"/>
                <w:sz w:val="18"/>
                <w:szCs w:val="18"/>
                <w:lang w:eastAsia="en-AU"/>
              </w:rPr>
              <w:t xml:space="preserve"> 18.8 </w:t>
            </w:r>
          </w:p>
        </w:tc>
        <w:tc>
          <w:tcPr>
            <w:tcW w:w="596" w:type="pct"/>
            <w:tcBorders>
              <w:top w:val="nil"/>
              <w:left w:val="nil"/>
              <w:bottom w:val="single" w:sz="4" w:space="0" w:color="auto"/>
              <w:right w:val="single" w:sz="4" w:space="0" w:color="auto"/>
            </w:tcBorders>
            <w:shd w:val="clear" w:color="auto" w:fill="auto"/>
            <w:noWrap/>
            <w:vAlign w:val="bottom"/>
            <w:hideMark/>
          </w:tcPr>
          <w:p w14:paraId="68644F72" w14:textId="77777777" w:rsidR="009A356E" w:rsidRPr="00C10545" w:rsidRDefault="009A356E" w:rsidP="009A356E">
            <w:pPr>
              <w:jc w:val="right"/>
              <w:rPr>
                <w:color w:val="000000"/>
                <w:sz w:val="18"/>
                <w:szCs w:val="18"/>
                <w:lang w:eastAsia="en-AU"/>
              </w:rPr>
            </w:pPr>
            <w:r w:rsidRPr="00C10545">
              <w:rPr>
                <w:color w:val="000000"/>
                <w:sz w:val="18"/>
                <w:szCs w:val="18"/>
                <w:lang w:eastAsia="en-AU"/>
              </w:rPr>
              <w:t>51%</w:t>
            </w:r>
          </w:p>
        </w:tc>
      </w:tr>
      <w:tr w:rsidR="009A356E" w:rsidRPr="00453D75" w14:paraId="7467F499" w14:textId="77777777" w:rsidTr="009A356E">
        <w:trPr>
          <w:trHeight w:val="240"/>
        </w:trPr>
        <w:tc>
          <w:tcPr>
            <w:tcW w:w="1143" w:type="pct"/>
            <w:tcBorders>
              <w:top w:val="nil"/>
              <w:left w:val="single" w:sz="4" w:space="0" w:color="auto"/>
              <w:bottom w:val="single" w:sz="4" w:space="0" w:color="auto"/>
              <w:right w:val="single" w:sz="4" w:space="0" w:color="auto"/>
            </w:tcBorders>
            <w:shd w:val="clear" w:color="auto" w:fill="auto"/>
            <w:noWrap/>
            <w:vAlign w:val="bottom"/>
            <w:hideMark/>
          </w:tcPr>
          <w:p w14:paraId="5EE9ADBD" w14:textId="77777777" w:rsidR="009A356E" w:rsidRPr="00C10545" w:rsidRDefault="009A356E" w:rsidP="009A356E">
            <w:pPr>
              <w:rPr>
                <w:sz w:val="18"/>
                <w:szCs w:val="18"/>
                <w:lang w:eastAsia="en-AU"/>
              </w:rPr>
            </w:pPr>
            <w:r w:rsidRPr="00C10545">
              <w:rPr>
                <w:sz w:val="18"/>
                <w:szCs w:val="18"/>
                <w:lang w:eastAsia="en-AU"/>
              </w:rPr>
              <w:t>Golden Plains</w:t>
            </w:r>
          </w:p>
        </w:tc>
        <w:tc>
          <w:tcPr>
            <w:tcW w:w="544" w:type="pct"/>
            <w:tcBorders>
              <w:top w:val="nil"/>
              <w:left w:val="nil"/>
              <w:bottom w:val="single" w:sz="4" w:space="0" w:color="auto"/>
              <w:right w:val="single" w:sz="4" w:space="0" w:color="auto"/>
            </w:tcBorders>
            <w:shd w:val="clear" w:color="auto" w:fill="auto"/>
            <w:noWrap/>
            <w:vAlign w:val="bottom"/>
            <w:hideMark/>
          </w:tcPr>
          <w:p w14:paraId="45BB09B2" w14:textId="169D8633" w:rsidR="009A356E" w:rsidRPr="00C10545" w:rsidRDefault="009A356E" w:rsidP="009A356E">
            <w:pPr>
              <w:jc w:val="center"/>
              <w:rPr>
                <w:color w:val="000000"/>
                <w:sz w:val="18"/>
                <w:szCs w:val="18"/>
                <w:lang w:eastAsia="en-AU"/>
              </w:rPr>
            </w:pPr>
            <w:r w:rsidRPr="00C10545">
              <w:rPr>
                <w:color w:val="000000"/>
                <w:sz w:val="18"/>
                <w:szCs w:val="18"/>
                <w:lang w:eastAsia="en-AU"/>
              </w:rPr>
              <w:t xml:space="preserve">1.8 </w:t>
            </w:r>
          </w:p>
        </w:tc>
        <w:tc>
          <w:tcPr>
            <w:tcW w:w="530" w:type="pct"/>
            <w:tcBorders>
              <w:top w:val="nil"/>
              <w:left w:val="nil"/>
              <w:bottom w:val="single" w:sz="4" w:space="0" w:color="auto"/>
              <w:right w:val="single" w:sz="4" w:space="0" w:color="auto"/>
            </w:tcBorders>
            <w:shd w:val="clear" w:color="auto" w:fill="auto"/>
            <w:noWrap/>
            <w:vAlign w:val="bottom"/>
            <w:hideMark/>
          </w:tcPr>
          <w:p w14:paraId="336FC9EE" w14:textId="115A7745" w:rsidR="009A356E" w:rsidRPr="00C10545" w:rsidRDefault="009A356E" w:rsidP="009A356E">
            <w:pPr>
              <w:jc w:val="center"/>
              <w:rPr>
                <w:color w:val="000000"/>
                <w:sz w:val="18"/>
                <w:szCs w:val="18"/>
                <w:lang w:eastAsia="en-AU"/>
              </w:rPr>
            </w:pPr>
            <w:r w:rsidRPr="00C10545">
              <w:rPr>
                <w:color w:val="000000"/>
                <w:sz w:val="18"/>
                <w:szCs w:val="18"/>
                <w:lang w:eastAsia="en-AU"/>
              </w:rPr>
              <w:t xml:space="preserve"> 15.4 </w:t>
            </w:r>
          </w:p>
        </w:tc>
        <w:tc>
          <w:tcPr>
            <w:tcW w:w="517" w:type="pct"/>
            <w:tcBorders>
              <w:top w:val="nil"/>
              <w:left w:val="nil"/>
              <w:bottom w:val="single" w:sz="4" w:space="0" w:color="auto"/>
              <w:right w:val="single" w:sz="4" w:space="0" w:color="auto"/>
            </w:tcBorders>
            <w:shd w:val="clear" w:color="auto" w:fill="auto"/>
            <w:noWrap/>
            <w:vAlign w:val="bottom"/>
            <w:hideMark/>
          </w:tcPr>
          <w:p w14:paraId="62A28840" w14:textId="77777777" w:rsidR="009A356E" w:rsidRPr="00C10545" w:rsidRDefault="009A356E" w:rsidP="009A356E">
            <w:pPr>
              <w:jc w:val="center"/>
              <w:rPr>
                <w:color w:val="000000"/>
                <w:sz w:val="18"/>
                <w:szCs w:val="18"/>
                <w:lang w:eastAsia="en-AU"/>
              </w:rPr>
            </w:pPr>
            <w:r w:rsidRPr="00C10545">
              <w:rPr>
                <w:color w:val="000000"/>
                <w:sz w:val="18"/>
                <w:szCs w:val="18"/>
                <w:lang w:eastAsia="en-AU"/>
              </w:rPr>
              <w:t>11.4%</w:t>
            </w:r>
          </w:p>
        </w:tc>
        <w:tc>
          <w:tcPr>
            <w:tcW w:w="558" w:type="pct"/>
            <w:tcBorders>
              <w:top w:val="nil"/>
              <w:left w:val="nil"/>
              <w:bottom w:val="single" w:sz="4" w:space="0" w:color="auto"/>
              <w:right w:val="single" w:sz="4" w:space="0" w:color="auto"/>
            </w:tcBorders>
            <w:shd w:val="clear" w:color="auto" w:fill="auto"/>
            <w:noWrap/>
            <w:vAlign w:val="bottom"/>
            <w:hideMark/>
          </w:tcPr>
          <w:p w14:paraId="1051E275" w14:textId="77777777" w:rsidR="009A356E" w:rsidRPr="00C10545" w:rsidRDefault="009A356E" w:rsidP="009A356E">
            <w:pPr>
              <w:jc w:val="center"/>
              <w:rPr>
                <w:color w:val="000000"/>
                <w:sz w:val="18"/>
                <w:szCs w:val="18"/>
                <w:lang w:eastAsia="en-AU"/>
              </w:rPr>
            </w:pPr>
            <w:r w:rsidRPr="00C10545">
              <w:rPr>
                <w:color w:val="000000"/>
                <w:sz w:val="18"/>
                <w:szCs w:val="18"/>
                <w:lang w:eastAsia="en-AU"/>
              </w:rPr>
              <w:t>3.5%</w:t>
            </w:r>
          </w:p>
        </w:tc>
        <w:tc>
          <w:tcPr>
            <w:tcW w:w="517" w:type="pct"/>
            <w:tcBorders>
              <w:top w:val="nil"/>
              <w:left w:val="nil"/>
              <w:bottom w:val="single" w:sz="4" w:space="0" w:color="auto"/>
              <w:right w:val="single" w:sz="4" w:space="0" w:color="auto"/>
            </w:tcBorders>
            <w:shd w:val="clear" w:color="auto" w:fill="auto"/>
            <w:noWrap/>
            <w:vAlign w:val="bottom"/>
            <w:hideMark/>
          </w:tcPr>
          <w:p w14:paraId="306968DD" w14:textId="77777777" w:rsidR="009A356E" w:rsidRPr="00C10545" w:rsidRDefault="009A356E" w:rsidP="009A356E">
            <w:pPr>
              <w:jc w:val="center"/>
              <w:rPr>
                <w:color w:val="000000"/>
                <w:sz w:val="18"/>
                <w:szCs w:val="18"/>
                <w:lang w:eastAsia="en-AU"/>
              </w:rPr>
            </w:pPr>
            <w:r w:rsidRPr="00C10545">
              <w:rPr>
                <w:color w:val="000000"/>
                <w:sz w:val="18"/>
                <w:szCs w:val="18"/>
                <w:lang w:eastAsia="en-AU"/>
              </w:rPr>
              <w:t>1.9%</w:t>
            </w:r>
          </w:p>
        </w:tc>
        <w:tc>
          <w:tcPr>
            <w:tcW w:w="596" w:type="pct"/>
            <w:tcBorders>
              <w:top w:val="nil"/>
              <w:left w:val="nil"/>
              <w:bottom w:val="single" w:sz="4" w:space="0" w:color="auto"/>
              <w:right w:val="single" w:sz="4" w:space="0" w:color="auto"/>
            </w:tcBorders>
            <w:shd w:val="clear" w:color="auto" w:fill="auto"/>
            <w:noWrap/>
            <w:vAlign w:val="bottom"/>
            <w:hideMark/>
          </w:tcPr>
          <w:p w14:paraId="56E8AF44" w14:textId="00451F9B" w:rsidR="009A356E" w:rsidRPr="00C10545" w:rsidRDefault="009A356E" w:rsidP="009A356E">
            <w:pPr>
              <w:jc w:val="center"/>
              <w:rPr>
                <w:color w:val="000000"/>
                <w:sz w:val="18"/>
                <w:szCs w:val="18"/>
                <w:lang w:eastAsia="en-AU"/>
              </w:rPr>
            </w:pPr>
            <w:r w:rsidRPr="00C10545">
              <w:rPr>
                <w:color w:val="000000"/>
                <w:sz w:val="18"/>
                <w:szCs w:val="18"/>
                <w:lang w:eastAsia="en-AU"/>
              </w:rPr>
              <w:t xml:space="preserve"> 3.6 </w:t>
            </w:r>
          </w:p>
        </w:tc>
        <w:tc>
          <w:tcPr>
            <w:tcW w:w="596" w:type="pct"/>
            <w:tcBorders>
              <w:top w:val="nil"/>
              <w:left w:val="nil"/>
              <w:bottom w:val="single" w:sz="4" w:space="0" w:color="auto"/>
              <w:right w:val="single" w:sz="4" w:space="0" w:color="auto"/>
            </w:tcBorders>
            <w:shd w:val="clear" w:color="auto" w:fill="auto"/>
            <w:noWrap/>
            <w:vAlign w:val="bottom"/>
            <w:hideMark/>
          </w:tcPr>
          <w:p w14:paraId="37989A65" w14:textId="77777777" w:rsidR="009A356E" w:rsidRPr="00C10545" w:rsidRDefault="009A356E" w:rsidP="009A356E">
            <w:pPr>
              <w:jc w:val="right"/>
              <w:rPr>
                <w:color w:val="000000"/>
                <w:sz w:val="18"/>
                <w:szCs w:val="18"/>
                <w:lang w:eastAsia="en-AU"/>
              </w:rPr>
            </w:pPr>
            <w:r w:rsidRPr="00C10545">
              <w:rPr>
                <w:color w:val="000000"/>
                <w:sz w:val="18"/>
                <w:szCs w:val="18"/>
                <w:lang w:eastAsia="en-AU"/>
              </w:rPr>
              <w:t>49%</w:t>
            </w:r>
          </w:p>
        </w:tc>
      </w:tr>
      <w:tr w:rsidR="009A356E" w:rsidRPr="00453D75" w14:paraId="4BF1EC83" w14:textId="77777777" w:rsidTr="009A356E">
        <w:trPr>
          <w:trHeight w:val="240"/>
        </w:trPr>
        <w:tc>
          <w:tcPr>
            <w:tcW w:w="1143" w:type="pct"/>
            <w:tcBorders>
              <w:top w:val="nil"/>
              <w:left w:val="single" w:sz="4" w:space="0" w:color="auto"/>
              <w:bottom w:val="single" w:sz="4" w:space="0" w:color="auto"/>
              <w:right w:val="single" w:sz="4" w:space="0" w:color="auto"/>
            </w:tcBorders>
            <w:shd w:val="clear" w:color="auto" w:fill="auto"/>
            <w:noWrap/>
            <w:vAlign w:val="bottom"/>
            <w:hideMark/>
          </w:tcPr>
          <w:p w14:paraId="531F7E9A" w14:textId="77777777" w:rsidR="009A356E" w:rsidRPr="00C10545" w:rsidRDefault="009A356E" w:rsidP="009A356E">
            <w:pPr>
              <w:rPr>
                <w:sz w:val="18"/>
                <w:szCs w:val="18"/>
                <w:lang w:eastAsia="en-AU"/>
              </w:rPr>
            </w:pPr>
            <w:r w:rsidRPr="00C10545">
              <w:rPr>
                <w:sz w:val="18"/>
                <w:szCs w:val="18"/>
                <w:lang w:eastAsia="en-AU"/>
              </w:rPr>
              <w:t>Wellington</w:t>
            </w:r>
          </w:p>
        </w:tc>
        <w:tc>
          <w:tcPr>
            <w:tcW w:w="544" w:type="pct"/>
            <w:tcBorders>
              <w:top w:val="nil"/>
              <w:left w:val="nil"/>
              <w:bottom w:val="single" w:sz="4" w:space="0" w:color="auto"/>
              <w:right w:val="single" w:sz="4" w:space="0" w:color="auto"/>
            </w:tcBorders>
            <w:shd w:val="clear" w:color="auto" w:fill="auto"/>
            <w:noWrap/>
            <w:vAlign w:val="bottom"/>
            <w:hideMark/>
          </w:tcPr>
          <w:p w14:paraId="7A48BEDF" w14:textId="7C15A166" w:rsidR="009A356E" w:rsidRPr="00C10545" w:rsidRDefault="009A356E" w:rsidP="009A356E">
            <w:pPr>
              <w:jc w:val="center"/>
              <w:rPr>
                <w:color w:val="000000"/>
                <w:sz w:val="18"/>
                <w:szCs w:val="18"/>
                <w:lang w:eastAsia="en-AU"/>
              </w:rPr>
            </w:pPr>
            <w:r w:rsidRPr="00C10545">
              <w:rPr>
                <w:color w:val="000000"/>
                <w:sz w:val="18"/>
                <w:szCs w:val="18"/>
                <w:lang w:eastAsia="en-AU"/>
              </w:rPr>
              <w:t xml:space="preserve">4.8 </w:t>
            </w:r>
          </w:p>
        </w:tc>
        <w:tc>
          <w:tcPr>
            <w:tcW w:w="530" w:type="pct"/>
            <w:tcBorders>
              <w:top w:val="nil"/>
              <w:left w:val="nil"/>
              <w:bottom w:val="single" w:sz="4" w:space="0" w:color="auto"/>
              <w:right w:val="single" w:sz="4" w:space="0" w:color="auto"/>
            </w:tcBorders>
            <w:shd w:val="clear" w:color="auto" w:fill="auto"/>
            <w:noWrap/>
            <w:vAlign w:val="bottom"/>
            <w:hideMark/>
          </w:tcPr>
          <w:p w14:paraId="53CF648D" w14:textId="52F8CDD1" w:rsidR="009A356E" w:rsidRPr="00C10545" w:rsidRDefault="009A356E" w:rsidP="009A356E">
            <w:pPr>
              <w:jc w:val="center"/>
              <w:rPr>
                <w:color w:val="000000"/>
                <w:sz w:val="18"/>
                <w:szCs w:val="18"/>
                <w:lang w:eastAsia="en-AU"/>
              </w:rPr>
            </w:pPr>
            <w:r w:rsidRPr="00C10545">
              <w:rPr>
                <w:color w:val="000000"/>
                <w:sz w:val="18"/>
                <w:szCs w:val="18"/>
                <w:lang w:eastAsia="en-AU"/>
              </w:rPr>
              <w:t xml:space="preserve"> 43.1 </w:t>
            </w:r>
          </w:p>
        </w:tc>
        <w:tc>
          <w:tcPr>
            <w:tcW w:w="517" w:type="pct"/>
            <w:tcBorders>
              <w:top w:val="nil"/>
              <w:left w:val="nil"/>
              <w:bottom w:val="single" w:sz="4" w:space="0" w:color="auto"/>
              <w:right w:val="single" w:sz="4" w:space="0" w:color="auto"/>
            </w:tcBorders>
            <w:shd w:val="clear" w:color="auto" w:fill="auto"/>
            <w:noWrap/>
            <w:vAlign w:val="bottom"/>
            <w:hideMark/>
          </w:tcPr>
          <w:p w14:paraId="56515282" w14:textId="77777777" w:rsidR="009A356E" w:rsidRPr="00C10545" w:rsidRDefault="009A356E" w:rsidP="009A356E">
            <w:pPr>
              <w:jc w:val="center"/>
              <w:rPr>
                <w:color w:val="000000"/>
                <w:sz w:val="18"/>
                <w:szCs w:val="18"/>
                <w:lang w:eastAsia="en-AU"/>
              </w:rPr>
            </w:pPr>
            <w:r w:rsidRPr="00C10545">
              <w:rPr>
                <w:color w:val="000000"/>
                <w:sz w:val="18"/>
                <w:szCs w:val="18"/>
                <w:lang w:eastAsia="en-AU"/>
              </w:rPr>
              <w:t>11.2%</w:t>
            </w:r>
          </w:p>
        </w:tc>
        <w:tc>
          <w:tcPr>
            <w:tcW w:w="558" w:type="pct"/>
            <w:tcBorders>
              <w:top w:val="nil"/>
              <w:left w:val="nil"/>
              <w:bottom w:val="single" w:sz="4" w:space="0" w:color="auto"/>
              <w:right w:val="single" w:sz="4" w:space="0" w:color="auto"/>
            </w:tcBorders>
            <w:shd w:val="clear" w:color="auto" w:fill="auto"/>
            <w:noWrap/>
            <w:vAlign w:val="bottom"/>
            <w:hideMark/>
          </w:tcPr>
          <w:p w14:paraId="08D7248A" w14:textId="77777777" w:rsidR="009A356E" w:rsidRPr="00C10545" w:rsidRDefault="009A356E" w:rsidP="009A356E">
            <w:pPr>
              <w:jc w:val="center"/>
              <w:rPr>
                <w:color w:val="000000"/>
                <w:sz w:val="18"/>
                <w:szCs w:val="18"/>
                <w:lang w:eastAsia="en-AU"/>
              </w:rPr>
            </w:pPr>
            <w:r w:rsidRPr="00C10545">
              <w:rPr>
                <w:color w:val="000000"/>
                <w:sz w:val="18"/>
                <w:szCs w:val="18"/>
                <w:lang w:eastAsia="en-AU"/>
              </w:rPr>
              <w:t>3.5%</w:t>
            </w:r>
          </w:p>
        </w:tc>
        <w:tc>
          <w:tcPr>
            <w:tcW w:w="517" w:type="pct"/>
            <w:tcBorders>
              <w:top w:val="nil"/>
              <w:left w:val="nil"/>
              <w:bottom w:val="single" w:sz="4" w:space="0" w:color="auto"/>
              <w:right w:val="single" w:sz="4" w:space="0" w:color="auto"/>
            </w:tcBorders>
            <w:shd w:val="clear" w:color="auto" w:fill="auto"/>
            <w:noWrap/>
            <w:vAlign w:val="bottom"/>
            <w:hideMark/>
          </w:tcPr>
          <w:p w14:paraId="40A17768" w14:textId="77777777" w:rsidR="009A356E" w:rsidRPr="00C10545" w:rsidRDefault="009A356E" w:rsidP="009A356E">
            <w:pPr>
              <w:jc w:val="center"/>
              <w:rPr>
                <w:color w:val="000000"/>
                <w:sz w:val="18"/>
                <w:szCs w:val="18"/>
                <w:lang w:eastAsia="en-AU"/>
              </w:rPr>
            </w:pPr>
            <w:r w:rsidRPr="00C10545">
              <w:rPr>
                <w:color w:val="000000"/>
                <w:sz w:val="18"/>
                <w:szCs w:val="18"/>
                <w:lang w:eastAsia="en-AU"/>
              </w:rPr>
              <w:t>2.0%</w:t>
            </w:r>
          </w:p>
        </w:tc>
        <w:tc>
          <w:tcPr>
            <w:tcW w:w="596" w:type="pct"/>
            <w:tcBorders>
              <w:top w:val="nil"/>
              <w:left w:val="nil"/>
              <w:bottom w:val="single" w:sz="4" w:space="0" w:color="auto"/>
              <w:right w:val="single" w:sz="4" w:space="0" w:color="auto"/>
            </w:tcBorders>
            <w:shd w:val="clear" w:color="auto" w:fill="auto"/>
            <w:noWrap/>
            <w:vAlign w:val="bottom"/>
            <w:hideMark/>
          </w:tcPr>
          <w:p w14:paraId="0D6EB03E" w14:textId="2F13B605" w:rsidR="009A356E" w:rsidRPr="00C10545" w:rsidRDefault="009A356E" w:rsidP="009A356E">
            <w:pPr>
              <w:jc w:val="center"/>
              <w:rPr>
                <w:color w:val="000000"/>
                <w:sz w:val="18"/>
                <w:szCs w:val="18"/>
                <w:lang w:eastAsia="en-AU"/>
              </w:rPr>
            </w:pPr>
            <w:r w:rsidRPr="00C10545">
              <w:rPr>
                <w:color w:val="000000"/>
                <w:sz w:val="18"/>
                <w:szCs w:val="18"/>
                <w:lang w:eastAsia="en-AU"/>
              </w:rPr>
              <w:t xml:space="preserve"> 12.4 </w:t>
            </w:r>
          </w:p>
        </w:tc>
        <w:tc>
          <w:tcPr>
            <w:tcW w:w="596" w:type="pct"/>
            <w:tcBorders>
              <w:top w:val="nil"/>
              <w:left w:val="nil"/>
              <w:bottom w:val="single" w:sz="4" w:space="0" w:color="auto"/>
              <w:right w:val="single" w:sz="4" w:space="0" w:color="auto"/>
            </w:tcBorders>
            <w:shd w:val="clear" w:color="auto" w:fill="auto"/>
            <w:noWrap/>
            <w:vAlign w:val="bottom"/>
            <w:hideMark/>
          </w:tcPr>
          <w:p w14:paraId="6A6BFDBB" w14:textId="77777777" w:rsidR="009A356E" w:rsidRPr="00C10545" w:rsidRDefault="009A356E" w:rsidP="009A356E">
            <w:pPr>
              <w:jc w:val="right"/>
              <w:rPr>
                <w:color w:val="000000"/>
                <w:sz w:val="18"/>
                <w:szCs w:val="18"/>
                <w:lang w:eastAsia="en-AU"/>
              </w:rPr>
            </w:pPr>
            <w:r w:rsidRPr="00C10545">
              <w:rPr>
                <w:color w:val="000000"/>
                <w:sz w:val="18"/>
                <w:szCs w:val="18"/>
                <w:lang w:eastAsia="en-AU"/>
              </w:rPr>
              <w:t>39%</w:t>
            </w:r>
          </w:p>
        </w:tc>
      </w:tr>
      <w:tr w:rsidR="009A356E" w:rsidRPr="00453D75" w14:paraId="6DF3CBFF" w14:textId="77777777" w:rsidTr="009A356E">
        <w:trPr>
          <w:trHeight w:val="240"/>
        </w:trPr>
        <w:tc>
          <w:tcPr>
            <w:tcW w:w="1143" w:type="pct"/>
            <w:tcBorders>
              <w:top w:val="nil"/>
              <w:left w:val="single" w:sz="4" w:space="0" w:color="auto"/>
              <w:bottom w:val="single" w:sz="4" w:space="0" w:color="auto"/>
              <w:right w:val="single" w:sz="4" w:space="0" w:color="auto"/>
            </w:tcBorders>
            <w:shd w:val="clear" w:color="auto" w:fill="auto"/>
            <w:noWrap/>
            <w:vAlign w:val="bottom"/>
            <w:hideMark/>
          </w:tcPr>
          <w:p w14:paraId="1B0B47EA" w14:textId="77777777" w:rsidR="009A356E" w:rsidRPr="00C10545" w:rsidRDefault="009A356E" w:rsidP="009A356E">
            <w:pPr>
              <w:rPr>
                <w:sz w:val="18"/>
                <w:szCs w:val="18"/>
                <w:lang w:eastAsia="en-AU"/>
              </w:rPr>
            </w:pPr>
            <w:r w:rsidRPr="00C10545">
              <w:rPr>
                <w:sz w:val="18"/>
                <w:szCs w:val="18"/>
                <w:lang w:eastAsia="en-AU"/>
              </w:rPr>
              <w:t>Latrobe</w:t>
            </w:r>
          </w:p>
        </w:tc>
        <w:tc>
          <w:tcPr>
            <w:tcW w:w="544" w:type="pct"/>
            <w:tcBorders>
              <w:top w:val="nil"/>
              <w:left w:val="nil"/>
              <w:bottom w:val="single" w:sz="4" w:space="0" w:color="auto"/>
              <w:right w:val="single" w:sz="4" w:space="0" w:color="auto"/>
            </w:tcBorders>
            <w:shd w:val="clear" w:color="auto" w:fill="auto"/>
            <w:noWrap/>
            <w:vAlign w:val="bottom"/>
            <w:hideMark/>
          </w:tcPr>
          <w:p w14:paraId="1AD2AC2F" w14:textId="51683755" w:rsidR="009A356E" w:rsidRPr="00C10545" w:rsidRDefault="009A356E" w:rsidP="009A356E">
            <w:pPr>
              <w:jc w:val="center"/>
              <w:rPr>
                <w:color w:val="000000"/>
                <w:sz w:val="18"/>
                <w:szCs w:val="18"/>
                <w:lang w:eastAsia="en-AU"/>
              </w:rPr>
            </w:pPr>
            <w:r w:rsidRPr="00C10545">
              <w:rPr>
                <w:color w:val="000000"/>
                <w:sz w:val="18"/>
                <w:szCs w:val="18"/>
                <w:lang w:eastAsia="en-AU"/>
              </w:rPr>
              <w:t xml:space="preserve">7.0 </w:t>
            </w:r>
          </w:p>
        </w:tc>
        <w:tc>
          <w:tcPr>
            <w:tcW w:w="530" w:type="pct"/>
            <w:tcBorders>
              <w:top w:val="nil"/>
              <w:left w:val="nil"/>
              <w:bottom w:val="single" w:sz="4" w:space="0" w:color="auto"/>
              <w:right w:val="single" w:sz="4" w:space="0" w:color="auto"/>
            </w:tcBorders>
            <w:shd w:val="clear" w:color="auto" w:fill="auto"/>
            <w:noWrap/>
            <w:vAlign w:val="bottom"/>
            <w:hideMark/>
          </w:tcPr>
          <w:p w14:paraId="1F244830" w14:textId="3A14BBB8" w:rsidR="009A356E" w:rsidRPr="00C10545" w:rsidRDefault="009A356E" w:rsidP="009A356E">
            <w:pPr>
              <w:jc w:val="center"/>
              <w:rPr>
                <w:color w:val="000000"/>
                <w:sz w:val="18"/>
                <w:szCs w:val="18"/>
                <w:lang w:eastAsia="en-AU"/>
              </w:rPr>
            </w:pPr>
            <w:r w:rsidRPr="00C10545">
              <w:rPr>
                <w:color w:val="000000"/>
                <w:sz w:val="18"/>
                <w:szCs w:val="18"/>
                <w:lang w:eastAsia="en-AU"/>
              </w:rPr>
              <w:t xml:space="preserve"> 62.6 </w:t>
            </w:r>
          </w:p>
        </w:tc>
        <w:tc>
          <w:tcPr>
            <w:tcW w:w="517" w:type="pct"/>
            <w:tcBorders>
              <w:top w:val="nil"/>
              <w:left w:val="nil"/>
              <w:bottom w:val="single" w:sz="4" w:space="0" w:color="auto"/>
              <w:right w:val="single" w:sz="4" w:space="0" w:color="auto"/>
            </w:tcBorders>
            <w:shd w:val="clear" w:color="auto" w:fill="auto"/>
            <w:noWrap/>
            <w:vAlign w:val="bottom"/>
            <w:hideMark/>
          </w:tcPr>
          <w:p w14:paraId="4DF22D5B" w14:textId="77777777" w:rsidR="009A356E" w:rsidRPr="00C10545" w:rsidRDefault="009A356E" w:rsidP="009A356E">
            <w:pPr>
              <w:jc w:val="center"/>
              <w:rPr>
                <w:color w:val="000000"/>
                <w:sz w:val="18"/>
                <w:szCs w:val="18"/>
                <w:lang w:eastAsia="en-AU"/>
              </w:rPr>
            </w:pPr>
            <w:r w:rsidRPr="00C10545">
              <w:rPr>
                <w:color w:val="000000"/>
                <w:sz w:val="18"/>
                <w:szCs w:val="18"/>
                <w:lang w:eastAsia="en-AU"/>
              </w:rPr>
              <w:t>11.1%</w:t>
            </w:r>
          </w:p>
        </w:tc>
        <w:tc>
          <w:tcPr>
            <w:tcW w:w="558" w:type="pct"/>
            <w:tcBorders>
              <w:top w:val="nil"/>
              <w:left w:val="nil"/>
              <w:bottom w:val="single" w:sz="4" w:space="0" w:color="auto"/>
              <w:right w:val="single" w:sz="4" w:space="0" w:color="auto"/>
            </w:tcBorders>
            <w:shd w:val="clear" w:color="auto" w:fill="auto"/>
            <w:noWrap/>
            <w:vAlign w:val="bottom"/>
            <w:hideMark/>
          </w:tcPr>
          <w:p w14:paraId="5EC2E6AE" w14:textId="77777777" w:rsidR="009A356E" w:rsidRPr="00C10545" w:rsidRDefault="009A356E" w:rsidP="009A356E">
            <w:pPr>
              <w:jc w:val="center"/>
              <w:rPr>
                <w:color w:val="000000"/>
                <w:sz w:val="18"/>
                <w:szCs w:val="18"/>
                <w:lang w:eastAsia="en-AU"/>
              </w:rPr>
            </w:pPr>
            <w:r w:rsidRPr="00C10545">
              <w:rPr>
                <w:color w:val="000000"/>
                <w:sz w:val="18"/>
                <w:szCs w:val="18"/>
                <w:lang w:eastAsia="en-AU"/>
              </w:rPr>
              <w:t>3.5%</w:t>
            </w:r>
          </w:p>
        </w:tc>
        <w:tc>
          <w:tcPr>
            <w:tcW w:w="517" w:type="pct"/>
            <w:tcBorders>
              <w:top w:val="nil"/>
              <w:left w:val="nil"/>
              <w:bottom w:val="single" w:sz="4" w:space="0" w:color="auto"/>
              <w:right w:val="single" w:sz="4" w:space="0" w:color="auto"/>
            </w:tcBorders>
            <w:shd w:val="clear" w:color="auto" w:fill="auto"/>
            <w:noWrap/>
            <w:vAlign w:val="bottom"/>
            <w:hideMark/>
          </w:tcPr>
          <w:p w14:paraId="76188D41" w14:textId="77777777" w:rsidR="009A356E" w:rsidRPr="00C10545" w:rsidRDefault="009A356E" w:rsidP="009A356E">
            <w:pPr>
              <w:jc w:val="center"/>
              <w:rPr>
                <w:color w:val="000000"/>
                <w:sz w:val="18"/>
                <w:szCs w:val="18"/>
                <w:lang w:eastAsia="en-AU"/>
              </w:rPr>
            </w:pPr>
            <w:r w:rsidRPr="00C10545">
              <w:rPr>
                <w:color w:val="000000"/>
                <w:sz w:val="18"/>
                <w:szCs w:val="18"/>
                <w:lang w:eastAsia="en-AU"/>
              </w:rPr>
              <w:t>2.0%</w:t>
            </w:r>
          </w:p>
        </w:tc>
        <w:tc>
          <w:tcPr>
            <w:tcW w:w="596" w:type="pct"/>
            <w:tcBorders>
              <w:top w:val="nil"/>
              <w:left w:val="nil"/>
              <w:bottom w:val="single" w:sz="4" w:space="0" w:color="auto"/>
              <w:right w:val="single" w:sz="4" w:space="0" w:color="auto"/>
            </w:tcBorders>
            <w:shd w:val="clear" w:color="auto" w:fill="auto"/>
            <w:noWrap/>
            <w:vAlign w:val="bottom"/>
            <w:hideMark/>
          </w:tcPr>
          <w:p w14:paraId="26EFF3F8" w14:textId="643F421A" w:rsidR="009A356E" w:rsidRPr="00C10545" w:rsidRDefault="009A356E" w:rsidP="009A356E">
            <w:pPr>
              <w:jc w:val="center"/>
              <w:rPr>
                <w:color w:val="000000"/>
                <w:sz w:val="18"/>
                <w:szCs w:val="18"/>
                <w:lang w:eastAsia="en-AU"/>
              </w:rPr>
            </w:pPr>
            <w:r w:rsidRPr="00C10545">
              <w:rPr>
                <w:color w:val="000000"/>
                <w:sz w:val="18"/>
                <w:szCs w:val="18"/>
                <w:lang w:eastAsia="en-AU"/>
              </w:rPr>
              <w:t xml:space="preserve"> 17.2 </w:t>
            </w:r>
          </w:p>
        </w:tc>
        <w:tc>
          <w:tcPr>
            <w:tcW w:w="596" w:type="pct"/>
            <w:tcBorders>
              <w:top w:val="nil"/>
              <w:left w:val="nil"/>
              <w:bottom w:val="single" w:sz="4" w:space="0" w:color="auto"/>
              <w:right w:val="single" w:sz="4" w:space="0" w:color="auto"/>
            </w:tcBorders>
            <w:shd w:val="clear" w:color="auto" w:fill="auto"/>
            <w:noWrap/>
            <w:vAlign w:val="bottom"/>
            <w:hideMark/>
          </w:tcPr>
          <w:p w14:paraId="5E6F4696" w14:textId="77777777" w:rsidR="009A356E" w:rsidRPr="00C10545" w:rsidRDefault="009A356E" w:rsidP="009A356E">
            <w:pPr>
              <w:jc w:val="right"/>
              <w:rPr>
                <w:color w:val="000000"/>
                <w:sz w:val="18"/>
                <w:szCs w:val="18"/>
                <w:lang w:eastAsia="en-AU"/>
              </w:rPr>
            </w:pPr>
            <w:r w:rsidRPr="00C10545">
              <w:rPr>
                <w:color w:val="000000"/>
                <w:sz w:val="18"/>
                <w:szCs w:val="18"/>
                <w:lang w:eastAsia="en-AU"/>
              </w:rPr>
              <w:t>41%</w:t>
            </w:r>
          </w:p>
        </w:tc>
      </w:tr>
      <w:tr w:rsidR="009A356E" w:rsidRPr="00453D75" w14:paraId="7CBF6681" w14:textId="77777777" w:rsidTr="009A356E">
        <w:trPr>
          <w:trHeight w:val="240"/>
        </w:trPr>
        <w:tc>
          <w:tcPr>
            <w:tcW w:w="1143" w:type="pct"/>
            <w:tcBorders>
              <w:top w:val="nil"/>
              <w:left w:val="single" w:sz="4" w:space="0" w:color="auto"/>
              <w:bottom w:val="single" w:sz="4" w:space="0" w:color="auto"/>
              <w:right w:val="single" w:sz="4" w:space="0" w:color="auto"/>
            </w:tcBorders>
            <w:shd w:val="clear" w:color="auto" w:fill="auto"/>
            <w:noWrap/>
            <w:vAlign w:val="bottom"/>
            <w:hideMark/>
          </w:tcPr>
          <w:p w14:paraId="3CE5D7DE" w14:textId="77777777" w:rsidR="009A356E" w:rsidRPr="00C10545" w:rsidRDefault="009A356E" w:rsidP="009A356E">
            <w:pPr>
              <w:rPr>
                <w:sz w:val="18"/>
                <w:szCs w:val="18"/>
                <w:lang w:eastAsia="en-AU"/>
              </w:rPr>
            </w:pPr>
            <w:r w:rsidRPr="00C10545">
              <w:rPr>
                <w:sz w:val="18"/>
                <w:szCs w:val="18"/>
                <w:lang w:eastAsia="en-AU"/>
              </w:rPr>
              <w:t>Indigo</w:t>
            </w:r>
          </w:p>
        </w:tc>
        <w:tc>
          <w:tcPr>
            <w:tcW w:w="544" w:type="pct"/>
            <w:tcBorders>
              <w:top w:val="nil"/>
              <w:left w:val="nil"/>
              <w:bottom w:val="single" w:sz="4" w:space="0" w:color="auto"/>
              <w:right w:val="single" w:sz="4" w:space="0" w:color="auto"/>
            </w:tcBorders>
            <w:shd w:val="clear" w:color="auto" w:fill="auto"/>
            <w:noWrap/>
            <w:vAlign w:val="bottom"/>
            <w:hideMark/>
          </w:tcPr>
          <w:p w14:paraId="58973E95" w14:textId="30F80F74" w:rsidR="009A356E" w:rsidRPr="00C10545" w:rsidRDefault="009A356E" w:rsidP="009A356E">
            <w:pPr>
              <w:jc w:val="center"/>
              <w:rPr>
                <w:color w:val="000000"/>
                <w:sz w:val="18"/>
                <w:szCs w:val="18"/>
                <w:lang w:eastAsia="en-AU"/>
              </w:rPr>
            </w:pPr>
            <w:r w:rsidRPr="00C10545">
              <w:rPr>
                <w:color w:val="000000"/>
                <w:sz w:val="18"/>
                <w:szCs w:val="18"/>
                <w:lang w:eastAsia="en-AU"/>
              </w:rPr>
              <w:t xml:space="preserve">1.3 </w:t>
            </w:r>
          </w:p>
        </w:tc>
        <w:tc>
          <w:tcPr>
            <w:tcW w:w="530" w:type="pct"/>
            <w:tcBorders>
              <w:top w:val="nil"/>
              <w:left w:val="nil"/>
              <w:bottom w:val="single" w:sz="4" w:space="0" w:color="auto"/>
              <w:right w:val="single" w:sz="4" w:space="0" w:color="auto"/>
            </w:tcBorders>
            <w:shd w:val="clear" w:color="auto" w:fill="auto"/>
            <w:noWrap/>
            <w:vAlign w:val="bottom"/>
            <w:hideMark/>
          </w:tcPr>
          <w:p w14:paraId="3D48B94A" w14:textId="3BBB414A" w:rsidR="009A356E" w:rsidRPr="00C10545" w:rsidRDefault="009A356E" w:rsidP="009A356E">
            <w:pPr>
              <w:jc w:val="center"/>
              <w:rPr>
                <w:color w:val="000000"/>
                <w:sz w:val="18"/>
                <w:szCs w:val="18"/>
                <w:lang w:eastAsia="en-AU"/>
              </w:rPr>
            </w:pPr>
            <w:r w:rsidRPr="00C10545">
              <w:rPr>
                <w:color w:val="000000"/>
                <w:sz w:val="18"/>
                <w:szCs w:val="18"/>
                <w:lang w:eastAsia="en-AU"/>
              </w:rPr>
              <w:t xml:space="preserve"> 12.1 </w:t>
            </w:r>
          </w:p>
        </w:tc>
        <w:tc>
          <w:tcPr>
            <w:tcW w:w="517" w:type="pct"/>
            <w:tcBorders>
              <w:top w:val="nil"/>
              <w:left w:val="nil"/>
              <w:bottom w:val="single" w:sz="4" w:space="0" w:color="auto"/>
              <w:right w:val="single" w:sz="4" w:space="0" w:color="auto"/>
            </w:tcBorders>
            <w:shd w:val="clear" w:color="auto" w:fill="auto"/>
            <w:noWrap/>
            <w:vAlign w:val="bottom"/>
            <w:hideMark/>
          </w:tcPr>
          <w:p w14:paraId="29F91996" w14:textId="77777777" w:rsidR="009A356E" w:rsidRPr="00C10545" w:rsidRDefault="009A356E" w:rsidP="009A356E">
            <w:pPr>
              <w:jc w:val="center"/>
              <w:rPr>
                <w:color w:val="000000"/>
                <w:sz w:val="18"/>
                <w:szCs w:val="18"/>
                <w:lang w:eastAsia="en-AU"/>
              </w:rPr>
            </w:pPr>
            <w:r w:rsidRPr="00C10545">
              <w:rPr>
                <w:color w:val="000000"/>
                <w:sz w:val="18"/>
                <w:szCs w:val="18"/>
                <w:lang w:eastAsia="en-AU"/>
              </w:rPr>
              <w:t>11.0%</w:t>
            </w:r>
          </w:p>
        </w:tc>
        <w:tc>
          <w:tcPr>
            <w:tcW w:w="558" w:type="pct"/>
            <w:tcBorders>
              <w:top w:val="nil"/>
              <w:left w:val="nil"/>
              <w:bottom w:val="single" w:sz="4" w:space="0" w:color="auto"/>
              <w:right w:val="single" w:sz="4" w:space="0" w:color="auto"/>
            </w:tcBorders>
            <w:shd w:val="clear" w:color="auto" w:fill="auto"/>
            <w:noWrap/>
            <w:vAlign w:val="bottom"/>
            <w:hideMark/>
          </w:tcPr>
          <w:p w14:paraId="545750D4" w14:textId="77777777" w:rsidR="009A356E" w:rsidRPr="00C10545" w:rsidRDefault="009A356E" w:rsidP="009A356E">
            <w:pPr>
              <w:jc w:val="center"/>
              <w:rPr>
                <w:color w:val="000000"/>
                <w:sz w:val="18"/>
                <w:szCs w:val="18"/>
                <w:lang w:eastAsia="en-AU"/>
              </w:rPr>
            </w:pPr>
            <w:r w:rsidRPr="00C10545">
              <w:rPr>
                <w:color w:val="000000"/>
                <w:sz w:val="18"/>
                <w:szCs w:val="18"/>
                <w:lang w:eastAsia="en-AU"/>
              </w:rPr>
              <w:t>3.4%</w:t>
            </w:r>
          </w:p>
        </w:tc>
        <w:tc>
          <w:tcPr>
            <w:tcW w:w="517" w:type="pct"/>
            <w:tcBorders>
              <w:top w:val="nil"/>
              <w:left w:val="nil"/>
              <w:bottom w:val="single" w:sz="4" w:space="0" w:color="auto"/>
              <w:right w:val="single" w:sz="4" w:space="0" w:color="auto"/>
            </w:tcBorders>
            <w:shd w:val="clear" w:color="auto" w:fill="auto"/>
            <w:noWrap/>
            <w:vAlign w:val="bottom"/>
            <w:hideMark/>
          </w:tcPr>
          <w:p w14:paraId="34C4BDD7" w14:textId="77777777" w:rsidR="009A356E" w:rsidRPr="00C10545" w:rsidRDefault="009A356E" w:rsidP="009A356E">
            <w:pPr>
              <w:jc w:val="center"/>
              <w:rPr>
                <w:color w:val="000000"/>
                <w:sz w:val="18"/>
                <w:szCs w:val="18"/>
                <w:lang w:eastAsia="en-AU"/>
              </w:rPr>
            </w:pPr>
            <w:r w:rsidRPr="00C10545">
              <w:rPr>
                <w:color w:val="000000"/>
                <w:sz w:val="18"/>
                <w:szCs w:val="18"/>
                <w:lang w:eastAsia="en-AU"/>
              </w:rPr>
              <w:t>1.9%</w:t>
            </w:r>
          </w:p>
        </w:tc>
        <w:tc>
          <w:tcPr>
            <w:tcW w:w="596" w:type="pct"/>
            <w:tcBorders>
              <w:top w:val="nil"/>
              <w:left w:val="nil"/>
              <w:bottom w:val="single" w:sz="4" w:space="0" w:color="auto"/>
              <w:right w:val="single" w:sz="4" w:space="0" w:color="auto"/>
            </w:tcBorders>
            <w:shd w:val="clear" w:color="auto" w:fill="auto"/>
            <w:noWrap/>
            <w:vAlign w:val="bottom"/>
            <w:hideMark/>
          </w:tcPr>
          <w:p w14:paraId="7AB3BF5D" w14:textId="3E3085CD" w:rsidR="009A356E" w:rsidRPr="00C10545" w:rsidRDefault="009A356E" w:rsidP="009A356E">
            <w:pPr>
              <w:jc w:val="center"/>
              <w:rPr>
                <w:color w:val="000000"/>
                <w:sz w:val="18"/>
                <w:szCs w:val="18"/>
                <w:lang w:eastAsia="en-AU"/>
              </w:rPr>
            </w:pPr>
            <w:r w:rsidRPr="00C10545">
              <w:rPr>
                <w:color w:val="000000"/>
                <w:sz w:val="18"/>
                <w:szCs w:val="18"/>
                <w:lang w:eastAsia="en-AU"/>
              </w:rPr>
              <w:t xml:space="preserve"> 4.4 </w:t>
            </w:r>
          </w:p>
        </w:tc>
        <w:tc>
          <w:tcPr>
            <w:tcW w:w="596" w:type="pct"/>
            <w:tcBorders>
              <w:top w:val="nil"/>
              <w:left w:val="nil"/>
              <w:bottom w:val="single" w:sz="4" w:space="0" w:color="auto"/>
              <w:right w:val="single" w:sz="4" w:space="0" w:color="auto"/>
            </w:tcBorders>
            <w:shd w:val="clear" w:color="auto" w:fill="auto"/>
            <w:noWrap/>
            <w:vAlign w:val="bottom"/>
            <w:hideMark/>
          </w:tcPr>
          <w:p w14:paraId="5CC13FF4" w14:textId="77777777" w:rsidR="009A356E" w:rsidRPr="00C10545" w:rsidRDefault="009A356E" w:rsidP="009A356E">
            <w:pPr>
              <w:jc w:val="right"/>
              <w:rPr>
                <w:color w:val="000000"/>
                <w:sz w:val="18"/>
                <w:szCs w:val="18"/>
                <w:lang w:eastAsia="en-AU"/>
              </w:rPr>
            </w:pPr>
            <w:r w:rsidRPr="00C10545">
              <w:rPr>
                <w:color w:val="000000"/>
                <w:sz w:val="18"/>
                <w:szCs w:val="18"/>
                <w:lang w:eastAsia="en-AU"/>
              </w:rPr>
              <w:t>30%</w:t>
            </w:r>
          </w:p>
        </w:tc>
      </w:tr>
      <w:tr w:rsidR="009A356E" w:rsidRPr="00453D75" w14:paraId="49D5F899" w14:textId="77777777" w:rsidTr="009A356E">
        <w:trPr>
          <w:trHeight w:val="240"/>
        </w:trPr>
        <w:tc>
          <w:tcPr>
            <w:tcW w:w="1143" w:type="pct"/>
            <w:tcBorders>
              <w:top w:val="nil"/>
              <w:left w:val="single" w:sz="4" w:space="0" w:color="auto"/>
              <w:bottom w:val="single" w:sz="4" w:space="0" w:color="auto"/>
              <w:right w:val="single" w:sz="4" w:space="0" w:color="auto"/>
            </w:tcBorders>
            <w:shd w:val="clear" w:color="auto" w:fill="auto"/>
            <w:noWrap/>
            <w:vAlign w:val="bottom"/>
            <w:hideMark/>
          </w:tcPr>
          <w:p w14:paraId="55CC4E29" w14:textId="77777777" w:rsidR="009A356E" w:rsidRPr="00C10545" w:rsidRDefault="009A356E" w:rsidP="009A356E">
            <w:pPr>
              <w:rPr>
                <w:sz w:val="18"/>
                <w:szCs w:val="18"/>
                <w:lang w:eastAsia="en-AU"/>
              </w:rPr>
            </w:pPr>
            <w:r w:rsidRPr="00C10545">
              <w:rPr>
                <w:sz w:val="18"/>
                <w:szCs w:val="18"/>
                <w:lang w:eastAsia="en-AU"/>
              </w:rPr>
              <w:t>Alpine</w:t>
            </w:r>
          </w:p>
        </w:tc>
        <w:tc>
          <w:tcPr>
            <w:tcW w:w="544" w:type="pct"/>
            <w:tcBorders>
              <w:top w:val="nil"/>
              <w:left w:val="nil"/>
              <w:bottom w:val="single" w:sz="4" w:space="0" w:color="auto"/>
              <w:right w:val="single" w:sz="4" w:space="0" w:color="auto"/>
            </w:tcBorders>
            <w:shd w:val="clear" w:color="auto" w:fill="auto"/>
            <w:noWrap/>
            <w:vAlign w:val="bottom"/>
            <w:hideMark/>
          </w:tcPr>
          <w:p w14:paraId="19DF58EF" w14:textId="06DD223B" w:rsidR="009A356E" w:rsidRPr="00C10545" w:rsidRDefault="009A356E" w:rsidP="009A356E">
            <w:pPr>
              <w:jc w:val="center"/>
              <w:rPr>
                <w:color w:val="000000"/>
                <w:sz w:val="18"/>
                <w:szCs w:val="18"/>
                <w:lang w:eastAsia="en-AU"/>
              </w:rPr>
            </w:pPr>
            <w:r w:rsidRPr="00C10545">
              <w:rPr>
                <w:color w:val="000000"/>
                <w:sz w:val="18"/>
                <w:szCs w:val="18"/>
                <w:lang w:eastAsia="en-AU"/>
              </w:rPr>
              <w:t xml:space="preserve">1.6 </w:t>
            </w:r>
          </w:p>
        </w:tc>
        <w:tc>
          <w:tcPr>
            <w:tcW w:w="530" w:type="pct"/>
            <w:tcBorders>
              <w:top w:val="nil"/>
              <w:left w:val="nil"/>
              <w:bottom w:val="single" w:sz="4" w:space="0" w:color="auto"/>
              <w:right w:val="single" w:sz="4" w:space="0" w:color="auto"/>
            </w:tcBorders>
            <w:shd w:val="clear" w:color="auto" w:fill="auto"/>
            <w:noWrap/>
            <w:vAlign w:val="bottom"/>
            <w:hideMark/>
          </w:tcPr>
          <w:p w14:paraId="28637ABA" w14:textId="152B8259" w:rsidR="009A356E" w:rsidRPr="00C10545" w:rsidRDefault="009A356E" w:rsidP="009A356E">
            <w:pPr>
              <w:jc w:val="center"/>
              <w:rPr>
                <w:color w:val="000000"/>
                <w:sz w:val="18"/>
                <w:szCs w:val="18"/>
                <w:lang w:eastAsia="en-AU"/>
              </w:rPr>
            </w:pPr>
            <w:r w:rsidRPr="00C10545">
              <w:rPr>
                <w:color w:val="000000"/>
                <w:sz w:val="18"/>
                <w:szCs w:val="18"/>
                <w:lang w:eastAsia="en-AU"/>
              </w:rPr>
              <w:t xml:space="preserve"> 14.2 </w:t>
            </w:r>
          </w:p>
        </w:tc>
        <w:tc>
          <w:tcPr>
            <w:tcW w:w="517" w:type="pct"/>
            <w:tcBorders>
              <w:top w:val="nil"/>
              <w:left w:val="nil"/>
              <w:bottom w:val="single" w:sz="4" w:space="0" w:color="auto"/>
              <w:right w:val="single" w:sz="4" w:space="0" w:color="auto"/>
            </w:tcBorders>
            <w:shd w:val="clear" w:color="auto" w:fill="auto"/>
            <w:noWrap/>
            <w:vAlign w:val="bottom"/>
            <w:hideMark/>
          </w:tcPr>
          <w:p w14:paraId="0B680A5D" w14:textId="77777777" w:rsidR="009A356E" w:rsidRPr="00C10545" w:rsidRDefault="009A356E" w:rsidP="009A356E">
            <w:pPr>
              <w:jc w:val="center"/>
              <w:rPr>
                <w:color w:val="000000"/>
                <w:sz w:val="18"/>
                <w:szCs w:val="18"/>
                <w:lang w:eastAsia="en-AU"/>
              </w:rPr>
            </w:pPr>
            <w:r w:rsidRPr="00C10545">
              <w:rPr>
                <w:color w:val="000000"/>
                <w:sz w:val="18"/>
                <w:szCs w:val="18"/>
                <w:lang w:eastAsia="en-AU"/>
              </w:rPr>
              <w:t>11.0%</w:t>
            </w:r>
          </w:p>
        </w:tc>
        <w:tc>
          <w:tcPr>
            <w:tcW w:w="558" w:type="pct"/>
            <w:tcBorders>
              <w:top w:val="nil"/>
              <w:left w:val="nil"/>
              <w:bottom w:val="single" w:sz="4" w:space="0" w:color="auto"/>
              <w:right w:val="single" w:sz="4" w:space="0" w:color="auto"/>
            </w:tcBorders>
            <w:shd w:val="clear" w:color="auto" w:fill="auto"/>
            <w:noWrap/>
            <w:vAlign w:val="bottom"/>
            <w:hideMark/>
          </w:tcPr>
          <w:p w14:paraId="31624EA1" w14:textId="77777777" w:rsidR="009A356E" w:rsidRPr="00C10545" w:rsidRDefault="009A356E" w:rsidP="009A356E">
            <w:pPr>
              <w:jc w:val="center"/>
              <w:rPr>
                <w:color w:val="000000"/>
                <w:sz w:val="18"/>
                <w:szCs w:val="18"/>
                <w:lang w:eastAsia="en-AU"/>
              </w:rPr>
            </w:pPr>
            <w:r w:rsidRPr="00C10545">
              <w:rPr>
                <w:color w:val="000000"/>
                <w:sz w:val="18"/>
                <w:szCs w:val="18"/>
                <w:lang w:eastAsia="en-AU"/>
              </w:rPr>
              <w:t>3.5%</w:t>
            </w:r>
          </w:p>
        </w:tc>
        <w:tc>
          <w:tcPr>
            <w:tcW w:w="517" w:type="pct"/>
            <w:tcBorders>
              <w:top w:val="nil"/>
              <w:left w:val="nil"/>
              <w:bottom w:val="single" w:sz="4" w:space="0" w:color="auto"/>
              <w:right w:val="single" w:sz="4" w:space="0" w:color="auto"/>
            </w:tcBorders>
            <w:shd w:val="clear" w:color="auto" w:fill="auto"/>
            <w:noWrap/>
            <w:vAlign w:val="bottom"/>
            <w:hideMark/>
          </w:tcPr>
          <w:p w14:paraId="236F3CD9" w14:textId="77777777" w:rsidR="009A356E" w:rsidRPr="00C10545" w:rsidRDefault="009A356E" w:rsidP="009A356E">
            <w:pPr>
              <w:jc w:val="center"/>
              <w:rPr>
                <w:color w:val="000000"/>
                <w:sz w:val="18"/>
                <w:szCs w:val="18"/>
                <w:lang w:eastAsia="en-AU"/>
              </w:rPr>
            </w:pPr>
            <w:r w:rsidRPr="00C10545">
              <w:rPr>
                <w:color w:val="000000"/>
                <w:sz w:val="18"/>
                <w:szCs w:val="18"/>
                <w:lang w:eastAsia="en-AU"/>
              </w:rPr>
              <w:t>2.0%</w:t>
            </w:r>
          </w:p>
        </w:tc>
        <w:tc>
          <w:tcPr>
            <w:tcW w:w="596" w:type="pct"/>
            <w:tcBorders>
              <w:top w:val="nil"/>
              <w:left w:val="nil"/>
              <w:bottom w:val="single" w:sz="4" w:space="0" w:color="auto"/>
              <w:right w:val="single" w:sz="4" w:space="0" w:color="auto"/>
            </w:tcBorders>
            <w:shd w:val="clear" w:color="auto" w:fill="auto"/>
            <w:noWrap/>
            <w:vAlign w:val="bottom"/>
            <w:hideMark/>
          </w:tcPr>
          <w:p w14:paraId="7D7E19CF" w14:textId="3B5730D6" w:rsidR="009A356E" w:rsidRPr="00C10545" w:rsidRDefault="009A356E" w:rsidP="009A356E">
            <w:pPr>
              <w:jc w:val="center"/>
              <w:rPr>
                <w:color w:val="000000"/>
                <w:sz w:val="18"/>
                <w:szCs w:val="18"/>
                <w:lang w:eastAsia="en-AU"/>
              </w:rPr>
            </w:pPr>
            <w:r w:rsidRPr="00C10545">
              <w:rPr>
                <w:color w:val="000000"/>
                <w:sz w:val="18"/>
                <w:szCs w:val="18"/>
                <w:lang w:eastAsia="en-AU"/>
              </w:rPr>
              <w:t xml:space="preserve"> 2.9 </w:t>
            </w:r>
          </w:p>
        </w:tc>
        <w:tc>
          <w:tcPr>
            <w:tcW w:w="596" w:type="pct"/>
            <w:tcBorders>
              <w:top w:val="nil"/>
              <w:left w:val="nil"/>
              <w:bottom w:val="single" w:sz="4" w:space="0" w:color="auto"/>
              <w:right w:val="single" w:sz="4" w:space="0" w:color="auto"/>
            </w:tcBorders>
            <w:shd w:val="clear" w:color="auto" w:fill="auto"/>
            <w:noWrap/>
            <w:vAlign w:val="bottom"/>
            <w:hideMark/>
          </w:tcPr>
          <w:p w14:paraId="69B11741" w14:textId="77777777" w:rsidR="009A356E" w:rsidRPr="00C10545" w:rsidRDefault="009A356E" w:rsidP="009A356E">
            <w:pPr>
              <w:jc w:val="right"/>
              <w:rPr>
                <w:color w:val="000000"/>
                <w:sz w:val="18"/>
                <w:szCs w:val="18"/>
                <w:lang w:eastAsia="en-AU"/>
              </w:rPr>
            </w:pPr>
            <w:r w:rsidRPr="00C10545">
              <w:rPr>
                <w:color w:val="000000"/>
                <w:sz w:val="18"/>
                <w:szCs w:val="18"/>
                <w:lang w:eastAsia="en-AU"/>
              </w:rPr>
              <w:t>54%</w:t>
            </w:r>
          </w:p>
        </w:tc>
      </w:tr>
      <w:tr w:rsidR="009A356E" w:rsidRPr="00453D75" w14:paraId="55EE164D" w14:textId="77777777" w:rsidTr="009A356E">
        <w:trPr>
          <w:trHeight w:val="240"/>
        </w:trPr>
        <w:tc>
          <w:tcPr>
            <w:tcW w:w="1143" w:type="pct"/>
            <w:tcBorders>
              <w:top w:val="nil"/>
              <w:left w:val="single" w:sz="4" w:space="0" w:color="auto"/>
              <w:bottom w:val="single" w:sz="4" w:space="0" w:color="auto"/>
              <w:right w:val="single" w:sz="4" w:space="0" w:color="auto"/>
            </w:tcBorders>
            <w:shd w:val="clear" w:color="auto" w:fill="auto"/>
            <w:noWrap/>
            <w:vAlign w:val="bottom"/>
            <w:hideMark/>
          </w:tcPr>
          <w:p w14:paraId="30AED336" w14:textId="77777777" w:rsidR="009A356E" w:rsidRPr="00C10545" w:rsidRDefault="009A356E" w:rsidP="009A356E">
            <w:pPr>
              <w:rPr>
                <w:sz w:val="18"/>
                <w:szCs w:val="18"/>
                <w:lang w:eastAsia="en-AU"/>
              </w:rPr>
            </w:pPr>
            <w:r w:rsidRPr="00C10545">
              <w:rPr>
                <w:sz w:val="18"/>
                <w:szCs w:val="18"/>
                <w:lang w:eastAsia="en-AU"/>
              </w:rPr>
              <w:t>Macedon Ranges</w:t>
            </w:r>
          </w:p>
        </w:tc>
        <w:tc>
          <w:tcPr>
            <w:tcW w:w="544" w:type="pct"/>
            <w:tcBorders>
              <w:top w:val="nil"/>
              <w:left w:val="nil"/>
              <w:bottom w:val="single" w:sz="4" w:space="0" w:color="auto"/>
              <w:right w:val="single" w:sz="4" w:space="0" w:color="auto"/>
            </w:tcBorders>
            <w:shd w:val="clear" w:color="auto" w:fill="auto"/>
            <w:noWrap/>
            <w:vAlign w:val="bottom"/>
            <w:hideMark/>
          </w:tcPr>
          <w:p w14:paraId="3DE978FD" w14:textId="7D3CB195" w:rsidR="009A356E" w:rsidRPr="00C10545" w:rsidRDefault="009A356E" w:rsidP="009A356E">
            <w:pPr>
              <w:jc w:val="center"/>
              <w:rPr>
                <w:color w:val="000000"/>
                <w:sz w:val="18"/>
                <w:szCs w:val="18"/>
                <w:lang w:eastAsia="en-AU"/>
              </w:rPr>
            </w:pPr>
            <w:r w:rsidRPr="00C10545">
              <w:rPr>
                <w:color w:val="000000"/>
                <w:sz w:val="18"/>
                <w:szCs w:val="18"/>
                <w:lang w:eastAsia="en-AU"/>
              </w:rPr>
              <w:t xml:space="preserve">3.8 </w:t>
            </w:r>
          </w:p>
        </w:tc>
        <w:tc>
          <w:tcPr>
            <w:tcW w:w="530" w:type="pct"/>
            <w:tcBorders>
              <w:top w:val="nil"/>
              <w:left w:val="nil"/>
              <w:bottom w:val="single" w:sz="4" w:space="0" w:color="auto"/>
              <w:right w:val="single" w:sz="4" w:space="0" w:color="auto"/>
            </w:tcBorders>
            <w:shd w:val="clear" w:color="auto" w:fill="auto"/>
            <w:noWrap/>
            <w:vAlign w:val="bottom"/>
            <w:hideMark/>
          </w:tcPr>
          <w:p w14:paraId="40D3487E" w14:textId="452AD732" w:rsidR="009A356E" w:rsidRPr="00C10545" w:rsidRDefault="009A356E" w:rsidP="009A356E">
            <w:pPr>
              <w:jc w:val="center"/>
              <w:rPr>
                <w:color w:val="000000"/>
                <w:sz w:val="18"/>
                <w:szCs w:val="18"/>
                <w:lang w:eastAsia="en-AU"/>
              </w:rPr>
            </w:pPr>
            <w:r w:rsidRPr="00C10545">
              <w:rPr>
                <w:color w:val="000000"/>
                <w:sz w:val="18"/>
                <w:szCs w:val="18"/>
                <w:lang w:eastAsia="en-AU"/>
              </w:rPr>
              <w:t xml:space="preserve"> 35.1 </w:t>
            </w:r>
          </w:p>
        </w:tc>
        <w:tc>
          <w:tcPr>
            <w:tcW w:w="517" w:type="pct"/>
            <w:tcBorders>
              <w:top w:val="nil"/>
              <w:left w:val="nil"/>
              <w:bottom w:val="single" w:sz="4" w:space="0" w:color="auto"/>
              <w:right w:val="single" w:sz="4" w:space="0" w:color="auto"/>
            </w:tcBorders>
            <w:shd w:val="clear" w:color="auto" w:fill="auto"/>
            <w:noWrap/>
            <w:vAlign w:val="bottom"/>
            <w:hideMark/>
          </w:tcPr>
          <w:p w14:paraId="0490E7AA" w14:textId="77777777" w:rsidR="009A356E" w:rsidRPr="00C10545" w:rsidRDefault="009A356E" w:rsidP="009A356E">
            <w:pPr>
              <w:jc w:val="center"/>
              <w:rPr>
                <w:color w:val="000000"/>
                <w:sz w:val="18"/>
                <w:szCs w:val="18"/>
                <w:lang w:eastAsia="en-AU"/>
              </w:rPr>
            </w:pPr>
            <w:r w:rsidRPr="00C10545">
              <w:rPr>
                <w:color w:val="000000"/>
                <w:sz w:val="18"/>
                <w:szCs w:val="18"/>
                <w:lang w:eastAsia="en-AU"/>
              </w:rPr>
              <w:t>10.9%</w:t>
            </w:r>
          </w:p>
        </w:tc>
        <w:tc>
          <w:tcPr>
            <w:tcW w:w="558" w:type="pct"/>
            <w:tcBorders>
              <w:top w:val="nil"/>
              <w:left w:val="nil"/>
              <w:bottom w:val="single" w:sz="4" w:space="0" w:color="auto"/>
              <w:right w:val="single" w:sz="4" w:space="0" w:color="auto"/>
            </w:tcBorders>
            <w:shd w:val="clear" w:color="auto" w:fill="auto"/>
            <w:noWrap/>
            <w:vAlign w:val="bottom"/>
            <w:hideMark/>
          </w:tcPr>
          <w:p w14:paraId="461408B9" w14:textId="77777777" w:rsidR="009A356E" w:rsidRPr="00C10545" w:rsidRDefault="009A356E" w:rsidP="009A356E">
            <w:pPr>
              <w:jc w:val="center"/>
              <w:rPr>
                <w:color w:val="000000"/>
                <w:sz w:val="18"/>
                <w:szCs w:val="18"/>
                <w:lang w:eastAsia="en-AU"/>
              </w:rPr>
            </w:pPr>
            <w:r w:rsidRPr="00C10545">
              <w:rPr>
                <w:color w:val="000000"/>
                <w:sz w:val="18"/>
                <w:szCs w:val="18"/>
                <w:lang w:eastAsia="en-AU"/>
              </w:rPr>
              <w:t>3.4%</w:t>
            </w:r>
          </w:p>
        </w:tc>
        <w:tc>
          <w:tcPr>
            <w:tcW w:w="517" w:type="pct"/>
            <w:tcBorders>
              <w:top w:val="nil"/>
              <w:left w:val="nil"/>
              <w:bottom w:val="single" w:sz="4" w:space="0" w:color="auto"/>
              <w:right w:val="single" w:sz="4" w:space="0" w:color="auto"/>
            </w:tcBorders>
            <w:shd w:val="clear" w:color="auto" w:fill="auto"/>
            <w:noWrap/>
            <w:vAlign w:val="bottom"/>
            <w:hideMark/>
          </w:tcPr>
          <w:p w14:paraId="099F823E" w14:textId="77777777" w:rsidR="009A356E" w:rsidRPr="00C10545" w:rsidRDefault="009A356E" w:rsidP="009A356E">
            <w:pPr>
              <w:jc w:val="center"/>
              <w:rPr>
                <w:color w:val="000000"/>
                <w:sz w:val="18"/>
                <w:szCs w:val="18"/>
                <w:lang w:eastAsia="en-AU"/>
              </w:rPr>
            </w:pPr>
            <w:r w:rsidRPr="00C10545">
              <w:rPr>
                <w:color w:val="000000"/>
                <w:sz w:val="18"/>
                <w:szCs w:val="18"/>
                <w:lang w:eastAsia="en-AU"/>
              </w:rPr>
              <w:t>1.9%</w:t>
            </w:r>
          </w:p>
        </w:tc>
        <w:tc>
          <w:tcPr>
            <w:tcW w:w="596" w:type="pct"/>
            <w:tcBorders>
              <w:top w:val="nil"/>
              <w:left w:val="nil"/>
              <w:bottom w:val="single" w:sz="4" w:space="0" w:color="auto"/>
              <w:right w:val="single" w:sz="4" w:space="0" w:color="auto"/>
            </w:tcBorders>
            <w:shd w:val="clear" w:color="auto" w:fill="auto"/>
            <w:noWrap/>
            <w:vAlign w:val="bottom"/>
            <w:hideMark/>
          </w:tcPr>
          <w:p w14:paraId="4754409E" w14:textId="78D2836D" w:rsidR="009A356E" w:rsidRPr="00C10545" w:rsidRDefault="009A356E" w:rsidP="009A356E">
            <w:pPr>
              <w:jc w:val="center"/>
              <w:rPr>
                <w:color w:val="000000"/>
                <w:sz w:val="18"/>
                <w:szCs w:val="18"/>
                <w:lang w:eastAsia="en-AU"/>
              </w:rPr>
            </w:pPr>
            <w:r w:rsidRPr="00C10545">
              <w:rPr>
                <w:color w:val="000000"/>
                <w:sz w:val="18"/>
                <w:szCs w:val="18"/>
                <w:lang w:eastAsia="en-AU"/>
              </w:rPr>
              <w:t xml:space="preserve"> 5.9 </w:t>
            </w:r>
          </w:p>
        </w:tc>
        <w:tc>
          <w:tcPr>
            <w:tcW w:w="596" w:type="pct"/>
            <w:tcBorders>
              <w:top w:val="nil"/>
              <w:left w:val="nil"/>
              <w:bottom w:val="single" w:sz="4" w:space="0" w:color="auto"/>
              <w:right w:val="single" w:sz="4" w:space="0" w:color="auto"/>
            </w:tcBorders>
            <w:shd w:val="clear" w:color="auto" w:fill="auto"/>
            <w:noWrap/>
            <w:vAlign w:val="bottom"/>
            <w:hideMark/>
          </w:tcPr>
          <w:p w14:paraId="063FBACE" w14:textId="77777777" w:rsidR="009A356E" w:rsidRPr="00C10545" w:rsidRDefault="009A356E" w:rsidP="009A356E">
            <w:pPr>
              <w:jc w:val="right"/>
              <w:rPr>
                <w:color w:val="000000"/>
                <w:sz w:val="18"/>
                <w:szCs w:val="18"/>
                <w:lang w:eastAsia="en-AU"/>
              </w:rPr>
            </w:pPr>
            <w:r w:rsidRPr="00C10545">
              <w:rPr>
                <w:color w:val="000000"/>
                <w:sz w:val="18"/>
                <w:szCs w:val="18"/>
                <w:lang w:eastAsia="en-AU"/>
              </w:rPr>
              <w:t>65%</w:t>
            </w:r>
          </w:p>
        </w:tc>
      </w:tr>
      <w:tr w:rsidR="009A356E" w:rsidRPr="00453D75" w14:paraId="76238309" w14:textId="77777777" w:rsidTr="009A356E">
        <w:trPr>
          <w:trHeight w:val="240"/>
        </w:trPr>
        <w:tc>
          <w:tcPr>
            <w:tcW w:w="1143" w:type="pct"/>
            <w:tcBorders>
              <w:top w:val="nil"/>
              <w:left w:val="single" w:sz="4" w:space="0" w:color="auto"/>
              <w:bottom w:val="single" w:sz="4" w:space="0" w:color="auto"/>
              <w:right w:val="single" w:sz="4" w:space="0" w:color="auto"/>
            </w:tcBorders>
            <w:shd w:val="clear" w:color="auto" w:fill="auto"/>
            <w:noWrap/>
            <w:vAlign w:val="bottom"/>
            <w:hideMark/>
          </w:tcPr>
          <w:p w14:paraId="29DA5AEC" w14:textId="77777777" w:rsidR="009A356E" w:rsidRPr="00C10545" w:rsidRDefault="009A356E" w:rsidP="009A356E">
            <w:pPr>
              <w:rPr>
                <w:sz w:val="18"/>
                <w:szCs w:val="18"/>
                <w:lang w:eastAsia="en-AU"/>
              </w:rPr>
            </w:pPr>
            <w:r w:rsidRPr="00C10545">
              <w:rPr>
                <w:sz w:val="18"/>
                <w:szCs w:val="18"/>
                <w:lang w:eastAsia="en-AU"/>
              </w:rPr>
              <w:t>Bass Coast</w:t>
            </w:r>
          </w:p>
        </w:tc>
        <w:tc>
          <w:tcPr>
            <w:tcW w:w="544" w:type="pct"/>
            <w:tcBorders>
              <w:top w:val="nil"/>
              <w:left w:val="nil"/>
              <w:bottom w:val="single" w:sz="4" w:space="0" w:color="auto"/>
              <w:right w:val="single" w:sz="4" w:space="0" w:color="auto"/>
            </w:tcBorders>
            <w:shd w:val="clear" w:color="auto" w:fill="auto"/>
            <w:noWrap/>
            <w:vAlign w:val="bottom"/>
            <w:hideMark/>
          </w:tcPr>
          <w:p w14:paraId="38DEC622" w14:textId="6EC2D772" w:rsidR="009A356E" w:rsidRPr="00C10545" w:rsidRDefault="009A356E" w:rsidP="009A356E">
            <w:pPr>
              <w:jc w:val="center"/>
              <w:rPr>
                <w:color w:val="000000"/>
                <w:sz w:val="18"/>
                <w:szCs w:val="18"/>
                <w:lang w:eastAsia="en-AU"/>
              </w:rPr>
            </w:pPr>
            <w:r w:rsidRPr="00C10545">
              <w:rPr>
                <w:color w:val="000000"/>
                <w:sz w:val="18"/>
                <w:szCs w:val="18"/>
                <w:lang w:eastAsia="en-AU"/>
              </w:rPr>
              <w:t xml:space="preserve">4.1 </w:t>
            </w:r>
          </w:p>
        </w:tc>
        <w:tc>
          <w:tcPr>
            <w:tcW w:w="530" w:type="pct"/>
            <w:tcBorders>
              <w:top w:val="nil"/>
              <w:left w:val="nil"/>
              <w:bottom w:val="single" w:sz="4" w:space="0" w:color="auto"/>
              <w:right w:val="single" w:sz="4" w:space="0" w:color="auto"/>
            </w:tcBorders>
            <w:shd w:val="clear" w:color="auto" w:fill="auto"/>
            <w:noWrap/>
            <w:vAlign w:val="bottom"/>
            <w:hideMark/>
          </w:tcPr>
          <w:p w14:paraId="5563DB3F" w14:textId="6119F337" w:rsidR="009A356E" w:rsidRPr="00C10545" w:rsidRDefault="009A356E" w:rsidP="009A356E">
            <w:pPr>
              <w:jc w:val="center"/>
              <w:rPr>
                <w:color w:val="000000"/>
                <w:sz w:val="18"/>
                <w:szCs w:val="18"/>
                <w:lang w:eastAsia="en-AU"/>
              </w:rPr>
            </w:pPr>
            <w:r w:rsidRPr="00C10545">
              <w:rPr>
                <w:color w:val="000000"/>
                <w:sz w:val="18"/>
                <w:szCs w:val="18"/>
                <w:lang w:eastAsia="en-AU"/>
              </w:rPr>
              <w:t xml:space="preserve"> 39.7 </w:t>
            </w:r>
          </w:p>
        </w:tc>
        <w:tc>
          <w:tcPr>
            <w:tcW w:w="517" w:type="pct"/>
            <w:tcBorders>
              <w:top w:val="nil"/>
              <w:left w:val="nil"/>
              <w:bottom w:val="single" w:sz="4" w:space="0" w:color="auto"/>
              <w:right w:val="single" w:sz="4" w:space="0" w:color="auto"/>
            </w:tcBorders>
            <w:shd w:val="clear" w:color="auto" w:fill="auto"/>
            <w:noWrap/>
            <w:vAlign w:val="bottom"/>
            <w:hideMark/>
          </w:tcPr>
          <w:p w14:paraId="72DED201" w14:textId="77777777" w:rsidR="009A356E" w:rsidRPr="00C10545" w:rsidRDefault="009A356E" w:rsidP="009A356E">
            <w:pPr>
              <w:jc w:val="center"/>
              <w:rPr>
                <w:color w:val="000000"/>
                <w:sz w:val="18"/>
                <w:szCs w:val="18"/>
                <w:lang w:eastAsia="en-AU"/>
              </w:rPr>
            </w:pPr>
            <w:r w:rsidRPr="00C10545">
              <w:rPr>
                <w:color w:val="000000"/>
                <w:sz w:val="18"/>
                <w:szCs w:val="18"/>
                <w:lang w:eastAsia="en-AU"/>
              </w:rPr>
              <w:t>10.3%</w:t>
            </w:r>
          </w:p>
        </w:tc>
        <w:tc>
          <w:tcPr>
            <w:tcW w:w="558" w:type="pct"/>
            <w:tcBorders>
              <w:top w:val="nil"/>
              <w:left w:val="nil"/>
              <w:bottom w:val="single" w:sz="4" w:space="0" w:color="auto"/>
              <w:right w:val="single" w:sz="4" w:space="0" w:color="auto"/>
            </w:tcBorders>
            <w:shd w:val="clear" w:color="auto" w:fill="auto"/>
            <w:noWrap/>
            <w:vAlign w:val="bottom"/>
            <w:hideMark/>
          </w:tcPr>
          <w:p w14:paraId="692B738F" w14:textId="77777777" w:rsidR="009A356E" w:rsidRPr="00C10545" w:rsidRDefault="009A356E" w:rsidP="009A356E">
            <w:pPr>
              <w:jc w:val="center"/>
              <w:rPr>
                <w:color w:val="000000"/>
                <w:sz w:val="18"/>
                <w:szCs w:val="18"/>
                <w:lang w:eastAsia="en-AU"/>
              </w:rPr>
            </w:pPr>
            <w:r w:rsidRPr="00C10545">
              <w:rPr>
                <w:color w:val="000000"/>
                <w:sz w:val="18"/>
                <w:szCs w:val="18"/>
                <w:lang w:eastAsia="en-AU"/>
              </w:rPr>
              <w:t>3.2%</w:t>
            </w:r>
          </w:p>
        </w:tc>
        <w:tc>
          <w:tcPr>
            <w:tcW w:w="517" w:type="pct"/>
            <w:tcBorders>
              <w:top w:val="nil"/>
              <w:left w:val="nil"/>
              <w:bottom w:val="single" w:sz="4" w:space="0" w:color="auto"/>
              <w:right w:val="single" w:sz="4" w:space="0" w:color="auto"/>
            </w:tcBorders>
            <w:shd w:val="clear" w:color="auto" w:fill="auto"/>
            <w:noWrap/>
            <w:vAlign w:val="bottom"/>
            <w:hideMark/>
          </w:tcPr>
          <w:p w14:paraId="42FD3740" w14:textId="77777777" w:rsidR="009A356E" w:rsidRPr="00C10545" w:rsidRDefault="009A356E" w:rsidP="009A356E">
            <w:pPr>
              <w:jc w:val="center"/>
              <w:rPr>
                <w:color w:val="000000"/>
                <w:sz w:val="18"/>
                <w:szCs w:val="18"/>
                <w:lang w:eastAsia="en-AU"/>
              </w:rPr>
            </w:pPr>
            <w:r w:rsidRPr="00C10545">
              <w:rPr>
                <w:color w:val="000000"/>
                <w:sz w:val="18"/>
                <w:szCs w:val="18"/>
                <w:lang w:eastAsia="en-AU"/>
              </w:rPr>
              <w:t>1.8%</w:t>
            </w:r>
          </w:p>
        </w:tc>
        <w:tc>
          <w:tcPr>
            <w:tcW w:w="596" w:type="pct"/>
            <w:tcBorders>
              <w:top w:val="nil"/>
              <w:left w:val="nil"/>
              <w:bottom w:val="single" w:sz="4" w:space="0" w:color="auto"/>
              <w:right w:val="single" w:sz="4" w:space="0" w:color="auto"/>
            </w:tcBorders>
            <w:shd w:val="clear" w:color="auto" w:fill="auto"/>
            <w:noWrap/>
            <w:vAlign w:val="bottom"/>
            <w:hideMark/>
          </w:tcPr>
          <w:p w14:paraId="073D6739" w14:textId="5AA03C69" w:rsidR="009A356E" w:rsidRPr="00C10545" w:rsidRDefault="009A356E" w:rsidP="009A356E">
            <w:pPr>
              <w:jc w:val="center"/>
              <w:rPr>
                <w:color w:val="000000"/>
                <w:sz w:val="18"/>
                <w:szCs w:val="18"/>
                <w:lang w:eastAsia="en-AU"/>
              </w:rPr>
            </w:pPr>
            <w:r w:rsidRPr="00C10545">
              <w:rPr>
                <w:color w:val="000000"/>
                <w:sz w:val="18"/>
                <w:szCs w:val="18"/>
                <w:lang w:eastAsia="en-AU"/>
              </w:rPr>
              <w:t xml:space="preserve"> 5.4 </w:t>
            </w:r>
          </w:p>
        </w:tc>
        <w:tc>
          <w:tcPr>
            <w:tcW w:w="596" w:type="pct"/>
            <w:tcBorders>
              <w:top w:val="nil"/>
              <w:left w:val="nil"/>
              <w:bottom w:val="single" w:sz="4" w:space="0" w:color="auto"/>
              <w:right w:val="single" w:sz="4" w:space="0" w:color="auto"/>
            </w:tcBorders>
            <w:shd w:val="clear" w:color="auto" w:fill="auto"/>
            <w:noWrap/>
            <w:vAlign w:val="bottom"/>
            <w:hideMark/>
          </w:tcPr>
          <w:p w14:paraId="59ADA86F" w14:textId="77777777" w:rsidR="009A356E" w:rsidRPr="00C10545" w:rsidRDefault="009A356E" w:rsidP="009A356E">
            <w:pPr>
              <w:jc w:val="right"/>
              <w:rPr>
                <w:color w:val="000000"/>
                <w:sz w:val="18"/>
                <w:szCs w:val="18"/>
                <w:lang w:eastAsia="en-AU"/>
              </w:rPr>
            </w:pPr>
            <w:r w:rsidRPr="00C10545">
              <w:rPr>
                <w:color w:val="000000"/>
                <w:sz w:val="18"/>
                <w:szCs w:val="18"/>
                <w:lang w:eastAsia="en-AU"/>
              </w:rPr>
              <w:t>76%</w:t>
            </w:r>
          </w:p>
        </w:tc>
      </w:tr>
      <w:tr w:rsidR="009A356E" w:rsidRPr="00453D75" w14:paraId="4C6B95FA" w14:textId="77777777" w:rsidTr="009A356E">
        <w:trPr>
          <w:trHeight w:val="240"/>
        </w:trPr>
        <w:tc>
          <w:tcPr>
            <w:tcW w:w="1143" w:type="pct"/>
            <w:tcBorders>
              <w:top w:val="nil"/>
              <w:left w:val="single" w:sz="4" w:space="0" w:color="auto"/>
              <w:bottom w:val="single" w:sz="4" w:space="0" w:color="auto"/>
              <w:right w:val="single" w:sz="4" w:space="0" w:color="auto"/>
            </w:tcBorders>
            <w:shd w:val="clear" w:color="auto" w:fill="auto"/>
            <w:noWrap/>
            <w:vAlign w:val="bottom"/>
            <w:hideMark/>
          </w:tcPr>
          <w:p w14:paraId="4B66F2DF" w14:textId="77777777" w:rsidR="009A356E" w:rsidRPr="00C10545" w:rsidRDefault="009A356E" w:rsidP="009A356E">
            <w:pPr>
              <w:rPr>
                <w:sz w:val="18"/>
                <w:szCs w:val="18"/>
                <w:lang w:eastAsia="en-AU"/>
              </w:rPr>
            </w:pPr>
            <w:r w:rsidRPr="00C10545">
              <w:rPr>
                <w:sz w:val="18"/>
                <w:szCs w:val="18"/>
                <w:lang w:eastAsia="en-AU"/>
              </w:rPr>
              <w:t>Moorabool</w:t>
            </w:r>
          </w:p>
        </w:tc>
        <w:tc>
          <w:tcPr>
            <w:tcW w:w="544" w:type="pct"/>
            <w:tcBorders>
              <w:top w:val="nil"/>
              <w:left w:val="nil"/>
              <w:bottom w:val="single" w:sz="4" w:space="0" w:color="auto"/>
              <w:right w:val="single" w:sz="4" w:space="0" w:color="auto"/>
            </w:tcBorders>
            <w:shd w:val="clear" w:color="auto" w:fill="auto"/>
            <w:noWrap/>
            <w:vAlign w:val="bottom"/>
            <w:hideMark/>
          </w:tcPr>
          <w:p w14:paraId="47801F91" w14:textId="2404FFCD" w:rsidR="009A356E" w:rsidRPr="00C10545" w:rsidRDefault="009A356E" w:rsidP="009A356E">
            <w:pPr>
              <w:jc w:val="center"/>
              <w:rPr>
                <w:color w:val="000000"/>
                <w:sz w:val="18"/>
                <w:szCs w:val="18"/>
                <w:lang w:eastAsia="en-AU"/>
              </w:rPr>
            </w:pPr>
            <w:r w:rsidRPr="00C10545">
              <w:rPr>
                <w:color w:val="000000"/>
                <w:sz w:val="18"/>
                <w:szCs w:val="18"/>
                <w:lang w:eastAsia="en-AU"/>
              </w:rPr>
              <w:t xml:space="preserve">2.4 </w:t>
            </w:r>
          </w:p>
        </w:tc>
        <w:tc>
          <w:tcPr>
            <w:tcW w:w="530" w:type="pct"/>
            <w:tcBorders>
              <w:top w:val="nil"/>
              <w:left w:val="nil"/>
              <w:bottom w:val="single" w:sz="4" w:space="0" w:color="auto"/>
              <w:right w:val="single" w:sz="4" w:space="0" w:color="auto"/>
            </w:tcBorders>
            <w:shd w:val="clear" w:color="auto" w:fill="auto"/>
            <w:noWrap/>
            <w:vAlign w:val="bottom"/>
            <w:hideMark/>
          </w:tcPr>
          <w:p w14:paraId="1947CD41" w14:textId="1DE9B8E3" w:rsidR="009A356E" w:rsidRPr="00C10545" w:rsidRDefault="009A356E" w:rsidP="009A356E">
            <w:pPr>
              <w:jc w:val="center"/>
              <w:rPr>
                <w:color w:val="000000"/>
                <w:sz w:val="18"/>
                <w:szCs w:val="18"/>
                <w:lang w:eastAsia="en-AU"/>
              </w:rPr>
            </w:pPr>
            <w:r w:rsidRPr="00C10545">
              <w:rPr>
                <w:color w:val="000000"/>
                <w:sz w:val="18"/>
                <w:szCs w:val="18"/>
                <w:lang w:eastAsia="en-AU"/>
              </w:rPr>
              <w:t xml:space="preserve"> 24.2 </w:t>
            </w:r>
          </w:p>
        </w:tc>
        <w:tc>
          <w:tcPr>
            <w:tcW w:w="517" w:type="pct"/>
            <w:tcBorders>
              <w:top w:val="nil"/>
              <w:left w:val="nil"/>
              <w:bottom w:val="single" w:sz="4" w:space="0" w:color="auto"/>
              <w:right w:val="single" w:sz="4" w:space="0" w:color="auto"/>
            </w:tcBorders>
            <w:shd w:val="clear" w:color="auto" w:fill="auto"/>
            <w:noWrap/>
            <w:vAlign w:val="bottom"/>
            <w:hideMark/>
          </w:tcPr>
          <w:p w14:paraId="7299E657" w14:textId="77777777" w:rsidR="009A356E" w:rsidRPr="00C10545" w:rsidRDefault="009A356E" w:rsidP="009A356E">
            <w:pPr>
              <w:jc w:val="center"/>
              <w:rPr>
                <w:color w:val="000000"/>
                <w:sz w:val="18"/>
                <w:szCs w:val="18"/>
                <w:lang w:eastAsia="en-AU"/>
              </w:rPr>
            </w:pPr>
            <w:r w:rsidRPr="00C10545">
              <w:rPr>
                <w:color w:val="000000"/>
                <w:sz w:val="18"/>
                <w:szCs w:val="18"/>
                <w:lang w:eastAsia="en-AU"/>
              </w:rPr>
              <w:t>9.9%</w:t>
            </w:r>
          </w:p>
        </w:tc>
        <w:tc>
          <w:tcPr>
            <w:tcW w:w="558" w:type="pct"/>
            <w:tcBorders>
              <w:top w:val="nil"/>
              <w:left w:val="nil"/>
              <w:bottom w:val="single" w:sz="4" w:space="0" w:color="auto"/>
              <w:right w:val="single" w:sz="4" w:space="0" w:color="auto"/>
            </w:tcBorders>
            <w:shd w:val="clear" w:color="auto" w:fill="auto"/>
            <w:noWrap/>
            <w:vAlign w:val="bottom"/>
            <w:hideMark/>
          </w:tcPr>
          <w:p w14:paraId="15268C7F" w14:textId="77777777" w:rsidR="009A356E" w:rsidRPr="00C10545" w:rsidRDefault="009A356E" w:rsidP="009A356E">
            <w:pPr>
              <w:jc w:val="center"/>
              <w:rPr>
                <w:color w:val="000000"/>
                <w:sz w:val="18"/>
                <w:szCs w:val="18"/>
                <w:lang w:eastAsia="en-AU"/>
              </w:rPr>
            </w:pPr>
            <w:r w:rsidRPr="00C10545">
              <w:rPr>
                <w:color w:val="000000"/>
                <w:sz w:val="18"/>
                <w:szCs w:val="18"/>
                <w:lang w:eastAsia="en-AU"/>
              </w:rPr>
              <w:t>3.1%</w:t>
            </w:r>
          </w:p>
        </w:tc>
        <w:tc>
          <w:tcPr>
            <w:tcW w:w="517" w:type="pct"/>
            <w:tcBorders>
              <w:top w:val="nil"/>
              <w:left w:val="nil"/>
              <w:bottom w:val="single" w:sz="4" w:space="0" w:color="auto"/>
              <w:right w:val="single" w:sz="4" w:space="0" w:color="auto"/>
            </w:tcBorders>
            <w:shd w:val="clear" w:color="auto" w:fill="auto"/>
            <w:noWrap/>
            <w:vAlign w:val="bottom"/>
            <w:hideMark/>
          </w:tcPr>
          <w:p w14:paraId="02E8A567" w14:textId="77777777" w:rsidR="009A356E" w:rsidRPr="00C10545" w:rsidRDefault="009A356E" w:rsidP="009A356E">
            <w:pPr>
              <w:jc w:val="center"/>
              <w:rPr>
                <w:color w:val="000000"/>
                <w:sz w:val="18"/>
                <w:szCs w:val="18"/>
                <w:lang w:eastAsia="en-AU"/>
              </w:rPr>
            </w:pPr>
            <w:r w:rsidRPr="00C10545">
              <w:rPr>
                <w:color w:val="000000"/>
                <w:sz w:val="18"/>
                <w:szCs w:val="18"/>
                <w:lang w:eastAsia="en-AU"/>
              </w:rPr>
              <w:t>1.7%</w:t>
            </w:r>
          </w:p>
        </w:tc>
        <w:tc>
          <w:tcPr>
            <w:tcW w:w="596" w:type="pct"/>
            <w:tcBorders>
              <w:top w:val="nil"/>
              <w:left w:val="nil"/>
              <w:bottom w:val="single" w:sz="4" w:space="0" w:color="auto"/>
              <w:right w:val="single" w:sz="4" w:space="0" w:color="auto"/>
            </w:tcBorders>
            <w:shd w:val="clear" w:color="auto" w:fill="auto"/>
            <w:noWrap/>
            <w:vAlign w:val="bottom"/>
            <w:hideMark/>
          </w:tcPr>
          <w:p w14:paraId="321E1BEA" w14:textId="062087FA" w:rsidR="009A356E" w:rsidRPr="00C10545" w:rsidRDefault="009A356E" w:rsidP="009A356E">
            <w:pPr>
              <w:jc w:val="center"/>
              <w:rPr>
                <w:color w:val="000000"/>
                <w:sz w:val="18"/>
                <w:szCs w:val="18"/>
                <w:lang w:eastAsia="en-AU"/>
              </w:rPr>
            </w:pPr>
            <w:r w:rsidRPr="00C10545">
              <w:rPr>
                <w:color w:val="000000"/>
                <w:sz w:val="18"/>
                <w:szCs w:val="18"/>
                <w:lang w:eastAsia="en-AU"/>
              </w:rPr>
              <w:t xml:space="preserve"> 8.1 </w:t>
            </w:r>
          </w:p>
        </w:tc>
        <w:tc>
          <w:tcPr>
            <w:tcW w:w="596" w:type="pct"/>
            <w:tcBorders>
              <w:top w:val="nil"/>
              <w:left w:val="nil"/>
              <w:bottom w:val="single" w:sz="4" w:space="0" w:color="auto"/>
              <w:right w:val="single" w:sz="4" w:space="0" w:color="auto"/>
            </w:tcBorders>
            <w:shd w:val="clear" w:color="auto" w:fill="auto"/>
            <w:noWrap/>
            <w:vAlign w:val="bottom"/>
            <w:hideMark/>
          </w:tcPr>
          <w:p w14:paraId="48219C07" w14:textId="77777777" w:rsidR="009A356E" w:rsidRPr="00C10545" w:rsidRDefault="009A356E" w:rsidP="009A356E">
            <w:pPr>
              <w:jc w:val="right"/>
              <w:rPr>
                <w:color w:val="000000"/>
                <w:sz w:val="18"/>
                <w:szCs w:val="18"/>
                <w:lang w:eastAsia="en-AU"/>
              </w:rPr>
            </w:pPr>
            <w:r w:rsidRPr="00C10545">
              <w:rPr>
                <w:color w:val="000000"/>
                <w:sz w:val="18"/>
                <w:szCs w:val="18"/>
                <w:lang w:eastAsia="en-AU"/>
              </w:rPr>
              <w:t>30%</w:t>
            </w:r>
          </w:p>
        </w:tc>
      </w:tr>
      <w:tr w:rsidR="009A356E" w:rsidRPr="00453D75" w14:paraId="7C7B5558" w14:textId="77777777" w:rsidTr="009A356E">
        <w:trPr>
          <w:trHeight w:val="240"/>
        </w:trPr>
        <w:tc>
          <w:tcPr>
            <w:tcW w:w="1143" w:type="pct"/>
            <w:tcBorders>
              <w:top w:val="nil"/>
              <w:left w:val="single" w:sz="4" w:space="0" w:color="auto"/>
              <w:bottom w:val="single" w:sz="4" w:space="0" w:color="auto"/>
              <w:right w:val="single" w:sz="4" w:space="0" w:color="auto"/>
            </w:tcBorders>
            <w:shd w:val="clear" w:color="auto" w:fill="auto"/>
            <w:noWrap/>
            <w:vAlign w:val="bottom"/>
            <w:hideMark/>
          </w:tcPr>
          <w:p w14:paraId="56658511" w14:textId="77777777" w:rsidR="009A356E" w:rsidRPr="00C10545" w:rsidRDefault="009A356E" w:rsidP="009A356E">
            <w:pPr>
              <w:rPr>
                <w:sz w:val="18"/>
                <w:szCs w:val="18"/>
                <w:lang w:eastAsia="en-AU"/>
              </w:rPr>
            </w:pPr>
            <w:r w:rsidRPr="00C10545">
              <w:rPr>
                <w:sz w:val="18"/>
                <w:szCs w:val="18"/>
                <w:lang w:eastAsia="en-AU"/>
              </w:rPr>
              <w:t>Wodonga</w:t>
            </w:r>
          </w:p>
        </w:tc>
        <w:tc>
          <w:tcPr>
            <w:tcW w:w="544" w:type="pct"/>
            <w:tcBorders>
              <w:top w:val="nil"/>
              <w:left w:val="nil"/>
              <w:bottom w:val="single" w:sz="4" w:space="0" w:color="auto"/>
              <w:right w:val="single" w:sz="4" w:space="0" w:color="auto"/>
            </w:tcBorders>
            <w:shd w:val="clear" w:color="auto" w:fill="auto"/>
            <w:noWrap/>
            <w:vAlign w:val="bottom"/>
            <w:hideMark/>
          </w:tcPr>
          <w:p w14:paraId="0FAEB093" w14:textId="0C204858" w:rsidR="009A356E" w:rsidRPr="00C10545" w:rsidRDefault="009A356E" w:rsidP="009A356E">
            <w:pPr>
              <w:jc w:val="center"/>
              <w:rPr>
                <w:color w:val="000000"/>
                <w:sz w:val="18"/>
                <w:szCs w:val="18"/>
                <w:lang w:eastAsia="en-AU"/>
              </w:rPr>
            </w:pPr>
            <w:r w:rsidRPr="00C10545">
              <w:rPr>
                <w:color w:val="000000"/>
                <w:sz w:val="18"/>
                <w:szCs w:val="18"/>
                <w:lang w:eastAsia="en-AU"/>
              </w:rPr>
              <w:t xml:space="preserve">3.3 </w:t>
            </w:r>
          </w:p>
        </w:tc>
        <w:tc>
          <w:tcPr>
            <w:tcW w:w="530" w:type="pct"/>
            <w:tcBorders>
              <w:top w:val="nil"/>
              <w:left w:val="nil"/>
              <w:bottom w:val="single" w:sz="4" w:space="0" w:color="auto"/>
              <w:right w:val="single" w:sz="4" w:space="0" w:color="auto"/>
            </w:tcBorders>
            <w:shd w:val="clear" w:color="auto" w:fill="auto"/>
            <w:noWrap/>
            <w:vAlign w:val="bottom"/>
            <w:hideMark/>
          </w:tcPr>
          <w:p w14:paraId="3BB8B13F" w14:textId="4777827B" w:rsidR="009A356E" w:rsidRPr="00C10545" w:rsidRDefault="009A356E" w:rsidP="009A356E">
            <w:pPr>
              <w:jc w:val="center"/>
              <w:rPr>
                <w:color w:val="000000"/>
                <w:sz w:val="18"/>
                <w:szCs w:val="18"/>
                <w:lang w:eastAsia="en-AU"/>
              </w:rPr>
            </w:pPr>
            <w:r w:rsidRPr="00C10545">
              <w:rPr>
                <w:color w:val="000000"/>
                <w:sz w:val="18"/>
                <w:szCs w:val="18"/>
                <w:lang w:eastAsia="en-AU"/>
              </w:rPr>
              <w:t xml:space="preserve"> 33.9 </w:t>
            </w:r>
          </w:p>
        </w:tc>
        <w:tc>
          <w:tcPr>
            <w:tcW w:w="517" w:type="pct"/>
            <w:tcBorders>
              <w:top w:val="nil"/>
              <w:left w:val="nil"/>
              <w:bottom w:val="single" w:sz="4" w:space="0" w:color="auto"/>
              <w:right w:val="single" w:sz="4" w:space="0" w:color="auto"/>
            </w:tcBorders>
            <w:shd w:val="clear" w:color="auto" w:fill="auto"/>
            <w:noWrap/>
            <w:vAlign w:val="bottom"/>
            <w:hideMark/>
          </w:tcPr>
          <w:p w14:paraId="3774A06B" w14:textId="77777777" w:rsidR="009A356E" w:rsidRPr="00C10545" w:rsidRDefault="009A356E" w:rsidP="009A356E">
            <w:pPr>
              <w:jc w:val="center"/>
              <w:rPr>
                <w:color w:val="000000"/>
                <w:sz w:val="18"/>
                <w:szCs w:val="18"/>
                <w:lang w:eastAsia="en-AU"/>
              </w:rPr>
            </w:pPr>
            <w:r w:rsidRPr="00C10545">
              <w:rPr>
                <w:color w:val="000000"/>
                <w:sz w:val="18"/>
                <w:szCs w:val="18"/>
                <w:lang w:eastAsia="en-AU"/>
              </w:rPr>
              <w:t>9.7%</w:t>
            </w:r>
          </w:p>
        </w:tc>
        <w:tc>
          <w:tcPr>
            <w:tcW w:w="558" w:type="pct"/>
            <w:tcBorders>
              <w:top w:val="nil"/>
              <w:left w:val="nil"/>
              <w:bottom w:val="single" w:sz="4" w:space="0" w:color="auto"/>
              <w:right w:val="single" w:sz="4" w:space="0" w:color="auto"/>
            </w:tcBorders>
            <w:shd w:val="clear" w:color="auto" w:fill="auto"/>
            <w:noWrap/>
            <w:vAlign w:val="bottom"/>
            <w:hideMark/>
          </w:tcPr>
          <w:p w14:paraId="103AFD3E" w14:textId="77777777" w:rsidR="009A356E" w:rsidRPr="00C10545" w:rsidRDefault="009A356E" w:rsidP="009A356E">
            <w:pPr>
              <w:jc w:val="center"/>
              <w:rPr>
                <w:color w:val="000000"/>
                <w:sz w:val="18"/>
                <w:szCs w:val="18"/>
                <w:lang w:eastAsia="en-AU"/>
              </w:rPr>
            </w:pPr>
            <w:r w:rsidRPr="00C10545">
              <w:rPr>
                <w:color w:val="000000"/>
                <w:sz w:val="18"/>
                <w:szCs w:val="18"/>
                <w:lang w:eastAsia="en-AU"/>
              </w:rPr>
              <w:t>3.0%</w:t>
            </w:r>
          </w:p>
        </w:tc>
        <w:tc>
          <w:tcPr>
            <w:tcW w:w="517" w:type="pct"/>
            <w:tcBorders>
              <w:top w:val="nil"/>
              <w:left w:val="nil"/>
              <w:bottom w:val="single" w:sz="4" w:space="0" w:color="auto"/>
              <w:right w:val="single" w:sz="4" w:space="0" w:color="auto"/>
            </w:tcBorders>
            <w:shd w:val="clear" w:color="auto" w:fill="auto"/>
            <w:noWrap/>
            <w:vAlign w:val="bottom"/>
            <w:hideMark/>
          </w:tcPr>
          <w:p w14:paraId="4211FB3B" w14:textId="77777777" w:rsidR="009A356E" w:rsidRPr="00C10545" w:rsidRDefault="009A356E" w:rsidP="009A356E">
            <w:pPr>
              <w:jc w:val="center"/>
              <w:rPr>
                <w:color w:val="000000"/>
                <w:sz w:val="18"/>
                <w:szCs w:val="18"/>
                <w:lang w:eastAsia="en-AU"/>
              </w:rPr>
            </w:pPr>
            <w:r w:rsidRPr="00C10545">
              <w:rPr>
                <w:color w:val="000000"/>
                <w:sz w:val="18"/>
                <w:szCs w:val="18"/>
                <w:lang w:eastAsia="en-AU"/>
              </w:rPr>
              <w:t>1.7%</w:t>
            </w:r>
          </w:p>
        </w:tc>
        <w:tc>
          <w:tcPr>
            <w:tcW w:w="596" w:type="pct"/>
            <w:tcBorders>
              <w:top w:val="nil"/>
              <w:left w:val="nil"/>
              <w:bottom w:val="single" w:sz="4" w:space="0" w:color="auto"/>
              <w:right w:val="single" w:sz="4" w:space="0" w:color="auto"/>
            </w:tcBorders>
            <w:shd w:val="clear" w:color="auto" w:fill="auto"/>
            <w:noWrap/>
            <w:vAlign w:val="bottom"/>
            <w:hideMark/>
          </w:tcPr>
          <w:p w14:paraId="46DFD9C1" w14:textId="0CCF589C" w:rsidR="009A356E" w:rsidRPr="00C10545" w:rsidRDefault="009A356E" w:rsidP="009A356E">
            <w:pPr>
              <w:jc w:val="center"/>
              <w:rPr>
                <w:color w:val="000000"/>
                <w:sz w:val="18"/>
                <w:szCs w:val="18"/>
                <w:lang w:eastAsia="en-AU"/>
              </w:rPr>
            </w:pPr>
            <w:r w:rsidRPr="00C10545">
              <w:rPr>
                <w:color w:val="000000"/>
                <w:sz w:val="18"/>
                <w:szCs w:val="18"/>
                <w:lang w:eastAsia="en-AU"/>
              </w:rPr>
              <w:t xml:space="preserve"> 1.3 </w:t>
            </w:r>
          </w:p>
        </w:tc>
        <w:tc>
          <w:tcPr>
            <w:tcW w:w="596" w:type="pct"/>
            <w:tcBorders>
              <w:top w:val="nil"/>
              <w:left w:val="nil"/>
              <w:bottom w:val="single" w:sz="4" w:space="0" w:color="auto"/>
              <w:right w:val="single" w:sz="4" w:space="0" w:color="auto"/>
            </w:tcBorders>
            <w:shd w:val="clear" w:color="auto" w:fill="auto"/>
            <w:noWrap/>
            <w:vAlign w:val="bottom"/>
            <w:hideMark/>
          </w:tcPr>
          <w:p w14:paraId="14B19A5B" w14:textId="77777777" w:rsidR="009A356E" w:rsidRPr="00C10545" w:rsidRDefault="009A356E" w:rsidP="009A356E">
            <w:pPr>
              <w:jc w:val="right"/>
              <w:rPr>
                <w:color w:val="000000"/>
                <w:sz w:val="18"/>
                <w:szCs w:val="18"/>
                <w:lang w:eastAsia="en-AU"/>
              </w:rPr>
            </w:pPr>
            <w:r w:rsidRPr="00C10545">
              <w:rPr>
                <w:color w:val="000000"/>
                <w:sz w:val="18"/>
                <w:szCs w:val="18"/>
                <w:lang w:eastAsia="en-AU"/>
              </w:rPr>
              <w:t>255%</w:t>
            </w:r>
          </w:p>
        </w:tc>
      </w:tr>
      <w:tr w:rsidR="009A356E" w:rsidRPr="00453D75" w14:paraId="74873128" w14:textId="77777777" w:rsidTr="009A356E">
        <w:trPr>
          <w:trHeight w:val="240"/>
        </w:trPr>
        <w:tc>
          <w:tcPr>
            <w:tcW w:w="1143" w:type="pct"/>
            <w:tcBorders>
              <w:top w:val="nil"/>
              <w:left w:val="single" w:sz="4" w:space="0" w:color="auto"/>
              <w:bottom w:val="single" w:sz="4" w:space="0" w:color="auto"/>
              <w:right w:val="single" w:sz="4" w:space="0" w:color="auto"/>
            </w:tcBorders>
            <w:shd w:val="clear" w:color="auto" w:fill="auto"/>
            <w:noWrap/>
            <w:vAlign w:val="bottom"/>
            <w:hideMark/>
          </w:tcPr>
          <w:p w14:paraId="22860B54" w14:textId="77777777" w:rsidR="009A356E" w:rsidRPr="00C10545" w:rsidRDefault="009A356E" w:rsidP="009A356E">
            <w:pPr>
              <w:rPr>
                <w:sz w:val="18"/>
                <w:szCs w:val="18"/>
                <w:lang w:eastAsia="en-AU"/>
              </w:rPr>
            </w:pPr>
            <w:r w:rsidRPr="00C10545">
              <w:rPr>
                <w:sz w:val="18"/>
                <w:szCs w:val="18"/>
                <w:lang w:eastAsia="en-AU"/>
              </w:rPr>
              <w:t>Mitchell</w:t>
            </w:r>
          </w:p>
        </w:tc>
        <w:tc>
          <w:tcPr>
            <w:tcW w:w="544" w:type="pct"/>
            <w:tcBorders>
              <w:top w:val="nil"/>
              <w:left w:val="nil"/>
              <w:bottom w:val="single" w:sz="4" w:space="0" w:color="auto"/>
              <w:right w:val="single" w:sz="4" w:space="0" w:color="auto"/>
            </w:tcBorders>
            <w:shd w:val="clear" w:color="auto" w:fill="auto"/>
            <w:noWrap/>
            <w:vAlign w:val="bottom"/>
            <w:hideMark/>
          </w:tcPr>
          <w:p w14:paraId="0B6D60D2" w14:textId="6F17CC56" w:rsidR="009A356E" w:rsidRPr="00C10545" w:rsidRDefault="009A356E" w:rsidP="009A356E">
            <w:pPr>
              <w:jc w:val="center"/>
              <w:rPr>
                <w:color w:val="000000"/>
                <w:sz w:val="18"/>
                <w:szCs w:val="18"/>
                <w:lang w:eastAsia="en-AU"/>
              </w:rPr>
            </w:pPr>
            <w:r w:rsidRPr="00C10545">
              <w:rPr>
                <w:color w:val="000000"/>
                <w:sz w:val="18"/>
                <w:szCs w:val="18"/>
                <w:lang w:eastAsia="en-AU"/>
              </w:rPr>
              <w:t xml:space="preserve">2.6 </w:t>
            </w:r>
          </w:p>
        </w:tc>
        <w:tc>
          <w:tcPr>
            <w:tcW w:w="530" w:type="pct"/>
            <w:tcBorders>
              <w:top w:val="nil"/>
              <w:left w:val="nil"/>
              <w:bottom w:val="single" w:sz="4" w:space="0" w:color="auto"/>
              <w:right w:val="single" w:sz="4" w:space="0" w:color="auto"/>
            </w:tcBorders>
            <w:shd w:val="clear" w:color="auto" w:fill="auto"/>
            <w:noWrap/>
            <w:vAlign w:val="bottom"/>
            <w:hideMark/>
          </w:tcPr>
          <w:p w14:paraId="7E2820D1" w14:textId="1EB1DD91" w:rsidR="009A356E" w:rsidRPr="00C10545" w:rsidRDefault="009A356E" w:rsidP="009A356E">
            <w:pPr>
              <w:jc w:val="center"/>
              <w:rPr>
                <w:color w:val="000000"/>
                <w:sz w:val="18"/>
                <w:szCs w:val="18"/>
                <w:lang w:eastAsia="en-AU"/>
              </w:rPr>
            </w:pPr>
            <w:r w:rsidRPr="00C10545">
              <w:rPr>
                <w:color w:val="000000"/>
                <w:sz w:val="18"/>
                <w:szCs w:val="18"/>
                <w:lang w:eastAsia="en-AU"/>
              </w:rPr>
              <w:t xml:space="preserve"> 27.7 </w:t>
            </w:r>
          </w:p>
        </w:tc>
        <w:tc>
          <w:tcPr>
            <w:tcW w:w="517" w:type="pct"/>
            <w:tcBorders>
              <w:top w:val="nil"/>
              <w:left w:val="nil"/>
              <w:bottom w:val="single" w:sz="4" w:space="0" w:color="auto"/>
              <w:right w:val="single" w:sz="4" w:space="0" w:color="auto"/>
            </w:tcBorders>
            <w:shd w:val="clear" w:color="auto" w:fill="auto"/>
            <w:noWrap/>
            <w:vAlign w:val="bottom"/>
            <w:hideMark/>
          </w:tcPr>
          <w:p w14:paraId="647FEB88" w14:textId="77777777" w:rsidR="009A356E" w:rsidRPr="00C10545" w:rsidRDefault="009A356E" w:rsidP="009A356E">
            <w:pPr>
              <w:jc w:val="center"/>
              <w:rPr>
                <w:color w:val="000000"/>
                <w:sz w:val="18"/>
                <w:szCs w:val="18"/>
                <w:lang w:eastAsia="en-AU"/>
              </w:rPr>
            </w:pPr>
            <w:r w:rsidRPr="00C10545">
              <w:rPr>
                <w:color w:val="000000"/>
                <w:sz w:val="18"/>
                <w:szCs w:val="18"/>
                <w:lang w:eastAsia="en-AU"/>
              </w:rPr>
              <w:t>9.4%</w:t>
            </w:r>
          </w:p>
        </w:tc>
        <w:tc>
          <w:tcPr>
            <w:tcW w:w="558" w:type="pct"/>
            <w:tcBorders>
              <w:top w:val="nil"/>
              <w:left w:val="nil"/>
              <w:bottom w:val="single" w:sz="4" w:space="0" w:color="auto"/>
              <w:right w:val="single" w:sz="4" w:space="0" w:color="auto"/>
            </w:tcBorders>
            <w:shd w:val="clear" w:color="auto" w:fill="auto"/>
            <w:noWrap/>
            <w:vAlign w:val="bottom"/>
            <w:hideMark/>
          </w:tcPr>
          <w:p w14:paraId="1A7BB91E" w14:textId="77777777" w:rsidR="009A356E" w:rsidRPr="00C10545" w:rsidRDefault="009A356E" w:rsidP="009A356E">
            <w:pPr>
              <w:jc w:val="center"/>
              <w:rPr>
                <w:color w:val="000000"/>
                <w:sz w:val="18"/>
                <w:szCs w:val="18"/>
                <w:lang w:eastAsia="en-AU"/>
              </w:rPr>
            </w:pPr>
            <w:r w:rsidRPr="00C10545">
              <w:rPr>
                <w:color w:val="000000"/>
                <w:sz w:val="18"/>
                <w:szCs w:val="18"/>
                <w:lang w:eastAsia="en-AU"/>
              </w:rPr>
              <w:t>2.9%</w:t>
            </w:r>
          </w:p>
        </w:tc>
        <w:tc>
          <w:tcPr>
            <w:tcW w:w="517" w:type="pct"/>
            <w:tcBorders>
              <w:top w:val="nil"/>
              <w:left w:val="nil"/>
              <w:bottom w:val="single" w:sz="4" w:space="0" w:color="auto"/>
              <w:right w:val="single" w:sz="4" w:space="0" w:color="auto"/>
            </w:tcBorders>
            <w:shd w:val="clear" w:color="auto" w:fill="auto"/>
            <w:noWrap/>
            <w:vAlign w:val="bottom"/>
            <w:hideMark/>
          </w:tcPr>
          <w:p w14:paraId="17797F47" w14:textId="77777777" w:rsidR="009A356E" w:rsidRPr="00C10545" w:rsidRDefault="009A356E" w:rsidP="009A356E">
            <w:pPr>
              <w:jc w:val="center"/>
              <w:rPr>
                <w:color w:val="000000"/>
                <w:sz w:val="18"/>
                <w:szCs w:val="18"/>
                <w:lang w:eastAsia="en-AU"/>
              </w:rPr>
            </w:pPr>
            <w:r w:rsidRPr="00C10545">
              <w:rPr>
                <w:color w:val="000000"/>
                <w:sz w:val="18"/>
                <w:szCs w:val="18"/>
                <w:lang w:eastAsia="en-AU"/>
              </w:rPr>
              <w:t>1.6%</w:t>
            </w:r>
          </w:p>
        </w:tc>
        <w:tc>
          <w:tcPr>
            <w:tcW w:w="596" w:type="pct"/>
            <w:tcBorders>
              <w:top w:val="nil"/>
              <w:left w:val="nil"/>
              <w:bottom w:val="single" w:sz="4" w:space="0" w:color="auto"/>
              <w:right w:val="single" w:sz="4" w:space="0" w:color="auto"/>
            </w:tcBorders>
            <w:shd w:val="clear" w:color="auto" w:fill="auto"/>
            <w:noWrap/>
            <w:vAlign w:val="bottom"/>
            <w:hideMark/>
          </w:tcPr>
          <w:p w14:paraId="2B14964B" w14:textId="5CD4B197" w:rsidR="009A356E" w:rsidRPr="00C10545" w:rsidRDefault="009A356E" w:rsidP="009A356E">
            <w:pPr>
              <w:jc w:val="center"/>
              <w:rPr>
                <w:color w:val="000000"/>
                <w:sz w:val="18"/>
                <w:szCs w:val="18"/>
                <w:lang w:eastAsia="en-AU"/>
              </w:rPr>
            </w:pPr>
            <w:r w:rsidRPr="00C10545">
              <w:rPr>
                <w:color w:val="000000"/>
                <w:sz w:val="18"/>
                <w:szCs w:val="18"/>
                <w:lang w:eastAsia="en-AU"/>
              </w:rPr>
              <w:t xml:space="preserve"> 5.3 </w:t>
            </w:r>
          </w:p>
        </w:tc>
        <w:tc>
          <w:tcPr>
            <w:tcW w:w="596" w:type="pct"/>
            <w:tcBorders>
              <w:top w:val="nil"/>
              <w:left w:val="nil"/>
              <w:bottom w:val="single" w:sz="4" w:space="0" w:color="auto"/>
              <w:right w:val="single" w:sz="4" w:space="0" w:color="auto"/>
            </w:tcBorders>
            <w:shd w:val="clear" w:color="auto" w:fill="auto"/>
            <w:noWrap/>
            <w:vAlign w:val="bottom"/>
            <w:hideMark/>
          </w:tcPr>
          <w:p w14:paraId="4FD68A5F" w14:textId="77777777" w:rsidR="009A356E" w:rsidRPr="00C10545" w:rsidRDefault="009A356E" w:rsidP="009A356E">
            <w:pPr>
              <w:jc w:val="right"/>
              <w:rPr>
                <w:color w:val="000000"/>
                <w:sz w:val="18"/>
                <w:szCs w:val="18"/>
                <w:lang w:eastAsia="en-AU"/>
              </w:rPr>
            </w:pPr>
            <w:r w:rsidRPr="00C10545">
              <w:rPr>
                <w:color w:val="000000"/>
                <w:sz w:val="18"/>
                <w:szCs w:val="18"/>
                <w:lang w:eastAsia="en-AU"/>
              </w:rPr>
              <w:t>49%</w:t>
            </w:r>
          </w:p>
        </w:tc>
      </w:tr>
      <w:tr w:rsidR="009A356E" w:rsidRPr="00453D75" w14:paraId="4F82E139" w14:textId="77777777" w:rsidTr="009A356E">
        <w:trPr>
          <w:trHeight w:val="240"/>
        </w:trPr>
        <w:tc>
          <w:tcPr>
            <w:tcW w:w="1143" w:type="pct"/>
            <w:tcBorders>
              <w:top w:val="nil"/>
              <w:left w:val="single" w:sz="4" w:space="0" w:color="auto"/>
              <w:bottom w:val="single" w:sz="4" w:space="0" w:color="auto"/>
              <w:right w:val="single" w:sz="4" w:space="0" w:color="auto"/>
            </w:tcBorders>
            <w:shd w:val="clear" w:color="auto" w:fill="auto"/>
            <w:noWrap/>
            <w:vAlign w:val="bottom"/>
            <w:hideMark/>
          </w:tcPr>
          <w:p w14:paraId="0175B2C9" w14:textId="77777777" w:rsidR="009A356E" w:rsidRPr="00C10545" w:rsidRDefault="009A356E" w:rsidP="009A356E">
            <w:pPr>
              <w:rPr>
                <w:sz w:val="18"/>
                <w:szCs w:val="18"/>
                <w:lang w:eastAsia="en-AU"/>
              </w:rPr>
            </w:pPr>
            <w:r w:rsidRPr="00C10545">
              <w:rPr>
                <w:sz w:val="18"/>
                <w:szCs w:val="18"/>
                <w:lang w:eastAsia="en-AU"/>
              </w:rPr>
              <w:t>Mount Alexander</w:t>
            </w:r>
          </w:p>
        </w:tc>
        <w:tc>
          <w:tcPr>
            <w:tcW w:w="544" w:type="pct"/>
            <w:tcBorders>
              <w:top w:val="nil"/>
              <w:left w:val="nil"/>
              <w:bottom w:val="single" w:sz="4" w:space="0" w:color="auto"/>
              <w:right w:val="single" w:sz="4" w:space="0" w:color="auto"/>
            </w:tcBorders>
            <w:shd w:val="clear" w:color="auto" w:fill="auto"/>
            <w:noWrap/>
            <w:vAlign w:val="bottom"/>
            <w:hideMark/>
          </w:tcPr>
          <w:p w14:paraId="1B588809" w14:textId="40BE5010" w:rsidR="009A356E" w:rsidRPr="00C10545" w:rsidRDefault="009A356E" w:rsidP="009A356E">
            <w:pPr>
              <w:jc w:val="center"/>
              <w:rPr>
                <w:color w:val="000000"/>
                <w:sz w:val="18"/>
                <w:szCs w:val="18"/>
                <w:lang w:eastAsia="en-AU"/>
              </w:rPr>
            </w:pPr>
            <w:r w:rsidRPr="00C10545">
              <w:rPr>
                <w:color w:val="000000"/>
                <w:sz w:val="18"/>
                <w:szCs w:val="18"/>
                <w:lang w:eastAsia="en-AU"/>
              </w:rPr>
              <w:t xml:space="preserve">1.6 </w:t>
            </w:r>
          </w:p>
        </w:tc>
        <w:tc>
          <w:tcPr>
            <w:tcW w:w="530" w:type="pct"/>
            <w:tcBorders>
              <w:top w:val="nil"/>
              <w:left w:val="nil"/>
              <w:bottom w:val="single" w:sz="4" w:space="0" w:color="auto"/>
              <w:right w:val="single" w:sz="4" w:space="0" w:color="auto"/>
            </w:tcBorders>
            <w:shd w:val="clear" w:color="auto" w:fill="auto"/>
            <w:noWrap/>
            <w:vAlign w:val="bottom"/>
            <w:hideMark/>
          </w:tcPr>
          <w:p w14:paraId="2E6791E5" w14:textId="58ABAB60" w:rsidR="009A356E" w:rsidRPr="00C10545" w:rsidRDefault="009A356E" w:rsidP="009A356E">
            <w:pPr>
              <w:jc w:val="center"/>
              <w:rPr>
                <w:color w:val="000000"/>
                <w:sz w:val="18"/>
                <w:szCs w:val="18"/>
                <w:lang w:eastAsia="en-AU"/>
              </w:rPr>
            </w:pPr>
            <w:r w:rsidRPr="00C10545">
              <w:rPr>
                <w:color w:val="000000"/>
                <w:sz w:val="18"/>
                <w:szCs w:val="18"/>
                <w:lang w:eastAsia="en-AU"/>
              </w:rPr>
              <w:t xml:space="preserve"> 16.8 </w:t>
            </w:r>
          </w:p>
        </w:tc>
        <w:tc>
          <w:tcPr>
            <w:tcW w:w="517" w:type="pct"/>
            <w:tcBorders>
              <w:top w:val="nil"/>
              <w:left w:val="nil"/>
              <w:bottom w:val="single" w:sz="4" w:space="0" w:color="auto"/>
              <w:right w:val="single" w:sz="4" w:space="0" w:color="auto"/>
            </w:tcBorders>
            <w:shd w:val="clear" w:color="auto" w:fill="auto"/>
            <w:noWrap/>
            <w:vAlign w:val="bottom"/>
            <w:hideMark/>
          </w:tcPr>
          <w:p w14:paraId="5654CE40" w14:textId="77777777" w:rsidR="009A356E" w:rsidRPr="00C10545" w:rsidRDefault="009A356E" w:rsidP="009A356E">
            <w:pPr>
              <w:jc w:val="center"/>
              <w:rPr>
                <w:color w:val="000000"/>
                <w:sz w:val="18"/>
                <w:szCs w:val="18"/>
                <w:lang w:eastAsia="en-AU"/>
              </w:rPr>
            </w:pPr>
            <w:r w:rsidRPr="00C10545">
              <w:rPr>
                <w:color w:val="000000"/>
                <w:sz w:val="18"/>
                <w:szCs w:val="18"/>
                <w:lang w:eastAsia="en-AU"/>
              </w:rPr>
              <w:t>9.3%</w:t>
            </w:r>
          </w:p>
        </w:tc>
        <w:tc>
          <w:tcPr>
            <w:tcW w:w="558" w:type="pct"/>
            <w:tcBorders>
              <w:top w:val="nil"/>
              <w:left w:val="nil"/>
              <w:bottom w:val="single" w:sz="4" w:space="0" w:color="auto"/>
              <w:right w:val="single" w:sz="4" w:space="0" w:color="auto"/>
            </w:tcBorders>
            <w:shd w:val="clear" w:color="auto" w:fill="auto"/>
            <w:noWrap/>
            <w:vAlign w:val="bottom"/>
            <w:hideMark/>
          </w:tcPr>
          <w:p w14:paraId="0E795D75" w14:textId="77777777" w:rsidR="009A356E" w:rsidRPr="00C10545" w:rsidRDefault="009A356E" w:rsidP="009A356E">
            <w:pPr>
              <w:jc w:val="center"/>
              <w:rPr>
                <w:color w:val="000000"/>
                <w:sz w:val="18"/>
                <w:szCs w:val="18"/>
                <w:lang w:eastAsia="en-AU"/>
              </w:rPr>
            </w:pPr>
            <w:r w:rsidRPr="00C10545">
              <w:rPr>
                <w:color w:val="000000"/>
                <w:sz w:val="18"/>
                <w:szCs w:val="18"/>
                <w:lang w:eastAsia="en-AU"/>
              </w:rPr>
              <w:t>2.9%</w:t>
            </w:r>
          </w:p>
        </w:tc>
        <w:tc>
          <w:tcPr>
            <w:tcW w:w="517" w:type="pct"/>
            <w:tcBorders>
              <w:top w:val="nil"/>
              <w:left w:val="nil"/>
              <w:bottom w:val="single" w:sz="4" w:space="0" w:color="auto"/>
              <w:right w:val="single" w:sz="4" w:space="0" w:color="auto"/>
            </w:tcBorders>
            <w:shd w:val="clear" w:color="auto" w:fill="auto"/>
            <w:noWrap/>
            <w:vAlign w:val="bottom"/>
            <w:hideMark/>
          </w:tcPr>
          <w:p w14:paraId="61031876" w14:textId="77777777" w:rsidR="009A356E" w:rsidRPr="00C10545" w:rsidRDefault="009A356E" w:rsidP="009A356E">
            <w:pPr>
              <w:jc w:val="center"/>
              <w:rPr>
                <w:color w:val="000000"/>
                <w:sz w:val="18"/>
                <w:szCs w:val="18"/>
                <w:lang w:eastAsia="en-AU"/>
              </w:rPr>
            </w:pPr>
            <w:r w:rsidRPr="00C10545">
              <w:rPr>
                <w:color w:val="000000"/>
                <w:sz w:val="18"/>
                <w:szCs w:val="18"/>
                <w:lang w:eastAsia="en-AU"/>
              </w:rPr>
              <w:t>1.6%</w:t>
            </w:r>
          </w:p>
        </w:tc>
        <w:tc>
          <w:tcPr>
            <w:tcW w:w="596" w:type="pct"/>
            <w:tcBorders>
              <w:top w:val="nil"/>
              <w:left w:val="nil"/>
              <w:bottom w:val="single" w:sz="4" w:space="0" w:color="auto"/>
              <w:right w:val="single" w:sz="4" w:space="0" w:color="auto"/>
            </w:tcBorders>
            <w:shd w:val="clear" w:color="auto" w:fill="auto"/>
            <w:noWrap/>
            <w:vAlign w:val="bottom"/>
            <w:hideMark/>
          </w:tcPr>
          <w:p w14:paraId="4ECE413B" w14:textId="67D4134C" w:rsidR="009A356E" w:rsidRPr="00C10545" w:rsidRDefault="009A356E" w:rsidP="009A356E">
            <w:pPr>
              <w:jc w:val="center"/>
              <w:rPr>
                <w:color w:val="000000"/>
                <w:sz w:val="18"/>
                <w:szCs w:val="18"/>
                <w:lang w:eastAsia="en-AU"/>
              </w:rPr>
            </w:pPr>
            <w:r w:rsidRPr="00C10545">
              <w:rPr>
                <w:color w:val="000000"/>
                <w:sz w:val="18"/>
                <w:szCs w:val="18"/>
                <w:lang w:eastAsia="en-AU"/>
              </w:rPr>
              <w:t xml:space="preserve"> 5.7 </w:t>
            </w:r>
          </w:p>
        </w:tc>
        <w:tc>
          <w:tcPr>
            <w:tcW w:w="596" w:type="pct"/>
            <w:tcBorders>
              <w:top w:val="nil"/>
              <w:left w:val="nil"/>
              <w:bottom w:val="single" w:sz="4" w:space="0" w:color="auto"/>
              <w:right w:val="single" w:sz="4" w:space="0" w:color="auto"/>
            </w:tcBorders>
            <w:shd w:val="clear" w:color="auto" w:fill="auto"/>
            <w:noWrap/>
            <w:vAlign w:val="bottom"/>
            <w:hideMark/>
          </w:tcPr>
          <w:p w14:paraId="59A95085" w14:textId="77777777" w:rsidR="009A356E" w:rsidRPr="00C10545" w:rsidRDefault="009A356E" w:rsidP="009A356E">
            <w:pPr>
              <w:jc w:val="right"/>
              <w:rPr>
                <w:color w:val="000000"/>
                <w:sz w:val="18"/>
                <w:szCs w:val="18"/>
                <w:lang w:eastAsia="en-AU"/>
              </w:rPr>
            </w:pPr>
            <w:r w:rsidRPr="00C10545">
              <w:rPr>
                <w:color w:val="000000"/>
                <w:sz w:val="18"/>
                <w:szCs w:val="18"/>
                <w:lang w:eastAsia="en-AU"/>
              </w:rPr>
              <w:t>27%</w:t>
            </w:r>
          </w:p>
        </w:tc>
      </w:tr>
      <w:tr w:rsidR="009A356E" w:rsidRPr="00453D75" w14:paraId="73F545BB" w14:textId="77777777" w:rsidTr="009A356E">
        <w:trPr>
          <w:trHeight w:val="240"/>
        </w:trPr>
        <w:tc>
          <w:tcPr>
            <w:tcW w:w="1143" w:type="pct"/>
            <w:tcBorders>
              <w:top w:val="nil"/>
              <w:left w:val="single" w:sz="4" w:space="0" w:color="auto"/>
              <w:bottom w:val="single" w:sz="4" w:space="0" w:color="auto"/>
              <w:right w:val="single" w:sz="4" w:space="0" w:color="auto"/>
            </w:tcBorders>
            <w:shd w:val="clear" w:color="auto" w:fill="auto"/>
            <w:noWrap/>
            <w:vAlign w:val="bottom"/>
            <w:hideMark/>
          </w:tcPr>
          <w:p w14:paraId="6B07188D" w14:textId="77777777" w:rsidR="009A356E" w:rsidRPr="00C10545" w:rsidRDefault="009A356E" w:rsidP="009A356E">
            <w:pPr>
              <w:rPr>
                <w:sz w:val="18"/>
                <w:szCs w:val="18"/>
                <w:lang w:eastAsia="en-AU"/>
              </w:rPr>
            </w:pPr>
            <w:r w:rsidRPr="00C10545">
              <w:rPr>
                <w:sz w:val="18"/>
                <w:szCs w:val="18"/>
                <w:lang w:eastAsia="en-AU"/>
              </w:rPr>
              <w:lastRenderedPageBreak/>
              <w:t>East Gippsland</w:t>
            </w:r>
          </w:p>
        </w:tc>
        <w:tc>
          <w:tcPr>
            <w:tcW w:w="544" w:type="pct"/>
            <w:tcBorders>
              <w:top w:val="nil"/>
              <w:left w:val="nil"/>
              <w:bottom w:val="single" w:sz="4" w:space="0" w:color="auto"/>
              <w:right w:val="single" w:sz="4" w:space="0" w:color="auto"/>
            </w:tcBorders>
            <w:shd w:val="clear" w:color="auto" w:fill="auto"/>
            <w:noWrap/>
            <w:vAlign w:val="bottom"/>
            <w:hideMark/>
          </w:tcPr>
          <w:p w14:paraId="0A45D90E" w14:textId="312DA457" w:rsidR="009A356E" w:rsidRPr="00C10545" w:rsidRDefault="009A356E" w:rsidP="009A356E">
            <w:pPr>
              <w:jc w:val="center"/>
              <w:rPr>
                <w:color w:val="000000"/>
                <w:sz w:val="18"/>
                <w:szCs w:val="18"/>
                <w:lang w:eastAsia="en-AU"/>
              </w:rPr>
            </w:pPr>
            <w:r w:rsidRPr="00C10545">
              <w:rPr>
                <w:color w:val="000000"/>
                <w:sz w:val="18"/>
                <w:szCs w:val="18"/>
                <w:lang w:eastAsia="en-AU"/>
              </w:rPr>
              <w:t xml:space="preserve">3.8 </w:t>
            </w:r>
          </w:p>
        </w:tc>
        <w:tc>
          <w:tcPr>
            <w:tcW w:w="530" w:type="pct"/>
            <w:tcBorders>
              <w:top w:val="nil"/>
              <w:left w:val="nil"/>
              <w:bottom w:val="single" w:sz="4" w:space="0" w:color="auto"/>
              <w:right w:val="single" w:sz="4" w:space="0" w:color="auto"/>
            </w:tcBorders>
            <w:shd w:val="clear" w:color="auto" w:fill="auto"/>
            <w:noWrap/>
            <w:vAlign w:val="bottom"/>
            <w:hideMark/>
          </w:tcPr>
          <w:p w14:paraId="34A49CEB" w14:textId="5AFB7877" w:rsidR="009A356E" w:rsidRPr="00C10545" w:rsidRDefault="009A356E" w:rsidP="009A356E">
            <w:pPr>
              <w:jc w:val="center"/>
              <w:rPr>
                <w:color w:val="000000"/>
                <w:sz w:val="18"/>
                <w:szCs w:val="18"/>
                <w:lang w:eastAsia="en-AU"/>
              </w:rPr>
            </w:pPr>
            <w:r w:rsidRPr="00C10545">
              <w:rPr>
                <w:color w:val="000000"/>
                <w:sz w:val="18"/>
                <w:szCs w:val="18"/>
                <w:lang w:eastAsia="en-AU"/>
              </w:rPr>
              <w:t xml:space="preserve"> 41.8 </w:t>
            </w:r>
          </w:p>
        </w:tc>
        <w:tc>
          <w:tcPr>
            <w:tcW w:w="517" w:type="pct"/>
            <w:tcBorders>
              <w:top w:val="nil"/>
              <w:left w:val="nil"/>
              <w:bottom w:val="single" w:sz="4" w:space="0" w:color="auto"/>
              <w:right w:val="single" w:sz="4" w:space="0" w:color="auto"/>
            </w:tcBorders>
            <w:shd w:val="clear" w:color="auto" w:fill="auto"/>
            <w:noWrap/>
            <w:vAlign w:val="bottom"/>
            <w:hideMark/>
          </w:tcPr>
          <w:p w14:paraId="2A24AB01" w14:textId="77777777" w:rsidR="009A356E" w:rsidRPr="00C10545" w:rsidRDefault="009A356E" w:rsidP="009A356E">
            <w:pPr>
              <w:jc w:val="center"/>
              <w:rPr>
                <w:color w:val="000000"/>
                <w:sz w:val="18"/>
                <w:szCs w:val="18"/>
                <w:lang w:eastAsia="en-AU"/>
              </w:rPr>
            </w:pPr>
            <w:r w:rsidRPr="00C10545">
              <w:rPr>
                <w:color w:val="000000"/>
                <w:sz w:val="18"/>
                <w:szCs w:val="18"/>
                <w:lang w:eastAsia="en-AU"/>
              </w:rPr>
              <w:t>9.1%</w:t>
            </w:r>
          </w:p>
        </w:tc>
        <w:tc>
          <w:tcPr>
            <w:tcW w:w="558" w:type="pct"/>
            <w:tcBorders>
              <w:top w:val="nil"/>
              <w:left w:val="nil"/>
              <w:bottom w:val="single" w:sz="4" w:space="0" w:color="auto"/>
              <w:right w:val="single" w:sz="4" w:space="0" w:color="auto"/>
            </w:tcBorders>
            <w:shd w:val="clear" w:color="auto" w:fill="auto"/>
            <w:noWrap/>
            <w:vAlign w:val="bottom"/>
            <w:hideMark/>
          </w:tcPr>
          <w:p w14:paraId="5BC111B7" w14:textId="77777777" w:rsidR="009A356E" w:rsidRPr="00C10545" w:rsidRDefault="009A356E" w:rsidP="009A356E">
            <w:pPr>
              <w:jc w:val="center"/>
              <w:rPr>
                <w:color w:val="000000"/>
                <w:sz w:val="18"/>
                <w:szCs w:val="18"/>
                <w:lang w:eastAsia="en-AU"/>
              </w:rPr>
            </w:pPr>
            <w:r w:rsidRPr="00C10545">
              <w:rPr>
                <w:color w:val="000000"/>
                <w:sz w:val="18"/>
                <w:szCs w:val="18"/>
                <w:lang w:eastAsia="en-AU"/>
              </w:rPr>
              <w:t>2.8%</w:t>
            </w:r>
          </w:p>
        </w:tc>
        <w:tc>
          <w:tcPr>
            <w:tcW w:w="517" w:type="pct"/>
            <w:tcBorders>
              <w:top w:val="nil"/>
              <w:left w:val="nil"/>
              <w:bottom w:val="single" w:sz="4" w:space="0" w:color="auto"/>
              <w:right w:val="single" w:sz="4" w:space="0" w:color="auto"/>
            </w:tcBorders>
            <w:shd w:val="clear" w:color="auto" w:fill="auto"/>
            <w:noWrap/>
            <w:vAlign w:val="bottom"/>
            <w:hideMark/>
          </w:tcPr>
          <w:p w14:paraId="18D176D8" w14:textId="77777777" w:rsidR="009A356E" w:rsidRPr="00C10545" w:rsidRDefault="009A356E" w:rsidP="009A356E">
            <w:pPr>
              <w:jc w:val="center"/>
              <w:rPr>
                <w:color w:val="000000"/>
                <w:sz w:val="18"/>
                <w:szCs w:val="18"/>
                <w:lang w:eastAsia="en-AU"/>
              </w:rPr>
            </w:pPr>
            <w:r w:rsidRPr="00C10545">
              <w:rPr>
                <w:color w:val="000000"/>
                <w:sz w:val="18"/>
                <w:szCs w:val="18"/>
                <w:lang w:eastAsia="en-AU"/>
              </w:rPr>
              <w:t>1.6%</w:t>
            </w:r>
          </w:p>
        </w:tc>
        <w:tc>
          <w:tcPr>
            <w:tcW w:w="596" w:type="pct"/>
            <w:tcBorders>
              <w:top w:val="nil"/>
              <w:left w:val="nil"/>
              <w:bottom w:val="single" w:sz="4" w:space="0" w:color="auto"/>
              <w:right w:val="single" w:sz="4" w:space="0" w:color="auto"/>
            </w:tcBorders>
            <w:shd w:val="clear" w:color="auto" w:fill="auto"/>
            <w:noWrap/>
            <w:vAlign w:val="bottom"/>
            <w:hideMark/>
          </w:tcPr>
          <w:p w14:paraId="36C8FC62" w14:textId="4B912652" w:rsidR="009A356E" w:rsidRPr="00C10545" w:rsidRDefault="009A356E" w:rsidP="009A356E">
            <w:pPr>
              <w:jc w:val="center"/>
              <w:rPr>
                <w:color w:val="000000"/>
                <w:sz w:val="18"/>
                <w:szCs w:val="18"/>
                <w:lang w:eastAsia="en-AU"/>
              </w:rPr>
            </w:pPr>
            <w:r w:rsidRPr="00C10545">
              <w:rPr>
                <w:color w:val="000000"/>
                <w:sz w:val="18"/>
                <w:szCs w:val="18"/>
                <w:lang w:eastAsia="en-AU"/>
              </w:rPr>
              <w:t xml:space="preserve"> 13.7 </w:t>
            </w:r>
          </w:p>
        </w:tc>
        <w:tc>
          <w:tcPr>
            <w:tcW w:w="596" w:type="pct"/>
            <w:tcBorders>
              <w:top w:val="nil"/>
              <w:left w:val="nil"/>
              <w:bottom w:val="single" w:sz="4" w:space="0" w:color="auto"/>
              <w:right w:val="single" w:sz="4" w:space="0" w:color="auto"/>
            </w:tcBorders>
            <w:shd w:val="clear" w:color="auto" w:fill="auto"/>
            <w:noWrap/>
            <w:vAlign w:val="bottom"/>
            <w:hideMark/>
          </w:tcPr>
          <w:p w14:paraId="5787131E" w14:textId="77777777" w:rsidR="009A356E" w:rsidRPr="00C10545" w:rsidRDefault="009A356E" w:rsidP="009A356E">
            <w:pPr>
              <w:jc w:val="right"/>
              <w:rPr>
                <w:color w:val="000000"/>
                <w:sz w:val="18"/>
                <w:szCs w:val="18"/>
                <w:lang w:eastAsia="en-AU"/>
              </w:rPr>
            </w:pPr>
            <w:r w:rsidRPr="00C10545">
              <w:rPr>
                <w:color w:val="000000"/>
                <w:sz w:val="18"/>
                <w:szCs w:val="18"/>
                <w:lang w:eastAsia="en-AU"/>
              </w:rPr>
              <w:t>28%</w:t>
            </w:r>
          </w:p>
        </w:tc>
      </w:tr>
      <w:tr w:rsidR="009A356E" w:rsidRPr="00453D75" w14:paraId="3F4591FF" w14:textId="77777777" w:rsidTr="009A356E">
        <w:trPr>
          <w:trHeight w:val="240"/>
        </w:trPr>
        <w:tc>
          <w:tcPr>
            <w:tcW w:w="1143" w:type="pct"/>
            <w:tcBorders>
              <w:top w:val="nil"/>
              <w:left w:val="single" w:sz="4" w:space="0" w:color="auto"/>
              <w:bottom w:val="single" w:sz="4" w:space="0" w:color="auto"/>
              <w:right w:val="single" w:sz="4" w:space="0" w:color="auto"/>
            </w:tcBorders>
            <w:shd w:val="clear" w:color="auto" w:fill="auto"/>
            <w:noWrap/>
            <w:vAlign w:val="bottom"/>
            <w:hideMark/>
          </w:tcPr>
          <w:p w14:paraId="2380FCFD" w14:textId="77777777" w:rsidR="009A356E" w:rsidRPr="00C10545" w:rsidRDefault="009A356E" w:rsidP="009A356E">
            <w:pPr>
              <w:rPr>
                <w:sz w:val="18"/>
                <w:szCs w:val="18"/>
                <w:lang w:eastAsia="en-AU"/>
              </w:rPr>
            </w:pPr>
            <w:r w:rsidRPr="00C10545">
              <w:rPr>
                <w:sz w:val="18"/>
                <w:szCs w:val="18"/>
                <w:lang w:eastAsia="en-AU"/>
              </w:rPr>
              <w:t>Hepburn</w:t>
            </w:r>
          </w:p>
        </w:tc>
        <w:tc>
          <w:tcPr>
            <w:tcW w:w="544" w:type="pct"/>
            <w:tcBorders>
              <w:top w:val="nil"/>
              <w:left w:val="nil"/>
              <w:bottom w:val="single" w:sz="4" w:space="0" w:color="auto"/>
              <w:right w:val="single" w:sz="4" w:space="0" w:color="auto"/>
            </w:tcBorders>
            <w:shd w:val="clear" w:color="auto" w:fill="auto"/>
            <w:noWrap/>
            <w:vAlign w:val="bottom"/>
            <w:hideMark/>
          </w:tcPr>
          <w:p w14:paraId="26763886" w14:textId="5310AFE2" w:rsidR="009A356E" w:rsidRPr="00C10545" w:rsidRDefault="009A356E" w:rsidP="009A356E">
            <w:pPr>
              <w:jc w:val="center"/>
              <w:rPr>
                <w:color w:val="000000"/>
                <w:sz w:val="18"/>
                <w:szCs w:val="18"/>
                <w:lang w:eastAsia="en-AU"/>
              </w:rPr>
            </w:pPr>
            <w:r w:rsidRPr="00C10545">
              <w:rPr>
                <w:color w:val="000000"/>
                <w:sz w:val="18"/>
                <w:szCs w:val="18"/>
                <w:lang w:eastAsia="en-AU"/>
              </w:rPr>
              <w:t xml:space="preserve">1.4 </w:t>
            </w:r>
          </w:p>
        </w:tc>
        <w:tc>
          <w:tcPr>
            <w:tcW w:w="530" w:type="pct"/>
            <w:tcBorders>
              <w:top w:val="nil"/>
              <w:left w:val="nil"/>
              <w:bottom w:val="single" w:sz="4" w:space="0" w:color="auto"/>
              <w:right w:val="single" w:sz="4" w:space="0" w:color="auto"/>
            </w:tcBorders>
            <w:shd w:val="clear" w:color="auto" w:fill="auto"/>
            <w:noWrap/>
            <w:vAlign w:val="bottom"/>
            <w:hideMark/>
          </w:tcPr>
          <w:p w14:paraId="20633284" w14:textId="6C459B89" w:rsidR="009A356E" w:rsidRPr="00C10545" w:rsidRDefault="009A356E" w:rsidP="009A356E">
            <w:pPr>
              <w:jc w:val="center"/>
              <w:rPr>
                <w:color w:val="000000"/>
                <w:sz w:val="18"/>
                <w:szCs w:val="18"/>
                <w:lang w:eastAsia="en-AU"/>
              </w:rPr>
            </w:pPr>
            <w:r w:rsidRPr="00C10545">
              <w:rPr>
                <w:color w:val="000000"/>
                <w:sz w:val="18"/>
                <w:szCs w:val="18"/>
                <w:lang w:eastAsia="en-AU"/>
              </w:rPr>
              <w:t xml:space="preserve"> 15.8 </w:t>
            </w:r>
          </w:p>
        </w:tc>
        <w:tc>
          <w:tcPr>
            <w:tcW w:w="517" w:type="pct"/>
            <w:tcBorders>
              <w:top w:val="nil"/>
              <w:left w:val="nil"/>
              <w:bottom w:val="single" w:sz="4" w:space="0" w:color="auto"/>
              <w:right w:val="single" w:sz="4" w:space="0" w:color="auto"/>
            </w:tcBorders>
            <w:shd w:val="clear" w:color="auto" w:fill="auto"/>
            <w:noWrap/>
            <w:vAlign w:val="bottom"/>
            <w:hideMark/>
          </w:tcPr>
          <w:p w14:paraId="1895B085" w14:textId="77777777" w:rsidR="009A356E" w:rsidRPr="00C10545" w:rsidRDefault="009A356E" w:rsidP="009A356E">
            <w:pPr>
              <w:jc w:val="center"/>
              <w:rPr>
                <w:color w:val="000000"/>
                <w:sz w:val="18"/>
                <w:szCs w:val="18"/>
                <w:lang w:eastAsia="en-AU"/>
              </w:rPr>
            </w:pPr>
            <w:r w:rsidRPr="00C10545">
              <w:rPr>
                <w:color w:val="000000"/>
                <w:sz w:val="18"/>
                <w:szCs w:val="18"/>
                <w:lang w:eastAsia="en-AU"/>
              </w:rPr>
              <w:t>9.0%</w:t>
            </w:r>
          </w:p>
        </w:tc>
        <w:tc>
          <w:tcPr>
            <w:tcW w:w="558" w:type="pct"/>
            <w:tcBorders>
              <w:top w:val="nil"/>
              <w:left w:val="nil"/>
              <w:bottom w:val="single" w:sz="4" w:space="0" w:color="auto"/>
              <w:right w:val="single" w:sz="4" w:space="0" w:color="auto"/>
            </w:tcBorders>
            <w:shd w:val="clear" w:color="auto" w:fill="auto"/>
            <w:noWrap/>
            <w:vAlign w:val="bottom"/>
            <w:hideMark/>
          </w:tcPr>
          <w:p w14:paraId="41A1AB7E" w14:textId="77777777" w:rsidR="009A356E" w:rsidRPr="00C10545" w:rsidRDefault="009A356E" w:rsidP="009A356E">
            <w:pPr>
              <w:jc w:val="center"/>
              <w:rPr>
                <w:color w:val="000000"/>
                <w:sz w:val="18"/>
                <w:szCs w:val="18"/>
                <w:lang w:eastAsia="en-AU"/>
              </w:rPr>
            </w:pPr>
            <w:r w:rsidRPr="00C10545">
              <w:rPr>
                <w:color w:val="000000"/>
                <w:sz w:val="18"/>
                <w:szCs w:val="18"/>
                <w:lang w:eastAsia="en-AU"/>
              </w:rPr>
              <w:t>2.9%</w:t>
            </w:r>
          </w:p>
        </w:tc>
        <w:tc>
          <w:tcPr>
            <w:tcW w:w="517" w:type="pct"/>
            <w:tcBorders>
              <w:top w:val="nil"/>
              <w:left w:val="nil"/>
              <w:bottom w:val="single" w:sz="4" w:space="0" w:color="auto"/>
              <w:right w:val="single" w:sz="4" w:space="0" w:color="auto"/>
            </w:tcBorders>
            <w:shd w:val="clear" w:color="auto" w:fill="auto"/>
            <w:noWrap/>
            <w:vAlign w:val="bottom"/>
            <w:hideMark/>
          </w:tcPr>
          <w:p w14:paraId="723CDE0E" w14:textId="77777777" w:rsidR="009A356E" w:rsidRPr="00C10545" w:rsidRDefault="009A356E" w:rsidP="009A356E">
            <w:pPr>
              <w:jc w:val="center"/>
              <w:rPr>
                <w:color w:val="000000"/>
                <w:sz w:val="18"/>
                <w:szCs w:val="18"/>
                <w:lang w:eastAsia="en-AU"/>
              </w:rPr>
            </w:pPr>
            <w:r w:rsidRPr="00C10545">
              <w:rPr>
                <w:color w:val="000000"/>
                <w:sz w:val="18"/>
                <w:szCs w:val="18"/>
                <w:lang w:eastAsia="en-AU"/>
              </w:rPr>
              <w:t>1.7%</w:t>
            </w:r>
          </w:p>
        </w:tc>
        <w:tc>
          <w:tcPr>
            <w:tcW w:w="596" w:type="pct"/>
            <w:tcBorders>
              <w:top w:val="nil"/>
              <w:left w:val="nil"/>
              <w:bottom w:val="single" w:sz="4" w:space="0" w:color="auto"/>
              <w:right w:val="single" w:sz="4" w:space="0" w:color="auto"/>
            </w:tcBorders>
            <w:shd w:val="clear" w:color="auto" w:fill="auto"/>
            <w:noWrap/>
            <w:vAlign w:val="bottom"/>
            <w:hideMark/>
          </w:tcPr>
          <w:p w14:paraId="241FC4C3" w14:textId="79783CEE" w:rsidR="009A356E" w:rsidRPr="00C10545" w:rsidRDefault="009A356E" w:rsidP="009A356E">
            <w:pPr>
              <w:jc w:val="center"/>
              <w:rPr>
                <w:color w:val="000000"/>
                <w:sz w:val="18"/>
                <w:szCs w:val="18"/>
                <w:lang w:eastAsia="en-AU"/>
              </w:rPr>
            </w:pPr>
            <w:r w:rsidRPr="00C10545">
              <w:rPr>
                <w:color w:val="000000"/>
                <w:sz w:val="18"/>
                <w:szCs w:val="18"/>
                <w:lang w:eastAsia="en-AU"/>
              </w:rPr>
              <w:t xml:space="preserve"> 8.1 </w:t>
            </w:r>
          </w:p>
        </w:tc>
        <w:tc>
          <w:tcPr>
            <w:tcW w:w="596" w:type="pct"/>
            <w:tcBorders>
              <w:top w:val="nil"/>
              <w:left w:val="nil"/>
              <w:bottom w:val="single" w:sz="4" w:space="0" w:color="auto"/>
              <w:right w:val="single" w:sz="4" w:space="0" w:color="auto"/>
            </w:tcBorders>
            <w:shd w:val="clear" w:color="auto" w:fill="auto"/>
            <w:noWrap/>
            <w:vAlign w:val="bottom"/>
            <w:hideMark/>
          </w:tcPr>
          <w:p w14:paraId="71CC221C" w14:textId="77777777" w:rsidR="009A356E" w:rsidRPr="00C10545" w:rsidRDefault="009A356E" w:rsidP="009A356E">
            <w:pPr>
              <w:jc w:val="right"/>
              <w:rPr>
                <w:color w:val="000000"/>
                <w:sz w:val="18"/>
                <w:szCs w:val="18"/>
                <w:lang w:eastAsia="en-AU"/>
              </w:rPr>
            </w:pPr>
            <w:r w:rsidRPr="00C10545">
              <w:rPr>
                <w:color w:val="000000"/>
                <w:sz w:val="18"/>
                <w:szCs w:val="18"/>
                <w:lang w:eastAsia="en-AU"/>
              </w:rPr>
              <w:t>17%</w:t>
            </w:r>
          </w:p>
        </w:tc>
      </w:tr>
      <w:tr w:rsidR="009A356E" w:rsidRPr="00453D75" w14:paraId="16B08FB6" w14:textId="77777777" w:rsidTr="009A356E">
        <w:trPr>
          <w:trHeight w:val="240"/>
        </w:trPr>
        <w:tc>
          <w:tcPr>
            <w:tcW w:w="1143" w:type="pct"/>
            <w:tcBorders>
              <w:top w:val="nil"/>
              <w:left w:val="single" w:sz="4" w:space="0" w:color="auto"/>
              <w:bottom w:val="single" w:sz="4" w:space="0" w:color="auto"/>
              <w:right w:val="single" w:sz="4" w:space="0" w:color="auto"/>
            </w:tcBorders>
            <w:shd w:val="clear" w:color="auto" w:fill="auto"/>
            <w:noWrap/>
            <w:vAlign w:val="bottom"/>
            <w:hideMark/>
          </w:tcPr>
          <w:p w14:paraId="6AFEA6D8" w14:textId="77777777" w:rsidR="009A356E" w:rsidRPr="00C10545" w:rsidRDefault="009A356E" w:rsidP="009A356E">
            <w:pPr>
              <w:rPr>
                <w:sz w:val="18"/>
                <w:szCs w:val="18"/>
                <w:lang w:eastAsia="en-AU"/>
              </w:rPr>
            </w:pPr>
            <w:r w:rsidRPr="00C10545">
              <w:rPr>
                <w:sz w:val="18"/>
                <w:szCs w:val="18"/>
                <w:lang w:eastAsia="en-AU"/>
              </w:rPr>
              <w:t>Mansfield</w:t>
            </w:r>
          </w:p>
        </w:tc>
        <w:tc>
          <w:tcPr>
            <w:tcW w:w="544" w:type="pct"/>
            <w:tcBorders>
              <w:top w:val="nil"/>
              <w:left w:val="nil"/>
              <w:bottom w:val="single" w:sz="4" w:space="0" w:color="auto"/>
              <w:right w:val="single" w:sz="4" w:space="0" w:color="auto"/>
            </w:tcBorders>
            <w:shd w:val="clear" w:color="auto" w:fill="auto"/>
            <w:noWrap/>
            <w:vAlign w:val="bottom"/>
            <w:hideMark/>
          </w:tcPr>
          <w:p w14:paraId="4653AA0C" w14:textId="5762DE86" w:rsidR="009A356E" w:rsidRPr="00C10545" w:rsidRDefault="009A356E" w:rsidP="009A356E">
            <w:pPr>
              <w:jc w:val="center"/>
              <w:rPr>
                <w:color w:val="000000"/>
                <w:sz w:val="18"/>
                <w:szCs w:val="18"/>
                <w:lang w:eastAsia="en-AU"/>
              </w:rPr>
            </w:pPr>
            <w:r w:rsidRPr="00C10545">
              <w:rPr>
                <w:color w:val="000000"/>
                <w:sz w:val="18"/>
                <w:szCs w:val="18"/>
                <w:lang w:eastAsia="en-AU"/>
              </w:rPr>
              <w:t xml:space="preserve">1.0 </w:t>
            </w:r>
          </w:p>
        </w:tc>
        <w:tc>
          <w:tcPr>
            <w:tcW w:w="530" w:type="pct"/>
            <w:tcBorders>
              <w:top w:val="nil"/>
              <w:left w:val="nil"/>
              <w:bottom w:val="single" w:sz="4" w:space="0" w:color="auto"/>
              <w:right w:val="single" w:sz="4" w:space="0" w:color="auto"/>
            </w:tcBorders>
            <w:shd w:val="clear" w:color="auto" w:fill="auto"/>
            <w:noWrap/>
            <w:vAlign w:val="bottom"/>
            <w:hideMark/>
          </w:tcPr>
          <w:p w14:paraId="12AF78B0" w14:textId="712F226D" w:rsidR="009A356E" w:rsidRPr="00C10545" w:rsidRDefault="009A356E" w:rsidP="009A356E">
            <w:pPr>
              <w:jc w:val="center"/>
              <w:rPr>
                <w:color w:val="000000"/>
                <w:sz w:val="18"/>
                <w:szCs w:val="18"/>
                <w:lang w:eastAsia="en-AU"/>
              </w:rPr>
            </w:pPr>
            <w:r w:rsidRPr="00C10545">
              <w:rPr>
                <w:color w:val="000000"/>
                <w:sz w:val="18"/>
                <w:szCs w:val="18"/>
                <w:lang w:eastAsia="en-AU"/>
              </w:rPr>
              <w:t xml:space="preserve"> 10.7 </w:t>
            </w:r>
          </w:p>
        </w:tc>
        <w:tc>
          <w:tcPr>
            <w:tcW w:w="517" w:type="pct"/>
            <w:tcBorders>
              <w:top w:val="nil"/>
              <w:left w:val="nil"/>
              <w:bottom w:val="single" w:sz="4" w:space="0" w:color="auto"/>
              <w:right w:val="single" w:sz="4" w:space="0" w:color="auto"/>
            </w:tcBorders>
            <w:shd w:val="clear" w:color="auto" w:fill="auto"/>
            <w:noWrap/>
            <w:vAlign w:val="bottom"/>
            <w:hideMark/>
          </w:tcPr>
          <w:p w14:paraId="70B5A1BF" w14:textId="77777777" w:rsidR="009A356E" w:rsidRPr="00C10545" w:rsidRDefault="009A356E" w:rsidP="009A356E">
            <w:pPr>
              <w:jc w:val="center"/>
              <w:rPr>
                <w:color w:val="000000"/>
                <w:sz w:val="18"/>
                <w:szCs w:val="18"/>
                <w:lang w:eastAsia="en-AU"/>
              </w:rPr>
            </w:pPr>
            <w:r w:rsidRPr="00C10545">
              <w:rPr>
                <w:color w:val="000000"/>
                <w:sz w:val="18"/>
                <w:szCs w:val="18"/>
                <w:lang w:eastAsia="en-AU"/>
              </w:rPr>
              <w:t>9.0%</w:t>
            </w:r>
          </w:p>
        </w:tc>
        <w:tc>
          <w:tcPr>
            <w:tcW w:w="558" w:type="pct"/>
            <w:tcBorders>
              <w:top w:val="nil"/>
              <w:left w:val="nil"/>
              <w:bottom w:val="single" w:sz="4" w:space="0" w:color="auto"/>
              <w:right w:val="single" w:sz="4" w:space="0" w:color="auto"/>
            </w:tcBorders>
            <w:shd w:val="clear" w:color="auto" w:fill="auto"/>
            <w:noWrap/>
            <w:vAlign w:val="bottom"/>
            <w:hideMark/>
          </w:tcPr>
          <w:p w14:paraId="030B03DE" w14:textId="77777777" w:rsidR="009A356E" w:rsidRPr="00C10545" w:rsidRDefault="009A356E" w:rsidP="009A356E">
            <w:pPr>
              <w:jc w:val="center"/>
              <w:rPr>
                <w:color w:val="000000"/>
                <w:sz w:val="18"/>
                <w:szCs w:val="18"/>
                <w:lang w:eastAsia="en-AU"/>
              </w:rPr>
            </w:pPr>
            <w:r w:rsidRPr="00C10545">
              <w:rPr>
                <w:color w:val="000000"/>
                <w:sz w:val="18"/>
                <w:szCs w:val="18"/>
                <w:lang w:eastAsia="en-AU"/>
              </w:rPr>
              <w:t>2.9%</w:t>
            </w:r>
          </w:p>
        </w:tc>
        <w:tc>
          <w:tcPr>
            <w:tcW w:w="517" w:type="pct"/>
            <w:tcBorders>
              <w:top w:val="nil"/>
              <w:left w:val="nil"/>
              <w:bottom w:val="single" w:sz="4" w:space="0" w:color="auto"/>
              <w:right w:val="single" w:sz="4" w:space="0" w:color="auto"/>
            </w:tcBorders>
            <w:shd w:val="clear" w:color="auto" w:fill="auto"/>
            <w:noWrap/>
            <w:vAlign w:val="bottom"/>
            <w:hideMark/>
          </w:tcPr>
          <w:p w14:paraId="58A00947" w14:textId="77777777" w:rsidR="009A356E" w:rsidRPr="00C10545" w:rsidRDefault="009A356E" w:rsidP="009A356E">
            <w:pPr>
              <w:jc w:val="center"/>
              <w:rPr>
                <w:color w:val="000000"/>
                <w:sz w:val="18"/>
                <w:szCs w:val="18"/>
                <w:lang w:eastAsia="en-AU"/>
              </w:rPr>
            </w:pPr>
            <w:r w:rsidRPr="00C10545">
              <w:rPr>
                <w:color w:val="000000"/>
                <w:sz w:val="18"/>
                <w:szCs w:val="18"/>
                <w:lang w:eastAsia="en-AU"/>
              </w:rPr>
              <w:t>1.7%</w:t>
            </w:r>
          </w:p>
        </w:tc>
        <w:tc>
          <w:tcPr>
            <w:tcW w:w="596" w:type="pct"/>
            <w:tcBorders>
              <w:top w:val="nil"/>
              <w:left w:val="nil"/>
              <w:bottom w:val="single" w:sz="4" w:space="0" w:color="auto"/>
              <w:right w:val="single" w:sz="4" w:space="0" w:color="auto"/>
            </w:tcBorders>
            <w:shd w:val="clear" w:color="auto" w:fill="auto"/>
            <w:noWrap/>
            <w:vAlign w:val="bottom"/>
            <w:hideMark/>
          </w:tcPr>
          <w:p w14:paraId="0E90DA64" w14:textId="4663A45B" w:rsidR="009A356E" w:rsidRPr="00C10545" w:rsidRDefault="009A356E" w:rsidP="009A356E">
            <w:pPr>
              <w:jc w:val="center"/>
              <w:rPr>
                <w:color w:val="000000"/>
                <w:sz w:val="18"/>
                <w:szCs w:val="18"/>
                <w:lang w:eastAsia="en-AU"/>
              </w:rPr>
            </w:pPr>
            <w:r w:rsidRPr="00C10545">
              <w:rPr>
                <w:color w:val="000000"/>
                <w:sz w:val="18"/>
                <w:szCs w:val="18"/>
                <w:lang w:eastAsia="en-AU"/>
              </w:rPr>
              <w:t xml:space="preserve"> 1.2 </w:t>
            </w:r>
          </w:p>
        </w:tc>
        <w:tc>
          <w:tcPr>
            <w:tcW w:w="596" w:type="pct"/>
            <w:tcBorders>
              <w:top w:val="nil"/>
              <w:left w:val="nil"/>
              <w:bottom w:val="single" w:sz="4" w:space="0" w:color="auto"/>
              <w:right w:val="single" w:sz="4" w:space="0" w:color="auto"/>
            </w:tcBorders>
            <w:shd w:val="clear" w:color="auto" w:fill="auto"/>
            <w:noWrap/>
            <w:vAlign w:val="bottom"/>
            <w:hideMark/>
          </w:tcPr>
          <w:p w14:paraId="6616E087" w14:textId="77777777" w:rsidR="009A356E" w:rsidRPr="00C10545" w:rsidRDefault="009A356E" w:rsidP="009A356E">
            <w:pPr>
              <w:jc w:val="right"/>
              <w:rPr>
                <w:color w:val="000000"/>
                <w:sz w:val="18"/>
                <w:szCs w:val="18"/>
                <w:lang w:eastAsia="en-AU"/>
              </w:rPr>
            </w:pPr>
            <w:r w:rsidRPr="00C10545">
              <w:rPr>
                <w:color w:val="000000"/>
                <w:sz w:val="18"/>
                <w:szCs w:val="18"/>
                <w:lang w:eastAsia="en-AU"/>
              </w:rPr>
              <w:t>80%</w:t>
            </w:r>
          </w:p>
        </w:tc>
      </w:tr>
      <w:tr w:rsidR="009A356E" w:rsidRPr="00453D75" w14:paraId="2E43893A" w14:textId="77777777" w:rsidTr="009A356E">
        <w:trPr>
          <w:trHeight w:val="240"/>
        </w:trPr>
        <w:tc>
          <w:tcPr>
            <w:tcW w:w="1143" w:type="pct"/>
            <w:tcBorders>
              <w:top w:val="nil"/>
              <w:left w:val="single" w:sz="4" w:space="0" w:color="auto"/>
              <w:bottom w:val="single" w:sz="4" w:space="0" w:color="auto"/>
              <w:right w:val="single" w:sz="4" w:space="0" w:color="auto"/>
            </w:tcBorders>
            <w:shd w:val="clear" w:color="auto" w:fill="auto"/>
            <w:noWrap/>
            <w:vAlign w:val="bottom"/>
            <w:hideMark/>
          </w:tcPr>
          <w:p w14:paraId="0E85E57A" w14:textId="77777777" w:rsidR="009A356E" w:rsidRPr="00C10545" w:rsidRDefault="009A356E" w:rsidP="009A356E">
            <w:pPr>
              <w:rPr>
                <w:sz w:val="18"/>
                <w:szCs w:val="18"/>
                <w:lang w:eastAsia="en-AU"/>
              </w:rPr>
            </w:pPr>
            <w:r w:rsidRPr="00C10545">
              <w:rPr>
                <w:sz w:val="18"/>
                <w:szCs w:val="18"/>
                <w:lang w:eastAsia="en-AU"/>
              </w:rPr>
              <w:t>Strathbogie</w:t>
            </w:r>
          </w:p>
        </w:tc>
        <w:tc>
          <w:tcPr>
            <w:tcW w:w="544" w:type="pct"/>
            <w:tcBorders>
              <w:top w:val="nil"/>
              <w:left w:val="nil"/>
              <w:bottom w:val="single" w:sz="4" w:space="0" w:color="auto"/>
              <w:right w:val="single" w:sz="4" w:space="0" w:color="auto"/>
            </w:tcBorders>
            <w:shd w:val="clear" w:color="auto" w:fill="auto"/>
            <w:noWrap/>
            <w:vAlign w:val="bottom"/>
            <w:hideMark/>
          </w:tcPr>
          <w:p w14:paraId="41C1412D" w14:textId="503A224F" w:rsidR="009A356E" w:rsidRPr="00C10545" w:rsidRDefault="009A356E" w:rsidP="009A356E">
            <w:pPr>
              <w:jc w:val="center"/>
              <w:rPr>
                <w:color w:val="000000"/>
                <w:sz w:val="18"/>
                <w:szCs w:val="18"/>
                <w:lang w:eastAsia="en-AU"/>
              </w:rPr>
            </w:pPr>
            <w:r w:rsidRPr="00C10545">
              <w:rPr>
                <w:color w:val="000000"/>
                <w:sz w:val="18"/>
                <w:szCs w:val="18"/>
                <w:lang w:eastAsia="en-AU"/>
              </w:rPr>
              <w:t xml:space="preserve">1.3 </w:t>
            </w:r>
          </w:p>
        </w:tc>
        <w:tc>
          <w:tcPr>
            <w:tcW w:w="530" w:type="pct"/>
            <w:tcBorders>
              <w:top w:val="nil"/>
              <w:left w:val="nil"/>
              <w:bottom w:val="single" w:sz="4" w:space="0" w:color="auto"/>
              <w:right w:val="single" w:sz="4" w:space="0" w:color="auto"/>
            </w:tcBorders>
            <w:shd w:val="clear" w:color="auto" w:fill="auto"/>
            <w:noWrap/>
            <w:vAlign w:val="bottom"/>
            <w:hideMark/>
          </w:tcPr>
          <w:p w14:paraId="2DEE3C9B" w14:textId="5146A17C" w:rsidR="009A356E" w:rsidRPr="00C10545" w:rsidRDefault="009A356E" w:rsidP="009A356E">
            <w:pPr>
              <w:jc w:val="center"/>
              <w:rPr>
                <w:color w:val="000000"/>
                <w:sz w:val="18"/>
                <w:szCs w:val="18"/>
                <w:lang w:eastAsia="en-AU"/>
              </w:rPr>
            </w:pPr>
            <w:r w:rsidRPr="00C10545">
              <w:rPr>
                <w:color w:val="000000"/>
                <w:sz w:val="18"/>
                <w:szCs w:val="18"/>
                <w:lang w:eastAsia="en-AU"/>
              </w:rPr>
              <w:t xml:space="preserve"> 14.2 </w:t>
            </w:r>
          </w:p>
        </w:tc>
        <w:tc>
          <w:tcPr>
            <w:tcW w:w="517" w:type="pct"/>
            <w:tcBorders>
              <w:top w:val="nil"/>
              <w:left w:val="nil"/>
              <w:bottom w:val="single" w:sz="4" w:space="0" w:color="auto"/>
              <w:right w:val="single" w:sz="4" w:space="0" w:color="auto"/>
            </w:tcBorders>
            <w:shd w:val="clear" w:color="auto" w:fill="auto"/>
            <w:noWrap/>
            <w:vAlign w:val="bottom"/>
            <w:hideMark/>
          </w:tcPr>
          <w:p w14:paraId="2797D74F" w14:textId="77777777" w:rsidR="009A356E" w:rsidRPr="00C10545" w:rsidRDefault="009A356E" w:rsidP="009A356E">
            <w:pPr>
              <w:jc w:val="center"/>
              <w:rPr>
                <w:color w:val="000000"/>
                <w:sz w:val="18"/>
                <w:szCs w:val="18"/>
                <w:lang w:eastAsia="en-AU"/>
              </w:rPr>
            </w:pPr>
            <w:r w:rsidRPr="00C10545">
              <w:rPr>
                <w:color w:val="000000"/>
                <w:sz w:val="18"/>
                <w:szCs w:val="18"/>
                <w:lang w:eastAsia="en-AU"/>
              </w:rPr>
              <w:t>8.9%</w:t>
            </w:r>
          </w:p>
        </w:tc>
        <w:tc>
          <w:tcPr>
            <w:tcW w:w="558" w:type="pct"/>
            <w:tcBorders>
              <w:top w:val="nil"/>
              <w:left w:val="nil"/>
              <w:bottom w:val="single" w:sz="4" w:space="0" w:color="auto"/>
              <w:right w:val="single" w:sz="4" w:space="0" w:color="auto"/>
            </w:tcBorders>
            <w:shd w:val="clear" w:color="auto" w:fill="auto"/>
            <w:noWrap/>
            <w:vAlign w:val="bottom"/>
            <w:hideMark/>
          </w:tcPr>
          <w:p w14:paraId="072BB2BE" w14:textId="77777777" w:rsidR="009A356E" w:rsidRPr="00C10545" w:rsidRDefault="009A356E" w:rsidP="009A356E">
            <w:pPr>
              <w:jc w:val="center"/>
              <w:rPr>
                <w:color w:val="000000"/>
                <w:sz w:val="18"/>
                <w:szCs w:val="18"/>
                <w:lang w:eastAsia="en-AU"/>
              </w:rPr>
            </w:pPr>
            <w:r w:rsidRPr="00C10545">
              <w:rPr>
                <w:color w:val="000000"/>
                <w:sz w:val="18"/>
                <w:szCs w:val="18"/>
                <w:lang w:eastAsia="en-AU"/>
              </w:rPr>
              <w:t>2.8%</w:t>
            </w:r>
          </w:p>
        </w:tc>
        <w:tc>
          <w:tcPr>
            <w:tcW w:w="517" w:type="pct"/>
            <w:tcBorders>
              <w:top w:val="nil"/>
              <w:left w:val="nil"/>
              <w:bottom w:val="single" w:sz="4" w:space="0" w:color="auto"/>
              <w:right w:val="single" w:sz="4" w:space="0" w:color="auto"/>
            </w:tcBorders>
            <w:shd w:val="clear" w:color="auto" w:fill="auto"/>
            <w:noWrap/>
            <w:vAlign w:val="bottom"/>
            <w:hideMark/>
          </w:tcPr>
          <w:p w14:paraId="3274C99D" w14:textId="77777777" w:rsidR="009A356E" w:rsidRPr="00C10545" w:rsidRDefault="009A356E" w:rsidP="009A356E">
            <w:pPr>
              <w:jc w:val="center"/>
              <w:rPr>
                <w:color w:val="000000"/>
                <w:sz w:val="18"/>
                <w:szCs w:val="18"/>
                <w:lang w:eastAsia="en-AU"/>
              </w:rPr>
            </w:pPr>
            <w:r w:rsidRPr="00C10545">
              <w:rPr>
                <w:color w:val="000000"/>
                <w:sz w:val="18"/>
                <w:szCs w:val="18"/>
                <w:lang w:eastAsia="en-AU"/>
              </w:rPr>
              <w:t>1.6%</w:t>
            </w:r>
          </w:p>
        </w:tc>
        <w:tc>
          <w:tcPr>
            <w:tcW w:w="596" w:type="pct"/>
            <w:tcBorders>
              <w:top w:val="nil"/>
              <w:left w:val="nil"/>
              <w:bottom w:val="single" w:sz="4" w:space="0" w:color="auto"/>
              <w:right w:val="single" w:sz="4" w:space="0" w:color="auto"/>
            </w:tcBorders>
            <w:shd w:val="clear" w:color="auto" w:fill="auto"/>
            <w:noWrap/>
            <w:vAlign w:val="bottom"/>
            <w:hideMark/>
          </w:tcPr>
          <w:p w14:paraId="4567546A" w14:textId="4B17D5ED" w:rsidR="009A356E" w:rsidRPr="00C10545" w:rsidRDefault="009A356E" w:rsidP="009A356E">
            <w:pPr>
              <w:jc w:val="center"/>
              <w:rPr>
                <w:color w:val="000000"/>
                <w:sz w:val="18"/>
                <w:szCs w:val="18"/>
                <w:lang w:eastAsia="en-AU"/>
              </w:rPr>
            </w:pPr>
            <w:r w:rsidRPr="00C10545">
              <w:rPr>
                <w:color w:val="000000"/>
                <w:sz w:val="18"/>
                <w:szCs w:val="18"/>
                <w:lang w:eastAsia="en-AU"/>
              </w:rPr>
              <w:t xml:space="preserve"> 3.3 </w:t>
            </w:r>
          </w:p>
        </w:tc>
        <w:tc>
          <w:tcPr>
            <w:tcW w:w="596" w:type="pct"/>
            <w:tcBorders>
              <w:top w:val="nil"/>
              <w:left w:val="nil"/>
              <w:bottom w:val="single" w:sz="4" w:space="0" w:color="auto"/>
              <w:right w:val="single" w:sz="4" w:space="0" w:color="auto"/>
            </w:tcBorders>
            <w:shd w:val="clear" w:color="auto" w:fill="auto"/>
            <w:noWrap/>
            <w:vAlign w:val="bottom"/>
            <w:hideMark/>
          </w:tcPr>
          <w:p w14:paraId="281E522E" w14:textId="77777777" w:rsidR="009A356E" w:rsidRPr="00C10545" w:rsidRDefault="009A356E" w:rsidP="009A356E">
            <w:pPr>
              <w:jc w:val="right"/>
              <w:rPr>
                <w:color w:val="000000"/>
                <w:sz w:val="18"/>
                <w:szCs w:val="18"/>
                <w:lang w:eastAsia="en-AU"/>
              </w:rPr>
            </w:pPr>
            <w:r w:rsidRPr="00C10545">
              <w:rPr>
                <w:color w:val="000000"/>
                <w:sz w:val="18"/>
                <w:szCs w:val="18"/>
                <w:lang w:eastAsia="en-AU"/>
              </w:rPr>
              <w:t>38%</w:t>
            </w:r>
          </w:p>
        </w:tc>
      </w:tr>
      <w:tr w:rsidR="009A356E" w:rsidRPr="00453D75" w14:paraId="4DB4E9CD" w14:textId="77777777" w:rsidTr="009A356E">
        <w:trPr>
          <w:trHeight w:val="240"/>
        </w:trPr>
        <w:tc>
          <w:tcPr>
            <w:tcW w:w="1143" w:type="pct"/>
            <w:tcBorders>
              <w:top w:val="nil"/>
              <w:left w:val="single" w:sz="4" w:space="0" w:color="auto"/>
              <w:bottom w:val="single" w:sz="4" w:space="0" w:color="auto"/>
              <w:right w:val="single" w:sz="4" w:space="0" w:color="auto"/>
            </w:tcBorders>
            <w:shd w:val="clear" w:color="auto" w:fill="auto"/>
            <w:noWrap/>
            <w:vAlign w:val="bottom"/>
            <w:hideMark/>
          </w:tcPr>
          <w:p w14:paraId="6FF439BA" w14:textId="77777777" w:rsidR="009A356E" w:rsidRPr="00C10545" w:rsidRDefault="009A356E" w:rsidP="009A356E">
            <w:pPr>
              <w:rPr>
                <w:sz w:val="18"/>
                <w:szCs w:val="18"/>
                <w:lang w:eastAsia="en-AU"/>
              </w:rPr>
            </w:pPr>
            <w:r w:rsidRPr="00C10545">
              <w:rPr>
                <w:sz w:val="18"/>
                <w:szCs w:val="18"/>
                <w:lang w:eastAsia="en-AU"/>
              </w:rPr>
              <w:t xml:space="preserve">Baw </w:t>
            </w:r>
            <w:proofErr w:type="spellStart"/>
            <w:r w:rsidRPr="00C10545">
              <w:rPr>
                <w:sz w:val="18"/>
                <w:szCs w:val="18"/>
                <w:lang w:eastAsia="en-AU"/>
              </w:rPr>
              <w:t>Baw</w:t>
            </w:r>
            <w:proofErr w:type="spellEnd"/>
          </w:p>
        </w:tc>
        <w:tc>
          <w:tcPr>
            <w:tcW w:w="544" w:type="pct"/>
            <w:tcBorders>
              <w:top w:val="nil"/>
              <w:left w:val="nil"/>
              <w:bottom w:val="single" w:sz="4" w:space="0" w:color="auto"/>
              <w:right w:val="single" w:sz="4" w:space="0" w:color="auto"/>
            </w:tcBorders>
            <w:shd w:val="clear" w:color="auto" w:fill="auto"/>
            <w:noWrap/>
            <w:vAlign w:val="bottom"/>
            <w:hideMark/>
          </w:tcPr>
          <w:p w14:paraId="0757959A" w14:textId="12B52B51" w:rsidR="009A356E" w:rsidRPr="00C10545" w:rsidRDefault="009A356E" w:rsidP="009A356E">
            <w:pPr>
              <w:jc w:val="center"/>
              <w:rPr>
                <w:color w:val="000000"/>
                <w:sz w:val="18"/>
                <w:szCs w:val="18"/>
                <w:lang w:eastAsia="en-AU"/>
              </w:rPr>
            </w:pPr>
            <w:r w:rsidRPr="00C10545">
              <w:rPr>
                <w:color w:val="000000"/>
                <w:sz w:val="18"/>
                <w:szCs w:val="18"/>
                <w:lang w:eastAsia="en-AU"/>
              </w:rPr>
              <w:t xml:space="preserve">3.4 </w:t>
            </w:r>
          </w:p>
        </w:tc>
        <w:tc>
          <w:tcPr>
            <w:tcW w:w="530" w:type="pct"/>
            <w:tcBorders>
              <w:top w:val="nil"/>
              <w:left w:val="nil"/>
              <w:bottom w:val="single" w:sz="4" w:space="0" w:color="auto"/>
              <w:right w:val="single" w:sz="4" w:space="0" w:color="auto"/>
            </w:tcBorders>
            <w:shd w:val="clear" w:color="auto" w:fill="auto"/>
            <w:noWrap/>
            <w:vAlign w:val="bottom"/>
            <w:hideMark/>
          </w:tcPr>
          <w:p w14:paraId="4612E02E" w14:textId="1EA4E0F3" w:rsidR="009A356E" w:rsidRPr="00C10545" w:rsidRDefault="009A356E" w:rsidP="009A356E">
            <w:pPr>
              <w:jc w:val="center"/>
              <w:rPr>
                <w:color w:val="000000"/>
                <w:sz w:val="18"/>
                <w:szCs w:val="18"/>
                <w:lang w:eastAsia="en-AU"/>
              </w:rPr>
            </w:pPr>
            <w:r w:rsidRPr="00C10545">
              <w:rPr>
                <w:color w:val="000000"/>
                <w:sz w:val="18"/>
                <w:szCs w:val="18"/>
                <w:lang w:eastAsia="en-AU"/>
              </w:rPr>
              <w:t xml:space="preserve"> 41.3 </w:t>
            </w:r>
          </w:p>
        </w:tc>
        <w:tc>
          <w:tcPr>
            <w:tcW w:w="517" w:type="pct"/>
            <w:tcBorders>
              <w:top w:val="nil"/>
              <w:left w:val="nil"/>
              <w:bottom w:val="single" w:sz="4" w:space="0" w:color="auto"/>
              <w:right w:val="single" w:sz="4" w:space="0" w:color="auto"/>
            </w:tcBorders>
            <w:shd w:val="clear" w:color="auto" w:fill="auto"/>
            <w:noWrap/>
            <w:vAlign w:val="bottom"/>
            <w:hideMark/>
          </w:tcPr>
          <w:p w14:paraId="5D2F1721" w14:textId="77777777" w:rsidR="009A356E" w:rsidRPr="00C10545" w:rsidRDefault="009A356E" w:rsidP="009A356E">
            <w:pPr>
              <w:jc w:val="center"/>
              <w:rPr>
                <w:color w:val="000000"/>
                <w:sz w:val="18"/>
                <w:szCs w:val="18"/>
                <w:lang w:eastAsia="en-AU"/>
              </w:rPr>
            </w:pPr>
            <w:r w:rsidRPr="00C10545">
              <w:rPr>
                <w:color w:val="000000"/>
                <w:sz w:val="18"/>
                <w:szCs w:val="18"/>
                <w:lang w:eastAsia="en-AU"/>
              </w:rPr>
              <w:t>8.3%</w:t>
            </w:r>
          </w:p>
        </w:tc>
        <w:tc>
          <w:tcPr>
            <w:tcW w:w="558" w:type="pct"/>
            <w:tcBorders>
              <w:top w:val="nil"/>
              <w:left w:val="nil"/>
              <w:bottom w:val="single" w:sz="4" w:space="0" w:color="auto"/>
              <w:right w:val="single" w:sz="4" w:space="0" w:color="auto"/>
            </w:tcBorders>
            <w:shd w:val="clear" w:color="auto" w:fill="auto"/>
            <w:noWrap/>
            <w:vAlign w:val="bottom"/>
            <w:hideMark/>
          </w:tcPr>
          <w:p w14:paraId="729745B2" w14:textId="77777777" w:rsidR="009A356E" w:rsidRPr="00C10545" w:rsidRDefault="009A356E" w:rsidP="009A356E">
            <w:pPr>
              <w:jc w:val="center"/>
              <w:rPr>
                <w:color w:val="000000"/>
                <w:sz w:val="18"/>
                <w:szCs w:val="18"/>
                <w:lang w:eastAsia="en-AU"/>
              </w:rPr>
            </w:pPr>
            <w:r w:rsidRPr="00C10545">
              <w:rPr>
                <w:color w:val="000000"/>
                <w:sz w:val="18"/>
                <w:szCs w:val="18"/>
                <w:lang w:eastAsia="en-AU"/>
              </w:rPr>
              <w:t>2.6%</w:t>
            </w:r>
          </w:p>
        </w:tc>
        <w:tc>
          <w:tcPr>
            <w:tcW w:w="517" w:type="pct"/>
            <w:tcBorders>
              <w:top w:val="nil"/>
              <w:left w:val="nil"/>
              <w:bottom w:val="single" w:sz="4" w:space="0" w:color="auto"/>
              <w:right w:val="single" w:sz="4" w:space="0" w:color="auto"/>
            </w:tcBorders>
            <w:shd w:val="clear" w:color="auto" w:fill="auto"/>
            <w:noWrap/>
            <w:vAlign w:val="bottom"/>
            <w:hideMark/>
          </w:tcPr>
          <w:p w14:paraId="3059AF68" w14:textId="77777777" w:rsidR="009A356E" w:rsidRPr="00C10545" w:rsidRDefault="009A356E" w:rsidP="009A356E">
            <w:pPr>
              <w:jc w:val="center"/>
              <w:rPr>
                <w:color w:val="000000"/>
                <w:sz w:val="18"/>
                <w:szCs w:val="18"/>
                <w:lang w:eastAsia="en-AU"/>
              </w:rPr>
            </w:pPr>
            <w:r w:rsidRPr="00C10545">
              <w:rPr>
                <w:color w:val="000000"/>
                <w:sz w:val="18"/>
                <w:szCs w:val="18"/>
                <w:lang w:eastAsia="en-AU"/>
              </w:rPr>
              <w:t>1.5%</w:t>
            </w:r>
          </w:p>
        </w:tc>
        <w:tc>
          <w:tcPr>
            <w:tcW w:w="596" w:type="pct"/>
            <w:tcBorders>
              <w:top w:val="nil"/>
              <w:left w:val="nil"/>
              <w:bottom w:val="single" w:sz="4" w:space="0" w:color="auto"/>
              <w:right w:val="single" w:sz="4" w:space="0" w:color="auto"/>
            </w:tcBorders>
            <w:shd w:val="clear" w:color="auto" w:fill="auto"/>
            <w:noWrap/>
            <w:vAlign w:val="bottom"/>
            <w:hideMark/>
          </w:tcPr>
          <w:p w14:paraId="7BAAF847" w14:textId="7E83F529" w:rsidR="009A356E" w:rsidRPr="00C10545" w:rsidRDefault="009A356E" w:rsidP="009A356E">
            <w:pPr>
              <w:jc w:val="center"/>
              <w:rPr>
                <w:color w:val="000000"/>
                <w:sz w:val="18"/>
                <w:szCs w:val="18"/>
                <w:lang w:eastAsia="en-AU"/>
              </w:rPr>
            </w:pPr>
            <w:r w:rsidRPr="00C10545">
              <w:rPr>
                <w:color w:val="000000"/>
                <w:sz w:val="18"/>
                <w:szCs w:val="18"/>
                <w:lang w:eastAsia="en-AU"/>
              </w:rPr>
              <w:t xml:space="preserve"> 6.9 </w:t>
            </w:r>
          </w:p>
        </w:tc>
        <w:tc>
          <w:tcPr>
            <w:tcW w:w="596" w:type="pct"/>
            <w:tcBorders>
              <w:top w:val="nil"/>
              <w:left w:val="nil"/>
              <w:bottom w:val="single" w:sz="4" w:space="0" w:color="auto"/>
              <w:right w:val="single" w:sz="4" w:space="0" w:color="auto"/>
            </w:tcBorders>
            <w:shd w:val="clear" w:color="auto" w:fill="auto"/>
            <w:noWrap/>
            <w:vAlign w:val="bottom"/>
            <w:hideMark/>
          </w:tcPr>
          <w:p w14:paraId="6903B147" w14:textId="77777777" w:rsidR="009A356E" w:rsidRPr="00C10545" w:rsidRDefault="009A356E" w:rsidP="009A356E">
            <w:pPr>
              <w:jc w:val="right"/>
              <w:rPr>
                <w:color w:val="000000"/>
                <w:sz w:val="18"/>
                <w:szCs w:val="18"/>
                <w:lang w:eastAsia="en-AU"/>
              </w:rPr>
            </w:pPr>
            <w:r w:rsidRPr="00C10545">
              <w:rPr>
                <w:color w:val="000000"/>
                <w:sz w:val="18"/>
                <w:szCs w:val="18"/>
                <w:lang w:eastAsia="en-AU"/>
              </w:rPr>
              <w:t>50%</w:t>
            </w:r>
          </w:p>
        </w:tc>
      </w:tr>
      <w:tr w:rsidR="009A356E" w:rsidRPr="00453D75" w14:paraId="7D57BB8B" w14:textId="77777777" w:rsidTr="009A356E">
        <w:trPr>
          <w:trHeight w:val="240"/>
        </w:trPr>
        <w:tc>
          <w:tcPr>
            <w:tcW w:w="1143" w:type="pct"/>
            <w:tcBorders>
              <w:top w:val="nil"/>
              <w:left w:val="single" w:sz="4" w:space="0" w:color="auto"/>
              <w:bottom w:val="single" w:sz="4" w:space="0" w:color="auto"/>
              <w:right w:val="single" w:sz="4" w:space="0" w:color="auto"/>
            </w:tcBorders>
            <w:shd w:val="clear" w:color="auto" w:fill="auto"/>
            <w:noWrap/>
            <w:vAlign w:val="bottom"/>
            <w:hideMark/>
          </w:tcPr>
          <w:p w14:paraId="307A44BA" w14:textId="77777777" w:rsidR="009A356E" w:rsidRPr="00C10545" w:rsidRDefault="009A356E" w:rsidP="009A356E">
            <w:pPr>
              <w:rPr>
                <w:sz w:val="18"/>
                <w:szCs w:val="18"/>
                <w:lang w:eastAsia="en-AU"/>
              </w:rPr>
            </w:pPr>
            <w:r w:rsidRPr="00C10545">
              <w:rPr>
                <w:sz w:val="18"/>
                <w:szCs w:val="18"/>
                <w:lang w:eastAsia="en-AU"/>
              </w:rPr>
              <w:t>Surf Coast</w:t>
            </w:r>
          </w:p>
        </w:tc>
        <w:tc>
          <w:tcPr>
            <w:tcW w:w="544" w:type="pct"/>
            <w:tcBorders>
              <w:top w:val="nil"/>
              <w:left w:val="nil"/>
              <w:bottom w:val="single" w:sz="4" w:space="0" w:color="auto"/>
              <w:right w:val="single" w:sz="4" w:space="0" w:color="auto"/>
            </w:tcBorders>
            <w:shd w:val="clear" w:color="auto" w:fill="auto"/>
            <w:noWrap/>
            <w:vAlign w:val="bottom"/>
            <w:hideMark/>
          </w:tcPr>
          <w:p w14:paraId="5DAB5295" w14:textId="32777A4C" w:rsidR="009A356E" w:rsidRPr="00C10545" w:rsidRDefault="009A356E" w:rsidP="009A356E">
            <w:pPr>
              <w:jc w:val="center"/>
              <w:rPr>
                <w:color w:val="000000"/>
                <w:sz w:val="18"/>
                <w:szCs w:val="18"/>
                <w:lang w:eastAsia="en-AU"/>
              </w:rPr>
            </w:pPr>
            <w:r w:rsidRPr="00C10545">
              <w:rPr>
                <w:color w:val="000000"/>
                <w:sz w:val="18"/>
                <w:szCs w:val="18"/>
                <w:lang w:eastAsia="en-AU"/>
              </w:rPr>
              <w:t xml:space="preserve">2.5 </w:t>
            </w:r>
          </w:p>
        </w:tc>
        <w:tc>
          <w:tcPr>
            <w:tcW w:w="530" w:type="pct"/>
            <w:tcBorders>
              <w:top w:val="nil"/>
              <w:left w:val="nil"/>
              <w:bottom w:val="single" w:sz="4" w:space="0" w:color="auto"/>
              <w:right w:val="single" w:sz="4" w:space="0" w:color="auto"/>
            </w:tcBorders>
            <w:shd w:val="clear" w:color="auto" w:fill="auto"/>
            <w:noWrap/>
            <w:vAlign w:val="bottom"/>
            <w:hideMark/>
          </w:tcPr>
          <w:p w14:paraId="108C151E" w14:textId="31A19E74" w:rsidR="009A356E" w:rsidRPr="00C10545" w:rsidRDefault="009A356E" w:rsidP="009A356E">
            <w:pPr>
              <w:jc w:val="center"/>
              <w:rPr>
                <w:color w:val="000000"/>
                <w:sz w:val="18"/>
                <w:szCs w:val="18"/>
                <w:lang w:eastAsia="en-AU"/>
              </w:rPr>
            </w:pPr>
            <w:r w:rsidRPr="00C10545">
              <w:rPr>
                <w:color w:val="000000"/>
                <w:sz w:val="18"/>
                <w:szCs w:val="18"/>
                <w:lang w:eastAsia="en-AU"/>
              </w:rPr>
              <w:t xml:space="preserve"> 37.8 </w:t>
            </w:r>
          </w:p>
        </w:tc>
        <w:tc>
          <w:tcPr>
            <w:tcW w:w="517" w:type="pct"/>
            <w:tcBorders>
              <w:top w:val="nil"/>
              <w:left w:val="nil"/>
              <w:bottom w:val="single" w:sz="4" w:space="0" w:color="auto"/>
              <w:right w:val="single" w:sz="4" w:space="0" w:color="auto"/>
            </w:tcBorders>
            <w:shd w:val="clear" w:color="auto" w:fill="auto"/>
            <w:noWrap/>
            <w:vAlign w:val="bottom"/>
            <w:hideMark/>
          </w:tcPr>
          <w:p w14:paraId="6912E475" w14:textId="77777777" w:rsidR="009A356E" w:rsidRPr="00C10545" w:rsidRDefault="009A356E" w:rsidP="009A356E">
            <w:pPr>
              <w:jc w:val="center"/>
              <w:rPr>
                <w:color w:val="000000"/>
                <w:sz w:val="18"/>
                <w:szCs w:val="18"/>
                <w:lang w:eastAsia="en-AU"/>
              </w:rPr>
            </w:pPr>
            <w:r w:rsidRPr="00C10545">
              <w:rPr>
                <w:color w:val="000000"/>
                <w:sz w:val="18"/>
                <w:szCs w:val="18"/>
                <w:lang w:eastAsia="en-AU"/>
              </w:rPr>
              <w:t>6.7%</w:t>
            </w:r>
          </w:p>
        </w:tc>
        <w:tc>
          <w:tcPr>
            <w:tcW w:w="558" w:type="pct"/>
            <w:tcBorders>
              <w:top w:val="nil"/>
              <w:left w:val="nil"/>
              <w:bottom w:val="single" w:sz="4" w:space="0" w:color="auto"/>
              <w:right w:val="single" w:sz="4" w:space="0" w:color="auto"/>
            </w:tcBorders>
            <w:shd w:val="clear" w:color="auto" w:fill="auto"/>
            <w:noWrap/>
            <w:vAlign w:val="bottom"/>
            <w:hideMark/>
          </w:tcPr>
          <w:p w14:paraId="14D33E10" w14:textId="77777777" w:rsidR="009A356E" w:rsidRPr="00C10545" w:rsidRDefault="009A356E" w:rsidP="009A356E">
            <w:pPr>
              <w:jc w:val="center"/>
              <w:rPr>
                <w:color w:val="000000"/>
                <w:sz w:val="18"/>
                <w:szCs w:val="18"/>
                <w:lang w:eastAsia="en-AU"/>
              </w:rPr>
            </w:pPr>
            <w:r w:rsidRPr="00C10545">
              <w:rPr>
                <w:color w:val="000000"/>
                <w:sz w:val="18"/>
                <w:szCs w:val="18"/>
                <w:lang w:eastAsia="en-AU"/>
              </w:rPr>
              <w:t>2.1%</w:t>
            </w:r>
          </w:p>
        </w:tc>
        <w:tc>
          <w:tcPr>
            <w:tcW w:w="517" w:type="pct"/>
            <w:tcBorders>
              <w:top w:val="nil"/>
              <w:left w:val="nil"/>
              <w:bottom w:val="single" w:sz="4" w:space="0" w:color="auto"/>
              <w:right w:val="single" w:sz="4" w:space="0" w:color="auto"/>
            </w:tcBorders>
            <w:shd w:val="clear" w:color="auto" w:fill="auto"/>
            <w:noWrap/>
            <w:vAlign w:val="bottom"/>
            <w:hideMark/>
          </w:tcPr>
          <w:p w14:paraId="0700B253" w14:textId="77777777" w:rsidR="009A356E" w:rsidRPr="00C10545" w:rsidRDefault="009A356E" w:rsidP="009A356E">
            <w:pPr>
              <w:jc w:val="center"/>
              <w:rPr>
                <w:color w:val="000000"/>
                <w:sz w:val="18"/>
                <w:szCs w:val="18"/>
                <w:lang w:eastAsia="en-AU"/>
              </w:rPr>
            </w:pPr>
            <w:r w:rsidRPr="00C10545">
              <w:rPr>
                <w:color w:val="000000"/>
                <w:sz w:val="18"/>
                <w:szCs w:val="18"/>
                <w:lang w:eastAsia="en-AU"/>
              </w:rPr>
              <w:t>1.2%</w:t>
            </w:r>
          </w:p>
        </w:tc>
        <w:tc>
          <w:tcPr>
            <w:tcW w:w="596" w:type="pct"/>
            <w:tcBorders>
              <w:top w:val="nil"/>
              <w:left w:val="nil"/>
              <w:bottom w:val="single" w:sz="4" w:space="0" w:color="auto"/>
              <w:right w:val="single" w:sz="4" w:space="0" w:color="auto"/>
            </w:tcBorders>
            <w:shd w:val="clear" w:color="auto" w:fill="auto"/>
            <w:noWrap/>
            <w:vAlign w:val="bottom"/>
            <w:hideMark/>
          </w:tcPr>
          <w:p w14:paraId="40C5CAB5" w14:textId="3442099D" w:rsidR="009A356E" w:rsidRPr="00C10545" w:rsidRDefault="009A356E" w:rsidP="009A356E">
            <w:pPr>
              <w:jc w:val="center"/>
              <w:rPr>
                <w:color w:val="000000"/>
                <w:sz w:val="18"/>
                <w:szCs w:val="18"/>
                <w:lang w:eastAsia="en-AU"/>
              </w:rPr>
            </w:pPr>
            <w:r w:rsidRPr="00C10545">
              <w:rPr>
                <w:color w:val="000000"/>
                <w:sz w:val="18"/>
                <w:szCs w:val="18"/>
                <w:lang w:eastAsia="en-AU"/>
              </w:rPr>
              <w:t xml:space="preserve"> 4.7 </w:t>
            </w:r>
          </w:p>
        </w:tc>
        <w:tc>
          <w:tcPr>
            <w:tcW w:w="596" w:type="pct"/>
            <w:tcBorders>
              <w:top w:val="nil"/>
              <w:left w:val="nil"/>
              <w:bottom w:val="single" w:sz="4" w:space="0" w:color="auto"/>
              <w:right w:val="single" w:sz="4" w:space="0" w:color="auto"/>
            </w:tcBorders>
            <w:shd w:val="clear" w:color="auto" w:fill="auto"/>
            <w:noWrap/>
            <w:vAlign w:val="bottom"/>
            <w:hideMark/>
          </w:tcPr>
          <w:p w14:paraId="7EFE5033" w14:textId="77777777" w:rsidR="009A356E" w:rsidRPr="00C10545" w:rsidRDefault="009A356E" w:rsidP="009A356E">
            <w:pPr>
              <w:jc w:val="right"/>
              <w:rPr>
                <w:color w:val="000000"/>
                <w:sz w:val="18"/>
                <w:szCs w:val="18"/>
                <w:lang w:eastAsia="en-AU"/>
              </w:rPr>
            </w:pPr>
            <w:r w:rsidRPr="00C10545">
              <w:rPr>
                <w:color w:val="000000"/>
                <w:sz w:val="18"/>
                <w:szCs w:val="18"/>
                <w:lang w:eastAsia="en-AU"/>
              </w:rPr>
              <w:t>54%</w:t>
            </w:r>
          </w:p>
        </w:tc>
      </w:tr>
      <w:tr w:rsidR="009A356E" w:rsidRPr="00453D75" w14:paraId="72BAF83E" w14:textId="77777777" w:rsidTr="009A356E">
        <w:trPr>
          <w:trHeight w:val="240"/>
        </w:trPr>
        <w:tc>
          <w:tcPr>
            <w:tcW w:w="1143" w:type="pct"/>
            <w:tcBorders>
              <w:top w:val="nil"/>
              <w:left w:val="single" w:sz="4" w:space="0" w:color="auto"/>
              <w:bottom w:val="single" w:sz="4" w:space="0" w:color="auto"/>
              <w:right w:val="single" w:sz="4" w:space="0" w:color="auto"/>
            </w:tcBorders>
            <w:shd w:val="clear" w:color="auto" w:fill="auto"/>
            <w:noWrap/>
            <w:vAlign w:val="bottom"/>
            <w:hideMark/>
          </w:tcPr>
          <w:p w14:paraId="29C2CFD7" w14:textId="77777777" w:rsidR="009A356E" w:rsidRPr="00C10545" w:rsidRDefault="009A356E" w:rsidP="009A356E">
            <w:pPr>
              <w:rPr>
                <w:sz w:val="18"/>
                <w:szCs w:val="18"/>
                <w:lang w:eastAsia="en-AU"/>
              </w:rPr>
            </w:pPr>
            <w:r w:rsidRPr="00C10545">
              <w:rPr>
                <w:sz w:val="18"/>
                <w:szCs w:val="18"/>
                <w:lang w:eastAsia="en-AU"/>
              </w:rPr>
              <w:t>Moira</w:t>
            </w:r>
          </w:p>
        </w:tc>
        <w:tc>
          <w:tcPr>
            <w:tcW w:w="544" w:type="pct"/>
            <w:tcBorders>
              <w:top w:val="nil"/>
              <w:left w:val="nil"/>
              <w:bottom w:val="single" w:sz="4" w:space="0" w:color="auto"/>
              <w:right w:val="single" w:sz="4" w:space="0" w:color="auto"/>
            </w:tcBorders>
            <w:shd w:val="clear" w:color="auto" w:fill="auto"/>
            <w:noWrap/>
            <w:vAlign w:val="bottom"/>
            <w:hideMark/>
          </w:tcPr>
          <w:p w14:paraId="31AC26D3" w14:textId="616C8910" w:rsidR="009A356E" w:rsidRPr="00C10545" w:rsidRDefault="009A356E" w:rsidP="009A356E">
            <w:pPr>
              <w:jc w:val="center"/>
              <w:rPr>
                <w:color w:val="000000"/>
                <w:sz w:val="18"/>
                <w:szCs w:val="18"/>
                <w:lang w:eastAsia="en-AU"/>
              </w:rPr>
            </w:pPr>
            <w:r w:rsidRPr="00C10545">
              <w:rPr>
                <w:color w:val="000000"/>
                <w:sz w:val="18"/>
                <w:szCs w:val="18"/>
                <w:lang w:eastAsia="en-AU"/>
              </w:rPr>
              <w:t xml:space="preserve">1.7 </w:t>
            </w:r>
          </w:p>
        </w:tc>
        <w:tc>
          <w:tcPr>
            <w:tcW w:w="530" w:type="pct"/>
            <w:tcBorders>
              <w:top w:val="nil"/>
              <w:left w:val="nil"/>
              <w:bottom w:val="single" w:sz="4" w:space="0" w:color="auto"/>
              <w:right w:val="single" w:sz="4" w:space="0" w:color="auto"/>
            </w:tcBorders>
            <w:shd w:val="clear" w:color="auto" w:fill="auto"/>
            <w:noWrap/>
            <w:vAlign w:val="bottom"/>
            <w:hideMark/>
          </w:tcPr>
          <w:p w14:paraId="345A3D93" w14:textId="7134B478" w:rsidR="009A356E" w:rsidRPr="00C10545" w:rsidRDefault="009A356E" w:rsidP="009A356E">
            <w:pPr>
              <w:jc w:val="center"/>
              <w:rPr>
                <w:color w:val="000000"/>
                <w:sz w:val="18"/>
                <w:szCs w:val="18"/>
                <w:lang w:eastAsia="en-AU"/>
              </w:rPr>
            </w:pPr>
            <w:r w:rsidRPr="00C10545">
              <w:rPr>
                <w:color w:val="000000"/>
                <w:sz w:val="18"/>
                <w:szCs w:val="18"/>
                <w:lang w:eastAsia="en-AU"/>
              </w:rPr>
              <w:t xml:space="preserve"> 27.7 </w:t>
            </w:r>
          </w:p>
        </w:tc>
        <w:tc>
          <w:tcPr>
            <w:tcW w:w="517" w:type="pct"/>
            <w:tcBorders>
              <w:top w:val="nil"/>
              <w:left w:val="nil"/>
              <w:bottom w:val="single" w:sz="4" w:space="0" w:color="auto"/>
              <w:right w:val="single" w:sz="4" w:space="0" w:color="auto"/>
            </w:tcBorders>
            <w:shd w:val="clear" w:color="auto" w:fill="auto"/>
            <w:noWrap/>
            <w:vAlign w:val="bottom"/>
            <w:hideMark/>
          </w:tcPr>
          <w:p w14:paraId="04F910D7" w14:textId="77777777" w:rsidR="009A356E" w:rsidRPr="00C10545" w:rsidRDefault="009A356E" w:rsidP="009A356E">
            <w:pPr>
              <w:jc w:val="center"/>
              <w:rPr>
                <w:color w:val="000000"/>
                <w:sz w:val="18"/>
                <w:szCs w:val="18"/>
                <w:lang w:eastAsia="en-AU"/>
              </w:rPr>
            </w:pPr>
            <w:r w:rsidRPr="00C10545">
              <w:rPr>
                <w:color w:val="000000"/>
                <w:sz w:val="18"/>
                <w:szCs w:val="18"/>
                <w:lang w:eastAsia="en-AU"/>
              </w:rPr>
              <w:t>6.0%</w:t>
            </w:r>
          </w:p>
        </w:tc>
        <w:tc>
          <w:tcPr>
            <w:tcW w:w="558" w:type="pct"/>
            <w:tcBorders>
              <w:top w:val="nil"/>
              <w:left w:val="nil"/>
              <w:bottom w:val="single" w:sz="4" w:space="0" w:color="auto"/>
              <w:right w:val="single" w:sz="4" w:space="0" w:color="auto"/>
            </w:tcBorders>
            <w:shd w:val="clear" w:color="auto" w:fill="auto"/>
            <w:noWrap/>
            <w:vAlign w:val="bottom"/>
            <w:hideMark/>
          </w:tcPr>
          <w:p w14:paraId="6207B2D0" w14:textId="77777777" w:rsidR="009A356E" w:rsidRPr="00C10545" w:rsidRDefault="009A356E" w:rsidP="009A356E">
            <w:pPr>
              <w:jc w:val="center"/>
              <w:rPr>
                <w:color w:val="000000"/>
                <w:sz w:val="18"/>
                <w:szCs w:val="18"/>
                <w:lang w:eastAsia="en-AU"/>
              </w:rPr>
            </w:pPr>
            <w:r w:rsidRPr="00C10545">
              <w:rPr>
                <w:color w:val="000000"/>
                <w:sz w:val="18"/>
                <w:szCs w:val="18"/>
                <w:lang w:eastAsia="en-AU"/>
              </w:rPr>
              <w:t>1.9%</w:t>
            </w:r>
          </w:p>
        </w:tc>
        <w:tc>
          <w:tcPr>
            <w:tcW w:w="517" w:type="pct"/>
            <w:tcBorders>
              <w:top w:val="nil"/>
              <w:left w:val="nil"/>
              <w:bottom w:val="single" w:sz="4" w:space="0" w:color="auto"/>
              <w:right w:val="single" w:sz="4" w:space="0" w:color="auto"/>
            </w:tcBorders>
            <w:shd w:val="clear" w:color="auto" w:fill="auto"/>
            <w:noWrap/>
            <w:vAlign w:val="bottom"/>
            <w:hideMark/>
          </w:tcPr>
          <w:p w14:paraId="5C63C3EE" w14:textId="77777777" w:rsidR="009A356E" w:rsidRPr="00C10545" w:rsidRDefault="009A356E" w:rsidP="009A356E">
            <w:pPr>
              <w:jc w:val="center"/>
              <w:rPr>
                <w:color w:val="000000"/>
                <w:sz w:val="18"/>
                <w:szCs w:val="18"/>
                <w:lang w:eastAsia="en-AU"/>
              </w:rPr>
            </w:pPr>
            <w:r w:rsidRPr="00C10545">
              <w:rPr>
                <w:color w:val="000000"/>
                <w:sz w:val="18"/>
                <w:szCs w:val="18"/>
                <w:lang w:eastAsia="en-AU"/>
              </w:rPr>
              <w:t>1.1%</w:t>
            </w:r>
          </w:p>
        </w:tc>
        <w:tc>
          <w:tcPr>
            <w:tcW w:w="596" w:type="pct"/>
            <w:tcBorders>
              <w:top w:val="nil"/>
              <w:left w:val="nil"/>
              <w:bottom w:val="single" w:sz="4" w:space="0" w:color="auto"/>
              <w:right w:val="single" w:sz="4" w:space="0" w:color="auto"/>
            </w:tcBorders>
            <w:shd w:val="clear" w:color="auto" w:fill="auto"/>
            <w:noWrap/>
            <w:vAlign w:val="bottom"/>
            <w:hideMark/>
          </w:tcPr>
          <w:p w14:paraId="7A6070A7" w14:textId="60ABCC5F" w:rsidR="009A356E" w:rsidRPr="00C10545" w:rsidRDefault="009A356E" w:rsidP="009A356E">
            <w:pPr>
              <w:jc w:val="center"/>
              <w:rPr>
                <w:color w:val="000000"/>
                <w:sz w:val="18"/>
                <w:szCs w:val="18"/>
                <w:lang w:eastAsia="en-AU"/>
              </w:rPr>
            </w:pPr>
            <w:r w:rsidRPr="00C10545">
              <w:rPr>
                <w:color w:val="000000"/>
                <w:sz w:val="18"/>
                <w:szCs w:val="18"/>
                <w:lang w:eastAsia="en-AU"/>
              </w:rPr>
              <w:t xml:space="preserve"> 5.1 </w:t>
            </w:r>
          </w:p>
        </w:tc>
        <w:tc>
          <w:tcPr>
            <w:tcW w:w="596" w:type="pct"/>
            <w:tcBorders>
              <w:top w:val="nil"/>
              <w:left w:val="nil"/>
              <w:bottom w:val="single" w:sz="4" w:space="0" w:color="auto"/>
              <w:right w:val="single" w:sz="4" w:space="0" w:color="auto"/>
            </w:tcBorders>
            <w:shd w:val="clear" w:color="auto" w:fill="auto"/>
            <w:noWrap/>
            <w:vAlign w:val="bottom"/>
            <w:hideMark/>
          </w:tcPr>
          <w:p w14:paraId="60CEA5C9" w14:textId="77777777" w:rsidR="009A356E" w:rsidRPr="00C10545" w:rsidRDefault="009A356E" w:rsidP="009A356E">
            <w:pPr>
              <w:jc w:val="right"/>
              <w:rPr>
                <w:color w:val="000000"/>
                <w:sz w:val="18"/>
                <w:szCs w:val="18"/>
                <w:lang w:eastAsia="en-AU"/>
              </w:rPr>
            </w:pPr>
            <w:r w:rsidRPr="00C10545">
              <w:rPr>
                <w:color w:val="000000"/>
                <w:sz w:val="18"/>
                <w:szCs w:val="18"/>
                <w:lang w:eastAsia="en-AU"/>
              </w:rPr>
              <w:t>33%</w:t>
            </w:r>
          </w:p>
        </w:tc>
      </w:tr>
      <w:tr w:rsidR="009A356E" w:rsidRPr="00453D75" w14:paraId="6ED0EA44" w14:textId="77777777" w:rsidTr="009A356E">
        <w:trPr>
          <w:trHeight w:val="240"/>
        </w:trPr>
        <w:tc>
          <w:tcPr>
            <w:tcW w:w="1143" w:type="pct"/>
            <w:tcBorders>
              <w:top w:val="nil"/>
              <w:left w:val="single" w:sz="4" w:space="0" w:color="auto"/>
              <w:bottom w:val="single" w:sz="4" w:space="0" w:color="auto"/>
              <w:right w:val="single" w:sz="4" w:space="0" w:color="auto"/>
            </w:tcBorders>
            <w:shd w:val="clear" w:color="000000" w:fill="000000"/>
            <w:noWrap/>
            <w:vAlign w:val="bottom"/>
            <w:hideMark/>
          </w:tcPr>
          <w:p w14:paraId="09D255C4" w14:textId="77777777" w:rsidR="009A356E" w:rsidRPr="00C10545" w:rsidRDefault="009A356E" w:rsidP="009A356E">
            <w:pPr>
              <w:rPr>
                <w:sz w:val="18"/>
                <w:szCs w:val="18"/>
                <w:lang w:eastAsia="en-AU"/>
              </w:rPr>
            </w:pPr>
            <w:r w:rsidRPr="00C10545">
              <w:rPr>
                <w:sz w:val="18"/>
                <w:szCs w:val="18"/>
                <w:lang w:eastAsia="en-AU"/>
              </w:rPr>
              <w:t> </w:t>
            </w:r>
          </w:p>
        </w:tc>
        <w:tc>
          <w:tcPr>
            <w:tcW w:w="544" w:type="pct"/>
            <w:tcBorders>
              <w:top w:val="nil"/>
              <w:left w:val="nil"/>
              <w:bottom w:val="single" w:sz="4" w:space="0" w:color="auto"/>
              <w:right w:val="single" w:sz="4" w:space="0" w:color="auto"/>
            </w:tcBorders>
            <w:shd w:val="clear" w:color="000000" w:fill="000000"/>
            <w:noWrap/>
            <w:vAlign w:val="bottom"/>
            <w:hideMark/>
          </w:tcPr>
          <w:p w14:paraId="6531019D" w14:textId="77777777" w:rsidR="009A356E" w:rsidRPr="00C10545" w:rsidRDefault="009A356E" w:rsidP="009A356E">
            <w:pPr>
              <w:jc w:val="center"/>
              <w:rPr>
                <w:color w:val="000000"/>
                <w:sz w:val="18"/>
                <w:szCs w:val="18"/>
                <w:lang w:eastAsia="en-AU"/>
              </w:rPr>
            </w:pPr>
            <w:r w:rsidRPr="00C10545">
              <w:rPr>
                <w:color w:val="000000"/>
                <w:sz w:val="18"/>
                <w:szCs w:val="18"/>
                <w:lang w:eastAsia="en-AU"/>
              </w:rPr>
              <w:t> </w:t>
            </w:r>
          </w:p>
        </w:tc>
        <w:tc>
          <w:tcPr>
            <w:tcW w:w="530" w:type="pct"/>
            <w:tcBorders>
              <w:top w:val="nil"/>
              <w:left w:val="nil"/>
              <w:bottom w:val="single" w:sz="4" w:space="0" w:color="auto"/>
              <w:right w:val="single" w:sz="4" w:space="0" w:color="auto"/>
            </w:tcBorders>
            <w:shd w:val="clear" w:color="000000" w:fill="000000"/>
            <w:noWrap/>
            <w:vAlign w:val="bottom"/>
            <w:hideMark/>
          </w:tcPr>
          <w:p w14:paraId="2417D3D5" w14:textId="77777777" w:rsidR="009A356E" w:rsidRPr="00C10545" w:rsidRDefault="009A356E" w:rsidP="009A356E">
            <w:pPr>
              <w:jc w:val="center"/>
              <w:rPr>
                <w:color w:val="000000"/>
                <w:sz w:val="18"/>
                <w:szCs w:val="18"/>
                <w:lang w:eastAsia="en-AU"/>
              </w:rPr>
            </w:pPr>
            <w:r w:rsidRPr="00C10545">
              <w:rPr>
                <w:color w:val="000000"/>
                <w:sz w:val="18"/>
                <w:szCs w:val="18"/>
                <w:lang w:eastAsia="en-AU"/>
              </w:rPr>
              <w:t> </w:t>
            </w:r>
          </w:p>
        </w:tc>
        <w:tc>
          <w:tcPr>
            <w:tcW w:w="517" w:type="pct"/>
            <w:tcBorders>
              <w:top w:val="nil"/>
              <w:left w:val="nil"/>
              <w:bottom w:val="single" w:sz="4" w:space="0" w:color="auto"/>
              <w:right w:val="single" w:sz="4" w:space="0" w:color="auto"/>
            </w:tcBorders>
            <w:shd w:val="clear" w:color="000000" w:fill="000000"/>
            <w:noWrap/>
            <w:vAlign w:val="bottom"/>
            <w:hideMark/>
          </w:tcPr>
          <w:p w14:paraId="41264628" w14:textId="77777777" w:rsidR="009A356E" w:rsidRPr="00C10545" w:rsidRDefault="009A356E" w:rsidP="009A356E">
            <w:pPr>
              <w:jc w:val="center"/>
              <w:rPr>
                <w:color w:val="000000"/>
                <w:sz w:val="18"/>
                <w:szCs w:val="18"/>
                <w:lang w:eastAsia="en-AU"/>
              </w:rPr>
            </w:pPr>
            <w:r w:rsidRPr="00C10545">
              <w:rPr>
                <w:color w:val="000000"/>
                <w:sz w:val="18"/>
                <w:szCs w:val="18"/>
                <w:lang w:eastAsia="en-AU"/>
              </w:rPr>
              <w:t> </w:t>
            </w:r>
          </w:p>
        </w:tc>
        <w:tc>
          <w:tcPr>
            <w:tcW w:w="558" w:type="pct"/>
            <w:tcBorders>
              <w:top w:val="nil"/>
              <w:left w:val="nil"/>
              <w:bottom w:val="single" w:sz="4" w:space="0" w:color="auto"/>
              <w:right w:val="single" w:sz="4" w:space="0" w:color="auto"/>
            </w:tcBorders>
            <w:shd w:val="clear" w:color="000000" w:fill="000000"/>
            <w:noWrap/>
            <w:vAlign w:val="bottom"/>
            <w:hideMark/>
          </w:tcPr>
          <w:p w14:paraId="745E33B6" w14:textId="77777777" w:rsidR="009A356E" w:rsidRPr="00C10545" w:rsidRDefault="009A356E" w:rsidP="009A356E">
            <w:pPr>
              <w:jc w:val="center"/>
              <w:rPr>
                <w:color w:val="000000"/>
                <w:sz w:val="18"/>
                <w:szCs w:val="18"/>
                <w:lang w:eastAsia="en-AU"/>
              </w:rPr>
            </w:pPr>
            <w:r w:rsidRPr="00C10545">
              <w:rPr>
                <w:color w:val="000000"/>
                <w:sz w:val="18"/>
                <w:szCs w:val="18"/>
                <w:lang w:eastAsia="en-AU"/>
              </w:rPr>
              <w:t> </w:t>
            </w:r>
          </w:p>
        </w:tc>
        <w:tc>
          <w:tcPr>
            <w:tcW w:w="517" w:type="pct"/>
            <w:tcBorders>
              <w:top w:val="nil"/>
              <w:left w:val="nil"/>
              <w:bottom w:val="single" w:sz="4" w:space="0" w:color="auto"/>
              <w:right w:val="single" w:sz="4" w:space="0" w:color="auto"/>
            </w:tcBorders>
            <w:shd w:val="clear" w:color="000000" w:fill="000000"/>
            <w:noWrap/>
            <w:vAlign w:val="bottom"/>
            <w:hideMark/>
          </w:tcPr>
          <w:p w14:paraId="5CF2BC62" w14:textId="77777777" w:rsidR="009A356E" w:rsidRPr="00C10545" w:rsidRDefault="009A356E" w:rsidP="009A356E">
            <w:pPr>
              <w:jc w:val="center"/>
              <w:rPr>
                <w:color w:val="000000"/>
                <w:sz w:val="18"/>
                <w:szCs w:val="18"/>
                <w:lang w:eastAsia="en-AU"/>
              </w:rPr>
            </w:pPr>
            <w:r w:rsidRPr="00C10545">
              <w:rPr>
                <w:color w:val="000000"/>
                <w:sz w:val="18"/>
                <w:szCs w:val="18"/>
                <w:lang w:eastAsia="en-AU"/>
              </w:rPr>
              <w:t> </w:t>
            </w:r>
          </w:p>
        </w:tc>
        <w:tc>
          <w:tcPr>
            <w:tcW w:w="596" w:type="pct"/>
            <w:tcBorders>
              <w:top w:val="nil"/>
              <w:left w:val="nil"/>
              <w:bottom w:val="single" w:sz="4" w:space="0" w:color="auto"/>
              <w:right w:val="single" w:sz="4" w:space="0" w:color="auto"/>
            </w:tcBorders>
            <w:shd w:val="clear" w:color="000000" w:fill="000000"/>
            <w:noWrap/>
            <w:vAlign w:val="bottom"/>
            <w:hideMark/>
          </w:tcPr>
          <w:p w14:paraId="6731F1C3" w14:textId="77777777" w:rsidR="009A356E" w:rsidRPr="00C10545" w:rsidRDefault="009A356E" w:rsidP="009A356E">
            <w:pPr>
              <w:jc w:val="center"/>
              <w:rPr>
                <w:color w:val="000000"/>
                <w:sz w:val="18"/>
                <w:szCs w:val="18"/>
                <w:lang w:eastAsia="en-AU"/>
              </w:rPr>
            </w:pPr>
            <w:r w:rsidRPr="00C10545">
              <w:rPr>
                <w:color w:val="000000"/>
                <w:sz w:val="18"/>
                <w:szCs w:val="18"/>
                <w:lang w:eastAsia="en-AU"/>
              </w:rPr>
              <w:t> </w:t>
            </w:r>
          </w:p>
        </w:tc>
        <w:tc>
          <w:tcPr>
            <w:tcW w:w="596" w:type="pct"/>
            <w:tcBorders>
              <w:top w:val="nil"/>
              <w:left w:val="nil"/>
              <w:bottom w:val="single" w:sz="4" w:space="0" w:color="auto"/>
              <w:right w:val="single" w:sz="4" w:space="0" w:color="auto"/>
            </w:tcBorders>
            <w:shd w:val="clear" w:color="000000" w:fill="000000"/>
            <w:noWrap/>
            <w:vAlign w:val="bottom"/>
            <w:hideMark/>
          </w:tcPr>
          <w:p w14:paraId="0214B0D7" w14:textId="77777777" w:rsidR="009A356E" w:rsidRPr="00C10545" w:rsidRDefault="009A356E" w:rsidP="009A356E">
            <w:pPr>
              <w:rPr>
                <w:color w:val="000000"/>
                <w:sz w:val="18"/>
                <w:szCs w:val="18"/>
                <w:lang w:eastAsia="en-AU"/>
              </w:rPr>
            </w:pPr>
            <w:r w:rsidRPr="00C10545">
              <w:rPr>
                <w:color w:val="000000"/>
                <w:sz w:val="18"/>
                <w:szCs w:val="18"/>
                <w:lang w:eastAsia="en-AU"/>
              </w:rPr>
              <w:t> </w:t>
            </w:r>
          </w:p>
        </w:tc>
      </w:tr>
      <w:tr w:rsidR="009A356E" w:rsidRPr="00453D75" w14:paraId="45A64414" w14:textId="77777777" w:rsidTr="009A356E">
        <w:trPr>
          <w:trHeight w:val="240"/>
        </w:trPr>
        <w:tc>
          <w:tcPr>
            <w:tcW w:w="1143" w:type="pct"/>
            <w:tcBorders>
              <w:top w:val="nil"/>
              <w:left w:val="single" w:sz="4" w:space="0" w:color="auto"/>
              <w:bottom w:val="single" w:sz="4" w:space="0" w:color="auto"/>
              <w:right w:val="single" w:sz="4" w:space="0" w:color="auto"/>
            </w:tcBorders>
            <w:shd w:val="clear" w:color="auto" w:fill="auto"/>
            <w:noWrap/>
            <w:vAlign w:val="bottom"/>
            <w:hideMark/>
          </w:tcPr>
          <w:p w14:paraId="5FB81B74" w14:textId="77777777" w:rsidR="009A356E" w:rsidRPr="00C10545" w:rsidRDefault="009A356E" w:rsidP="009A356E">
            <w:pPr>
              <w:rPr>
                <w:sz w:val="18"/>
                <w:szCs w:val="18"/>
                <w:lang w:eastAsia="en-AU"/>
              </w:rPr>
            </w:pPr>
            <w:r w:rsidRPr="00C10545">
              <w:rPr>
                <w:sz w:val="18"/>
                <w:szCs w:val="18"/>
                <w:lang w:eastAsia="en-AU"/>
              </w:rPr>
              <w:t>Inner Metro</w:t>
            </w:r>
          </w:p>
        </w:tc>
        <w:tc>
          <w:tcPr>
            <w:tcW w:w="544" w:type="pct"/>
            <w:tcBorders>
              <w:top w:val="nil"/>
              <w:left w:val="nil"/>
              <w:bottom w:val="single" w:sz="4" w:space="0" w:color="auto"/>
              <w:right w:val="single" w:sz="4" w:space="0" w:color="auto"/>
            </w:tcBorders>
            <w:shd w:val="clear" w:color="auto" w:fill="auto"/>
            <w:noWrap/>
            <w:vAlign w:val="bottom"/>
            <w:hideMark/>
          </w:tcPr>
          <w:p w14:paraId="35021F5C" w14:textId="49364C27" w:rsidR="009A356E" w:rsidRPr="00C10545" w:rsidRDefault="009A356E" w:rsidP="009A356E">
            <w:pPr>
              <w:jc w:val="center"/>
              <w:rPr>
                <w:color w:val="000000"/>
                <w:sz w:val="18"/>
                <w:szCs w:val="18"/>
                <w:lang w:eastAsia="en-AU"/>
              </w:rPr>
            </w:pPr>
            <w:r w:rsidRPr="00C10545">
              <w:rPr>
                <w:color w:val="000000"/>
                <w:sz w:val="18"/>
                <w:szCs w:val="18"/>
                <w:lang w:eastAsia="en-AU"/>
              </w:rPr>
              <w:t xml:space="preserve">167.8 </w:t>
            </w:r>
          </w:p>
        </w:tc>
        <w:tc>
          <w:tcPr>
            <w:tcW w:w="530" w:type="pct"/>
            <w:tcBorders>
              <w:top w:val="nil"/>
              <w:left w:val="nil"/>
              <w:bottom w:val="single" w:sz="4" w:space="0" w:color="auto"/>
              <w:right w:val="single" w:sz="4" w:space="0" w:color="auto"/>
            </w:tcBorders>
            <w:shd w:val="clear" w:color="auto" w:fill="auto"/>
            <w:noWrap/>
            <w:vAlign w:val="bottom"/>
            <w:hideMark/>
          </w:tcPr>
          <w:p w14:paraId="2D79EDAE" w14:textId="43145799" w:rsidR="009A356E" w:rsidRPr="00C10545" w:rsidRDefault="009A356E" w:rsidP="009A356E">
            <w:pPr>
              <w:jc w:val="center"/>
              <w:rPr>
                <w:color w:val="000000"/>
                <w:sz w:val="18"/>
                <w:szCs w:val="18"/>
                <w:lang w:eastAsia="en-AU"/>
              </w:rPr>
            </w:pPr>
            <w:r w:rsidRPr="00C10545">
              <w:rPr>
                <w:color w:val="000000"/>
                <w:sz w:val="18"/>
                <w:szCs w:val="18"/>
                <w:lang w:eastAsia="en-AU"/>
              </w:rPr>
              <w:t xml:space="preserve">1,487.0 </w:t>
            </w:r>
          </w:p>
        </w:tc>
        <w:tc>
          <w:tcPr>
            <w:tcW w:w="517" w:type="pct"/>
            <w:tcBorders>
              <w:top w:val="nil"/>
              <w:left w:val="nil"/>
              <w:bottom w:val="single" w:sz="4" w:space="0" w:color="auto"/>
              <w:right w:val="single" w:sz="4" w:space="0" w:color="auto"/>
            </w:tcBorders>
            <w:shd w:val="clear" w:color="auto" w:fill="auto"/>
            <w:noWrap/>
            <w:vAlign w:val="bottom"/>
            <w:hideMark/>
          </w:tcPr>
          <w:p w14:paraId="399FFD36" w14:textId="77777777" w:rsidR="009A356E" w:rsidRPr="00C10545" w:rsidRDefault="009A356E" w:rsidP="009A356E">
            <w:pPr>
              <w:jc w:val="center"/>
              <w:rPr>
                <w:color w:val="000000"/>
                <w:sz w:val="18"/>
                <w:szCs w:val="18"/>
                <w:lang w:eastAsia="en-AU"/>
              </w:rPr>
            </w:pPr>
            <w:r w:rsidRPr="00C10545">
              <w:rPr>
                <w:color w:val="000000"/>
                <w:sz w:val="18"/>
                <w:szCs w:val="18"/>
                <w:lang w:eastAsia="en-AU"/>
              </w:rPr>
              <w:t>11.3%</w:t>
            </w:r>
          </w:p>
        </w:tc>
        <w:tc>
          <w:tcPr>
            <w:tcW w:w="558" w:type="pct"/>
            <w:tcBorders>
              <w:top w:val="nil"/>
              <w:left w:val="nil"/>
              <w:bottom w:val="single" w:sz="4" w:space="0" w:color="auto"/>
              <w:right w:val="single" w:sz="4" w:space="0" w:color="auto"/>
            </w:tcBorders>
            <w:shd w:val="clear" w:color="auto" w:fill="auto"/>
            <w:noWrap/>
            <w:vAlign w:val="bottom"/>
            <w:hideMark/>
          </w:tcPr>
          <w:p w14:paraId="49C1C1A8" w14:textId="77777777" w:rsidR="009A356E" w:rsidRPr="00C10545" w:rsidRDefault="009A356E" w:rsidP="009A356E">
            <w:pPr>
              <w:jc w:val="center"/>
              <w:rPr>
                <w:color w:val="000000"/>
                <w:sz w:val="18"/>
                <w:szCs w:val="18"/>
                <w:lang w:eastAsia="en-AU"/>
              </w:rPr>
            </w:pPr>
            <w:r w:rsidRPr="00C10545">
              <w:rPr>
                <w:color w:val="000000"/>
                <w:sz w:val="18"/>
                <w:szCs w:val="18"/>
                <w:lang w:eastAsia="en-AU"/>
              </w:rPr>
              <w:t>3.5%</w:t>
            </w:r>
          </w:p>
        </w:tc>
        <w:tc>
          <w:tcPr>
            <w:tcW w:w="517" w:type="pct"/>
            <w:tcBorders>
              <w:top w:val="nil"/>
              <w:left w:val="nil"/>
              <w:bottom w:val="single" w:sz="4" w:space="0" w:color="auto"/>
              <w:right w:val="single" w:sz="4" w:space="0" w:color="auto"/>
            </w:tcBorders>
            <w:shd w:val="clear" w:color="auto" w:fill="auto"/>
            <w:noWrap/>
            <w:vAlign w:val="bottom"/>
            <w:hideMark/>
          </w:tcPr>
          <w:p w14:paraId="292F16FC" w14:textId="77777777" w:rsidR="009A356E" w:rsidRPr="00C10545" w:rsidRDefault="009A356E" w:rsidP="009A356E">
            <w:pPr>
              <w:jc w:val="center"/>
              <w:rPr>
                <w:color w:val="000000"/>
                <w:sz w:val="18"/>
                <w:szCs w:val="18"/>
                <w:lang w:eastAsia="en-AU"/>
              </w:rPr>
            </w:pPr>
            <w:r w:rsidRPr="00C10545">
              <w:rPr>
                <w:color w:val="000000"/>
                <w:sz w:val="18"/>
                <w:szCs w:val="18"/>
                <w:lang w:eastAsia="en-AU"/>
              </w:rPr>
              <w:t>2.0%</w:t>
            </w:r>
          </w:p>
        </w:tc>
        <w:tc>
          <w:tcPr>
            <w:tcW w:w="596" w:type="pct"/>
            <w:tcBorders>
              <w:top w:val="nil"/>
              <w:left w:val="nil"/>
              <w:bottom w:val="single" w:sz="4" w:space="0" w:color="auto"/>
              <w:right w:val="single" w:sz="4" w:space="0" w:color="auto"/>
            </w:tcBorders>
            <w:shd w:val="clear" w:color="auto" w:fill="auto"/>
            <w:noWrap/>
            <w:vAlign w:val="bottom"/>
            <w:hideMark/>
          </w:tcPr>
          <w:p w14:paraId="0E9189EE" w14:textId="5F103873" w:rsidR="009A356E" w:rsidRPr="00C10545" w:rsidRDefault="009A356E" w:rsidP="009A356E">
            <w:pPr>
              <w:jc w:val="center"/>
              <w:rPr>
                <w:color w:val="000000"/>
                <w:sz w:val="18"/>
                <w:szCs w:val="18"/>
                <w:lang w:eastAsia="en-AU"/>
              </w:rPr>
            </w:pPr>
            <w:r w:rsidRPr="00C10545">
              <w:rPr>
                <w:color w:val="000000"/>
                <w:sz w:val="18"/>
                <w:szCs w:val="18"/>
                <w:lang w:eastAsia="en-AU"/>
              </w:rPr>
              <w:t xml:space="preserve"> 261.4 </w:t>
            </w:r>
          </w:p>
        </w:tc>
        <w:tc>
          <w:tcPr>
            <w:tcW w:w="596" w:type="pct"/>
            <w:tcBorders>
              <w:top w:val="nil"/>
              <w:left w:val="nil"/>
              <w:bottom w:val="single" w:sz="4" w:space="0" w:color="auto"/>
              <w:right w:val="single" w:sz="4" w:space="0" w:color="auto"/>
            </w:tcBorders>
            <w:shd w:val="clear" w:color="auto" w:fill="auto"/>
            <w:noWrap/>
            <w:vAlign w:val="bottom"/>
            <w:hideMark/>
          </w:tcPr>
          <w:p w14:paraId="006534C6" w14:textId="77777777" w:rsidR="009A356E" w:rsidRPr="00C10545" w:rsidRDefault="009A356E" w:rsidP="009A356E">
            <w:pPr>
              <w:jc w:val="right"/>
              <w:rPr>
                <w:color w:val="000000"/>
                <w:sz w:val="18"/>
                <w:szCs w:val="18"/>
                <w:lang w:eastAsia="en-AU"/>
              </w:rPr>
            </w:pPr>
            <w:r w:rsidRPr="00C10545">
              <w:rPr>
                <w:color w:val="000000"/>
                <w:sz w:val="18"/>
                <w:szCs w:val="18"/>
                <w:lang w:eastAsia="en-AU"/>
              </w:rPr>
              <w:t>64%</w:t>
            </w:r>
          </w:p>
        </w:tc>
      </w:tr>
      <w:tr w:rsidR="009A356E" w:rsidRPr="00453D75" w14:paraId="5AAD22E0" w14:textId="77777777" w:rsidTr="009A356E">
        <w:trPr>
          <w:trHeight w:val="240"/>
        </w:trPr>
        <w:tc>
          <w:tcPr>
            <w:tcW w:w="1143" w:type="pct"/>
            <w:tcBorders>
              <w:top w:val="nil"/>
              <w:left w:val="single" w:sz="4" w:space="0" w:color="auto"/>
              <w:bottom w:val="single" w:sz="4" w:space="0" w:color="auto"/>
              <w:right w:val="single" w:sz="4" w:space="0" w:color="auto"/>
            </w:tcBorders>
            <w:shd w:val="clear" w:color="auto" w:fill="auto"/>
            <w:noWrap/>
            <w:vAlign w:val="bottom"/>
            <w:hideMark/>
          </w:tcPr>
          <w:p w14:paraId="168E9D4B" w14:textId="77777777" w:rsidR="009A356E" w:rsidRPr="00C10545" w:rsidRDefault="009A356E" w:rsidP="009A356E">
            <w:pPr>
              <w:rPr>
                <w:sz w:val="18"/>
                <w:szCs w:val="18"/>
                <w:lang w:eastAsia="en-AU"/>
              </w:rPr>
            </w:pPr>
            <w:r w:rsidRPr="00C10545">
              <w:rPr>
                <w:sz w:val="18"/>
                <w:szCs w:val="18"/>
                <w:lang w:eastAsia="en-AU"/>
              </w:rPr>
              <w:t>Large Shires</w:t>
            </w:r>
          </w:p>
        </w:tc>
        <w:tc>
          <w:tcPr>
            <w:tcW w:w="544" w:type="pct"/>
            <w:tcBorders>
              <w:top w:val="nil"/>
              <w:left w:val="nil"/>
              <w:bottom w:val="single" w:sz="4" w:space="0" w:color="auto"/>
              <w:right w:val="single" w:sz="4" w:space="0" w:color="auto"/>
            </w:tcBorders>
            <w:shd w:val="clear" w:color="auto" w:fill="auto"/>
            <w:noWrap/>
            <w:vAlign w:val="bottom"/>
            <w:hideMark/>
          </w:tcPr>
          <w:p w14:paraId="783508EE" w14:textId="64E6AA6A" w:rsidR="009A356E" w:rsidRPr="00C10545" w:rsidRDefault="009A356E" w:rsidP="009A356E">
            <w:pPr>
              <w:jc w:val="center"/>
              <w:rPr>
                <w:color w:val="000000"/>
                <w:sz w:val="18"/>
                <w:szCs w:val="18"/>
                <w:lang w:eastAsia="en-AU"/>
              </w:rPr>
            </w:pPr>
            <w:r w:rsidRPr="00C10545">
              <w:rPr>
                <w:color w:val="000000"/>
                <w:sz w:val="18"/>
                <w:szCs w:val="18"/>
                <w:lang w:eastAsia="en-AU"/>
              </w:rPr>
              <w:t xml:space="preserve">51.9 </w:t>
            </w:r>
          </w:p>
        </w:tc>
        <w:tc>
          <w:tcPr>
            <w:tcW w:w="530" w:type="pct"/>
            <w:tcBorders>
              <w:top w:val="nil"/>
              <w:left w:val="nil"/>
              <w:bottom w:val="single" w:sz="4" w:space="0" w:color="auto"/>
              <w:right w:val="single" w:sz="4" w:space="0" w:color="auto"/>
            </w:tcBorders>
            <w:shd w:val="clear" w:color="auto" w:fill="auto"/>
            <w:noWrap/>
            <w:vAlign w:val="bottom"/>
            <w:hideMark/>
          </w:tcPr>
          <w:p w14:paraId="25A485A1" w14:textId="132CACB7" w:rsidR="009A356E" w:rsidRPr="00C10545" w:rsidRDefault="009A356E" w:rsidP="009A356E">
            <w:pPr>
              <w:jc w:val="center"/>
              <w:rPr>
                <w:color w:val="000000"/>
                <w:sz w:val="18"/>
                <w:szCs w:val="18"/>
                <w:lang w:eastAsia="en-AU"/>
              </w:rPr>
            </w:pPr>
            <w:r w:rsidRPr="00C10545">
              <w:rPr>
                <w:color w:val="000000"/>
                <w:sz w:val="18"/>
                <w:szCs w:val="18"/>
                <w:lang w:eastAsia="en-AU"/>
              </w:rPr>
              <w:t xml:space="preserve"> 446.2 </w:t>
            </w:r>
          </w:p>
        </w:tc>
        <w:tc>
          <w:tcPr>
            <w:tcW w:w="517" w:type="pct"/>
            <w:tcBorders>
              <w:top w:val="nil"/>
              <w:left w:val="nil"/>
              <w:bottom w:val="single" w:sz="4" w:space="0" w:color="auto"/>
              <w:right w:val="single" w:sz="4" w:space="0" w:color="auto"/>
            </w:tcBorders>
            <w:shd w:val="clear" w:color="auto" w:fill="auto"/>
            <w:noWrap/>
            <w:vAlign w:val="bottom"/>
            <w:hideMark/>
          </w:tcPr>
          <w:p w14:paraId="33A72C02" w14:textId="77777777" w:rsidR="009A356E" w:rsidRPr="00C10545" w:rsidRDefault="009A356E" w:rsidP="009A356E">
            <w:pPr>
              <w:jc w:val="center"/>
              <w:rPr>
                <w:color w:val="000000"/>
                <w:sz w:val="18"/>
                <w:szCs w:val="18"/>
                <w:lang w:eastAsia="en-AU"/>
              </w:rPr>
            </w:pPr>
            <w:r w:rsidRPr="00C10545">
              <w:rPr>
                <w:color w:val="000000"/>
                <w:sz w:val="18"/>
                <w:szCs w:val="18"/>
                <w:lang w:eastAsia="en-AU"/>
              </w:rPr>
              <w:t>11.6%</w:t>
            </w:r>
          </w:p>
        </w:tc>
        <w:tc>
          <w:tcPr>
            <w:tcW w:w="558" w:type="pct"/>
            <w:tcBorders>
              <w:top w:val="nil"/>
              <w:left w:val="nil"/>
              <w:bottom w:val="single" w:sz="4" w:space="0" w:color="auto"/>
              <w:right w:val="single" w:sz="4" w:space="0" w:color="auto"/>
            </w:tcBorders>
            <w:shd w:val="clear" w:color="auto" w:fill="auto"/>
            <w:noWrap/>
            <w:vAlign w:val="bottom"/>
            <w:hideMark/>
          </w:tcPr>
          <w:p w14:paraId="2F501D3F" w14:textId="77777777" w:rsidR="009A356E" w:rsidRPr="00C10545" w:rsidRDefault="009A356E" w:rsidP="009A356E">
            <w:pPr>
              <w:jc w:val="center"/>
              <w:rPr>
                <w:color w:val="000000"/>
                <w:sz w:val="18"/>
                <w:szCs w:val="18"/>
                <w:lang w:eastAsia="en-AU"/>
              </w:rPr>
            </w:pPr>
            <w:r w:rsidRPr="00C10545">
              <w:rPr>
                <w:color w:val="000000"/>
                <w:sz w:val="18"/>
                <w:szCs w:val="18"/>
                <w:lang w:eastAsia="en-AU"/>
              </w:rPr>
              <w:t>3.6%</w:t>
            </w:r>
          </w:p>
        </w:tc>
        <w:tc>
          <w:tcPr>
            <w:tcW w:w="517" w:type="pct"/>
            <w:tcBorders>
              <w:top w:val="nil"/>
              <w:left w:val="nil"/>
              <w:bottom w:val="single" w:sz="4" w:space="0" w:color="auto"/>
              <w:right w:val="single" w:sz="4" w:space="0" w:color="auto"/>
            </w:tcBorders>
            <w:shd w:val="clear" w:color="auto" w:fill="auto"/>
            <w:noWrap/>
            <w:vAlign w:val="bottom"/>
            <w:hideMark/>
          </w:tcPr>
          <w:p w14:paraId="2F7ECF88" w14:textId="77777777" w:rsidR="009A356E" w:rsidRPr="00C10545" w:rsidRDefault="009A356E" w:rsidP="009A356E">
            <w:pPr>
              <w:jc w:val="center"/>
              <w:rPr>
                <w:color w:val="000000"/>
                <w:sz w:val="18"/>
                <w:szCs w:val="18"/>
                <w:lang w:eastAsia="en-AU"/>
              </w:rPr>
            </w:pPr>
            <w:r w:rsidRPr="00C10545">
              <w:rPr>
                <w:color w:val="000000"/>
                <w:sz w:val="18"/>
                <w:szCs w:val="18"/>
                <w:lang w:eastAsia="en-AU"/>
              </w:rPr>
              <w:t>2.0%</w:t>
            </w:r>
          </w:p>
        </w:tc>
        <w:tc>
          <w:tcPr>
            <w:tcW w:w="596" w:type="pct"/>
            <w:tcBorders>
              <w:top w:val="nil"/>
              <w:left w:val="nil"/>
              <w:bottom w:val="single" w:sz="4" w:space="0" w:color="auto"/>
              <w:right w:val="single" w:sz="4" w:space="0" w:color="auto"/>
            </w:tcBorders>
            <w:shd w:val="clear" w:color="auto" w:fill="auto"/>
            <w:noWrap/>
            <w:vAlign w:val="bottom"/>
            <w:hideMark/>
          </w:tcPr>
          <w:p w14:paraId="2EEC5F7C" w14:textId="49EF6BBC" w:rsidR="009A356E" w:rsidRPr="00C10545" w:rsidRDefault="009A356E" w:rsidP="009A356E">
            <w:pPr>
              <w:jc w:val="center"/>
              <w:rPr>
                <w:color w:val="000000"/>
                <w:sz w:val="18"/>
                <w:szCs w:val="18"/>
                <w:lang w:eastAsia="en-AU"/>
              </w:rPr>
            </w:pPr>
            <w:r w:rsidRPr="00C10545">
              <w:rPr>
                <w:color w:val="000000"/>
                <w:sz w:val="18"/>
                <w:szCs w:val="18"/>
                <w:lang w:eastAsia="en-AU"/>
              </w:rPr>
              <w:t xml:space="preserve"> 117.8 </w:t>
            </w:r>
          </w:p>
        </w:tc>
        <w:tc>
          <w:tcPr>
            <w:tcW w:w="596" w:type="pct"/>
            <w:tcBorders>
              <w:top w:val="nil"/>
              <w:left w:val="nil"/>
              <w:bottom w:val="single" w:sz="4" w:space="0" w:color="auto"/>
              <w:right w:val="single" w:sz="4" w:space="0" w:color="auto"/>
            </w:tcBorders>
            <w:shd w:val="clear" w:color="auto" w:fill="auto"/>
            <w:noWrap/>
            <w:vAlign w:val="bottom"/>
            <w:hideMark/>
          </w:tcPr>
          <w:p w14:paraId="3D17F209" w14:textId="77777777" w:rsidR="009A356E" w:rsidRPr="00C10545" w:rsidRDefault="009A356E" w:rsidP="009A356E">
            <w:pPr>
              <w:jc w:val="right"/>
              <w:rPr>
                <w:color w:val="000000"/>
                <w:sz w:val="18"/>
                <w:szCs w:val="18"/>
                <w:lang w:eastAsia="en-AU"/>
              </w:rPr>
            </w:pPr>
            <w:r w:rsidRPr="00C10545">
              <w:rPr>
                <w:color w:val="000000"/>
                <w:sz w:val="18"/>
                <w:szCs w:val="18"/>
                <w:lang w:eastAsia="en-AU"/>
              </w:rPr>
              <w:t>44%</w:t>
            </w:r>
          </w:p>
        </w:tc>
      </w:tr>
      <w:tr w:rsidR="009A356E" w:rsidRPr="00453D75" w14:paraId="583EABF4" w14:textId="77777777" w:rsidTr="009A356E">
        <w:trPr>
          <w:trHeight w:val="240"/>
        </w:trPr>
        <w:tc>
          <w:tcPr>
            <w:tcW w:w="1143" w:type="pct"/>
            <w:tcBorders>
              <w:top w:val="nil"/>
              <w:left w:val="single" w:sz="4" w:space="0" w:color="auto"/>
              <w:bottom w:val="single" w:sz="4" w:space="0" w:color="auto"/>
              <w:right w:val="single" w:sz="4" w:space="0" w:color="auto"/>
            </w:tcBorders>
            <w:shd w:val="clear" w:color="auto" w:fill="auto"/>
            <w:noWrap/>
            <w:vAlign w:val="bottom"/>
            <w:hideMark/>
          </w:tcPr>
          <w:p w14:paraId="3F1FE2E3" w14:textId="77777777" w:rsidR="009A356E" w:rsidRPr="00C10545" w:rsidRDefault="009A356E" w:rsidP="009A356E">
            <w:pPr>
              <w:rPr>
                <w:sz w:val="18"/>
                <w:szCs w:val="18"/>
                <w:lang w:eastAsia="en-AU"/>
              </w:rPr>
            </w:pPr>
            <w:r w:rsidRPr="00C10545">
              <w:rPr>
                <w:sz w:val="18"/>
                <w:szCs w:val="18"/>
                <w:lang w:eastAsia="en-AU"/>
              </w:rPr>
              <w:t>Outer Metro</w:t>
            </w:r>
          </w:p>
        </w:tc>
        <w:tc>
          <w:tcPr>
            <w:tcW w:w="544" w:type="pct"/>
            <w:tcBorders>
              <w:top w:val="nil"/>
              <w:left w:val="nil"/>
              <w:bottom w:val="single" w:sz="4" w:space="0" w:color="auto"/>
              <w:right w:val="single" w:sz="4" w:space="0" w:color="auto"/>
            </w:tcBorders>
            <w:shd w:val="clear" w:color="auto" w:fill="auto"/>
            <w:noWrap/>
            <w:vAlign w:val="bottom"/>
            <w:hideMark/>
          </w:tcPr>
          <w:p w14:paraId="454FED70" w14:textId="2912DDD6" w:rsidR="009A356E" w:rsidRPr="00C10545" w:rsidRDefault="009A356E" w:rsidP="009A356E">
            <w:pPr>
              <w:jc w:val="center"/>
              <w:rPr>
                <w:color w:val="000000"/>
                <w:sz w:val="18"/>
                <w:szCs w:val="18"/>
                <w:lang w:eastAsia="en-AU"/>
              </w:rPr>
            </w:pPr>
            <w:r w:rsidRPr="00C10545">
              <w:rPr>
                <w:color w:val="000000"/>
                <w:sz w:val="18"/>
                <w:szCs w:val="18"/>
                <w:lang w:eastAsia="en-AU"/>
              </w:rPr>
              <w:t xml:space="preserve">122.1 </w:t>
            </w:r>
          </w:p>
        </w:tc>
        <w:tc>
          <w:tcPr>
            <w:tcW w:w="530" w:type="pct"/>
            <w:tcBorders>
              <w:top w:val="nil"/>
              <w:left w:val="nil"/>
              <w:bottom w:val="single" w:sz="4" w:space="0" w:color="auto"/>
              <w:right w:val="single" w:sz="4" w:space="0" w:color="auto"/>
            </w:tcBorders>
            <w:shd w:val="clear" w:color="auto" w:fill="auto"/>
            <w:noWrap/>
            <w:vAlign w:val="bottom"/>
            <w:hideMark/>
          </w:tcPr>
          <w:p w14:paraId="2654CCC3" w14:textId="53D5337E" w:rsidR="009A356E" w:rsidRPr="00C10545" w:rsidRDefault="009A356E" w:rsidP="009A356E">
            <w:pPr>
              <w:jc w:val="center"/>
              <w:rPr>
                <w:color w:val="000000"/>
                <w:sz w:val="18"/>
                <w:szCs w:val="18"/>
                <w:lang w:eastAsia="en-AU"/>
              </w:rPr>
            </w:pPr>
            <w:r w:rsidRPr="00C10545">
              <w:rPr>
                <w:color w:val="000000"/>
                <w:sz w:val="18"/>
                <w:szCs w:val="18"/>
                <w:lang w:eastAsia="en-AU"/>
              </w:rPr>
              <w:t xml:space="preserve">1,297.5 </w:t>
            </w:r>
          </w:p>
        </w:tc>
        <w:tc>
          <w:tcPr>
            <w:tcW w:w="517" w:type="pct"/>
            <w:tcBorders>
              <w:top w:val="nil"/>
              <w:left w:val="nil"/>
              <w:bottom w:val="single" w:sz="4" w:space="0" w:color="auto"/>
              <w:right w:val="single" w:sz="4" w:space="0" w:color="auto"/>
            </w:tcBorders>
            <w:shd w:val="clear" w:color="auto" w:fill="auto"/>
            <w:noWrap/>
            <w:vAlign w:val="bottom"/>
            <w:hideMark/>
          </w:tcPr>
          <w:p w14:paraId="1E401DF9" w14:textId="77777777" w:rsidR="009A356E" w:rsidRPr="00C10545" w:rsidRDefault="009A356E" w:rsidP="009A356E">
            <w:pPr>
              <w:jc w:val="center"/>
              <w:rPr>
                <w:color w:val="000000"/>
                <w:sz w:val="18"/>
                <w:szCs w:val="18"/>
                <w:lang w:eastAsia="en-AU"/>
              </w:rPr>
            </w:pPr>
            <w:r w:rsidRPr="00C10545">
              <w:rPr>
                <w:color w:val="000000"/>
                <w:sz w:val="18"/>
                <w:szCs w:val="18"/>
                <w:lang w:eastAsia="en-AU"/>
              </w:rPr>
              <w:t>9.4%</w:t>
            </w:r>
          </w:p>
        </w:tc>
        <w:tc>
          <w:tcPr>
            <w:tcW w:w="558" w:type="pct"/>
            <w:tcBorders>
              <w:top w:val="nil"/>
              <w:left w:val="nil"/>
              <w:bottom w:val="single" w:sz="4" w:space="0" w:color="auto"/>
              <w:right w:val="single" w:sz="4" w:space="0" w:color="auto"/>
            </w:tcBorders>
            <w:shd w:val="clear" w:color="auto" w:fill="auto"/>
            <w:noWrap/>
            <w:vAlign w:val="bottom"/>
            <w:hideMark/>
          </w:tcPr>
          <w:p w14:paraId="1CCA97BA" w14:textId="77777777" w:rsidR="009A356E" w:rsidRPr="00C10545" w:rsidRDefault="009A356E" w:rsidP="009A356E">
            <w:pPr>
              <w:jc w:val="center"/>
              <w:rPr>
                <w:color w:val="000000"/>
                <w:sz w:val="18"/>
                <w:szCs w:val="18"/>
                <w:lang w:eastAsia="en-AU"/>
              </w:rPr>
            </w:pPr>
            <w:r w:rsidRPr="00C10545">
              <w:rPr>
                <w:color w:val="000000"/>
                <w:sz w:val="18"/>
                <w:szCs w:val="18"/>
                <w:lang w:eastAsia="en-AU"/>
              </w:rPr>
              <w:t>2.9%</w:t>
            </w:r>
          </w:p>
        </w:tc>
        <w:tc>
          <w:tcPr>
            <w:tcW w:w="517" w:type="pct"/>
            <w:tcBorders>
              <w:top w:val="nil"/>
              <w:left w:val="nil"/>
              <w:bottom w:val="single" w:sz="4" w:space="0" w:color="auto"/>
              <w:right w:val="single" w:sz="4" w:space="0" w:color="auto"/>
            </w:tcBorders>
            <w:shd w:val="clear" w:color="auto" w:fill="auto"/>
            <w:noWrap/>
            <w:vAlign w:val="bottom"/>
            <w:hideMark/>
          </w:tcPr>
          <w:p w14:paraId="232B6BE0" w14:textId="77777777" w:rsidR="009A356E" w:rsidRPr="00C10545" w:rsidRDefault="009A356E" w:rsidP="009A356E">
            <w:pPr>
              <w:jc w:val="center"/>
              <w:rPr>
                <w:color w:val="000000"/>
                <w:sz w:val="18"/>
                <w:szCs w:val="18"/>
                <w:lang w:eastAsia="en-AU"/>
              </w:rPr>
            </w:pPr>
            <w:r w:rsidRPr="00C10545">
              <w:rPr>
                <w:color w:val="000000"/>
                <w:sz w:val="18"/>
                <w:szCs w:val="18"/>
                <w:lang w:eastAsia="en-AU"/>
              </w:rPr>
              <w:t>1.6%</w:t>
            </w:r>
          </w:p>
        </w:tc>
        <w:tc>
          <w:tcPr>
            <w:tcW w:w="596" w:type="pct"/>
            <w:tcBorders>
              <w:top w:val="nil"/>
              <w:left w:val="nil"/>
              <w:bottom w:val="single" w:sz="4" w:space="0" w:color="auto"/>
              <w:right w:val="single" w:sz="4" w:space="0" w:color="auto"/>
            </w:tcBorders>
            <w:shd w:val="clear" w:color="auto" w:fill="auto"/>
            <w:noWrap/>
            <w:vAlign w:val="bottom"/>
            <w:hideMark/>
          </w:tcPr>
          <w:p w14:paraId="53D637C8" w14:textId="753AD77B" w:rsidR="009A356E" w:rsidRPr="00C10545" w:rsidRDefault="009A356E" w:rsidP="009A356E">
            <w:pPr>
              <w:jc w:val="center"/>
              <w:rPr>
                <w:color w:val="000000"/>
                <w:sz w:val="18"/>
                <w:szCs w:val="18"/>
                <w:lang w:eastAsia="en-AU"/>
              </w:rPr>
            </w:pPr>
            <w:r w:rsidRPr="00C10545">
              <w:rPr>
                <w:color w:val="000000"/>
                <w:sz w:val="18"/>
                <w:szCs w:val="18"/>
                <w:lang w:eastAsia="en-AU"/>
              </w:rPr>
              <w:t xml:space="preserve"> 172.6 </w:t>
            </w:r>
          </w:p>
        </w:tc>
        <w:tc>
          <w:tcPr>
            <w:tcW w:w="596" w:type="pct"/>
            <w:tcBorders>
              <w:top w:val="nil"/>
              <w:left w:val="nil"/>
              <w:bottom w:val="single" w:sz="4" w:space="0" w:color="auto"/>
              <w:right w:val="single" w:sz="4" w:space="0" w:color="auto"/>
            </w:tcBorders>
            <w:shd w:val="clear" w:color="auto" w:fill="auto"/>
            <w:noWrap/>
            <w:vAlign w:val="bottom"/>
            <w:hideMark/>
          </w:tcPr>
          <w:p w14:paraId="5C26D177" w14:textId="77777777" w:rsidR="009A356E" w:rsidRPr="00C10545" w:rsidRDefault="009A356E" w:rsidP="009A356E">
            <w:pPr>
              <w:jc w:val="right"/>
              <w:rPr>
                <w:color w:val="000000"/>
                <w:sz w:val="18"/>
                <w:szCs w:val="18"/>
                <w:lang w:eastAsia="en-AU"/>
              </w:rPr>
            </w:pPr>
            <w:r w:rsidRPr="00C10545">
              <w:rPr>
                <w:color w:val="000000"/>
                <w:sz w:val="18"/>
                <w:szCs w:val="18"/>
                <w:lang w:eastAsia="en-AU"/>
              </w:rPr>
              <w:t>71%</w:t>
            </w:r>
          </w:p>
        </w:tc>
      </w:tr>
      <w:tr w:rsidR="009A356E" w:rsidRPr="00453D75" w14:paraId="2B219150" w14:textId="77777777" w:rsidTr="009A356E">
        <w:trPr>
          <w:trHeight w:val="240"/>
        </w:trPr>
        <w:tc>
          <w:tcPr>
            <w:tcW w:w="1143" w:type="pct"/>
            <w:tcBorders>
              <w:top w:val="nil"/>
              <w:left w:val="single" w:sz="4" w:space="0" w:color="auto"/>
              <w:bottom w:val="single" w:sz="4" w:space="0" w:color="auto"/>
              <w:right w:val="single" w:sz="4" w:space="0" w:color="auto"/>
            </w:tcBorders>
            <w:shd w:val="clear" w:color="auto" w:fill="auto"/>
            <w:noWrap/>
            <w:vAlign w:val="bottom"/>
            <w:hideMark/>
          </w:tcPr>
          <w:p w14:paraId="775794CA" w14:textId="77777777" w:rsidR="009A356E" w:rsidRPr="00C10545" w:rsidRDefault="009A356E" w:rsidP="009A356E">
            <w:pPr>
              <w:rPr>
                <w:sz w:val="18"/>
                <w:szCs w:val="18"/>
                <w:lang w:eastAsia="en-AU"/>
              </w:rPr>
            </w:pPr>
            <w:r w:rsidRPr="00C10545">
              <w:rPr>
                <w:sz w:val="18"/>
                <w:szCs w:val="18"/>
                <w:lang w:eastAsia="en-AU"/>
              </w:rPr>
              <w:t xml:space="preserve">Regional Cities </w:t>
            </w:r>
          </w:p>
        </w:tc>
        <w:tc>
          <w:tcPr>
            <w:tcW w:w="544" w:type="pct"/>
            <w:tcBorders>
              <w:top w:val="nil"/>
              <w:left w:val="nil"/>
              <w:bottom w:val="single" w:sz="4" w:space="0" w:color="auto"/>
              <w:right w:val="single" w:sz="4" w:space="0" w:color="auto"/>
            </w:tcBorders>
            <w:shd w:val="clear" w:color="auto" w:fill="auto"/>
            <w:noWrap/>
            <w:vAlign w:val="bottom"/>
            <w:hideMark/>
          </w:tcPr>
          <w:p w14:paraId="75F411D3" w14:textId="2E6DA41D" w:rsidR="009A356E" w:rsidRPr="00C10545" w:rsidRDefault="009A356E" w:rsidP="009A356E">
            <w:pPr>
              <w:jc w:val="center"/>
              <w:rPr>
                <w:color w:val="000000"/>
                <w:sz w:val="18"/>
                <w:szCs w:val="18"/>
                <w:lang w:eastAsia="en-AU"/>
              </w:rPr>
            </w:pPr>
            <w:r w:rsidRPr="00C10545">
              <w:rPr>
                <w:color w:val="000000"/>
                <w:sz w:val="18"/>
                <w:szCs w:val="18"/>
                <w:lang w:eastAsia="en-AU"/>
              </w:rPr>
              <w:t xml:space="preserve">84.7 </w:t>
            </w:r>
          </w:p>
        </w:tc>
        <w:tc>
          <w:tcPr>
            <w:tcW w:w="530" w:type="pct"/>
            <w:tcBorders>
              <w:top w:val="nil"/>
              <w:left w:val="nil"/>
              <w:bottom w:val="single" w:sz="4" w:space="0" w:color="auto"/>
              <w:right w:val="single" w:sz="4" w:space="0" w:color="auto"/>
            </w:tcBorders>
            <w:shd w:val="clear" w:color="auto" w:fill="auto"/>
            <w:noWrap/>
            <w:vAlign w:val="bottom"/>
            <w:hideMark/>
          </w:tcPr>
          <w:p w14:paraId="2F5CC304" w14:textId="3DDF3A58" w:rsidR="009A356E" w:rsidRPr="00C10545" w:rsidRDefault="009A356E" w:rsidP="009A356E">
            <w:pPr>
              <w:jc w:val="center"/>
              <w:rPr>
                <w:color w:val="000000"/>
                <w:sz w:val="18"/>
                <w:szCs w:val="18"/>
                <w:lang w:eastAsia="en-AU"/>
              </w:rPr>
            </w:pPr>
            <w:r w:rsidRPr="00C10545">
              <w:rPr>
                <w:color w:val="000000"/>
                <w:sz w:val="18"/>
                <w:szCs w:val="18"/>
                <w:lang w:eastAsia="en-AU"/>
              </w:rPr>
              <w:t xml:space="preserve"> 616.0 </w:t>
            </w:r>
          </w:p>
        </w:tc>
        <w:tc>
          <w:tcPr>
            <w:tcW w:w="517" w:type="pct"/>
            <w:tcBorders>
              <w:top w:val="nil"/>
              <w:left w:val="nil"/>
              <w:bottom w:val="single" w:sz="4" w:space="0" w:color="auto"/>
              <w:right w:val="single" w:sz="4" w:space="0" w:color="auto"/>
            </w:tcBorders>
            <w:shd w:val="clear" w:color="auto" w:fill="auto"/>
            <w:noWrap/>
            <w:vAlign w:val="bottom"/>
            <w:hideMark/>
          </w:tcPr>
          <w:p w14:paraId="14B23192" w14:textId="77777777" w:rsidR="009A356E" w:rsidRPr="00C10545" w:rsidRDefault="009A356E" w:rsidP="009A356E">
            <w:pPr>
              <w:jc w:val="center"/>
              <w:rPr>
                <w:color w:val="000000"/>
                <w:sz w:val="18"/>
                <w:szCs w:val="18"/>
                <w:lang w:eastAsia="en-AU"/>
              </w:rPr>
            </w:pPr>
            <w:r w:rsidRPr="00C10545">
              <w:rPr>
                <w:color w:val="000000"/>
                <w:sz w:val="18"/>
                <w:szCs w:val="18"/>
                <w:lang w:eastAsia="en-AU"/>
              </w:rPr>
              <w:t>13.7%</w:t>
            </w:r>
          </w:p>
        </w:tc>
        <w:tc>
          <w:tcPr>
            <w:tcW w:w="558" w:type="pct"/>
            <w:tcBorders>
              <w:top w:val="nil"/>
              <w:left w:val="nil"/>
              <w:bottom w:val="single" w:sz="4" w:space="0" w:color="auto"/>
              <w:right w:val="single" w:sz="4" w:space="0" w:color="auto"/>
            </w:tcBorders>
            <w:shd w:val="clear" w:color="auto" w:fill="auto"/>
            <w:noWrap/>
            <w:vAlign w:val="bottom"/>
            <w:hideMark/>
          </w:tcPr>
          <w:p w14:paraId="13245B99" w14:textId="77777777" w:rsidR="009A356E" w:rsidRPr="00C10545" w:rsidRDefault="009A356E" w:rsidP="009A356E">
            <w:pPr>
              <w:jc w:val="center"/>
              <w:rPr>
                <w:color w:val="000000"/>
                <w:sz w:val="18"/>
                <w:szCs w:val="18"/>
                <w:lang w:eastAsia="en-AU"/>
              </w:rPr>
            </w:pPr>
            <w:r w:rsidRPr="00C10545">
              <w:rPr>
                <w:color w:val="000000"/>
                <w:sz w:val="18"/>
                <w:szCs w:val="18"/>
                <w:lang w:eastAsia="en-AU"/>
              </w:rPr>
              <w:t>4.3%</w:t>
            </w:r>
          </w:p>
        </w:tc>
        <w:tc>
          <w:tcPr>
            <w:tcW w:w="517" w:type="pct"/>
            <w:tcBorders>
              <w:top w:val="nil"/>
              <w:left w:val="nil"/>
              <w:bottom w:val="single" w:sz="4" w:space="0" w:color="auto"/>
              <w:right w:val="single" w:sz="4" w:space="0" w:color="auto"/>
            </w:tcBorders>
            <w:shd w:val="clear" w:color="auto" w:fill="auto"/>
            <w:noWrap/>
            <w:vAlign w:val="bottom"/>
            <w:hideMark/>
          </w:tcPr>
          <w:p w14:paraId="74DAC0D7" w14:textId="77777777" w:rsidR="009A356E" w:rsidRPr="00C10545" w:rsidRDefault="009A356E" w:rsidP="009A356E">
            <w:pPr>
              <w:jc w:val="center"/>
              <w:rPr>
                <w:color w:val="000000"/>
                <w:sz w:val="18"/>
                <w:szCs w:val="18"/>
                <w:lang w:eastAsia="en-AU"/>
              </w:rPr>
            </w:pPr>
            <w:r w:rsidRPr="00C10545">
              <w:rPr>
                <w:color w:val="000000"/>
                <w:sz w:val="18"/>
                <w:szCs w:val="18"/>
                <w:lang w:eastAsia="en-AU"/>
              </w:rPr>
              <w:t>2.4%</w:t>
            </w:r>
          </w:p>
        </w:tc>
        <w:tc>
          <w:tcPr>
            <w:tcW w:w="596" w:type="pct"/>
            <w:tcBorders>
              <w:top w:val="nil"/>
              <w:left w:val="nil"/>
              <w:bottom w:val="single" w:sz="4" w:space="0" w:color="auto"/>
              <w:right w:val="single" w:sz="4" w:space="0" w:color="auto"/>
            </w:tcBorders>
            <w:shd w:val="clear" w:color="auto" w:fill="auto"/>
            <w:noWrap/>
            <w:vAlign w:val="bottom"/>
            <w:hideMark/>
          </w:tcPr>
          <w:p w14:paraId="0724E428" w14:textId="77A3762A" w:rsidR="009A356E" w:rsidRPr="00C10545" w:rsidRDefault="009A356E" w:rsidP="009A356E">
            <w:pPr>
              <w:jc w:val="center"/>
              <w:rPr>
                <w:color w:val="000000"/>
                <w:sz w:val="18"/>
                <w:szCs w:val="18"/>
                <w:lang w:eastAsia="en-AU"/>
              </w:rPr>
            </w:pPr>
            <w:r w:rsidRPr="00C10545">
              <w:rPr>
                <w:color w:val="000000"/>
                <w:sz w:val="18"/>
                <w:szCs w:val="18"/>
                <w:lang w:eastAsia="en-AU"/>
              </w:rPr>
              <w:t xml:space="preserve"> 132.9 </w:t>
            </w:r>
          </w:p>
        </w:tc>
        <w:tc>
          <w:tcPr>
            <w:tcW w:w="596" w:type="pct"/>
            <w:tcBorders>
              <w:top w:val="nil"/>
              <w:left w:val="nil"/>
              <w:bottom w:val="single" w:sz="4" w:space="0" w:color="auto"/>
              <w:right w:val="single" w:sz="4" w:space="0" w:color="auto"/>
            </w:tcBorders>
            <w:shd w:val="clear" w:color="auto" w:fill="auto"/>
            <w:noWrap/>
            <w:vAlign w:val="bottom"/>
            <w:hideMark/>
          </w:tcPr>
          <w:p w14:paraId="2D518329" w14:textId="77777777" w:rsidR="009A356E" w:rsidRPr="00C10545" w:rsidRDefault="009A356E" w:rsidP="009A356E">
            <w:pPr>
              <w:jc w:val="right"/>
              <w:rPr>
                <w:color w:val="000000"/>
                <w:sz w:val="18"/>
                <w:szCs w:val="18"/>
                <w:lang w:eastAsia="en-AU"/>
              </w:rPr>
            </w:pPr>
            <w:r w:rsidRPr="00C10545">
              <w:rPr>
                <w:color w:val="000000"/>
                <w:sz w:val="18"/>
                <w:szCs w:val="18"/>
                <w:lang w:eastAsia="en-AU"/>
              </w:rPr>
              <w:t>64%</w:t>
            </w:r>
          </w:p>
        </w:tc>
      </w:tr>
      <w:tr w:rsidR="009A356E" w:rsidRPr="00453D75" w14:paraId="4B3E3468" w14:textId="77777777" w:rsidTr="009A356E">
        <w:trPr>
          <w:trHeight w:val="240"/>
        </w:trPr>
        <w:tc>
          <w:tcPr>
            <w:tcW w:w="1143" w:type="pct"/>
            <w:tcBorders>
              <w:top w:val="nil"/>
              <w:left w:val="single" w:sz="4" w:space="0" w:color="auto"/>
              <w:bottom w:val="single" w:sz="4" w:space="0" w:color="auto"/>
              <w:right w:val="single" w:sz="4" w:space="0" w:color="auto"/>
            </w:tcBorders>
            <w:shd w:val="clear" w:color="auto" w:fill="auto"/>
            <w:noWrap/>
            <w:vAlign w:val="bottom"/>
            <w:hideMark/>
          </w:tcPr>
          <w:p w14:paraId="41D08699" w14:textId="77777777" w:rsidR="009A356E" w:rsidRPr="00C10545" w:rsidRDefault="009A356E" w:rsidP="009A356E">
            <w:pPr>
              <w:rPr>
                <w:sz w:val="18"/>
                <w:szCs w:val="18"/>
                <w:lang w:eastAsia="en-AU"/>
              </w:rPr>
            </w:pPr>
            <w:r w:rsidRPr="00C10545">
              <w:rPr>
                <w:sz w:val="18"/>
                <w:szCs w:val="18"/>
                <w:lang w:eastAsia="en-AU"/>
              </w:rPr>
              <w:t>Small Shires</w:t>
            </w:r>
          </w:p>
        </w:tc>
        <w:tc>
          <w:tcPr>
            <w:tcW w:w="544" w:type="pct"/>
            <w:tcBorders>
              <w:top w:val="nil"/>
              <w:left w:val="nil"/>
              <w:bottom w:val="single" w:sz="4" w:space="0" w:color="auto"/>
              <w:right w:val="single" w:sz="4" w:space="0" w:color="auto"/>
            </w:tcBorders>
            <w:shd w:val="clear" w:color="auto" w:fill="auto"/>
            <w:noWrap/>
            <w:vAlign w:val="bottom"/>
            <w:hideMark/>
          </w:tcPr>
          <w:p w14:paraId="77C881EE" w14:textId="253B3353" w:rsidR="009A356E" w:rsidRPr="00C10545" w:rsidRDefault="009A356E" w:rsidP="009A356E">
            <w:pPr>
              <w:jc w:val="center"/>
              <w:rPr>
                <w:color w:val="000000"/>
                <w:sz w:val="18"/>
                <w:szCs w:val="18"/>
                <w:lang w:eastAsia="en-AU"/>
              </w:rPr>
            </w:pPr>
            <w:r w:rsidRPr="00C10545">
              <w:rPr>
                <w:color w:val="000000"/>
                <w:sz w:val="18"/>
                <w:szCs w:val="18"/>
                <w:lang w:eastAsia="en-AU"/>
              </w:rPr>
              <w:t xml:space="preserve">36.2 </w:t>
            </w:r>
          </w:p>
        </w:tc>
        <w:tc>
          <w:tcPr>
            <w:tcW w:w="530" w:type="pct"/>
            <w:tcBorders>
              <w:top w:val="nil"/>
              <w:left w:val="nil"/>
              <w:bottom w:val="single" w:sz="4" w:space="0" w:color="auto"/>
              <w:right w:val="single" w:sz="4" w:space="0" w:color="auto"/>
            </w:tcBorders>
            <w:shd w:val="clear" w:color="auto" w:fill="auto"/>
            <w:noWrap/>
            <w:vAlign w:val="bottom"/>
            <w:hideMark/>
          </w:tcPr>
          <w:p w14:paraId="622D8C4F" w14:textId="2BD71172" w:rsidR="009A356E" w:rsidRPr="00C10545" w:rsidRDefault="009A356E" w:rsidP="009A356E">
            <w:pPr>
              <w:jc w:val="center"/>
              <w:rPr>
                <w:color w:val="000000"/>
                <w:sz w:val="18"/>
                <w:szCs w:val="18"/>
                <w:lang w:eastAsia="en-AU"/>
              </w:rPr>
            </w:pPr>
            <w:r w:rsidRPr="00C10545">
              <w:rPr>
                <w:color w:val="000000"/>
                <w:sz w:val="18"/>
                <w:szCs w:val="18"/>
                <w:lang w:eastAsia="en-AU"/>
              </w:rPr>
              <w:t xml:space="preserve"> 258.3 </w:t>
            </w:r>
          </w:p>
        </w:tc>
        <w:tc>
          <w:tcPr>
            <w:tcW w:w="517" w:type="pct"/>
            <w:tcBorders>
              <w:top w:val="nil"/>
              <w:left w:val="nil"/>
              <w:bottom w:val="single" w:sz="4" w:space="0" w:color="auto"/>
              <w:right w:val="single" w:sz="4" w:space="0" w:color="auto"/>
            </w:tcBorders>
            <w:shd w:val="clear" w:color="auto" w:fill="auto"/>
            <w:noWrap/>
            <w:vAlign w:val="bottom"/>
            <w:hideMark/>
          </w:tcPr>
          <w:p w14:paraId="086C8E7D" w14:textId="77777777" w:rsidR="009A356E" w:rsidRPr="00C10545" w:rsidRDefault="009A356E" w:rsidP="009A356E">
            <w:pPr>
              <w:jc w:val="center"/>
              <w:rPr>
                <w:color w:val="000000"/>
                <w:sz w:val="18"/>
                <w:szCs w:val="18"/>
                <w:lang w:eastAsia="en-AU"/>
              </w:rPr>
            </w:pPr>
            <w:r w:rsidRPr="00C10545">
              <w:rPr>
                <w:color w:val="000000"/>
                <w:sz w:val="18"/>
                <w:szCs w:val="18"/>
                <w:lang w:eastAsia="en-AU"/>
              </w:rPr>
              <w:t>14.0%</w:t>
            </w:r>
          </w:p>
        </w:tc>
        <w:tc>
          <w:tcPr>
            <w:tcW w:w="558" w:type="pct"/>
            <w:tcBorders>
              <w:top w:val="nil"/>
              <w:left w:val="nil"/>
              <w:bottom w:val="single" w:sz="4" w:space="0" w:color="auto"/>
              <w:right w:val="single" w:sz="4" w:space="0" w:color="auto"/>
            </w:tcBorders>
            <w:shd w:val="clear" w:color="auto" w:fill="auto"/>
            <w:noWrap/>
            <w:vAlign w:val="bottom"/>
            <w:hideMark/>
          </w:tcPr>
          <w:p w14:paraId="47A31871" w14:textId="77777777" w:rsidR="009A356E" w:rsidRPr="00C10545" w:rsidRDefault="009A356E" w:rsidP="009A356E">
            <w:pPr>
              <w:jc w:val="center"/>
              <w:rPr>
                <w:color w:val="000000"/>
                <w:sz w:val="18"/>
                <w:szCs w:val="18"/>
                <w:lang w:eastAsia="en-AU"/>
              </w:rPr>
            </w:pPr>
            <w:r w:rsidRPr="00C10545">
              <w:rPr>
                <w:color w:val="000000"/>
                <w:sz w:val="18"/>
                <w:szCs w:val="18"/>
                <w:lang w:eastAsia="en-AU"/>
              </w:rPr>
              <w:t>4.4%</w:t>
            </w:r>
          </w:p>
        </w:tc>
        <w:tc>
          <w:tcPr>
            <w:tcW w:w="517" w:type="pct"/>
            <w:tcBorders>
              <w:top w:val="nil"/>
              <w:left w:val="nil"/>
              <w:bottom w:val="single" w:sz="4" w:space="0" w:color="auto"/>
              <w:right w:val="single" w:sz="4" w:space="0" w:color="auto"/>
            </w:tcBorders>
            <w:shd w:val="clear" w:color="auto" w:fill="auto"/>
            <w:noWrap/>
            <w:vAlign w:val="bottom"/>
            <w:hideMark/>
          </w:tcPr>
          <w:p w14:paraId="56ED8862" w14:textId="77777777" w:rsidR="009A356E" w:rsidRPr="00C10545" w:rsidRDefault="009A356E" w:rsidP="009A356E">
            <w:pPr>
              <w:jc w:val="center"/>
              <w:rPr>
                <w:color w:val="000000"/>
                <w:sz w:val="18"/>
                <w:szCs w:val="18"/>
                <w:lang w:eastAsia="en-AU"/>
              </w:rPr>
            </w:pPr>
            <w:r w:rsidRPr="00C10545">
              <w:rPr>
                <w:color w:val="000000"/>
                <w:sz w:val="18"/>
                <w:szCs w:val="18"/>
                <w:lang w:eastAsia="en-AU"/>
              </w:rPr>
              <w:t>2.5%</w:t>
            </w:r>
          </w:p>
        </w:tc>
        <w:tc>
          <w:tcPr>
            <w:tcW w:w="596" w:type="pct"/>
            <w:tcBorders>
              <w:top w:val="nil"/>
              <w:left w:val="nil"/>
              <w:bottom w:val="single" w:sz="4" w:space="0" w:color="auto"/>
              <w:right w:val="single" w:sz="4" w:space="0" w:color="auto"/>
            </w:tcBorders>
            <w:shd w:val="clear" w:color="auto" w:fill="auto"/>
            <w:noWrap/>
            <w:vAlign w:val="bottom"/>
            <w:hideMark/>
          </w:tcPr>
          <w:p w14:paraId="7195EF91" w14:textId="4E8A77C7" w:rsidR="009A356E" w:rsidRPr="00C10545" w:rsidRDefault="009A356E" w:rsidP="009A356E">
            <w:pPr>
              <w:jc w:val="center"/>
              <w:rPr>
                <w:color w:val="000000"/>
                <w:sz w:val="18"/>
                <w:szCs w:val="18"/>
                <w:lang w:eastAsia="en-AU"/>
              </w:rPr>
            </w:pPr>
            <w:r w:rsidRPr="00C10545">
              <w:rPr>
                <w:color w:val="000000"/>
                <w:sz w:val="18"/>
                <w:szCs w:val="18"/>
                <w:lang w:eastAsia="en-AU"/>
              </w:rPr>
              <w:t xml:space="preserve"> 93.1 </w:t>
            </w:r>
          </w:p>
        </w:tc>
        <w:tc>
          <w:tcPr>
            <w:tcW w:w="596" w:type="pct"/>
            <w:tcBorders>
              <w:top w:val="nil"/>
              <w:left w:val="nil"/>
              <w:bottom w:val="single" w:sz="4" w:space="0" w:color="auto"/>
              <w:right w:val="single" w:sz="4" w:space="0" w:color="auto"/>
            </w:tcBorders>
            <w:shd w:val="clear" w:color="auto" w:fill="auto"/>
            <w:noWrap/>
            <w:vAlign w:val="bottom"/>
            <w:hideMark/>
          </w:tcPr>
          <w:p w14:paraId="201470F5" w14:textId="77777777" w:rsidR="009A356E" w:rsidRPr="00C10545" w:rsidRDefault="009A356E" w:rsidP="009A356E">
            <w:pPr>
              <w:jc w:val="right"/>
              <w:rPr>
                <w:color w:val="000000"/>
                <w:sz w:val="18"/>
                <w:szCs w:val="18"/>
                <w:lang w:eastAsia="en-AU"/>
              </w:rPr>
            </w:pPr>
            <w:r w:rsidRPr="00C10545">
              <w:rPr>
                <w:color w:val="000000"/>
                <w:sz w:val="18"/>
                <w:szCs w:val="18"/>
                <w:lang w:eastAsia="en-AU"/>
              </w:rPr>
              <w:t>39%</w:t>
            </w:r>
          </w:p>
        </w:tc>
      </w:tr>
      <w:tr w:rsidR="009A356E" w:rsidRPr="00453D75" w14:paraId="24C5A73A" w14:textId="77777777" w:rsidTr="009A356E">
        <w:trPr>
          <w:trHeight w:val="240"/>
        </w:trPr>
        <w:tc>
          <w:tcPr>
            <w:tcW w:w="1143" w:type="pct"/>
            <w:tcBorders>
              <w:top w:val="nil"/>
              <w:left w:val="single" w:sz="4" w:space="0" w:color="auto"/>
              <w:bottom w:val="single" w:sz="4" w:space="0" w:color="auto"/>
              <w:right w:val="single" w:sz="4" w:space="0" w:color="auto"/>
            </w:tcBorders>
            <w:shd w:val="clear" w:color="auto" w:fill="auto"/>
            <w:noWrap/>
            <w:vAlign w:val="bottom"/>
            <w:hideMark/>
          </w:tcPr>
          <w:p w14:paraId="2C6D459C" w14:textId="77777777" w:rsidR="009A356E" w:rsidRPr="00C10545" w:rsidRDefault="009A356E" w:rsidP="009A356E">
            <w:pPr>
              <w:rPr>
                <w:sz w:val="18"/>
                <w:szCs w:val="18"/>
                <w:lang w:eastAsia="en-AU"/>
              </w:rPr>
            </w:pPr>
            <w:r w:rsidRPr="00C10545">
              <w:rPr>
                <w:sz w:val="18"/>
                <w:szCs w:val="18"/>
                <w:lang w:eastAsia="en-AU"/>
              </w:rPr>
              <w:t>All Councils</w:t>
            </w:r>
          </w:p>
        </w:tc>
        <w:tc>
          <w:tcPr>
            <w:tcW w:w="544" w:type="pct"/>
            <w:tcBorders>
              <w:top w:val="nil"/>
              <w:left w:val="nil"/>
              <w:bottom w:val="single" w:sz="4" w:space="0" w:color="auto"/>
              <w:right w:val="single" w:sz="4" w:space="0" w:color="auto"/>
            </w:tcBorders>
            <w:shd w:val="clear" w:color="auto" w:fill="auto"/>
            <w:noWrap/>
            <w:vAlign w:val="bottom"/>
            <w:hideMark/>
          </w:tcPr>
          <w:p w14:paraId="7714449D" w14:textId="77714DE7" w:rsidR="009A356E" w:rsidRPr="00C10545" w:rsidRDefault="009A356E" w:rsidP="009A356E">
            <w:pPr>
              <w:jc w:val="center"/>
              <w:rPr>
                <w:color w:val="000000"/>
                <w:sz w:val="18"/>
                <w:szCs w:val="18"/>
                <w:lang w:eastAsia="en-AU"/>
              </w:rPr>
            </w:pPr>
            <w:r w:rsidRPr="00C10545">
              <w:rPr>
                <w:color w:val="000000"/>
                <w:sz w:val="18"/>
                <w:szCs w:val="18"/>
                <w:lang w:eastAsia="en-AU"/>
              </w:rPr>
              <w:t xml:space="preserve">462.6 </w:t>
            </w:r>
          </w:p>
        </w:tc>
        <w:tc>
          <w:tcPr>
            <w:tcW w:w="530" w:type="pct"/>
            <w:tcBorders>
              <w:top w:val="nil"/>
              <w:left w:val="nil"/>
              <w:bottom w:val="single" w:sz="4" w:space="0" w:color="auto"/>
              <w:right w:val="single" w:sz="4" w:space="0" w:color="auto"/>
            </w:tcBorders>
            <w:shd w:val="clear" w:color="auto" w:fill="auto"/>
            <w:noWrap/>
            <w:vAlign w:val="bottom"/>
            <w:hideMark/>
          </w:tcPr>
          <w:p w14:paraId="5F993E28" w14:textId="50C68596" w:rsidR="009A356E" w:rsidRPr="00C10545" w:rsidRDefault="009A356E" w:rsidP="009A356E">
            <w:pPr>
              <w:jc w:val="center"/>
              <w:rPr>
                <w:color w:val="000000"/>
                <w:sz w:val="18"/>
                <w:szCs w:val="18"/>
                <w:lang w:eastAsia="en-AU"/>
              </w:rPr>
            </w:pPr>
            <w:r w:rsidRPr="00C10545">
              <w:rPr>
                <w:color w:val="000000"/>
                <w:sz w:val="18"/>
                <w:szCs w:val="18"/>
                <w:lang w:eastAsia="en-AU"/>
              </w:rPr>
              <w:t xml:space="preserve">4,105.0 </w:t>
            </w:r>
          </w:p>
        </w:tc>
        <w:tc>
          <w:tcPr>
            <w:tcW w:w="517" w:type="pct"/>
            <w:tcBorders>
              <w:top w:val="nil"/>
              <w:left w:val="nil"/>
              <w:bottom w:val="single" w:sz="4" w:space="0" w:color="auto"/>
              <w:right w:val="single" w:sz="4" w:space="0" w:color="auto"/>
            </w:tcBorders>
            <w:shd w:val="clear" w:color="auto" w:fill="auto"/>
            <w:noWrap/>
            <w:vAlign w:val="bottom"/>
            <w:hideMark/>
          </w:tcPr>
          <w:p w14:paraId="14F27FCB" w14:textId="77777777" w:rsidR="009A356E" w:rsidRPr="00C10545" w:rsidRDefault="009A356E" w:rsidP="009A356E">
            <w:pPr>
              <w:jc w:val="center"/>
              <w:rPr>
                <w:color w:val="000000"/>
                <w:sz w:val="18"/>
                <w:szCs w:val="18"/>
                <w:lang w:eastAsia="en-AU"/>
              </w:rPr>
            </w:pPr>
            <w:r w:rsidRPr="00C10545">
              <w:rPr>
                <w:color w:val="000000"/>
                <w:sz w:val="18"/>
                <w:szCs w:val="18"/>
                <w:lang w:eastAsia="en-AU"/>
              </w:rPr>
              <w:t>11.3%</w:t>
            </w:r>
          </w:p>
        </w:tc>
        <w:tc>
          <w:tcPr>
            <w:tcW w:w="558" w:type="pct"/>
            <w:tcBorders>
              <w:top w:val="nil"/>
              <w:left w:val="nil"/>
              <w:bottom w:val="single" w:sz="4" w:space="0" w:color="auto"/>
              <w:right w:val="single" w:sz="4" w:space="0" w:color="auto"/>
            </w:tcBorders>
            <w:shd w:val="clear" w:color="auto" w:fill="auto"/>
            <w:noWrap/>
            <w:vAlign w:val="bottom"/>
            <w:hideMark/>
          </w:tcPr>
          <w:p w14:paraId="361D3A81" w14:textId="77777777" w:rsidR="009A356E" w:rsidRPr="00C10545" w:rsidRDefault="009A356E" w:rsidP="009A356E">
            <w:pPr>
              <w:jc w:val="center"/>
              <w:rPr>
                <w:color w:val="000000"/>
                <w:sz w:val="18"/>
                <w:szCs w:val="18"/>
                <w:lang w:eastAsia="en-AU"/>
              </w:rPr>
            </w:pPr>
            <w:r w:rsidRPr="00C10545">
              <w:rPr>
                <w:color w:val="000000"/>
                <w:sz w:val="18"/>
                <w:szCs w:val="18"/>
                <w:lang w:eastAsia="en-AU"/>
              </w:rPr>
              <w:t>3.5%</w:t>
            </w:r>
          </w:p>
        </w:tc>
        <w:tc>
          <w:tcPr>
            <w:tcW w:w="517" w:type="pct"/>
            <w:tcBorders>
              <w:top w:val="nil"/>
              <w:left w:val="nil"/>
              <w:bottom w:val="single" w:sz="4" w:space="0" w:color="auto"/>
              <w:right w:val="single" w:sz="4" w:space="0" w:color="auto"/>
            </w:tcBorders>
            <w:shd w:val="clear" w:color="auto" w:fill="auto"/>
            <w:noWrap/>
            <w:vAlign w:val="bottom"/>
            <w:hideMark/>
          </w:tcPr>
          <w:p w14:paraId="1A5A43B4" w14:textId="77777777" w:rsidR="009A356E" w:rsidRPr="00C10545" w:rsidRDefault="009A356E" w:rsidP="009A356E">
            <w:pPr>
              <w:jc w:val="center"/>
              <w:rPr>
                <w:color w:val="000000"/>
                <w:sz w:val="18"/>
                <w:szCs w:val="18"/>
                <w:lang w:eastAsia="en-AU"/>
              </w:rPr>
            </w:pPr>
            <w:r w:rsidRPr="00C10545">
              <w:rPr>
                <w:color w:val="000000"/>
                <w:sz w:val="18"/>
                <w:szCs w:val="18"/>
                <w:lang w:eastAsia="en-AU"/>
              </w:rPr>
              <w:t>2.0%</w:t>
            </w:r>
          </w:p>
        </w:tc>
        <w:tc>
          <w:tcPr>
            <w:tcW w:w="596" w:type="pct"/>
            <w:tcBorders>
              <w:top w:val="nil"/>
              <w:left w:val="nil"/>
              <w:bottom w:val="single" w:sz="4" w:space="0" w:color="auto"/>
              <w:right w:val="single" w:sz="4" w:space="0" w:color="auto"/>
            </w:tcBorders>
            <w:shd w:val="clear" w:color="auto" w:fill="auto"/>
            <w:noWrap/>
            <w:vAlign w:val="bottom"/>
            <w:hideMark/>
          </w:tcPr>
          <w:p w14:paraId="13E405E4" w14:textId="6E1A2CAB" w:rsidR="009A356E" w:rsidRPr="00C10545" w:rsidRDefault="009A356E" w:rsidP="009A356E">
            <w:pPr>
              <w:jc w:val="center"/>
              <w:rPr>
                <w:color w:val="000000"/>
                <w:sz w:val="18"/>
                <w:szCs w:val="18"/>
                <w:lang w:eastAsia="en-AU"/>
              </w:rPr>
            </w:pPr>
            <w:r w:rsidRPr="00C10545">
              <w:rPr>
                <w:color w:val="000000"/>
                <w:sz w:val="18"/>
                <w:szCs w:val="18"/>
                <w:lang w:eastAsia="en-AU"/>
              </w:rPr>
              <w:t xml:space="preserve"> 777.8 </w:t>
            </w:r>
          </w:p>
        </w:tc>
        <w:tc>
          <w:tcPr>
            <w:tcW w:w="596" w:type="pct"/>
            <w:tcBorders>
              <w:top w:val="nil"/>
              <w:left w:val="nil"/>
              <w:bottom w:val="single" w:sz="4" w:space="0" w:color="auto"/>
              <w:right w:val="single" w:sz="4" w:space="0" w:color="auto"/>
            </w:tcBorders>
            <w:shd w:val="clear" w:color="auto" w:fill="auto"/>
            <w:noWrap/>
            <w:vAlign w:val="bottom"/>
            <w:hideMark/>
          </w:tcPr>
          <w:p w14:paraId="2DC2C9D4" w14:textId="77777777" w:rsidR="009A356E" w:rsidRPr="00C10545" w:rsidRDefault="009A356E" w:rsidP="009A356E">
            <w:pPr>
              <w:jc w:val="right"/>
              <w:rPr>
                <w:color w:val="000000"/>
                <w:sz w:val="18"/>
                <w:szCs w:val="18"/>
                <w:lang w:eastAsia="en-AU"/>
              </w:rPr>
            </w:pPr>
            <w:r w:rsidRPr="00C10545">
              <w:rPr>
                <w:color w:val="000000"/>
                <w:sz w:val="18"/>
                <w:szCs w:val="18"/>
                <w:lang w:eastAsia="en-AU"/>
              </w:rPr>
              <w:t>59%</w:t>
            </w:r>
          </w:p>
        </w:tc>
      </w:tr>
      <w:tr w:rsidR="009A356E" w:rsidRPr="00453D75" w14:paraId="7B355000" w14:textId="77777777" w:rsidTr="009A356E">
        <w:trPr>
          <w:trHeight w:val="240"/>
        </w:trPr>
        <w:tc>
          <w:tcPr>
            <w:tcW w:w="1143" w:type="pct"/>
            <w:tcBorders>
              <w:top w:val="nil"/>
              <w:left w:val="single" w:sz="4" w:space="0" w:color="auto"/>
              <w:bottom w:val="single" w:sz="4" w:space="0" w:color="auto"/>
              <w:right w:val="single" w:sz="4" w:space="0" w:color="auto"/>
            </w:tcBorders>
            <w:shd w:val="clear" w:color="000000" w:fill="000000"/>
            <w:noWrap/>
            <w:vAlign w:val="bottom"/>
            <w:hideMark/>
          </w:tcPr>
          <w:p w14:paraId="4DAD3469" w14:textId="77777777" w:rsidR="009A356E" w:rsidRPr="00C10545" w:rsidRDefault="009A356E" w:rsidP="009A356E">
            <w:pPr>
              <w:rPr>
                <w:sz w:val="18"/>
                <w:szCs w:val="18"/>
                <w:lang w:eastAsia="en-AU"/>
              </w:rPr>
            </w:pPr>
            <w:r w:rsidRPr="00C10545">
              <w:rPr>
                <w:sz w:val="18"/>
                <w:szCs w:val="18"/>
                <w:lang w:eastAsia="en-AU"/>
              </w:rPr>
              <w:t> </w:t>
            </w:r>
          </w:p>
        </w:tc>
        <w:tc>
          <w:tcPr>
            <w:tcW w:w="544" w:type="pct"/>
            <w:tcBorders>
              <w:top w:val="nil"/>
              <w:left w:val="nil"/>
              <w:bottom w:val="single" w:sz="4" w:space="0" w:color="auto"/>
              <w:right w:val="single" w:sz="4" w:space="0" w:color="auto"/>
            </w:tcBorders>
            <w:shd w:val="clear" w:color="000000" w:fill="000000"/>
            <w:noWrap/>
            <w:vAlign w:val="bottom"/>
            <w:hideMark/>
          </w:tcPr>
          <w:p w14:paraId="08C07FE8" w14:textId="77777777" w:rsidR="009A356E" w:rsidRPr="00C10545" w:rsidRDefault="009A356E" w:rsidP="009A356E">
            <w:pPr>
              <w:jc w:val="center"/>
              <w:rPr>
                <w:color w:val="000000"/>
                <w:sz w:val="18"/>
                <w:szCs w:val="18"/>
                <w:lang w:eastAsia="en-AU"/>
              </w:rPr>
            </w:pPr>
            <w:r w:rsidRPr="00C10545">
              <w:rPr>
                <w:color w:val="000000"/>
                <w:sz w:val="18"/>
                <w:szCs w:val="18"/>
                <w:lang w:eastAsia="en-AU"/>
              </w:rPr>
              <w:t> </w:t>
            </w:r>
          </w:p>
        </w:tc>
        <w:tc>
          <w:tcPr>
            <w:tcW w:w="530" w:type="pct"/>
            <w:tcBorders>
              <w:top w:val="nil"/>
              <w:left w:val="nil"/>
              <w:bottom w:val="single" w:sz="4" w:space="0" w:color="auto"/>
              <w:right w:val="single" w:sz="4" w:space="0" w:color="auto"/>
            </w:tcBorders>
            <w:shd w:val="clear" w:color="000000" w:fill="000000"/>
            <w:noWrap/>
            <w:vAlign w:val="bottom"/>
            <w:hideMark/>
          </w:tcPr>
          <w:p w14:paraId="5BF7A000" w14:textId="77777777" w:rsidR="009A356E" w:rsidRPr="00C10545" w:rsidRDefault="009A356E" w:rsidP="009A356E">
            <w:pPr>
              <w:jc w:val="center"/>
              <w:rPr>
                <w:color w:val="000000"/>
                <w:sz w:val="18"/>
                <w:szCs w:val="18"/>
                <w:lang w:eastAsia="en-AU"/>
              </w:rPr>
            </w:pPr>
            <w:r w:rsidRPr="00C10545">
              <w:rPr>
                <w:color w:val="000000"/>
                <w:sz w:val="18"/>
                <w:szCs w:val="18"/>
                <w:lang w:eastAsia="en-AU"/>
              </w:rPr>
              <w:t> </w:t>
            </w:r>
          </w:p>
        </w:tc>
        <w:tc>
          <w:tcPr>
            <w:tcW w:w="517" w:type="pct"/>
            <w:tcBorders>
              <w:top w:val="nil"/>
              <w:left w:val="nil"/>
              <w:bottom w:val="single" w:sz="4" w:space="0" w:color="auto"/>
              <w:right w:val="single" w:sz="4" w:space="0" w:color="auto"/>
            </w:tcBorders>
            <w:shd w:val="clear" w:color="000000" w:fill="000000"/>
            <w:noWrap/>
            <w:vAlign w:val="bottom"/>
            <w:hideMark/>
          </w:tcPr>
          <w:p w14:paraId="45C20D18" w14:textId="77777777" w:rsidR="009A356E" w:rsidRPr="00C10545" w:rsidRDefault="009A356E" w:rsidP="009A356E">
            <w:pPr>
              <w:jc w:val="center"/>
              <w:rPr>
                <w:color w:val="000000"/>
                <w:sz w:val="18"/>
                <w:szCs w:val="18"/>
                <w:lang w:eastAsia="en-AU"/>
              </w:rPr>
            </w:pPr>
            <w:r w:rsidRPr="00C10545">
              <w:rPr>
                <w:color w:val="000000"/>
                <w:sz w:val="18"/>
                <w:szCs w:val="18"/>
                <w:lang w:eastAsia="en-AU"/>
              </w:rPr>
              <w:t> </w:t>
            </w:r>
          </w:p>
        </w:tc>
        <w:tc>
          <w:tcPr>
            <w:tcW w:w="558" w:type="pct"/>
            <w:tcBorders>
              <w:top w:val="nil"/>
              <w:left w:val="nil"/>
              <w:bottom w:val="single" w:sz="4" w:space="0" w:color="auto"/>
              <w:right w:val="single" w:sz="4" w:space="0" w:color="auto"/>
            </w:tcBorders>
            <w:shd w:val="clear" w:color="000000" w:fill="000000"/>
            <w:noWrap/>
            <w:vAlign w:val="bottom"/>
            <w:hideMark/>
          </w:tcPr>
          <w:p w14:paraId="407D3D8A" w14:textId="77777777" w:rsidR="009A356E" w:rsidRPr="00C10545" w:rsidRDefault="009A356E" w:rsidP="009A356E">
            <w:pPr>
              <w:jc w:val="center"/>
              <w:rPr>
                <w:color w:val="000000"/>
                <w:sz w:val="18"/>
                <w:szCs w:val="18"/>
                <w:lang w:eastAsia="en-AU"/>
              </w:rPr>
            </w:pPr>
            <w:r w:rsidRPr="00C10545">
              <w:rPr>
                <w:color w:val="000000"/>
                <w:sz w:val="18"/>
                <w:szCs w:val="18"/>
                <w:lang w:eastAsia="en-AU"/>
              </w:rPr>
              <w:t> </w:t>
            </w:r>
          </w:p>
        </w:tc>
        <w:tc>
          <w:tcPr>
            <w:tcW w:w="517" w:type="pct"/>
            <w:tcBorders>
              <w:top w:val="nil"/>
              <w:left w:val="nil"/>
              <w:bottom w:val="single" w:sz="4" w:space="0" w:color="auto"/>
              <w:right w:val="single" w:sz="4" w:space="0" w:color="auto"/>
            </w:tcBorders>
            <w:shd w:val="clear" w:color="000000" w:fill="000000"/>
            <w:noWrap/>
            <w:vAlign w:val="bottom"/>
            <w:hideMark/>
          </w:tcPr>
          <w:p w14:paraId="1FAEBF96" w14:textId="77777777" w:rsidR="009A356E" w:rsidRPr="00C10545" w:rsidRDefault="009A356E" w:rsidP="009A356E">
            <w:pPr>
              <w:jc w:val="center"/>
              <w:rPr>
                <w:color w:val="000000"/>
                <w:sz w:val="18"/>
                <w:szCs w:val="18"/>
                <w:lang w:eastAsia="en-AU"/>
              </w:rPr>
            </w:pPr>
            <w:r w:rsidRPr="00C10545">
              <w:rPr>
                <w:color w:val="000000"/>
                <w:sz w:val="18"/>
                <w:szCs w:val="18"/>
                <w:lang w:eastAsia="en-AU"/>
              </w:rPr>
              <w:t> </w:t>
            </w:r>
          </w:p>
        </w:tc>
        <w:tc>
          <w:tcPr>
            <w:tcW w:w="596" w:type="pct"/>
            <w:tcBorders>
              <w:top w:val="nil"/>
              <w:left w:val="nil"/>
              <w:bottom w:val="single" w:sz="4" w:space="0" w:color="auto"/>
              <w:right w:val="single" w:sz="4" w:space="0" w:color="auto"/>
            </w:tcBorders>
            <w:shd w:val="clear" w:color="000000" w:fill="000000"/>
            <w:noWrap/>
            <w:vAlign w:val="bottom"/>
            <w:hideMark/>
          </w:tcPr>
          <w:p w14:paraId="0DF898EA" w14:textId="77777777" w:rsidR="009A356E" w:rsidRPr="00C10545" w:rsidRDefault="009A356E" w:rsidP="009A356E">
            <w:pPr>
              <w:jc w:val="center"/>
              <w:rPr>
                <w:color w:val="000000"/>
                <w:sz w:val="18"/>
                <w:szCs w:val="18"/>
                <w:lang w:eastAsia="en-AU"/>
              </w:rPr>
            </w:pPr>
            <w:r w:rsidRPr="00C10545">
              <w:rPr>
                <w:color w:val="000000"/>
                <w:sz w:val="18"/>
                <w:szCs w:val="18"/>
                <w:lang w:eastAsia="en-AU"/>
              </w:rPr>
              <w:t> </w:t>
            </w:r>
          </w:p>
        </w:tc>
        <w:tc>
          <w:tcPr>
            <w:tcW w:w="596" w:type="pct"/>
            <w:tcBorders>
              <w:top w:val="nil"/>
              <w:left w:val="nil"/>
              <w:bottom w:val="single" w:sz="4" w:space="0" w:color="auto"/>
              <w:right w:val="single" w:sz="4" w:space="0" w:color="auto"/>
            </w:tcBorders>
            <w:shd w:val="clear" w:color="000000" w:fill="000000"/>
            <w:noWrap/>
            <w:vAlign w:val="bottom"/>
            <w:hideMark/>
          </w:tcPr>
          <w:p w14:paraId="150EFE0F" w14:textId="77777777" w:rsidR="009A356E" w:rsidRPr="00C10545" w:rsidRDefault="009A356E" w:rsidP="009A356E">
            <w:pPr>
              <w:rPr>
                <w:color w:val="000000"/>
                <w:sz w:val="18"/>
                <w:szCs w:val="18"/>
                <w:lang w:eastAsia="en-AU"/>
              </w:rPr>
            </w:pPr>
            <w:r w:rsidRPr="00C10545">
              <w:rPr>
                <w:color w:val="000000"/>
                <w:sz w:val="18"/>
                <w:szCs w:val="18"/>
                <w:lang w:eastAsia="en-AU"/>
              </w:rPr>
              <w:t> </w:t>
            </w:r>
          </w:p>
        </w:tc>
      </w:tr>
      <w:tr w:rsidR="009A356E" w:rsidRPr="00453D75" w14:paraId="6C922495" w14:textId="77777777" w:rsidTr="009A356E">
        <w:trPr>
          <w:trHeight w:val="240"/>
        </w:trPr>
        <w:tc>
          <w:tcPr>
            <w:tcW w:w="1143" w:type="pct"/>
            <w:tcBorders>
              <w:top w:val="nil"/>
              <w:left w:val="single" w:sz="4" w:space="0" w:color="auto"/>
              <w:bottom w:val="single" w:sz="4" w:space="0" w:color="auto"/>
              <w:right w:val="single" w:sz="4" w:space="0" w:color="auto"/>
            </w:tcBorders>
            <w:shd w:val="clear" w:color="auto" w:fill="auto"/>
            <w:noWrap/>
            <w:vAlign w:val="bottom"/>
            <w:hideMark/>
          </w:tcPr>
          <w:p w14:paraId="474B05F0" w14:textId="77777777" w:rsidR="009A356E" w:rsidRPr="00C10545" w:rsidRDefault="009A356E" w:rsidP="009A356E">
            <w:pPr>
              <w:rPr>
                <w:sz w:val="18"/>
                <w:szCs w:val="18"/>
                <w:lang w:eastAsia="en-AU"/>
              </w:rPr>
            </w:pPr>
            <w:r w:rsidRPr="00C10545">
              <w:rPr>
                <w:sz w:val="18"/>
                <w:szCs w:val="18"/>
                <w:lang w:eastAsia="en-AU"/>
              </w:rPr>
              <w:t>Rural &amp; Regional</w:t>
            </w:r>
          </w:p>
        </w:tc>
        <w:tc>
          <w:tcPr>
            <w:tcW w:w="544" w:type="pct"/>
            <w:tcBorders>
              <w:top w:val="nil"/>
              <w:left w:val="nil"/>
              <w:bottom w:val="single" w:sz="4" w:space="0" w:color="auto"/>
              <w:right w:val="single" w:sz="4" w:space="0" w:color="auto"/>
            </w:tcBorders>
            <w:shd w:val="clear" w:color="auto" w:fill="auto"/>
            <w:noWrap/>
            <w:vAlign w:val="bottom"/>
            <w:hideMark/>
          </w:tcPr>
          <w:p w14:paraId="242F9E48" w14:textId="6B6D2FE9" w:rsidR="009A356E" w:rsidRPr="00C10545" w:rsidRDefault="009A356E" w:rsidP="009A356E">
            <w:pPr>
              <w:jc w:val="center"/>
              <w:rPr>
                <w:sz w:val="18"/>
                <w:szCs w:val="18"/>
                <w:lang w:eastAsia="en-AU"/>
              </w:rPr>
            </w:pPr>
            <w:r w:rsidRPr="00C10545">
              <w:rPr>
                <w:sz w:val="18"/>
                <w:szCs w:val="18"/>
                <w:lang w:eastAsia="en-AU"/>
              </w:rPr>
              <w:t xml:space="preserve">172.5 </w:t>
            </w:r>
          </w:p>
        </w:tc>
        <w:tc>
          <w:tcPr>
            <w:tcW w:w="530" w:type="pct"/>
            <w:tcBorders>
              <w:top w:val="nil"/>
              <w:left w:val="nil"/>
              <w:bottom w:val="single" w:sz="4" w:space="0" w:color="auto"/>
              <w:right w:val="single" w:sz="4" w:space="0" w:color="auto"/>
            </w:tcBorders>
            <w:shd w:val="clear" w:color="auto" w:fill="auto"/>
            <w:noWrap/>
            <w:vAlign w:val="bottom"/>
            <w:hideMark/>
          </w:tcPr>
          <w:p w14:paraId="51D7FEAE" w14:textId="56D3E2CC" w:rsidR="009A356E" w:rsidRPr="00C10545" w:rsidRDefault="009A356E" w:rsidP="009A356E">
            <w:pPr>
              <w:jc w:val="center"/>
              <w:rPr>
                <w:sz w:val="18"/>
                <w:szCs w:val="18"/>
                <w:lang w:eastAsia="en-AU"/>
              </w:rPr>
            </w:pPr>
            <w:r w:rsidRPr="00C10545">
              <w:rPr>
                <w:sz w:val="18"/>
                <w:szCs w:val="18"/>
                <w:lang w:eastAsia="en-AU"/>
              </w:rPr>
              <w:t xml:space="preserve">1,314.9 </w:t>
            </w:r>
          </w:p>
        </w:tc>
        <w:tc>
          <w:tcPr>
            <w:tcW w:w="517" w:type="pct"/>
            <w:tcBorders>
              <w:top w:val="nil"/>
              <w:left w:val="nil"/>
              <w:bottom w:val="single" w:sz="4" w:space="0" w:color="auto"/>
              <w:right w:val="single" w:sz="4" w:space="0" w:color="auto"/>
            </w:tcBorders>
            <w:shd w:val="clear" w:color="auto" w:fill="auto"/>
            <w:noWrap/>
            <w:vAlign w:val="bottom"/>
            <w:hideMark/>
          </w:tcPr>
          <w:p w14:paraId="665240D6" w14:textId="77777777" w:rsidR="009A356E" w:rsidRPr="00C10545" w:rsidRDefault="009A356E" w:rsidP="009A356E">
            <w:pPr>
              <w:jc w:val="center"/>
              <w:rPr>
                <w:color w:val="000000"/>
                <w:sz w:val="18"/>
                <w:szCs w:val="18"/>
                <w:lang w:eastAsia="en-AU"/>
              </w:rPr>
            </w:pPr>
            <w:r w:rsidRPr="00C10545">
              <w:rPr>
                <w:color w:val="000000"/>
                <w:sz w:val="18"/>
                <w:szCs w:val="18"/>
                <w:lang w:eastAsia="en-AU"/>
              </w:rPr>
              <w:t>13.1%</w:t>
            </w:r>
          </w:p>
        </w:tc>
        <w:tc>
          <w:tcPr>
            <w:tcW w:w="558" w:type="pct"/>
            <w:tcBorders>
              <w:top w:val="nil"/>
              <w:left w:val="nil"/>
              <w:bottom w:val="single" w:sz="4" w:space="0" w:color="auto"/>
              <w:right w:val="single" w:sz="4" w:space="0" w:color="auto"/>
            </w:tcBorders>
            <w:shd w:val="clear" w:color="auto" w:fill="auto"/>
            <w:noWrap/>
            <w:vAlign w:val="bottom"/>
            <w:hideMark/>
          </w:tcPr>
          <w:p w14:paraId="7C8E3398" w14:textId="77777777" w:rsidR="009A356E" w:rsidRPr="00C10545" w:rsidRDefault="009A356E" w:rsidP="009A356E">
            <w:pPr>
              <w:jc w:val="center"/>
              <w:rPr>
                <w:color w:val="000000"/>
                <w:sz w:val="18"/>
                <w:szCs w:val="18"/>
                <w:lang w:eastAsia="en-AU"/>
              </w:rPr>
            </w:pPr>
            <w:r w:rsidRPr="00C10545">
              <w:rPr>
                <w:color w:val="000000"/>
                <w:sz w:val="18"/>
                <w:szCs w:val="18"/>
                <w:lang w:eastAsia="en-AU"/>
              </w:rPr>
              <w:t>4.1%</w:t>
            </w:r>
          </w:p>
        </w:tc>
        <w:tc>
          <w:tcPr>
            <w:tcW w:w="517" w:type="pct"/>
            <w:tcBorders>
              <w:top w:val="nil"/>
              <w:left w:val="nil"/>
              <w:bottom w:val="single" w:sz="4" w:space="0" w:color="auto"/>
              <w:right w:val="single" w:sz="4" w:space="0" w:color="auto"/>
            </w:tcBorders>
            <w:shd w:val="clear" w:color="auto" w:fill="auto"/>
            <w:noWrap/>
            <w:vAlign w:val="bottom"/>
            <w:hideMark/>
          </w:tcPr>
          <w:p w14:paraId="765E56F6" w14:textId="77777777" w:rsidR="009A356E" w:rsidRPr="00C10545" w:rsidRDefault="009A356E" w:rsidP="009A356E">
            <w:pPr>
              <w:jc w:val="center"/>
              <w:rPr>
                <w:color w:val="000000"/>
                <w:sz w:val="18"/>
                <w:szCs w:val="18"/>
                <w:lang w:eastAsia="en-AU"/>
              </w:rPr>
            </w:pPr>
            <w:r w:rsidRPr="00C10545">
              <w:rPr>
                <w:color w:val="000000"/>
                <w:sz w:val="18"/>
                <w:szCs w:val="18"/>
                <w:lang w:eastAsia="en-AU"/>
              </w:rPr>
              <w:t>2.3%</w:t>
            </w:r>
          </w:p>
        </w:tc>
        <w:tc>
          <w:tcPr>
            <w:tcW w:w="596" w:type="pct"/>
            <w:tcBorders>
              <w:top w:val="nil"/>
              <w:left w:val="nil"/>
              <w:bottom w:val="single" w:sz="4" w:space="0" w:color="auto"/>
              <w:right w:val="single" w:sz="4" w:space="0" w:color="auto"/>
            </w:tcBorders>
            <w:shd w:val="clear" w:color="auto" w:fill="auto"/>
            <w:noWrap/>
            <w:vAlign w:val="bottom"/>
            <w:hideMark/>
          </w:tcPr>
          <w:p w14:paraId="1C3B083E" w14:textId="254BBEBA" w:rsidR="009A356E" w:rsidRPr="00C10545" w:rsidRDefault="009A356E" w:rsidP="009A356E">
            <w:pPr>
              <w:jc w:val="center"/>
              <w:rPr>
                <w:color w:val="000000"/>
                <w:sz w:val="18"/>
                <w:szCs w:val="18"/>
                <w:lang w:eastAsia="en-AU"/>
              </w:rPr>
            </w:pPr>
            <w:r w:rsidRPr="00C10545">
              <w:rPr>
                <w:color w:val="000000"/>
                <w:sz w:val="18"/>
                <w:szCs w:val="18"/>
                <w:lang w:eastAsia="en-AU"/>
              </w:rPr>
              <w:t xml:space="preserve"> 342.7 </w:t>
            </w:r>
          </w:p>
        </w:tc>
        <w:tc>
          <w:tcPr>
            <w:tcW w:w="596" w:type="pct"/>
            <w:tcBorders>
              <w:top w:val="nil"/>
              <w:left w:val="nil"/>
              <w:bottom w:val="single" w:sz="4" w:space="0" w:color="auto"/>
              <w:right w:val="single" w:sz="4" w:space="0" w:color="auto"/>
            </w:tcBorders>
            <w:shd w:val="clear" w:color="auto" w:fill="auto"/>
            <w:noWrap/>
            <w:vAlign w:val="bottom"/>
            <w:hideMark/>
          </w:tcPr>
          <w:p w14:paraId="1FB7E327" w14:textId="77777777" w:rsidR="009A356E" w:rsidRPr="00C10545" w:rsidRDefault="009A356E" w:rsidP="009A356E">
            <w:pPr>
              <w:jc w:val="right"/>
              <w:rPr>
                <w:color w:val="000000"/>
                <w:sz w:val="18"/>
                <w:szCs w:val="18"/>
                <w:lang w:eastAsia="en-AU"/>
              </w:rPr>
            </w:pPr>
            <w:r w:rsidRPr="00C10545">
              <w:rPr>
                <w:color w:val="000000"/>
                <w:sz w:val="18"/>
                <w:szCs w:val="18"/>
                <w:lang w:eastAsia="en-AU"/>
              </w:rPr>
              <w:t>50%</w:t>
            </w:r>
          </w:p>
        </w:tc>
      </w:tr>
    </w:tbl>
    <w:p w14:paraId="3D926B07" w14:textId="77777777" w:rsidR="009A356E" w:rsidRDefault="009A356E" w:rsidP="009A356E"/>
    <w:p w14:paraId="3520D1F9" w14:textId="77777777" w:rsidR="009A356E" w:rsidRDefault="009A356E" w:rsidP="009A356E">
      <w:r>
        <w:t xml:space="preserve">Analysis shows that the additional defined benefits liabilities involved are equivalent to as much as one quarter of rate revenues in some rural councils and account for significant proportions of annual asset renewal spending. </w:t>
      </w:r>
    </w:p>
    <w:p w14:paraId="4723FC8C" w14:textId="77777777" w:rsidR="009A356E" w:rsidRDefault="009A356E" w:rsidP="009A356E"/>
    <w:p w14:paraId="4A9C5E73" w14:textId="24FF1AF3" w:rsidR="009A356E" w:rsidRDefault="009A356E" w:rsidP="00671FD6">
      <w:pPr>
        <w:pStyle w:val="Heading2"/>
        <w:rPr>
          <w:b w:val="0"/>
        </w:rPr>
      </w:pPr>
      <w:bookmarkStart w:id="19" w:name="_Toc462060569"/>
      <w:bookmarkStart w:id="20" w:name="_Toc462066808"/>
      <w:r w:rsidRPr="00080217">
        <w:t xml:space="preserve">Capital </w:t>
      </w:r>
      <w:r>
        <w:rPr>
          <w:b w:val="0"/>
        </w:rPr>
        <w:t xml:space="preserve">Renewal </w:t>
      </w:r>
      <w:r w:rsidRPr="00080217">
        <w:rPr>
          <w:b w:val="0"/>
        </w:rPr>
        <w:t>Requirements</w:t>
      </w:r>
      <w:bookmarkEnd w:id="19"/>
      <w:bookmarkEnd w:id="20"/>
    </w:p>
    <w:p w14:paraId="6ED14C58" w14:textId="77777777" w:rsidR="003B6397" w:rsidRDefault="003B6397" w:rsidP="009A356E"/>
    <w:p w14:paraId="6BE04894" w14:textId="13617C06" w:rsidR="009A356E" w:rsidRDefault="009A356E" w:rsidP="009A356E">
      <w:r>
        <w:t>Council services involve the provision of considerable buildings and infrastructure. Improved accounting and asset management approaches have more accurately defined councils’ increased financial responsibilities for these assets while added to this has been increasing financial pressure coming from other quarters.</w:t>
      </w:r>
    </w:p>
    <w:p w14:paraId="69B9AE52" w14:textId="77777777" w:rsidR="00671FD6" w:rsidRDefault="00671FD6" w:rsidP="009A356E"/>
    <w:p w14:paraId="164D37B3" w14:textId="77777777" w:rsidR="009A356E" w:rsidRDefault="009A356E" w:rsidP="009A356E">
      <w:r>
        <w:t>Analysis shows that the buildings and infrastructure portfolios of councils have grown significantly with average annual increases well above general increases in FAGs and well above an increase in rate revenues that would have been rendered by rate capping based on its current incarnation.</w:t>
      </w:r>
    </w:p>
    <w:p w14:paraId="2B5E9117" w14:textId="77777777" w:rsidR="009A356E" w:rsidRDefault="009A356E" w:rsidP="009A356E"/>
    <w:p w14:paraId="65F0E8A2" w14:textId="4CC39084" w:rsidR="009A356E" w:rsidRDefault="009A356E" w:rsidP="00671FD6">
      <w:pPr>
        <w:pStyle w:val="Heading3"/>
      </w:pPr>
      <w:r w:rsidRPr="00CE5547">
        <w:t>Asset Values and renewal Spending</w:t>
      </w:r>
    </w:p>
    <w:p w14:paraId="0AF0A3AB" w14:textId="77777777" w:rsidR="00671FD6" w:rsidRPr="00671FD6" w:rsidRDefault="00671FD6" w:rsidP="00671FD6"/>
    <w:p w14:paraId="6619816A" w14:textId="77777777" w:rsidR="009A356E" w:rsidRPr="00EF467E" w:rsidRDefault="009A356E" w:rsidP="009A356E">
      <w:pPr>
        <w:rPr>
          <w:b/>
          <w:sz w:val="18"/>
          <w:szCs w:val="18"/>
        </w:rPr>
      </w:pPr>
      <w:r w:rsidRPr="00EF467E">
        <w:rPr>
          <w:b/>
          <w:sz w:val="18"/>
          <w:szCs w:val="18"/>
        </w:rPr>
        <w:t>Table 17: Infrastructure &amp; Buildings Asset Value Growth and Renewa</w:t>
      </w:r>
      <w:r>
        <w:rPr>
          <w:b/>
          <w:sz w:val="18"/>
          <w:szCs w:val="18"/>
        </w:rPr>
        <w:t xml:space="preserve">l Spending as % Rate Revenue - </w:t>
      </w:r>
      <w:r w:rsidRPr="00EF467E">
        <w:rPr>
          <w:b/>
          <w:sz w:val="18"/>
          <w:szCs w:val="18"/>
        </w:rPr>
        <w:t>Rural &amp; Regional Councils</w:t>
      </w:r>
    </w:p>
    <w:tbl>
      <w:tblPr>
        <w:tblW w:w="5000" w:type="pct"/>
        <w:tblLook w:val="04A0" w:firstRow="1" w:lastRow="0" w:firstColumn="1" w:lastColumn="0" w:noHBand="0" w:noVBand="1"/>
      </w:tblPr>
      <w:tblGrid>
        <w:gridCol w:w="2125"/>
        <w:gridCol w:w="1198"/>
        <w:gridCol w:w="639"/>
        <w:gridCol w:w="640"/>
        <w:gridCol w:w="640"/>
        <w:gridCol w:w="640"/>
        <w:gridCol w:w="640"/>
        <w:gridCol w:w="727"/>
        <w:gridCol w:w="640"/>
        <w:gridCol w:w="640"/>
      </w:tblGrid>
      <w:tr w:rsidR="009A356E" w:rsidRPr="00F72CFE" w14:paraId="462A7DEA" w14:textId="77777777" w:rsidTr="009A356E">
        <w:trPr>
          <w:trHeight w:val="240"/>
          <w:tblHeader/>
        </w:trPr>
        <w:tc>
          <w:tcPr>
            <w:tcW w:w="1292" w:type="pct"/>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7B86B54B" w14:textId="77777777" w:rsidR="009A356E" w:rsidRPr="00F72CFE" w:rsidRDefault="009A356E" w:rsidP="009A356E">
            <w:pPr>
              <w:rPr>
                <w:rFonts w:ascii="Calibri" w:hAnsi="Calibri"/>
                <w:sz w:val="18"/>
                <w:szCs w:val="18"/>
                <w:lang w:eastAsia="en-AU"/>
              </w:rPr>
            </w:pPr>
            <w:r w:rsidRPr="00F72CFE">
              <w:rPr>
                <w:rFonts w:ascii="Calibri" w:hAnsi="Calibri"/>
                <w:sz w:val="18"/>
                <w:szCs w:val="18"/>
                <w:lang w:eastAsia="en-AU"/>
              </w:rPr>
              <w:t> </w:t>
            </w:r>
          </w:p>
        </w:tc>
        <w:tc>
          <w:tcPr>
            <w:tcW w:w="699" w:type="pct"/>
            <w:tcBorders>
              <w:top w:val="single" w:sz="4" w:space="0" w:color="auto"/>
              <w:left w:val="nil"/>
              <w:bottom w:val="single" w:sz="4" w:space="0" w:color="auto"/>
              <w:right w:val="nil"/>
            </w:tcBorders>
            <w:shd w:val="clear" w:color="000000" w:fill="000000"/>
            <w:noWrap/>
            <w:vAlign w:val="bottom"/>
            <w:hideMark/>
          </w:tcPr>
          <w:p w14:paraId="79E5ECC3" w14:textId="77777777" w:rsidR="009A356E" w:rsidRPr="00F72CFE" w:rsidRDefault="009A356E" w:rsidP="009A356E">
            <w:pPr>
              <w:rPr>
                <w:rFonts w:ascii="Calibri" w:hAnsi="Calibri"/>
                <w:color w:val="000000"/>
                <w:sz w:val="18"/>
                <w:szCs w:val="18"/>
                <w:lang w:eastAsia="en-AU"/>
              </w:rPr>
            </w:pPr>
            <w:r w:rsidRPr="00F72CFE">
              <w:rPr>
                <w:rFonts w:ascii="Calibri" w:hAnsi="Calibri"/>
                <w:color w:val="000000"/>
                <w:sz w:val="18"/>
                <w:szCs w:val="18"/>
                <w:lang w:eastAsia="en-AU"/>
              </w:rPr>
              <w:t> </w:t>
            </w:r>
          </w:p>
        </w:tc>
        <w:tc>
          <w:tcPr>
            <w:tcW w:w="3009" w:type="pct"/>
            <w:gridSpan w:val="8"/>
            <w:tcBorders>
              <w:top w:val="single" w:sz="8" w:space="0" w:color="auto"/>
              <w:left w:val="single" w:sz="8" w:space="0" w:color="auto"/>
              <w:bottom w:val="single" w:sz="4" w:space="0" w:color="auto"/>
              <w:right w:val="single" w:sz="8" w:space="0" w:color="000000"/>
            </w:tcBorders>
            <w:shd w:val="clear" w:color="000000" w:fill="FDE9D9"/>
            <w:noWrap/>
            <w:vAlign w:val="bottom"/>
            <w:hideMark/>
          </w:tcPr>
          <w:p w14:paraId="04B8F20D" w14:textId="77777777" w:rsidR="009A356E" w:rsidRPr="00F72CFE" w:rsidRDefault="009A356E" w:rsidP="009A356E">
            <w:pPr>
              <w:jc w:val="center"/>
              <w:rPr>
                <w:rFonts w:ascii="Calibri" w:hAnsi="Calibri"/>
                <w:b/>
                <w:bCs/>
                <w:color w:val="000000"/>
                <w:sz w:val="18"/>
                <w:szCs w:val="18"/>
                <w:lang w:eastAsia="en-AU"/>
              </w:rPr>
            </w:pPr>
            <w:r w:rsidRPr="00F72CFE">
              <w:rPr>
                <w:rFonts w:ascii="Calibri" w:hAnsi="Calibri"/>
                <w:b/>
                <w:bCs/>
                <w:color w:val="000000"/>
                <w:sz w:val="18"/>
                <w:szCs w:val="18"/>
                <w:lang w:eastAsia="en-AU"/>
              </w:rPr>
              <w:t xml:space="preserve">4 </w:t>
            </w:r>
            <w:proofErr w:type="spellStart"/>
            <w:r w:rsidRPr="00F72CFE">
              <w:rPr>
                <w:rFonts w:ascii="Calibri" w:hAnsi="Calibri"/>
                <w:b/>
                <w:bCs/>
                <w:color w:val="000000"/>
                <w:sz w:val="18"/>
                <w:szCs w:val="18"/>
                <w:lang w:eastAsia="en-AU"/>
              </w:rPr>
              <w:t>Yr</w:t>
            </w:r>
            <w:proofErr w:type="spellEnd"/>
            <w:r w:rsidRPr="00F72CFE">
              <w:rPr>
                <w:rFonts w:ascii="Calibri" w:hAnsi="Calibri"/>
                <w:b/>
                <w:bCs/>
                <w:color w:val="000000"/>
                <w:sz w:val="18"/>
                <w:szCs w:val="18"/>
                <w:lang w:eastAsia="en-AU"/>
              </w:rPr>
              <w:t xml:space="preserve"> Moving Average Renewal as % 4 Year Moving Average Rates</w:t>
            </w:r>
          </w:p>
        </w:tc>
      </w:tr>
      <w:tr w:rsidR="009A356E" w:rsidRPr="00F72CFE" w14:paraId="23E02C33" w14:textId="77777777" w:rsidTr="009A356E">
        <w:trPr>
          <w:trHeight w:val="1920"/>
          <w:tblHeader/>
        </w:trPr>
        <w:tc>
          <w:tcPr>
            <w:tcW w:w="1292" w:type="pct"/>
            <w:tcBorders>
              <w:top w:val="nil"/>
              <w:left w:val="single" w:sz="4" w:space="0" w:color="auto"/>
              <w:bottom w:val="single" w:sz="4" w:space="0" w:color="auto"/>
              <w:right w:val="single" w:sz="4" w:space="0" w:color="auto"/>
            </w:tcBorders>
            <w:shd w:val="clear" w:color="000000" w:fill="000000"/>
            <w:noWrap/>
            <w:vAlign w:val="bottom"/>
            <w:hideMark/>
          </w:tcPr>
          <w:p w14:paraId="672D65C1" w14:textId="77777777" w:rsidR="009A356E" w:rsidRPr="00F72CFE" w:rsidRDefault="009A356E" w:rsidP="009A356E">
            <w:pPr>
              <w:rPr>
                <w:rFonts w:ascii="Calibri" w:hAnsi="Calibri"/>
                <w:b/>
                <w:bCs/>
                <w:sz w:val="18"/>
                <w:szCs w:val="18"/>
                <w:lang w:eastAsia="en-AU"/>
              </w:rPr>
            </w:pPr>
            <w:r w:rsidRPr="00F72CFE">
              <w:rPr>
                <w:rFonts w:ascii="Calibri" w:hAnsi="Calibri"/>
                <w:b/>
                <w:bCs/>
                <w:sz w:val="18"/>
                <w:szCs w:val="18"/>
                <w:lang w:eastAsia="en-AU"/>
              </w:rPr>
              <w:t> </w:t>
            </w:r>
          </w:p>
        </w:tc>
        <w:tc>
          <w:tcPr>
            <w:tcW w:w="699" w:type="pct"/>
            <w:tcBorders>
              <w:top w:val="nil"/>
              <w:left w:val="nil"/>
              <w:bottom w:val="single" w:sz="4" w:space="0" w:color="auto"/>
              <w:right w:val="nil"/>
            </w:tcBorders>
            <w:shd w:val="clear" w:color="000000" w:fill="DAEEF3"/>
            <w:vAlign w:val="bottom"/>
            <w:hideMark/>
          </w:tcPr>
          <w:p w14:paraId="53A57E98" w14:textId="755927A6" w:rsidR="009A356E" w:rsidRPr="00F72CFE" w:rsidRDefault="009A356E" w:rsidP="009A356E">
            <w:pPr>
              <w:jc w:val="center"/>
              <w:rPr>
                <w:rFonts w:ascii="Calibri" w:hAnsi="Calibri"/>
                <w:b/>
                <w:bCs/>
                <w:color w:val="000000"/>
                <w:sz w:val="18"/>
                <w:szCs w:val="18"/>
                <w:lang w:eastAsia="en-AU"/>
              </w:rPr>
            </w:pPr>
            <w:r w:rsidRPr="00F72CFE">
              <w:rPr>
                <w:rFonts w:ascii="Calibri" w:hAnsi="Calibri"/>
                <w:b/>
                <w:bCs/>
                <w:color w:val="000000"/>
                <w:sz w:val="18"/>
                <w:szCs w:val="18"/>
                <w:lang w:eastAsia="en-AU"/>
              </w:rPr>
              <w:t>Average Annual Increase in Value of Infrastructure &amp; Buildings 10 Years to 2014-15</w:t>
            </w:r>
          </w:p>
        </w:tc>
        <w:tc>
          <w:tcPr>
            <w:tcW w:w="370" w:type="pct"/>
            <w:tcBorders>
              <w:top w:val="nil"/>
              <w:left w:val="single" w:sz="8" w:space="0" w:color="auto"/>
              <w:bottom w:val="single" w:sz="4" w:space="0" w:color="auto"/>
              <w:right w:val="single" w:sz="4" w:space="0" w:color="auto"/>
            </w:tcBorders>
            <w:shd w:val="clear" w:color="000000" w:fill="FDE9D9"/>
            <w:noWrap/>
            <w:textDirection w:val="tbRl"/>
            <w:vAlign w:val="center"/>
            <w:hideMark/>
          </w:tcPr>
          <w:p w14:paraId="0EF67320" w14:textId="77777777" w:rsidR="009A356E" w:rsidRPr="00F72CFE" w:rsidRDefault="009A356E" w:rsidP="009A356E">
            <w:pPr>
              <w:jc w:val="center"/>
              <w:rPr>
                <w:rFonts w:ascii="Calibri" w:hAnsi="Calibri"/>
                <w:b/>
                <w:bCs/>
                <w:color w:val="000000"/>
                <w:sz w:val="18"/>
                <w:szCs w:val="18"/>
                <w:lang w:eastAsia="en-AU"/>
              </w:rPr>
            </w:pPr>
            <w:r w:rsidRPr="00F72CFE">
              <w:rPr>
                <w:rFonts w:ascii="Calibri" w:hAnsi="Calibri"/>
                <w:b/>
                <w:bCs/>
                <w:color w:val="000000"/>
                <w:sz w:val="18"/>
                <w:szCs w:val="18"/>
                <w:lang w:eastAsia="en-AU"/>
              </w:rPr>
              <w:t>2007-08</w:t>
            </w:r>
          </w:p>
        </w:tc>
        <w:tc>
          <w:tcPr>
            <w:tcW w:w="370" w:type="pct"/>
            <w:tcBorders>
              <w:top w:val="nil"/>
              <w:left w:val="nil"/>
              <w:bottom w:val="single" w:sz="4" w:space="0" w:color="auto"/>
              <w:right w:val="single" w:sz="4" w:space="0" w:color="auto"/>
            </w:tcBorders>
            <w:shd w:val="clear" w:color="000000" w:fill="FDE9D9"/>
            <w:noWrap/>
            <w:textDirection w:val="tbRl"/>
            <w:vAlign w:val="center"/>
            <w:hideMark/>
          </w:tcPr>
          <w:p w14:paraId="1FAB474D" w14:textId="77777777" w:rsidR="009A356E" w:rsidRPr="00F72CFE" w:rsidRDefault="009A356E" w:rsidP="009A356E">
            <w:pPr>
              <w:jc w:val="center"/>
              <w:rPr>
                <w:rFonts w:ascii="Calibri" w:hAnsi="Calibri"/>
                <w:b/>
                <w:bCs/>
                <w:color w:val="000000"/>
                <w:sz w:val="18"/>
                <w:szCs w:val="18"/>
                <w:lang w:eastAsia="en-AU"/>
              </w:rPr>
            </w:pPr>
            <w:r w:rsidRPr="00F72CFE">
              <w:rPr>
                <w:rFonts w:ascii="Calibri" w:hAnsi="Calibri"/>
                <w:b/>
                <w:bCs/>
                <w:color w:val="000000"/>
                <w:sz w:val="18"/>
                <w:szCs w:val="18"/>
                <w:lang w:eastAsia="en-AU"/>
              </w:rPr>
              <w:t>2008-09</w:t>
            </w:r>
          </w:p>
        </w:tc>
        <w:tc>
          <w:tcPr>
            <w:tcW w:w="370" w:type="pct"/>
            <w:tcBorders>
              <w:top w:val="nil"/>
              <w:left w:val="nil"/>
              <w:bottom w:val="single" w:sz="4" w:space="0" w:color="auto"/>
              <w:right w:val="single" w:sz="4" w:space="0" w:color="auto"/>
            </w:tcBorders>
            <w:shd w:val="clear" w:color="000000" w:fill="FDE9D9"/>
            <w:noWrap/>
            <w:textDirection w:val="tbRl"/>
            <w:vAlign w:val="center"/>
            <w:hideMark/>
          </w:tcPr>
          <w:p w14:paraId="08DB230D" w14:textId="77777777" w:rsidR="009A356E" w:rsidRPr="00F72CFE" w:rsidRDefault="009A356E" w:rsidP="009A356E">
            <w:pPr>
              <w:jc w:val="center"/>
              <w:rPr>
                <w:rFonts w:ascii="Calibri" w:hAnsi="Calibri"/>
                <w:b/>
                <w:bCs/>
                <w:color w:val="000000"/>
                <w:sz w:val="18"/>
                <w:szCs w:val="18"/>
                <w:lang w:eastAsia="en-AU"/>
              </w:rPr>
            </w:pPr>
            <w:r w:rsidRPr="00F72CFE">
              <w:rPr>
                <w:rFonts w:ascii="Calibri" w:hAnsi="Calibri"/>
                <w:b/>
                <w:bCs/>
                <w:color w:val="000000"/>
                <w:sz w:val="18"/>
                <w:szCs w:val="18"/>
                <w:lang w:eastAsia="en-AU"/>
              </w:rPr>
              <w:t>2009-10</w:t>
            </w:r>
          </w:p>
        </w:tc>
        <w:tc>
          <w:tcPr>
            <w:tcW w:w="370" w:type="pct"/>
            <w:tcBorders>
              <w:top w:val="nil"/>
              <w:left w:val="nil"/>
              <w:bottom w:val="single" w:sz="4" w:space="0" w:color="auto"/>
              <w:right w:val="single" w:sz="4" w:space="0" w:color="auto"/>
            </w:tcBorders>
            <w:shd w:val="clear" w:color="000000" w:fill="FDE9D9"/>
            <w:noWrap/>
            <w:textDirection w:val="tbRl"/>
            <w:vAlign w:val="center"/>
            <w:hideMark/>
          </w:tcPr>
          <w:p w14:paraId="59DC678A" w14:textId="77777777" w:rsidR="009A356E" w:rsidRPr="00F72CFE" w:rsidRDefault="009A356E" w:rsidP="009A356E">
            <w:pPr>
              <w:jc w:val="center"/>
              <w:rPr>
                <w:rFonts w:ascii="Calibri" w:hAnsi="Calibri"/>
                <w:b/>
                <w:bCs/>
                <w:color w:val="000000"/>
                <w:sz w:val="18"/>
                <w:szCs w:val="18"/>
                <w:lang w:eastAsia="en-AU"/>
              </w:rPr>
            </w:pPr>
            <w:r w:rsidRPr="00F72CFE">
              <w:rPr>
                <w:rFonts w:ascii="Calibri" w:hAnsi="Calibri"/>
                <w:b/>
                <w:bCs/>
                <w:color w:val="000000"/>
                <w:sz w:val="18"/>
                <w:szCs w:val="18"/>
                <w:lang w:eastAsia="en-AU"/>
              </w:rPr>
              <w:t>2010-11</w:t>
            </w:r>
          </w:p>
        </w:tc>
        <w:tc>
          <w:tcPr>
            <w:tcW w:w="370" w:type="pct"/>
            <w:tcBorders>
              <w:top w:val="nil"/>
              <w:left w:val="nil"/>
              <w:bottom w:val="single" w:sz="4" w:space="0" w:color="auto"/>
              <w:right w:val="single" w:sz="4" w:space="0" w:color="auto"/>
            </w:tcBorders>
            <w:shd w:val="clear" w:color="000000" w:fill="FDE9D9"/>
            <w:noWrap/>
            <w:textDirection w:val="tbRl"/>
            <w:vAlign w:val="center"/>
            <w:hideMark/>
          </w:tcPr>
          <w:p w14:paraId="777CED59" w14:textId="77777777" w:rsidR="009A356E" w:rsidRPr="00F72CFE" w:rsidRDefault="009A356E" w:rsidP="009A356E">
            <w:pPr>
              <w:jc w:val="center"/>
              <w:rPr>
                <w:rFonts w:ascii="Calibri" w:hAnsi="Calibri"/>
                <w:b/>
                <w:bCs/>
                <w:color w:val="000000"/>
                <w:sz w:val="18"/>
                <w:szCs w:val="18"/>
                <w:lang w:eastAsia="en-AU"/>
              </w:rPr>
            </w:pPr>
            <w:r w:rsidRPr="00F72CFE">
              <w:rPr>
                <w:rFonts w:ascii="Calibri" w:hAnsi="Calibri"/>
                <w:b/>
                <w:bCs/>
                <w:color w:val="000000"/>
                <w:sz w:val="18"/>
                <w:szCs w:val="18"/>
                <w:lang w:eastAsia="en-AU"/>
              </w:rPr>
              <w:t>2011-12</w:t>
            </w:r>
          </w:p>
        </w:tc>
        <w:tc>
          <w:tcPr>
            <w:tcW w:w="421" w:type="pct"/>
            <w:tcBorders>
              <w:top w:val="nil"/>
              <w:left w:val="nil"/>
              <w:bottom w:val="single" w:sz="4" w:space="0" w:color="auto"/>
              <w:right w:val="single" w:sz="4" w:space="0" w:color="auto"/>
            </w:tcBorders>
            <w:shd w:val="clear" w:color="000000" w:fill="FDE9D9"/>
            <w:noWrap/>
            <w:textDirection w:val="tbRl"/>
            <w:vAlign w:val="center"/>
            <w:hideMark/>
          </w:tcPr>
          <w:p w14:paraId="0EAA75D5" w14:textId="77777777" w:rsidR="009A356E" w:rsidRPr="00F72CFE" w:rsidRDefault="009A356E" w:rsidP="009A356E">
            <w:pPr>
              <w:jc w:val="center"/>
              <w:rPr>
                <w:rFonts w:ascii="Calibri" w:hAnsi="Calibri"/>
                <w:b/>
                <w:bCs/>
                <w:color w:val="000000"/>
                <w:sz w:val="18"/>
                <w:szCs w:val="18"/>
                <w:lang w:eastAsia="en-AU"/>
              </w:rPr>
            </w:pPr>
            <w:r w:rsidRPr="00F72CFE">
              <w:rPr>
                <w:rFonts w:ascii="Calibri" w:hAnsi="Calibri"/>
                <w:b/>
                <w:bCs/>
                <w:color w:val="000000"/>
                <w:sz w:val="18"/>
                <w:szCs w:val="18"/>
                <w:lang w:eastAsia="en-AU"/>
              </w:rPr>
              <w:t>2012-13</w:t>
            </w:r>
          </w:p>
        </w:tc>
        <w:tc>
          <w:tcPr>
            <w:tcW w:w="370" w:type="pct"/>
            <w:tcBorders>
              <w:top w:val="nil"/>
              <w:left w:val="nil"/>
              <w:bottom w:val="single" w:sz="4" w:space="0" w:color="auto"/>
              <w:right w:val="single" w:sz="4" w:space="0" w:color="auto"/>
            </w:tcBorders>
            <w:shd w:val="clear" w:color="000000" w:fill="FDE9D9"/>
            <w:noWrap/>
            <w:textDirection w:val="tbRl"/>
            <w:vAlign w:val="center"/>
            <w:hideMark/>
          </w:tcPr>
          <w:p w14:paraId="3C7721A7" w14:textId="77777777" w:rsidR="009A356E" w:rsidRPr="00F72CFE" w:rsidRDefault="009A356E" w:rsidP="009A356E">
            <w:pPr>
              <w:jc w:val="center"/>
              <w:rPr>
                <w:rFonts w:ascii="Calibri" w:hAnsi="Calibri"/>
                <w:b/>
                <w:bCs/>
                <w:color w:val="000000"/>
                <w:sz w:val="18"/>
                <w:szCs w:val="18"/>
                <w:lang w:eastAsia="en-AU"/>
              </w:rPr>
            </w:pPr>
            <w:r w:rsidRPr="00F72CFE">
              <w:rPr>
                <w:rFonts w:ascii="Calibri" w:hAnsi="Calibri"/>
                <w:b/>
                <w:bCs/>
                <w:color w:val="000000"/>
                <w:sz w:val="18"/>
                <w:szCs w:val="18"/>
                <w:lang w:eastAsia="en-AU"/>
              </w:rPr>
              <w:t>2013-14</w:t>
            </w:r>
          </w:p>
        </w:tc>
        <w:tc>
          <w:tcPr>
            <w:tcW w:w="370" w:type="pct"/>
            <w:tcBorders>
              <w:top w:val="nil"/>
              <w:left w:val="nil"/>
              <w:bottom w:val="single" w:sz="4" w:space="0" w:color="auto"/>
              <w:right w:val="single" w:sz="8" w:space="0" w:color="auto"/>
            </w:tcBorders>
            <w:shd w:val="clear" w:color="000000" w:fill="FDE9D9"/>
            <w:noWrap/>
            <w:textDirection w:val="tbRl"/>
            <w:vAlign w:val="center"/>
            <w:hideMark/>
          </w:tcPr>
          <w:p w14:paraId="4152E320" w14:textId="77777777" w:rsidR="009A356E" w:rsidRPr="00F72CFE" w:rsidRDefault="009A356E" w:rsidP="009A356E">
            <w:pPr>
              <w:jc w:val="center"/>
              <w:rPr>
                <w:rFonts w:ascii="Calibri" w:hAnsi="Calibri"/>
                <w:b/>
                <w:bCs/>
                <w:color w:val="000000"/>
                <w:sz w:val="18"/>
                <w:szCs w:val="18"/>
                <w:lang w:eastAsia="en-AU"/>
              </w:rPr>
            </w:pPr>
            <w:r w:rsidRPr="00F72CFE">
              <w:rPr>
                <w:rFonts w:ascii="Calibri" w:hAnsi="Calibri"/>
                <w:b/>
                <w:bCs/>
                <w:color w:val="000000"/>
                <w:sz w:val="18"/>
                <w:szCs w:val="18"/>
                <w:lang w:eastAsia="en-AU"/>
              </w:rPr>
              <w:t>2014-15</w:t>
            </w:r>
          </w:p>
        </w:tc>
      </w:tr>
      <w:tr w:rsidR="009A356E" w:rsidRPr="00F72CFE" w14:paraId="31B38A2D" w14:textId="77777777" w:rsidTr="009A356E">
        <w:trPr>
          <w:trHeight w:val="240"/>
        </w:trPr>
        <w:tc>
          <w:tcPr>
            <w:tcW w:w="1292" w:type="pct"/>
            <w:tcBorders>
              <w:top w:val="nil"/>
              <w:left w:val="single" w:sz="4" w:space="0" w:color="auto"/>
              <w:bottom w:val="single" w:sz="4" w:space="0" w:color="auto"/>
              <w:right w:val="single" w:sz="4" w:space="0" w:color="auto"/>
            </w:tcBorders>
            <w:shd w:val="clear" w:color="auto" w:fill="auto"/>
            <w:noWrap/>
            <w:vAlign w:val="bottom"/>
            <w:hideMark/>
          </w:tcPr>
          <w:p w14:paraId="6A0C77BE" w14:textId="77777777" w:rsidR="009A356E" w:rsidRPr="00F72CFE" w:rsidRDefault="009A356E" w:rsidP="009A356E">
            <w:pPr>
              <w:rPr>
                <w:rFonts w:ascii="Calibri" w:hAnsi="Calibri"/>
                <w:sz w:val="18"/>
                <w:szCs w:val="18"/>
                <w:lang w:eastAsia="en-AU"/>
              </w:rPr>
            </w:pPr>
            <w:r w:rsidRPr="00F72CFE">
              <w:rPr>
                <w:rFonts w:ascii="Calibri" w:hAnsi="Calibri"/>
                <w:sz w:val="18"/>
                <w:szCs w:val="18"/>
                <w:lang w:eastAsia="en-AU"/>
              </w:rPr>
              <w:t>ALPINE (S)</w:t>
            </w:r>
          </w:p>
        </w:tc>
        <w:tc>
          <w:tcPr>
            <w:tcW w:w="699" w:type="pct"/>
            <w:tcBorders>
              <w:top w:val="nil"/>
              <w:left w:val="nil"/>
              <w:bottom w:val="single" w:sz="4" w:space="0" w:color="auto"/>
              <w:right w:val="nil"/>
            </w:tcBorders>
            <w:shd w:val="clear" w:color="000000" w:fill="DAEEF3"/>
            <w:noWrap/>
            <w:vAlign w:val="bottom"/>
            <w:hideMark/>
          </w:tcPr>
          <w:p w14:paraId="7B5A9E58" w14:textId="77777777" w:rsidR="009A356E" w:rsidRPr="00F72CFE" w:rsidRDefault="009A356E" w:rsidP="009A356E">
            <w:pPr>
              <w:jc w:val="center"/>
              <w:rPr>
                <w:rFonts w:ascii="Calibri" w:hAnsi="Calibri"/>
                <w:color w:val="000000"/>
                <w:sz w:val="18"/>
                <w:szCs w:val="18"/>
                <w:lang w:eastAsia="en-AU"/>
              </w:rPr>
            </w:pPr>
            <w:r w:rsidRPr="00F72CFE">
              <w:rPr>
                <w:rFonts w:ascii="Calibri" w:hAnsi="Calibri"/>
                <w:color w:val="000000"/>
                <w:sz w:val="18"/>
                <w:szCs w:val="18"/>
                <w:lang w:eastAsia="en-AU"/>
              </w:rPr>
              <w:t>5.4%</w:t>
            </w:r>
          </w:p>
        </w:tc>
        <w:tc>
          <w:tcPr>
            <w:tcW w:w="370" w:type="pct"/>
            <w:tcBorders>
              <w:top w:val="nil"/>
              <w:left w:val="single" w:sz="8" w:space="0" w:color="auto"/>
              <w:bottom w:val="single" w:sz="4" w:space="0" w:color="auto"/>
              <w:right w:val="single" w:sz="4" w:space="0" w:color="auto"/>
            </w:tcBorders>
            <w:shd w:val="clear" w:color="000000" w:fill="FDE9D9"/>
            <w:noWrap/>
            <w:vAlign w:val="bottom"/>
            <w:hideMark/>
          </w:tcPr>
          <w:p w14:paraId="5E798C81"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26.8%</w:t>
            </w:r>
          </w:p>
        </w:tc>
        <w:tc>
          <w:tcPr>
            <w:tcW w:w="370" w:type="pct"/>
            <w:tcBorders>
              <w:top w:val="nil"/>
              <w:left w:val="nil"/>
              <w:bottom w:val="single" w:sz="4" w:space="0" w:color="auto"/>
              <w:right w:val="single" w:sz="4" w:space="0" w:color="auto"/>
            </w:tcBorders>
            <w:shd w:val="clear" w:color="000000" w:fill="FDE9D9"/>
            <w:noWrap/>
            <w:vAlign w:val="bottom"/>
            <w:hideMark/>
          </w:tcPr>
          <w:p w14:paraId="78101856"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27.1%</w:t>
            </w:r>
          </w:p>
        </w:tc>
        <w:tc>
          <w:tcPr>
            <w:tcW w:w="370" w:type="pct"/>
            <w:tcBorders>
              <w:top w:val="nil"/>
              <w:left w:val="nil"/>
              <w:bottom w:val="single" w:sz="4" w:space="0" w:color="auto"/>
              <w:right w:val="single" w:sz="4" w:space="0" w:color="auto"/>
            </w:tcBorders>
            <w:shd w:val="clear" w:color="000000" w:fill="FDE9D9"/>
            <w:noWrap/>
            <w:vAlign w:val="bottom"/>
            <w:hideMark/>
          </w:tcPr>
          <w:p w14:paraId="1C829587"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25.8%</w:t>
            </w:r>
          </w:p>
        </w:tc>
        <w:tc>
          <w:tcPr>
            <w:tcW w:w="370" w:type="pct"/>
            <w:tcBorders>
              <w:top w:val="nil"/>
              <w:left w:val="nil"/>
              <w:bottom w:val="single" w:sz="4" w:space="0" w:color="auto"/>
              <w:right w:val="single" w:sz="4" w:space="0" w:color="auto"/>
            </w:tcBorders>
            <w:shd w:val="clear" w:color="000000" w:fill="FDE9D9"/>
            <w:noWrap/>
            <w:vAlign w:val="bottom"/>
            <w:hideMark/>
          </w:tcPr>
          <w:p w14:paraId="58AF204D"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24.4%</w:t>
            </w:r>
          </w:p>
        </w:tc>
        <w:tc>
          <w:tcPr>
            <w:tcW w:w="370" w:type="pct"/>
            <w:tcBorders>
              <w:top w:val="nil"/>
              <w:left w:val="nil"/>
              <w:bottom w:val="single" w:sz="4" w:space="0" w:color="auto"/>
              <w:right w:val="single" w:sz="4" w:space="0" w:color="auto"/>
            </w:tcBorders>
            <w:shd w:val="clear" w:color="000000" w:fill="FDE9D9"/>
            <w:noWrap/>
            <w:vAlign w:val="bottom"/>
            <w:hideMark/>
          </w:tcPr>
          <w:p w14:paraId="51771605"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22.8%</w:t>
            </w:r>
          </w:p>
        </w:tc>
        <w:tc>
          <w:tcPr>
            <w:tcW w:w="421" w:type="pct"/>
            <w:tcBorders>
              <w:top w:val="nil"/>
              <w:left w:val="nil"/>
              <w:bottom w:val="single" w:sz="4" w:space="0" w:color="auto"/>
              <w:right w:val="single" w:sz="4" w:space="0" w:color="auto"/>
            </w:tcBorders>
            <w:shd w:val="clear" w:color="000000" w:fill="FDE9D9"/>
            <w:noWrap/>
            <w:vAlign w:val="bottom"/>
            <w:hideMark/>
          </w:tcPr>
          <w:p w14:paraId="609494CE"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23.5%</w:t>
            </w:r>
          </w:p>
        </w:tc>
        <w:tc>
          <w:tcPr>
            <w:tcW w:w="370" w:type="pct"/>
            <w:tcBorders>
              <w:top w:val="nil"/>
              <w:left w:val="nil"/>
              <w:bottom w:val="single" w:sz="4" w:space="0" w:color="auto"/>
              <w:right w:val="single" w:sz="4" w:space="0" w:color="auto"/>
            </w:tcBorders>
            <w:shd w:val="clear" w:color="000000" w:fill="FDE9D9"/>
            <w:noWrap/>
            <w:vAlign w:val="bottom"/>
            <w:hideMark/>
          </w:tcPr>
          <w:p w14:paraId="3F1D9E9E"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23.2%</w:t>
            </w:r>
          </w:p>
        </w:tc>
        <w:tc>
          <w:tcPr>
            <w:tcW w:w="370" w:type="pct"/>
            <w:tcBorders>
              <w:top w:val="nil"/>
              <w:left w:val="nil"/>
              <w:bottom w:val="single" w:sz="4" w:space="0" w:color="auto"/>
              <w:right w:val="single" w:sz="8" w:space="0" w:color="auto"/>
            </w:tcBorders>
            <w:shd w:val="clear" w:color="000000" w:fill="FDE9D9"/>
            <w:noWrap/>
            <w:vAlign w:val="bottom"/>
            <w:hideMark/>
          </w:tcPr>
          <w:p w14:paraId="6E5AEFEF"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23.2%</w:t>
            </w:r>
          </w:p>
        </w:tc>
      </w:tr>
      <w:tr w:rsidR="009A356E" w:rsidRPr="00F72CFE" w14:paraId="79A2C6E7" w14:textId="77777777" w:rsidTr="009A356E">
        <w:trPr>
          <w:trHeight w:val="240"/>
        </w:trPr>
        <w:tc>
          <w:tcPr>
            <w:tcW w:w="1292" w:type="pct"/>
            <w:tcBorders>
              <w:top w:val="nil"/>
              <w:left w:val="single" w:sz="4" w:space="0" w:color="auto"/>
              <w:bottom w:val="single" w:sz="4" w:space="0" w:color="auto"/>
              <w:right w:val="single" w:sz="4" w:space="0" w:color="auto"/>
            </w:tcBorders>
            <w:shd w:val="clear" w:color="auto" w:fill="auto"/>
            <w:noWrap/>
            <w:vAlign w:val="bottom"/>
            <w:hideMark/>
          </w:tcPr>
          <w:p w14:paraId="4FC8BED5" w14:textId="77777777" w:rsidR="009A356E" w:rsidRPr="00F72CFE" w:rsidRDefault="009A356E" w:rsidP="009A356E">
            <w:pPr>
              <w:rPr>
                <w:rFonts w:ascii="Calibri" w:hAnsi="Calibri"/>
                <w:sz w:val="18"/>
                <w:szCs w:val="18"/>
                <w:lang w:eastAsia="en-AU"/>
              </w:rPr>
            </w:pPr>
            <w:r w:rsidRPr="00F72CFE">
              <w:rPr>
                <w:rFonts w:ascii="Calibri" w:hAnsi="Calibri"/>
                <w:sz w:val="18"/>
                <w:szCs w:val="18"/>
                <w:lang w:eastAsia="en-AU"/>
              </w:rPr>
              <w:lastRenderedPageBreak/>
              <w:t>ARARAT (RC)</w:t>
            </w:r>
          </w:p>
        </w:tc>
        <w:tc>
          <w:tcPr>
            <w:tcW w:w="699" w:type="pct"/>
            <w:tcBorders>
              <w:top w:val="nil"/>
              <w:left w:val="nil"/>
              <w:bottom w:val="single" w:sz="4" w:space="0" w:color="auto"/>
              <w:right w:val="nil"/>
            </w:tcBorders>
            <w:shd w:val="clear" w:color="000000" w:fill="DAEEF3"/>
            <w:noWrap/>
            <w:vAlign w:val="bottom"/>
            <w:hideMark/>
          </w:tcPr>
          <w:p w14:paraId="634DCD17" w14:textId="77777777" w:rsidR="009A356E" w:rsidRPr="00F72CFE" w:rsidRDefault="009A356E" w:rsidP="009A356E">
            <w:pPr>
              <w:jc w:val="center"/>
              <w:rPr>
                <w:rFonts w:ascii="Calibri" w:hAnsi="Calibri"/>
                <w:color w:val="000000"/>
                <w:sz w:val="18"/>
                <w:szCs w:val="18"/>
                <w:lang w:eastAsia="en-AU"/>
              </w:rPr>
            </w:pPr>
            <w:r w:rsidRPr="00F72CFE">
              <w:rPr>
                <w:rFonts w:ascii="Calibri" w:hAnsi="Calibri"/>
                <w:color w:val="000000"/>
                <w:sz w:val="18"/>
                <w:szCs w:val="18"/>
                <w:lang w:eastAsia="en-AU"/>
              </w:rPr>
              <w:t>4.0%</w:t>
            </w:r>
          </w:p>
        </w:tc>
        <w:tc>
          <w:tcPr>
            <w:tcW w:w="370" w:type="pct"/>
            <w:tcBorders>
              <w:top w:val="nil"/>
              <w:left w:val="single" w:sz="8" w:space="0" w:color="auto"/>
              <w:bottom w:val="single" w:sz="4" w:space="0" w:color="auto"/>
              <w:right w:val="single" w:sz="4" w:space="0" w:color="auto"/>
            </w:tcBorders>
            <w:shd w:val="clear" w:color="000000" w:fill="FDE9D9"/>
            <w:noWrap/>
            <w:vAlign w:val="bottom"/>
            <w:hideMark/>
          </w:tcPr>
          <w:p w14:paraId="3AC1D1C8"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27.7%</w:t>
            </w:r>
          </w:p>
        </w:tc>
        <w:tc>
          <w:tcPr>
            <w:tcW w:w="370" w:type="pct"/>
            <w:tcBorders>
              <w:top w:val="nil"/>
              <w:left w:val="nil"/>
              <w:bottom w:val="single" w:sz="4" w:space="0" w:color="auto"/>
              <w:right w:val="single" w:sz="4" w:space="0" w:color="auto"/>
            </w:tcBorders>
            <w:shd w:val="clear" w:color="000000" w:fill="FDE9D9"/>
            <w:noWrap/>
            <w:vAlign w:val="bottom"/>
            <w:hideMark/>
          </w:tcPr>
          <w:p w14:paraId="3899CB1C"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30.0%</w:t>
            </w:r>
          </w:p>
        </w:tc>
        <w:tc>
          <w:tcPr>
            <w:tcW w:w="370" w:type="pct"/>
            <w:tcBorders>
              <w:top w:val="nil"/>
              <w:left w:val="nil"/>
              <w:bottom w:val="single" w:sz="4" w:space="0" w:color="auto"/>
              <w:right w:val="single" w:sz="4" w:space="0" w:color="auto"/>
            </w:tcBorders>
            <w:shd w:val="clear" w:color="000000" w:fill="FDE9D9"/>
            <w:noWrap/>
            <w:vAlign w:val="bottom"/>
            <w:hideMark/>
          </w:tcPr>
          <w:p w14:paraId="7F11C8C2"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32.9%</w:t>
            </w:r>
          </w:p>
        </w:tc>
        <w:tc>
          <w:tcPr>
            <w:tcW w:w="370" w:type="pct"/>
            <w:tcBorders>
              <w:top w:val="nil"/>
              <w:left w:val="nil"/>
              <w:bottom w:val="single" w:sz="4" w:space="0" w:color="auto"/>
              <w:right w:val="single" w:sz="4" w:space="0" w:color="auto"/>
            </w:tcBorders>
            <w:shd w:val="clear" w:color="000000" w:fill="FDE9D9"/>
            <w:noWrap/>
            <w:vAlign w:val="bottom"/>
            <w:hideMark/>
          </w:tcPr>
          <w:p w14:paraId="684FC7A4"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37.6%</w:t>
            </w:r>
          </w:p>
        </w:tc>
        <w:tc>
          <w:tcPr>
            <w:tcW w:w="370" w:type="pct"/>
            <w:tcBorders>
              <w:top w:val="nil"/>
              <w:left w:val="nil"/>
              <w:bottom w:val="single" w:sz="4" w:space="0" w:color="auto"/>
              <w:right w:val="single" w:sz="4" w:space="0" w:color="auto"/>
            </w:tcBorders>
            <w:shd w:val="clear" w:color="000000" w:fill="FDE9D9"/>
            <w:noWrap/>
            <w:vAlign w:val="bottom"/>
            <w:hideMark/>
          </w:tcPr>
          <w:p w14:paraId="57AAC082"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39.7%</w:t>
            </w:r>
          </w:p>
        </w:tc>
        <w:tc>
          <w:tcPr>
            <w:tcW w:w="421" w:type="pct"/>
            <w:tcBorders>
              <w:top w:val="nil"/>
              <w:left w:val="nil"/>
              <w:bottom w:val="single" w:sz="4" w:space="0" w:color="auto"/>
              <w:right w:val="single" w:sz="4" w:space="0" w:color="auto"/>
            </w:tcBorders>
            <w:shd w:val="clear" w:color="000000" w:fill="FDE9D9"/>
            <w:noWrap/>
            <w:vAlign w:val="bottom"/>
            <w:hideMark/>
          </w:tcPr>
          <w:p w14:paraId="4CA82493"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40.2%</w:t>
            </w:r>
          </w:p>
        </w:tc>
        <w:tc>
          <w:tcPr>
            <w:tcW w:w="370" w:type="pct"/>
            <w:tcBorders>
              <w:top w:val="nil"/>
              <w:left w:val="nil"/>
              <w:bottom w:val="single" w:sz="4" w:space="0" w:color="auto"/>
              <w:right w:val="single" w:sz="4" w:space="0" w:color="auto"/>
            </w:tcBorders>
            <w:shd w:val="clear" w:color="000000" w:fill="FDE9D9"/>
            <w:noWrap/>
            <w:vAlign w:val="bottom"/>
            <w:hideMark/>
          </w:tcPr>
          <w:p w14:paraId="69900413"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38.1%</w:t>
            </w:r>
          </w:p>
        </w:tc>
        <w:tc>
          <w:tcPr>
            <w:tcW w:w="370" w:type="pct"/>
            <w:tcBorders>
              <w:top w:val="nil"/>
              <w:left w:val="nil"/>
              <w:bottom w:val="single" w:sz="4" w:space="0" w:color="auto"/>
              <w:right w:val="single" w:sz="8" w:space="0" w:color="auto"/>
            </w:tcBorders>
            <w:shd w:val="clear" w:color="000000" w:fill="FDE9D9"/>
            <w:noWrap/>
            <w:vAlign w:val="bottom"/>
            <w:hideMark/>
          </w:tcPr>
          <w:p w14:paraId="54F94396"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36.4%</w:t>
            </w:r>
          </w:p>
        </w:tc>
      </w:tr>
      <w:tr w:rsidR="009A356E" w:rsidRPr="00F72CFE" w14:paraId="63A7E47B" w14:textId="77777777" w:rsidTr="009A356E">
        <w:trPr>
          <w:trHeight w:val="240"/>
        </w:trPr>
        <w:tc>
          <w:tcPr>
            <w:tcW w:w="1292" w:type="pct"/>
            <w:tcBorders>
              <w:top w:val="nil"/>
              <w:left w:val="single" w:sz="4" w:space="0" w:color="auto"/>
              <w:bottom w:val="single" w:sz="4" w:space="0" w:color="auto"/>
              <w:right w:val="single" w:sz="4" w:space="0" w:color="auto"/>
            </w:tcBorders>
            <w:shd w:val="clear" w:color="auto" w:fill="auto"/>
            <w:noWrap/>
            <w:vAlign w:val="bottom"/>
            <w:hideMark/>
          </w:tcPr>
          <w:p w14:paraId="74B57DF5" w14:textId="77777777" w:rsidR="009A356E" w:rsidRPr="00F72CFE" w:rsidRDefault="009A356E" w:rsidP="009A356E">
            <w:pPr>
              <w:rPr>
                <w:rFonts w:ascii="Calibri" w:hAnsi="Calibri"/>
                <w:sz w:val="18"/>
                <w:szCs w:val="18"/>
                <w:lang w:eastAsia="en-AU"/>
              </w:rPr>
            </w:pPr>
            <w:r w:rsidRPr="00F72CFE">
              <w:rPr>
                <w:rFonts w:ascii="Calibri" w:hAnsi="Calibri"/>
                <w:sz w:val="18"/>
                <w:szCs w:val="18"/>
                <w:lang w:eastAsia="en-AU"/>
              </w:rPr>
              <w:t>BALLARAT (C)</w:t>
            </w:r>
          </w:p>
        </w:tc>
        <w:tc>
          <w:tcPr>
            <w:tcW w:w="699" w:type="pct"/>
            <w:tcBorders>
              <w:top w:val="nil"/>
              <w:left w:val="nil"/>
              <w:bottom w:val="single" w:sz="4" w:space="0" w:color="auto"/>
              <w:right w:val="nil"/>
            </w:tcBorders>
            <w:shd w:val="clear" w:color="000000" w:fill="DAEEF3"/>
            <w:noWrap/>
            <w:vAlign w:val="bottom"/>
            <w:hideMark/>
          </w:tcPr>
          <w:p w14:paraId="71AE0B60" w14:textId="77777777" w:rsidR="009A356E" w:rsidRPr="00F72CFE" w:rsidRDefault="009A356E" w:rsidP="009A356E">
            <w:pPr>
              <w:jc w:val="center"/>
              <w:rPr>
                <w:rFonts w:ascii="Calibri" w:hAnsi="Calibri"/>
                <w:color w:val="000000"/>
                <w:sz w:val="18"/>
                <w:szCs w:val="18"/>
                <w:lang w:eastAsia="en-AU"/>
              </w:rPr>
            </w:pPr>
            <w:r w:rsidRPr="00F72CFE">
              <w:rPr>
                <w:rFonts w:ascii="Calibri" w:hAnsi="Calibri"/>
                <w:color w:val="000000"/>
                <w:sz w:val="18"/>
                <w:szCs w:val="18"/>
                <w:lang w:eastAsia="en-AU"/>
              </w:rPr>
              <w:t>7.8%</w:t>
            </w:r>
          </w:p>
        </w:tc>
        <w:tc>
          <w:tcPr>
            <w:tcW w:w="370" w:type="pct"/>
            <w:tcBorders>
              <w:top w:val="nil"/>
              <w:left w:val="single" w:sz="8" w:space="0" w:color="auto"/>
              <w:bottom w:val="single" w:sz="4" w:space="0" w:color="auto"/>
              <w:right w:val="single" w:sz="4" w:space="0" w:color="auto"/>
            </w:tcBorders>
            <w:shd w:val="clear" w:color="000000" w:fill="FDE9D9"/>
            <w:noWrap/>
            <w:vAlign w:val="bottom"/>
            <w:hideMark/>
          </w:tcPr>
          <w:p w14:paraId="3CF746F4"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30.8%</w:t>
            </w:r>
          </w:p>
        </w:tc>
        <w:tc>
          <w:tcPr>
            <w:tcW w:w="370" w:type="pct"/>
            <w:tcBorders>
              <w:top w:val="nil"/>
              <w:left w:val="nil"/>
              <w:bottom w:val="single" w:sz="4" w:space="0" w:color="auto"/>
              <w:right w:val="single" w:sz="4" w:space="0" w:color="auto"/>
            </w:tcBorders>
            <w:shd w:val="clear" w:color="000000" w:fill="FDE9D9"/>
            <w:noWrap/>
            <w:vAlign w:val="bottom"/>
            <w:hideMark/>
          </w:tcPr>
          <w:p w14:paraId="7569D9D3"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33.9%</w:t>
            </w:r>
          </w:p>
        </w:tc>
        <w:tc>
          <w:tcPr>
            <w:tcW w:w="370" w:type="pct"/>
            <w:tcBorders>
              <w:top w:val="nil"/>
              <w:left w:val="nil"/>
              <w:bottom w:val="single" w:sz="4" w:space="0" w:color="auto"/>
              <w:right w:val="single" w:sz="4" w:space="0" w:color="auto"/>
            </w:tcBorders>
            <w:shd w:val="clear" w:color="000000" w:fill="FDE9D9"/>
            <w:noWrap/>
            <w:vAlign w:val="bottom"/>
            <w:hideMark/>
          </w:tcPr>
          <w:p w14:paraId="78D67606"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37.0%</w:t>
            </w:r>
          </w:p>
        </w:tc>
        <w:tc>
          <w:tcPr>
            <w:tcW w:w="370" w:type="pct"/>
            <w:tcBorders>
              <w:top w:val="nil"/>
              <w:left w:val="nil"/>
              <w:bottom w:val="single" w:sz="4" w:space="0" w:color="auto"/>
              <w:right w:val="single" w:sz="4" w:space="0" w:color="auto"/>
            </w:tcBorders>
            <w:shd w:val="clear" w:color="000000" w:fill="FDE9D9"/>
            <w:noWrap/>
            <w:vAlign w:val="bottom"/>
            <w:hideMark/>
          </w:tcPr>
          <w:p w14:paraId="567AC67B"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35.7%</w:t>
            </w:r>
          </w:p>
        </w:tc>
        <w:tc>
          <w:tcPr>
            <w:tcW w:w="370" w:type="pct"/>
            <w:tcBorders>
              <w:top w:val="nil"/>
              <w:left w:val="nil"/>
              <w:bottom w:val="single" w:sz="4" w:space="0" w:color="auto"/>
              <w:right w:val="single" w:sz="4" w:space="0" w:color="auto"/>
            </w:tcBorders>
            <w:shd w:val="clear" w:color="000000" w:fill="FDE9D9"/>
            <w:noWrap/>
            <w:vAlign w:val="bottom"/>
            <w:hideMark/>
          </w:tcPr>
          <w:p w14:paraId="3F1D31BA"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31.9%</w:t>
            </w:r>
          </w:p>
        </w:tc>
        <w:tc>
          <w:tcPr>
            <w:tcW w:w="421" w:type="pct"/>
            <w:tcBorders>
              <w:top w:val="nil"/>
              <w:left w:val="nil"/>
              <w:bottom w:val="single" w:sz="4" w:space="0" w:color="auto"/>
              <w:right w:val="single" w:sz="4" w:space="0" w:color="auto"/>
            </w:tcBorders>
            <w:shd w:val="clear" w:color="000000" w:fill="FDE9D9"/>
            <w:noWrap/>
            <w:vAlign w:val="bottom"/>
            <w:hideMark/>
          </w:tcPr>
          <w:p w14:paraId="5E098CA0"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25.7%</w:t>
            </w:r>
          </w:p>
        </w:tc>
        <w:tc>
          <w:tcPr>
            <w:tcW w:w="370" w:type="pct"/>
            <w:tcBorders>
              <w:top w:val="nil"/>
              <w:left w:val="nil"/>
              <w:bottom w:val="single" w:sz="4" w:space="0" w:color="auto"/>
              <w:right w:val="single" w:sz="4" w:space="0" w:color="auto"/>
            </w:tcBorders>
            <w:shd w:val="clear" w:color="000000" w:fill="FDE9D9"/>
            <w:noWrap/>
            <w:vAlign w:val="bottom"/>
            <w:hideMark/>
          </w:tcPr>
          <w:p w14:paraId="2F64D115"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22.0%</w:t>
            </w:r>
          </w:p>
        </w:tc>
        <w:tc>
          <w:tcPr>
            <w:tcW w:w="370" w:type="pct"/>
            <w:tcBorders>
              <w:top w:val="nil"/>
              <w:left w:val="nil"/>
              <w:bottom w:val="single" w:sz="4" w:space="0" w:color="auto"/>
              <w:right w:val="single" w:sz="8" w:space="0" w:color="auto"/>
            </w:tcBorders>
            <w:shd w:val="clear" w:color="000000" w:fill="FDE9D9"/>
            <w:noWrap/>
            <w:vAlign w:val="bottom"/>
            <w:hideMark/>
          </w:tcPr>
          <w:p w14:paraId="49B5EF3D"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18.1%</w:t>
            </w:r>
          </w:p>
        </w:tc>
      </w:tr>
      <w:tr w:rsidR="009A356E" w:rsidRPr="00F72CFE" w14:paraId="5489A43F" w14:textId="77777777" w:rsidTr="009A356E">
        <w:trPr>
          <w:trHeight w:val="240"/>
        </w:trPr>
        <w:tc>
          <w:tcPr>
            <w:tcW w:w="1292" w:type="pct"/>
            <w:tcBorders>
              <w:top w:val="nil"/>
              <w:left w:val="single" w:sz="4" w:space="0" w:color="auto"/>
              <w:bottom w:val="single" w:sz="4" w:space="0" w:color="auto"/>
              <w:right w:val="single" w:sz="4" w:space="0" w:color="auto"/>
            </w:tcBorders>
            <w:shd w:val="clear" w:color="auto" w:fill="auto"/>
            <w:noWrap/>
            <w:vAlign w:val="bottom"/>
            <w:hideMark/>
          </w:tcPr>
          <w:p w14:paraId="3AF51D0C" w14:textId="77777777" w:rsidR="009A356E" w:rsidRPr="00F72CFE" w:rsidRDefault="009A356E" w:rsidP="009A356E">
            <w:pPr>
              <w:rPr>
                <w:rFonts w:ascii="Calibri" w:hAnsi="Calibri"/>
                <w:sz w:val="18"/>
                <w:szCs w:val="18"/>
                <w:lang w:eastAsia="en-AU"/>
              </w:rPr>
            </w:pPr>
            <w:r w:rsidRPr="00F72CFE">
              <w:rPr>
                <w:rFonts w:ascii="Calibri" w:hAnsi="Calibri"/>
                <w:sz w:val="18"/>
                <w:szCs w:val="18"/>
                <w:lang w:eastAsia="en-AU"/>
              </w:rPr>
              <w:t>BASS COAST (S)</w:t>
            </w:r>
          </w:p>
        </w:tc>
        <w:tc>
          <w:tcPr>
            <w:tcW w:w="699" w:type="pct"/>
            <w:tcBorders>
              <w:top w:val="nil"/>
              <w:left w:val="nil"/>
              <w:bottom w:val="single" w:sz="4" w:space="0" w:color="auto"/>
              <w:right w:val="nil"/>
            </w:tcBorders>
            <w:shd w:val="clear" w:color="000000" w:fill="DAEEF3"/>
            <w:noWrap/>
            <w:vAlign w:val="bottom"/>
            <w:hideMark/>
          </w:tcPr>
          <w:p w14:paraId="68683172" w14:textId="77777777" w:rsidR="009A356E" w:rsidRPr="00F72CFE" w:rsidRDefault="009A356E" w:rsidP="009A356E">
            <w:pPr>
              <w:jc w:val="center"/>
              <w:rPr>
                <w:rFonts w:ascii="Calibri" w:hAnsi="Calibri"/>
                <w:color w:val="000000"/>
                <w:sz w:val="18"/>
                <w:szCs w:val="18"/>
                <w:lang w:eastAsia="en-AU"/>
              </w:rPr>
            </w:pPr>
            <w:r w:rsidRPr="00F72CFE">
              <w:rPr>
                <w:rFonts w:ascii="Calibri" w:hAnsi="Calibri"/>
                <w:color w:val="000000"/>
                <w:sz w:val="18"/>
                <w:szCs w:val="18"/>
                <w:lang w:eastAsia="en-AU"/>
              </w:rPr>
              <w:t>9.1%</w:t>
            </w:r>
          </w:p>
        </w:tc>
        <w:tc>
          <w:tcPr>
            <w:tcW w:w="370" w:type="pct"/>
            <w:tcBorders>
              <w:top w:val="nil"/>
              <w:left w:val="single" w:sz="8" w:space="0" w:color="auto"/>
              <w:bottom w:val="single" w:sz="4" w:space="0" w:color="auto"/>
              <w:right w:val="single" w:sz="4" w:space="0" w:color="auto"/>
            </w:tcBorders>
            <w:shd w:val="clear" w:color="000000" w:fill="FDE9D9"/>
            <w:noWrap/>
            <w:vAlign w:val="bottom"/>
            <w:hideMark/>
          </w:tcPr>
          <w:p w14:paraId="003DC553"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12.8%</w:t>
            </w:r>
          </w:p>
        </w:tc>
        <w:tc>
          <w:tcPr>
            <w:tcW w:w="370" w:type="pct"/>
            <w:tcBorders>
              <w:top w:val="nil"/>
              <w:left w:val="nil"/>
              <w:bottom w:val="single" w:sz="4" w:space="0" w:color="auto"/>
              <w:right w:val="single" w:sz="4" w:space="0" w:color="auto"/>
            </w:tcBorders>
            <w:shd w:val="clear" w:color="000000" w:fill="FDE9D9"/>
            <w:noWrap/>
            <w:vAlign w:val="bottom"/>
            <w:hideMark/>
          </w:tcPr>
          <w:p w14:paraId="5CC7ABA3"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13.3%</w:t>
            </w:r>
          </w:p>
        </w:tc>
        <w:tc>
          <w:tcPr>
            <w:tcW w:w="370" w:type="pct"/>
            <w:tcBorders>
              <w:top w:val="nil"/>
              <w:left w:val="nil"/>
              <w:bottom w:val="single" w:sz="4" w:space="0" w:color="auto"/>
              <w:right w:val="single" w:sz="4" w:space="0" w:color="auto"/>
            </w:tcBorders>
            <w:shd w:val="clear" w:color="000000" w:fill="FDE9D9"/>
            <w:noWrap/>
            <w:vAlign w:val="bottom"/>
            <w:hideMark/>
          </w:tcPr>
          <w:p w14:paraId="731065AE"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13.8%</w:t>
            </w:r>
          </w:p>
        </w:tc>
        <w:tc>
          <w:tcPr>
            <w:tcW w:w="370" w:type="pct"/>
            <w:tcBorders>
              <w:top w:val="nil"/>
              <w:left w:val="nil"/>
              <w:bottom w:val="single" w:sz="4" w:space="0" w:color="auto"/>
              <w:right w:val="single" w:sz="4" w:space="0" w:color="auto"/>
            </w:tcBorders>
            <w:shd w:val="clear" w:color="000000" w:fill="FDE9D9"/>
            <w:noWrap/>
            <w:vAlign w:val="bottom"/>
            <w:hideMark/>
          </w:tcPr>
          <w:p w14:paraId="5719A7CA"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16.6%</w:t>
            </w:r>
          </w:p>
        </w:tc>
        <w:tc>
          <w:tcPr>
            <w:tcW w:w="370" w:type="pct"/>
            <w:tcBorders>
              <w:top w:val="nil"/>
              <w:left w:val="nil"/>
              <w:bottom w:val="single" w:sz="4" w:space="0" w:color="auto"/>
              <w:right w:val="single" w:sz="4" w:space="0" w:color="auto"/>
            </w:tcBorders>
            <w:shd w:val="clear" w:color="000000" w:fill="FDE9D9"/>
            <w:noWrap/>
            <w:vAlign w:val="bottom"/>
            <w:hideMark/>
          </w:tcPr>
          <w:p w14:paraId="0E46D9A9"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17.5%</w:t>
            </w:r>
          </w:p>
        </w:tc>
        <w:tc>
          <w:tcPr>
            <w:tcW w:w="421" w:type="pct"/>
            <w:tcBorders>
              <w:top w:val="nil"/>
              <w:left w:val="nil"/>
              <w:bottom w:val="single" w:sz="4" w:space="0" w:color="auto"/>
              <w:right w:val="single" w:sz="4" w:space="0" w:color="auto"/>
            </w:tcBorders>
            <w:shd w:val="clear" w:color="000000" w:fill="FDE9D9"/>
            <w:noWrap/>
            <w:vAlign w:val="bottom"/>
            <w:hideMark/>
          </w:tcPr>
          <w:p w14:paraId="4F18E3BD"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15.5%</w:t>
            </w:r>
          </w:p>
        </w:tc>
        <w:tc>
          <w:tcPr>
            <w:tcW w:w="370" w:type="pct"/>
            <w:tcBorders>
              <w:top w:val="nil"/>
              <w:left w:val="nil"/>
              <w:bottom w:val="single" w:sz="4" w:space="0" w:color="auto"/>
              <w:right w:val="single" w:sz="4" w:space="0" w:color="auto"/>
            </w:tcBorders>
            <w:shd w:val="clear" w:color="000000" w:fill="FDE9D9"/>
            <w:noWrap/>
            <w:vAlign w:val="bottom"/>
            <w:hideMark/>
          </w:tcPr>
          <w:p w14:paraId="08E59E1C"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16.1%</w:t>
            </w:r>
          </w:p>
        </w:tc>
        <w:tc>
          <w:tcPr>
            <w:tcW w:w="370" w:type="pct"/>
            <w:tcBorders>
              <w:top w:val="nil"/>
              <w:left w:val="nil"/>
              <w:bottom w:val="single" w:sz="4" w:space="0" w:color="auto"/>
              <w:right w:val="single" w:sz="8" w:space="0" w:color="auto"/>
            </w:tcBorders>
            <w:shd w:val="clear" w:color="000000" w:fill="FDE9D9"/>
            <w:noWrap/>
            <w:vAlign w:val="bottom"/>
            <w:hideMark/>
          </w:tcPr>
          <w:p w14:paraId="6BEF407B"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13.9%</w:t>
            </w:r>
          </w:p>
        </w:tc>
      </w:tr>
      <w:tr w:rsidR="009A356E" w:rsidRPr="00F72CFE" w14:paraId="3B3D2DE9" w14:textId="77777777" w:rsidTr="009A356E">
        <w:trPr>
          <w:trHeight w:val="240"/>
        </w:trPr>
        <w:tc>
          <w:tcPr>
            <w:tcW w:w="1292" w:type="pct"/>
            <w:tcBorders>
              <w:top w:val="nil"/>
              <w:left w:val="single" w:sz="4" w:space="0" w:color="auto"/>
              <w:bottom w:val="single" w:sz="4" w:space="0" w:color="auto"/>
              <w:right w:val="single" w:sz="4" w:space="0" w:color="auto"/>
            </w:tcBorders>
            <w:shd w:val="clear" w:color="auto" w:fill="auto"/>
            <w:noWrap/>
            <w:vAlign w:val="bottom"/>
            <w:hideMark/>
          </w:tcPr>
          <w:p w14:paraId="3F6EDE94" w14:textId="77777777" w:rsidR="009A356E" w:rsidRPr="00F72CFE" w:rsidRDefault="009A356E" w:rsidP="009A356E">
            <w:pPr>
              <w:rPr>
                <w:rFonts w:ascii="Calibri" w:hAnsi="Calibri"/>
                <w:sz w:val="18"/>
                <w:szCs w:val="18"/>
                <w:lang w:eastAsia="en-AU"/>
              </w:rPr>
            </w:pPr>
            <w:r w:rsidRPr="00F72CFE">
              <w:rPr>
                <w:rFonts w:ascii="Calibri" w:hAnsi="Calibri"/>
                <w:sz w:val="18"/>
                <w:szCs w:val="18"/>
                <w:lang w:eastAsia="en-AU"/>
              </w:rPr>
              <w:t xml:space="preserve">BAW </w:t>
            </w:r>
            <w:proofErr w:type="spellStart"/>
            <w:r w:rsidRPr="00F72CFE">
              <w:rPr>
                <w:rFonts w:ascii="Calibri" w:hAnsi="Calibri"/>
                <w:sz w:val="18"/>
                <w:szCs w:val="18"/>
                <w:lang w:eastAsia="en-AU"/>
              </w:rPr>
              <w:t>BAW</w:t>
            </w:r>
            <w:proofErr w:type="spellEnd"/>
            <w:r w:rsidRPr="00F72CFE">
              <w:rPr>
                <w:rFonts w:ascii="Calibri" w:hAnsi="Calibri"/>
                <w:sz w:val="18"/>
                <w:szCs w:val="18"/>
                <w:lang w:eastAsia="en-AU"/>
              </w:rPr>
              <w:t xml:space="preserve"> (S)</w:t>
            </w:r>
          </w:p>
        </w:tc>
        <w:tc>
          <w:tcPr>
            <w:tcW w:w="699" w:type="pct"/>
            <w:tcBorders>
              <w:top w:val="nil"/>
              <w:left w:val="nil"/>
              <w:bottom w:val="single" w:sz="4" w:space="0" w:color="auto"/>
              <w:right w:val="nil"/>
            </w:tcBorders>
            <w:shd w:val="clear" w:color="000000" w:fill="DAEEF3"/>
            <w:noWrap/>
            <w:vAlign w:val="bottom"/>
            <w:hideMark/>
          </w:tcPr>
          <w:p w14:paraId="1B5D9781" w14:textId="77777777" w:rsidR="009A356E" w:rsidRPr="00F72CFE" w:rsidRDefault="009A356E" w:rsidP="009A356E">
            <w:pPr>
              <w:jc w:val="center"/>
              <w:rPr>
                <w:rFonts w:ascii="Calibri" w:hAnsi="Calibri"/>
                <w:color w:val="000000"/>
                <w:sz w:val="18"/>
                <w:szCs w:val="18"/>
                <w:lang w:eastAsia="en-AU"/>
              </w:rPr>
            </w:pPr>
            <w:r w:rsidRPr="00F72CFE">
              <w:rPr>
                <w:rFonts w:ascii="Calibri" w:hAnsi="Calibri"/>
                <w:color w:val="000000"/>
                <w:sz w:val="18"/>
                <w:szCs w:val="18"/>
                <w:lang w:eastAsia="en-AU"/>
              </w:rPr>
              <w:t>7.9%</w:t>
            </w:r>
          </w:p>
        </w:tc>
        <w:tc>
          <w:tcPr>
            <w:tcW w:w="370" w:type="pct"/>
            <w:tcBorders>
              <w:top w:val="nil"/>
              <w:left w:val="single" w:sz="8" w:space="0" w:color="auto"/>
              <w:bottom w:val="single" w:sz="4" w:space="0" w:color="auto"/>
              <w:right w:val="single" w:sz="4" w:space="0" w:color="auto"/>
            </w:tcBorders>
            <w:shd w:val="clear" w:color="000000" w:fill="FDE9D9"/>
            <w:noWrap/>
            <w:vAlign w:val="bottom"/>
            <w:hideMark/>
          </w:tcPr>
          <w:p w14:paraId="7089EB21"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20.7%</w:t>
            </w:r>
          </w:p>
        </w:tc>
        <w:tc>
          <w:tcPr>
            <w:tcW w:w="370" w:type="pct"/>
            <w:tcBorders>
              <w:top w:val="nil"/>
              <w:left w:val="nil"/>
              <w:bottom w:val="single" w:sz="4" w:space="0" w:color="auto"/>
              <w:right w:val="single" w:sz="4" w:space="0" w:color="auto"/>
            </w:tcBorders>
            <w:shd w:val="clear" w:color="000000" w:fill="FDE9D9"/>
            <w:noWrap/>
            <w:vAlign w:val="bottom"/>
            <w:hideMark/>
          </w:tcPr>
          <w:p w14:paraId="760E44D3"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18.1%</w:t>
            </w:r>
          </w:p>
        </w:tc>
        <w:tc>
          <w:tcPr>
            <w:tcW w:w="370" w:type="pct"/>
            <w:tcBorders>
              <w:top w:val="nil"/>
              <w:left w:val="nil"/>
              <w:bottom w:val="single" w:sz="4" w:space="0" w:color="auto"/>
              <w:right w:val="single" w:sz="4" w:space="0" w:color="auto"/>
            </w:tcBorders>
            <w:shd w:val="clear" w:color="000000" w:fill="FDE9D9"/>
            <w:noWrap/>
            <w:vAlign w:val="bottom"/>
            <w:hideMark/>
          </w:tcPr>
          <w:p w14:paraId="1C734BD0"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18.2%</w:t>
            </w:r>
          </w:p>
        </w:tc>
        <w:tc>
          <w:tcPr>
            <w:tcW w:w="370" w:type="pct"/>
            <w:tcBorders>
              <w:top w:val="nil"/>
              <w:left w:val="nil"/>
              <w:bottom w:val="single" w:sz="4" w:space="0" w:color="auto"/>
              <w:right w:val="single" w:sz="4" w:space="0" w:color="auto"/>
            </w:tcBorders>
            <w:shd w:val="clear" w:color="000000" w:fill="FDE9D9"/>
            <w:noWrap/>
            <w:vAlign w:val="bottom"/>
            <w:hideMark/>
          </w:tcPr>
          <w:p w14:paraId="0E303977"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18.3%</w:t>
            </w:r>
          </w:p>
        </w:tc>
        <w:tc>
          <w:tcPr>
            <w:tcW w:w="370" w:type="pct"/>
            <w:tcBorders>
              <w:top w:val="nil"/>
              <w:left w:val="nil"/>
              <w:bottom w:val="single" w:sz="4" w:space="0" w:color="auto"/>
              <w:right w:val="single" w:sz="4" w:space="0" w:color="auto"/>
            </w:tcBorders>
            <w:shd w:val="clear" w:color="000000" w:fill="FDE9D9"/>
            <w:noWrap/>
            <w:vAlign w:val="bottom"/>
            <w:hideMark/>
          </w:tcPr>
          <w:p w14:paraId="6B1947F8"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19.5%</w:t>
            </w:r>
          </w:p>
        </w:tc>
        <w:tc>
          <w:tcPr>
            <w:tcW w:w="421" w:type="pct"/>
            <w:tcBorders>
              <w:top w:val="nil"/>
              <w:left w:val="nil"/>
              <w:bottom w:val="single" w:sz="4" w:space="0" w:color="auto"/>
              <w:right w:val="single" w:sz="4" w:space="0" w:color="auto"/>
            </w:tcBorders>
            <w:shd w:val="clear" w:color="000000" w:fill="FDE9D9"/>
            <w:noWrap/>
            <w:vAlign w:val="bottom"/>
            <w:hideMark/>
          </w:tcPr>
          <w:p w14:paraId="43EAE8B5"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22.5%</w:t>
            </w:r>
          </w:p>
        </w:tc>
        <w:tc>
          <w:tcPr>
            <w:tcW w:w="370" w:type="pct"/>
            <w:tcBorders>
              <w:top w:val="nil"/>
              <w:left w:val="nil"/>
              <w:bottom w:val="single" w:sz="4" w:space="0" w:color="auto"/>
              <w:right w:val="single" w:sz="4" w:space="0" w:color="auto"/>
            </w:tcBorders>
            <w:shd w:val="clear" w:color="000000" w:fill="FDE9D9"/>
            <w:noWrap/>
            <w:vAlign w:val="bottom"/>
            <w:hideMark/>
          </w:tcPr>
          <w:p w14:paraId="25EE4C16"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25.7%</w:t>
            </w:r>
          </w:p>
        </w:tc>
        <w:tc>
          <w:tcPr>
            <w:tcW w:w="370" w:type="pct"/>
            <w:tcBorders>
              <w:top w:val="nil"/>
              <w:left w:val="nil"/>
              <w:bottom w:val="single" w:sz="4" w:space="0" w:color="auto"/>
              <w:right w:val="single" w:sz="8" w:space="0" w:color="auto"/>
            </w:tcBorders>
            <w:shd w:val="clear" w:color="000000" w:fill="FDE9D9"/>
            <w:noWrap/>
            <w:vAlign w:val="bottom"/>
            <w:hideMark/>
          </w:tcPr>
          <w:p w14:paraId="41E9A3C9"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27.4%</w:t>
            </w:r>
          </w:p>
        </w:tc>
      </w:tr>
      <w:tr w:rsidR="009A356E" w:rsidRPr="00F72CFE" w14:paraId="47598FE6" w14:textId="77777777" w:rsidTr="009A356E">
        <w:trPr>
          <w:trHeight w:val="240"/>
        </w:trPr>
        <w:tc>
          <w:tcPr>
            <w:tcW w:w="1292" w:type="pct"/>
            <w:tcBorders>
              <w:top w:val="nil"/>
              <w:left w:val="single" w:sz="4" w:space="0" w:color="auto"/>
              <w:bottom w:val="single" w:sz="4" w:space="0" w:color="auto"/>
              <w:right w:val="single" w:sz="4" w:space="0" w:color="auto"/>
            </w:tcBorders>
            <w:shd w:val="clear" w:color="auto" w:fill="auto"/>
            <w:noWrap/>
            <w:vAlign w:val="bottom"/>
            <w:hideMark/>
          </w:tcPr>
          <w:p w14:paraId="35171FF5" w14:textId="77777777" w:rsidR="009A356E" w:rsidRPr="00F72CFE" w:rsidRDefault="009A356E" w:rsidP="009A356E">
            <w:pPr>
              <w:rPr>
                <w:rFonts w:ascii="Calibri" w:hAnsi="Calibri"/>
                <w:sz w:val="18"/>
                <w:szCs w:val="18"/>
                <w:lang w:eastAsia="en-AU"/>
              </w:rPr>
            </w:pPr>
            <w:r w:rsidRPr="00F72CFE">
              <w:rPr>
                <w:rFonts w:ascii="Calibri" w:hAnsi="Calibri"/>
                <w:sz w:val="18"/>
                <w:szCs w:val="18"/>
                <w:lang w:eastAsia="en-AU"/>
              </w:rPr>
              <w:t>BENALLA (RC)</w:t>
            </w:r>
          </w:p>
        </w:tc>
        <w:tc>
          <w:tcPr>
            <w:tcW w:w="699" w:type="pct"/>
            <w:tcBorders>
              <w:top w:val="nil"/>
              <w:left w:val="nil"/>
              <w:bottom w:val="single" w:sz="4" w:space="0" w:color="auto"/>
              <w:right w:val="nil"/>
            </w:tcBorders>
            <w:shd w:val="clear" w:color="000000" w:fill="DAEEF3"/>
            <w:noWrap/>
            <w:vAlign w:val="bottom"/>
            <w:hideMark/>
          </w:tcPr>
          <w:p w14:paraId="5331CB73" w14:textId="77777777" w:rsidR="009A356E" w:rsidRPr="00F72CFE" w:rsidRDefault="009A356E" w:rsidP="009A356E">
            <w:pPr>
              <w:jc w:val="center"/>
              <w:rPr>
                <w:rFonts w:ascii="Calibri" w:hAnsi="Calibri"/>
                <w:color w:val="000000"/>
                <w:sz w:val="18"/>
                <w:szCs w:val="18"/>
                <w:lang w:eastAsia="en-AU"/>
              </w:rPr>
            </w:pPr>
            <w:r w:rsidRPr="00F72CFE">
              <w:rPr>
                <w:rFonts w:ascii="Calibri" w:hAnsi="Calibri"/>
                <w:color w:val="000000"/>
                <w:sz w:val="18"/>
                <w:szCs w:val="18"/>
                <w:lang w:eastAsia="en-AU"/>
              </w:rPr>
              <w:t>4.4%</w:t>
            </w:r>
          </w:p>
        </w:tc>
        <w:tc>
          <w:tcPr>
            <w:tcW w:w="370" w:type="pct"/>
            <w:tcBorders>
              <w:top w:val="nil"/>
              <w:left w:val="single" w:sz="8" w:space="0" w:color="auto"/>
              <w:bottom w:val="single" w:sz="4" w:space="0" w:color="auto"/>
              <w:right w:val="single" w:sz="4" w:space="0" w:color="auto"/>
            </w:tcBorders>
            <w:shd w:val="clear" w:color="000000" w:fill="FDE9D9"/>
            <w:noWrap/>
            <w:vAlign w:val="bottom"/>
            <w:hideMark/>
          </w:tcPr>
          <w:p w14:paraId="3856E5A0"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20.7%</w:t>
            </w:r>
          </w:p>
        </w:tc>
        <w:tc>
          <w:tcPr>
            <w:tcW w:w="370" w:type="pct"/>
            <w:tcBorders>
              <w:top w:val="nil"/>
              <w:left w:val="nil"/>
              <w:bottom w:val="single" w:sz="4" w:space="0" w:color="auto"/>
              <w:right w:val="single" w:sz="4" w:space="0" w:color="auto"/>
            </w:tcBorders>
            <w:shd w:val="clear" w:color="000000" w:fill="FDE9D9"/>
            <w:noWrap/>
            <w:vAlign w:val="bottom"/>
            <w:hideMark/>
          </w:tcPr>
          <w:p w14:paraId="78B405B6"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21.3%</w:t>
            </w:r>
          </w:p>
        </w:tc>
        <w:tc>
          <w:tcPr>
            <w:tcW w:w="370" w:type="pct"/>
            <w:tcBorders>
              <w:top w:val="nil"/>
              <w:left w:val="nil"/>
              <w:bottom w:val="single" w:sz="4" w:space="0" w:color="auto"/>
              <w:right w:val="single" w:sz="4" w:space="0" w:color="auto"/>
            </w:tcBorders>
            <w:shd w:val="clear" w:color="000000" w:fill="FDE9D9"/>
            <w:noWrap/>
            <w:vAlign w:val="bottom"/>
            <w:hideMark/>
          </w:tcPr>
          <w:p w14:paraId="2D4C081C"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19.7%</w:t>
            </w:r>
          </w:p>
        </w:tc>
        <w:tc>
          <w:tcPr>
            <w:tcW w:w="370" w:type="pct"/>
            <w:tcBorders>
              <w:top w:val="nil"/>
              <w:left w:val="nil"/>
              <w:bottom w:val="single" w:sz="4" w:space="0" w:color="auto"/>
              <w:right w:val="single" w:sz="4" w:space="0" w:color="auto"/>
            </w:tcBorders>
            <w:shd w:val="clear" w:color="000000" w:fill="FDE9D9"/>
            <w:noWrap/>
            <w:vAlign w:val="bottom"/>
            <w:hideMark/>
          </w:tcPr>
          <w:p w14:paraId="58DFF0B6"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24.1%</w:t>
            </w:r>
          </w:p>
        </w:tc>
        <w:tc>
          <w:tcPr>
            <w:tcW w:w="370" w:type="pct"/>
            <w:tcBorders>
              <w:top w:val="nil"/>
              <w:left w:val="nil"/>
              <w:bottom w:val="single" w:sz="4" w:space="0" w:color="auto"/>
              <w:right w:val="single" w:sz="4" w:space="0" w:color="auto"/>
            </w:tcBorders>
            <w:shd w:val="clear" w:color="000000" w:fill="FDE9D9"/>
            <w:noWrap/>
            <w:vAlign w:val="bottom"/>
            <w:hideMark/>
          </w:tcPr>
          <w:p w14:paraId="22226E74"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24.8%</w:t>
            </w:r>
          </w:p>
        </w:tc>
        <w:tc>
          <w:tcPr>
            <w:tcW w:w="421" w:type="pct"/>
            <w:tcBorders>
              <w:top w:val="nil"/>
              <w:left w:val="nil"/>
              <w:bottom w:val="single" w:sz="4" w:space="0" w:color="auto"/>
              <w:right w:val="single" w:sz="4" w:space="0" w:color="auto"/>
            </w:tcBorders>
            <w:shd w:val="clear" w:color="000000" w:fill="FDE9D9"/>
            <w:noWrap/>
            <w:vAlign w:val="bottom"/>
            <w:hideMark/>
          </w:tcPr>
          <w:p w14:paraId="1DF4270B"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26.1%</w:t>
            </w:r>
          </w:p>
        </w:tc>
        <w:tc>
          <w:tcPr>
            <w:tcW w:w="370" w:type="pct"/>
            <w:tcBorders>
              <w:top w:val="nil"/>
              <w:left w:val="nil"/>
              <w:bottom w:val="single" w:sz="4" w:space="0" w:color="auto"/>
              <w:right w:val="single" w:sz="4" w:space="0" w:color="auto"/>
            </w:tcBorders>
            <w:shd w:val="clear" w:color="000000" w:fill="FDE9D9"/>
            <w:noWrap/>
            <w:vAlign w:val="bottom"/>
            <w:hideMark/>
          </w:tcPr>
          <w:p w14:paraId="3A8A8EBD"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28.7%</w:t>
            </w:r>
          </w:p>
        </w:tc>
        <w:tc>
          <w:tcPr>
            <w:tcW w:w="370" w:type="pct"/>
            <w:tcBorders>
              <w:top w:val="nil"/>
              <w:left w:val="nil"/>
              <w:bottom w:val="single" w:sz="4" w:space="0" w:color="auto"/>
              <w:right w:val="single" w:sz="8" w:space="0" w:color="auto"/>
            </w:tcBorders>
            <w:shd w:val="clear" w:color="000000" w:fill="FDE9D9"/>
            <w:noWrap/>
            <w:vAlign w:val="bottom"/>
            <w:hideMark/>
          </w:tcPr>
          <w:p w14:paraId="7092B5E9"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22.5%</w:t>
            </w:r>
          </w:p>
        </w:tc>
      </w:tr>
      <w:tr w:rsidR="009A356E" w:rsidRPr="00F72CFE" w14:paraId="0084593F" w14:textId="77777777" w:rsidTr="009A356E">
        <w:trPr>
          <w:trHeight w:val="240"/>
        </w:trPr>
        <w:tc>
          <w:tcPr>
            <w:tcW w:w="1292" w:type="pct"/>
            <w:tcBorders>
              <w:top w:val="nil"/>
              <w:left w:val="single" w:sz="4" w:space="0" w:color="auto"/>
              <w:bottom w:val="single" w:sz="4" w:space="0" w:color="auto"/>
              <w:right w:val="single" w:sz="4" w:space="0" w:color="auto"/>
            </w:tcBorders>
            <w:shd w:val="clear" w:color="auto" w:fill="auto"/>
            <w:noWrap/>
            <w:vAlign w:val="bottom"/>
            <w:hideMark/>
          </w:tcPr>
          <w:p w14:paraId="51F245BE" w14:textId="77777777" w:rsidR="009A356E" w:rsidRPr="00F72CFE" w:rsidRDefault="009A356E" w:rsidP="009A356E">
            <w:pPr>
              <w:rPr>
                <w:rFonts w:ascii="Calibri" w:hAnsi="Calibri"/>
                <w:sz w:val="18"/>
                <w:szCs w:val="18"/>
                <w:lang w:eastAsia="en-AU"/>
              </w:rPr>
            </w:pPr>
            <w:r w:rsidRPr="00F72CFE">
              <w:rPr>
                <w:rFonts w:ascii="Calibri" w:hAnsi="Calibri"/>
                <w:sz w:val="18"/>
                <w:szCs w:val="18"/>
                <w:lang w:eastAsia="en-AU"/>
              </w:rPr>
              <w:t>BULOKE (S)</w:t>
            </w:r>
          </w:p>
        </w:tc>
        <w:tc>
          <w:tcPr>
            <w:tcW w:w="699" w:type="pct"/>
            <w:tcBorders>
              <w:top w:val="nil"/>
              <w:left w:val="nil"/>
              <w:bottom w:val="single" w:sz="4" w:space="0" w:color="auto"/>
              <w:right w:val="nil"/>
            </w:tcBorders>
            <w:shd w:val="clear" w:color="000000" w:fill="DAEEF3"/>
            <w:noWrap/>
            <w:vAlign w:val="bottom"/>
            <w:hideMark/>
          </w:tcPr>
          <w:p w14:paraId="566A6609" w14:textId="77777777" w:rsidR="009A356E" w:rsidRPr="00F72CFE" w:rsidRDefault="009A356E" w:rsidP="009A356E">
            <w:pPr>
              <w:jc w:val="center"/>
              <w:rPr>
                <w:rFonts w:ascii="Calibri" w:hAnsi="Calibri"/>
                <w:color w:val="000000"/>
                <w:sz w:val="18"/>
                <w:szCs w:val="18"/>
                <w:lang w:eastAsia="en-AU"/>
              </w:rPr>
            </w:pPr>
            <w:r w:rsidRPr="00F72CFE">
              <w:rPr>
                <w:rFonts w:ascii="Calibri" w:hAnsi="Calibri"/>
                <w:color w:val="000000"/>
                <w:sz w:val="18"/>
                <w:szCs w:val="18"/>
                <w:lang w:eastAsia="en-AU"/>
              </w:rPr>
              <w:t>2.4%</w:t>
            </w:r>
          </w:p>
        </w:tc>
        <w:tc>
          <w:tcPr>
            <w:tcW w:w="370" w:type="pct"/>
            <w:tcBorders>
              <w:top w:val="nil"/>
              <w:left w:val="single" w:sz="8" w:space="0" w:color="auto"/>
              <w:bottom w:val="single" w:sz="4" w:space="0" w:color="auto"/>
              <w:right w:val="single" w:sz="4" w:space="0" w:color="auto"/>
            </w:tcBorders>
            <w:shd w:val="clear" w:color="000000" w:fill="FDE9D9"/>
            <w:noWrap/>
            <w:vAlign w:val="bottom"/>
            <w:hideMark/>
          </w:tcPr>
          <w:p w14:paraId="4AD94335"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45.9%</w:t>
            </w:r>
          </w:p>
        </w:tc>
        <w:tc>
          <w:tcPr>
            <w:tcW w:w="370" w:type="pct"/>
            <w:tcBorders>
              <w:top w:val="nil"/>
              <w:left w:val="nil"/>
              <w:bottom w:val="single" w:sz="4" w:space="0" w:color="auto"/>
              <w:right w:val="single" w:sz="4" w:space="0" w:color="auto"/>
            </w:tcBorders>
            <w:shd w:val="clear" w:color="000000" w:fill="FDE9D9"/>
            <w:noWrap/>
            <w:vAlign w:val="bottom"/>
            <w:hideMark/>
          </w:tcPr>
          <w:p w14:paraId="0BF41D3A"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51.4%</w:t>
            </w:r>
          </w:p>
        </w:tc>
        <w:tc>
          <w:tcPr>
            <w:tcW w:w="370" w:type="pct"/>
            <w:tcBorders>
              <w:top w:val="nil"/>
              <w:left w:val="nil"/>
              <w:bottom w:val="single" w:sz="4" w:space="0" w:color="auto"/>
              <w:right w:val="single" w:sz="4" w:space="0" w:color="auto"/>
            </w:tcBorders>
            <w:shd w:val="clear" w:color="000000" w:fill="FDE9D9"/>
            <w:noWrap/>
            <w:vAlign w:val="bottom"/>
            <w:hideMark/>
          </w:tcPr>
          <w:p w14:paraId="2F11ECCC"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52.4%</w:t>
            </w:r>
          </w:p>
        </w:tc>
        <w:tc>
          <w:tcPr>
            <w:tcW w:w="370" w:type="pct"/>
            <w:tcBorders>
              <w:top w:val="nil"/>
              <w:left w:val="nil"/>
              <w:bottom w:val="single" w:sz="4" w:space="0" w:color="auto"/>
              <w:right w:val="single" w:sz="4" w:space="0" w:color="auto"/>
            </w:tcBorders>
            <w:shd w:val="clear" w:color="000000" w:fill="FDE9D9"/>
            <w:noWrap/>
            <w:vAlign w:val="bottom"/>
            <w:hideMark/>
          </w:tcPr>
          <w:p w14:paraId="5DB626D3"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47.0%</w:t>
            </w:r>
          </w:p>
        </w:tc>
        <w:tc>
          <w:tcPr>
            <w:tcW w:w="370" w:type="pct"/>
            <w:tcBorders>
              <w:top w:val="nil"/>
              <w:left w:val="nil"/>
              <w:bottom w:val="single" w:sz="4" w:space="0" w:color="auto"/>
              <w:right w:val="single" w:sz="4" w:space="0" w:color="auto"/>
            </w:tcBorders>
            <w:shd w:val="clear" w:color="000000" w:fill="FDE9D9"/>
            <w:noWrap/>
            <w:vAlign w:val="bottom"/>
            <w:hideMark/>
          </w:tcPr>
          <w:p w14:paraId="2FFC48E4"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49.3%</w:t>
            </w:r>
          </w:p>
        </w:tc>
        <w:tc>
          <w:tcPr>
            <w:tcW w:w="421" w:type="pct"/>
            <w:tcBorders>
              <w:top w:val="nil"/>
              <w:left w:val="nil"/>
              <w:bottom w:val="single" w:sz="4" w:space="0" w:color="auto"/>
              <w:right w:val="single" w:sz="4" w:space="0" w:color="auto"/>
            </w:tcBorders>
            <w:shd w:val="clear" w:color="000000" w:fill="FDE9D9"/>
            <w:noWrap/>
            <w:vAlign w:val="bottom"/>
            <w:hideMark/>
          </w:tcPr>
          <w:p w14:paraId="7C851D4E"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57.7%</w:t>
            </w:r>
          </w:p>
        </w:tc>
        <w:tc>
          <w:tcPr>
            <w:tcW w:w="370" w:type="pct"/>
            <w:tcBorders>
              <w:top w:val="nil"/>
              <w:left w:val="nil"/>
              <w:bottom w:val="single" w:sz="4" w:space="0" w:color="auto"/>
              <w:right w:val="single" w:sz="4" w:space="0" w:color="auto"/>
            </w:tcBorders>
            <w:shd w:val="clear" w:color="000000" w:fill="FDE9D9"/>
            <w:noWrap/>
            <w:vAlign w:val="bottom"/>
            <w:hideMark/>
          </w:tcPr>
          <w:p w14:paraId="19C2284F"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58.9%</w:t>
            </w:r>
          </w:p>
        </w:tc>
        <w:tc>
          <w:tcPr>
            <w:tcW w:w="370" w:type="pct"/>
            <w:tcBorders>
              <w:top w:val="nil"/>
              <w:left w:val="nil"/>
              <w:bottom w:val="single" w:sz="4" w:space="0" w:color="auto"/>
              <w:right w:val="single" w:sz="8" w:space="0" w:color="auto"/>
            </w:tcBorders>
            <w:shd w:val="clear" w:color="000000" w:fill="FDE9D9"/>
            <w:noWrap/>
            <w:vAlign w:val="bottom"/>
            <w:hideMark/>
          </w:tcPr>
          <w:p w14:paraId="489112A0"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58.9%</w:t>
            </w:r>
          </w:p>
        </w:tc>
      </w:tr>
      <w:tr w:rsidR="009A356E" w:rsidRPr="00F72CFE" w14:paraId="2CCFC6EE" w14:textId="77777777" w:rsidTr="009A356E">
        <w:trPr>
          <w:trHeight w:val="240"/>
        </w:trPr>
        <w:tc>
          <w:tcPr>
            <w:tcW w:w="1292" w:type="pct"/>
            <w:tcBorders>
              <w:top w:val="nil"/>
              <w:left w:val="single" w:sz="4" w:space="0" w:color="auto"/>
              <w:bottom w:val="single" w:sz="4" w:space="0" w:color="auto"/>
              <w:right w:val="single" w:sz="4" w:space="0" w:color="auto"/>
            </w:tcBorders>
            <w:shd w:val="clear" w:color="auto" w:fill="auto"/>
            <w:noWrap/>
            <w:vAlign w:val="bottom"/>
            <w:hideMark/>
          </w:tcPr>
          <w:p w14:paraId="7060868C" w14:textId="77777777" w:rsidR="009A356E" w:rsidRPr="00F72CFE" w:rsidRDefault="009A356E" w:rsidP="009A356E">
            <w:pPr>
              <w:rPr>
                <w:rFonts w:ascii="Calibri" w:hAnsi="Calibri"/>
                <w:sz w:val="18"/>
                <w:szCs w:val="18"/>
                <w:lang w:eastAsia="en-AU"/>
              </w:rPr>
            </w:pPr>
            <w:r w:rsidRPr="00F72CFE">
              <w:rPr>
                <w:rFonts w:ascii="Calibri" w:hAnsi="Calibri"/>
                <w:sz w:val="18"/>
                <w:szCs w:val="18"/>
                <w:lang w:eastAsia="en-AU"/>
              </w:rPr>
              <w:t>CAMPASPE (S)</w:t>
            </w:r>
          </w:p>
        </w:tc>
        <w:tc>
          <w:tcPr>
            <w:tcW w:w="699" w:type="pct"/>
            <w:tcBorders>
              <w:top w:val="nil"/>
              <w:left w:val="nil"/>
              <w:bottom w:val="single" w:sz="4" w:space="0" w:color="auto"/>
              <w:right w:val="nil"/>
            </w:tcBorders>
            <w:shd w:val="clear" w:color="000000" w:fill="DAEEF3"/>
            <w:noWrap/>
            <w:vAlign w:val="bottom"/>
            <w:hideMark/>
          </w:tcPr>
          <w:p w14:paraId="42169FB2" w14:textId="77777777" w:rsidR="009A356E" w:rsidRPr="00F72CFE" w:rsidRDefault="009A356E" w:rsidP="009A356E">
            <w:pPr>
              <w:jc w:val="center"/>
              <w:rPr>
                <w:rFonts w:ascii="Calibri" w:hAnsi="Calibri"/>
                <w:color w:val="000000"/>
                <w:sz w:val="18"/>
                <w:szCs w:val="18"/>
                <w:lang w:eastAsia="en-AU"/>
              </w:rPr>
            </w:pPr>
            <w:r w:rsidRPr="00F72CFE">
              <w:rPr>
                <w:rFonts w:ascii="Calibri" w:hAnsi="Calibri"/>
                <w:color w:val="000000"/>
                <w:sz w:val="18"/>
                <w:szCs w:val="18"/>
                <w:lang w:eastAsia="en-AU"/>
              </w:rPr>
              <w:t>2.8%</w:t>
            </w:r>
          </w:p>
        </w:tc>
        <w:tc>
          <w:tcPr>
            <w:tcW w:w="370" w:type="pct"/>
            <w:tcBorders>
              <w:top w:val="nil"/>
              <w:left w:val="single" w:sz="8" w:space="0" w:color="auto"/>
              <w:bottom w:val="single" w:sz="4" w:space="0" w:color="auto"/>
              <w:right w:val="single" w:sz="4" w:space="0" w:color="auto"/>
            </w:tcBorders>
            <w:shd w:val="clear" w:color="000000" w:fill="FDE9D9"/>
            <w:noWrap/>
            <w:vAlign w:val="bottom"/>
            <w:hideMark/>
          </w:tcPr>
          <w:p w14:paraId="78F95830"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35.2%</w:t>
            </w:r>
          </w:p>
        </w:tc>
        <w:tc>
          <w:tcPr>
            <w:tcW w:w="370" w:type="pct"/>
            <w:tcBorders>
              <w:top w:val="nil"/>
              <w:left w:val="nil"/>
              <w:bottom w:val="single" w:sz="4" w:space="0" w:color="auto"/>
              <w:right w:val="single" w:sz="4" w:space="0" w:color="auto"/>
            </w:tcBorders>
            <w:shd w:val="clear" w:color="000000" w:fill="FDE9D9"/>
            <w:noWrap/>
            <w:vAlign w:val="bottom"/>
            <w:hideMark/>
          </w:tcPr>
          <w:p w14:paraId="10B91231"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35.9%</w:t>
            </w:r>
          </w:p>
        </w:tc>
        <w:tc>
          <w:tcPr>
            <w:tcW w:w="370" w:type="pct"/>
            <w:tcBorders>
              <w:top w:val="nil"/>
              <w:left w:val="nil"/>
              <w:bottom w:val="single" w:sz="4" w:space="0" w:color="auto"/>
              <w:right w:val="single" w:sz="4" w:space="0" w:color="auto"/>
            </w:tcBorders>
            <w:shd w:val="clear" w:color="000000" w:fill="FDE9D9"/>
            <w:noWrap/>
            <w:vAlign w:val="bottom"/>
            <w:hideMark/>
          </w:tcPr>
          <w:p w14:paraId="26FB92BB"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34.9%</w:t>
            </w:r>
          </w:p>
        </w:tc>
        <w:tc>
          <w:tcPr>
            <w:tcW w:w="370" w:type="pct"/>
            <w:tcBorders>
              <w:top w:val="nil"/>
              <w:left w:val="nil"/>
              <w:bottom w:val="single" w:sz="4" w:space="0" w:color="auto"/>
              <w:right w:val="single" w:sz="4" w:space="0" w:color="auto"/>
            </w:tcBorders>
            <w:shd w:val="clear" w:color="000000" w:fill="FDE9D9"/>
            <w:noWrap/>
            <w:vAlign w:val="bottom"/>
            <w:hideMark/>
          </w:tcPr>
          <w:p w14:paraId="1C38DADD"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34.2%</w:t>
            </w:r>
          </w:p>
        </w:tc>
        <w:tc>
          <w:tcPr>
            <w:tcW w:w="370" w:type="pct"/>
            <w:tcBorders>
              <w:top w:val="nil"/>
              <w:left w:val="nil"/>
              <w:bottom w:val="single" w:sz="4" w:space="0" w:color="auto"/>
              <w:right w:val="single" w:sz="4" w:space="0" w:color="auto"/>
            </w:tcBorders>
            <w:shd w:val="clear" w:color="000000" w:fill="FDE9D9"/>
            <w:noWrap/>
            <w:vAlign w:val="bottom"/>
            <w:hideMark/>
          </w:tcPr>
          <w:p w14:paraId="4C311C56"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42.0%</w:t>
            </w:r>
          </w:p>
        </w:tc>
        <w:tc>
          <w:tcPr>
            <w:tcW w:w="421" w:type="pct"/>
            <w:tcBorders>
              <w:top w:val="nil"/>
              <w:left w:val="nil"/>
              <w:bottom w:val="single" w:sz="4" w:space="0" w:color="auto"/>
              <w:right w:val="single" w:sz="4" w:space="0" w:color="auto"/>
            </w:tcBorders>
            <w:shd w:val="clear" w:color="000000" w:fill="FDE9D9"/>
            <w:noWrap/>
            <w:vAlign w:val="bottom"/>
            <w:hideMark/>
          </w:tcPr>
          <w:p w14:paraId="1318F719"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47.6%</w:t>
            </w:r>
          </w:p>
        </w:tc>
        <w:tc>
          <w:tcPr>
            <w:tcW w:w="370" w:type="pct"/>
            <w:tcBorders>
              <w:top w:val="nil"/>
              <w:left w:val="nil"/>
              <w:bottom w:val="single" w:sz="4" w:space="0" w:color="auto"/>
              <w:right w:val="single" w:sz="4" w:space="0" w:color="auto"/>
            </w:tcBorders>
            <w:shd w:val="clear" w:color="000000" w:fill="FDE9D9"/>
            <w:noWrap/>
            <w:vAlign w:val="bottom"/>
            <w:hideMark/>
          </w:tcPr>
          <w:p w14:paraId="3FCC241E"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53.6%</w:t>
            </w:r>
          </w:p>
        </w:tc>
        <w:tc>
          <w:tcPr>
            <w:tcW w:w="370" w:type="pct"/>
            <w:tcBorders>
              <w:top w:val="nil"/>
              <w:left w:val="nil"/>
              <w:bottom w:val="single" w:sz="4" w:space="0" w:color="auto"/>
              <w:right w:val="single" w:sz="8" w:space="0" w:color="auto"/>
            </w:tcBorders>
            <w:shd w:val="clear" w:color="000000" w:fill="FDE9D9"/>
            <w:noWrap/>
            <w:vAlign w:val="bottom"/>
            <w:hideMark/>
          </w:tcPr>
          <w:p w14:paraId="159268EB"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53.0%</w:t>
            </w:r>
          </w:p>
        </w:tc>
      </w:tr>
      <w:tr w:rsidR="009A356E" w:rsidRPr="00F72CFE" w14:paraId="475CE539" w14:textId="77777777" w:rsidTr="009A356E">
        <w:trPr>
          <w:trHeight w:val="240"/>
        </w:trPr>
        <w:tc>
          <w:tcPr>
            <w:tcW w:w="1292" w:type="pct"/>
            <w:tcBorders>
              <w:top w:val="nil"/>
              <w:left w:val="single" w:sz="4" w:space="0" w:color="auto"/>
              <w:bottom w:val="single" w:sz="4" w:space="0" w:color="auto"/>
              <w:right w:val="single" w:sz="4" w:space="0" w:color="auto"/>
            </w:tcBorders>
            <w:shd w:val="clear" w:color="auto" w:fill="auto"/>
            <w:noWrap/>
            <w:vAlign w:val="bottom"/>
            <w:hideMark/>
          </w:tcPr>
          <w:p w14:paraId="3A0F5DD8" w14:textId="77777777" w:rsidR="009A356E" w:rsidRPr="00F72CFE" w:rsidRDefault="009A356E" w:rsidP="009A356E">
            <w:pPr>
              <w:rPr>
                <w:rFonts w:ascii="Calibri" w:hAnsi="Calibri"/>
                <w:sz w:val="18"/>
                <w:szCs w:val="18"/>
                <w:lang w:eastAsia="en-AU"/>
              </w:rPr>
            </w:pPr>
            <w:r w:rsidRPr="00F72CFE">
              <w:rPr>
                <w:rFonts w:ascii="Calibri" w:hAnsi="Calibri"/>
                <w:sz w:val="18"/>
                <w:szCs w:val="18"/>
                <w:lang w:eastAsia="en-AU"/>
              </w:rPr>
              <w:t>CENTRAL GOLDFIELDS (S)</w:t>
            </w:r>
          </w:p>
        </w:tc>
        <w:tc>
          <w:tcPr>
            <w:tcW w:w="699" w:type="pct"/>
            <w:tcBorders>
              <w:top w:val="nil"/>
              <w:left w:val="nil"/>
              <w:bottom w:val="single" w:sz="4" w:space="0" w:color="auto"/>
              <w:right w:val="nil"/>
            </w:tcBorders>
            <w:shd w:val="clear" w:color="000000" w:fill="DAEEF3"/>
            <w:noWrap/>
            <w:vAlign w:val="bottom"/>
            <w:hideMark/>
          </w:tcPr>
          <w:p w14:paraId="7A9008F2" w14:textId="77777777" w:rsidR="009A356E" w:rsidRPr="00F72CFE" w:rsidRDefault="009A356E" w:rsidP="009A356E">
            <w:pPr>
              <w:jc w:val="center"/>
              <w:rPr>
                <w:rFonts w:ascii="Calibri" w:hAnsi="Calibri"/>
                <w:color w:val="000000"/>
                <w:sz w:val="18"/>
                <w:szCs w:val="18"/>
                <w:lang w:eastAsia="en-AU"/>
              </w:rPr>
            </w:pPr>
            <w:r w:rsidRPr="00F72CFE">
              <w:rPr>
                <w:rFonts w:ascii="Calibri" w:hAnsi="Calibri"/>
                <w:color w:val="000000"/>
                <w:sz w:val="18"/>
                <w:szCs w:val="18"/>
                <w:lang w:eastAsia="en-AU"/>
              </w:rPr>
              <w:t>6.9%</w:t>
            </w:r>
          </w:p>
        </w:tc>
        <w:tc>
          <w:tcPr>
            <w:tcW w:w="370" w:type="pct"/>
            <w:tcBorders>
              <w:top w:val="nil"/>
              <w:left w:val="single" w:sz="8" w:space="0" w:color="auto"/>
              <w:bottom w:val="single" w:sz="4" w:space="0" w:color="auto"/>
              <w:right w:val="single" w:sz="4" w:space="0" w:color="auto"/>
            </w:tcBorders>
            <w:shd w:val="clear" w:color="000000" w:fill="FDE9D9"/>
            <w:noWrap/>
            <w:vAlign w:val="bottom"/>
            <w:hideMark/>
          </w:tcPr>
          <w:p w14:paraId="02B4382F"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19.6%</w:t>
            </w:r>
          </w:p>
        </w:tc>
        <w:tc>
          <w:tcPr>
            <w:tcW w:w="370" w:type="pct"/>
            <w:tcBorders>
              <w:top w:val="nil"/>
              <w:left w:val="nil"/>
              <w:bottom w:val="single" w:sz="4" w:space="0" w:color="auto"/>
              <w:right w:val="single" w:sz="4" w:space="0" w:color="auto"/>
            </w:tcBorders>
            <w:shd w:val="clear" w:color="000000" w:fill="FDE9D9"/>
            <w:noWrap/>
            <w:vAlign w:val="bottom"/>
            <w:hideMark/>
          </w:tcPr>
          <w:p w14:paraId="56DC17BF"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23.1%</w:t>
            </w:r>
          </w:p>
        </w:tc>
        <w:tc>
          <w:tcPr>
            <w:tcW w:w="370" w:type="pct"/>
            <w:tcBorders>
              <w:top w:val="nil"/>
              <w:left w:val="nil"/>
              <w:bottom w:val="single" w:sz="4" w:space="0" w:color="auto"/>
              <w:right w:val="single" w:sz="4" w:space="0" w:color="auto"/>
            </w:tcBorders>
            <w:shd w:val="clear" w:color="000000" w:fill="FDE9D9"/>
            <w:noWrap/>
            <w:vAlign w:val="bottom"/>
            <w:hideMark/>
          </w:tcPr>
          <w:p w14:paraId="5487EED4"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25.8%</w:t>
            </w:r>
          </w:p>
        </w:tc>
        <w:tc>
          <w:tcPr>
            <w:tcW w:w="370" w:type="pct"/>
            <w:tcBorders>
              <w:top w:val="nil"/>
              <w:left w:val="nil"/>
              <w:bottom w:val="single" w:sz="4" w:space="0" w:color="auto"/>
              <w:right w:val="single" w:sz="4" w:space="0" w:color="auto"/>
            </w:tcBorders>
            <w:shd w:val="clear" w:color="000000" w:fill="FDE9D9"/>
            <w:noWrap/>
            <w:vAlign w:val="bottom"/>
            <w:hideMark/>
          </w:tcPr>
          <w:p w14:paraId="7DE20FD5"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38.8%</w:t>
            </w:r>
          </w:p>
        </w:tc>
        <w:tc>
          <w:tcPr>
            <w:tcW w:w="370" w:type="pct"/>
            <w:tcBorders>
              <w:top w:val="nil"/>
              <w:left w:val="nil"/>
              <w:bottom w:val="single" w:sz="4" w:space="0" w:color="auto"/>
              <w:right w:val="single" w:sz="4" w:space="0" w:color="auto"/>
            </w:tcBorders>
            <w:shd w:val="clear" w:color="000000" w:fill="FDE9D9"/>
            <w:noWrap/>
            <w:vAlign w:val="bottom"/>
            <w:hideMark/>
          </w:tcPr>
          <w:p w14:paraId="64864FE5"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38.4%</w:t>
            </w:r>
          </w:p>
        </w:tc>
        <w:tc>
          <w:tcPr>
            <w:tcW w:w="421" w:type="pct"/>
            <w:tcBorders>
              <w:top w:val="nil"/>
              <w:left w:val="nil"/>
              <w:bottom w:val="single" w:sz="4" w:space="0" w:color="auto"/>
              <w:right w:val="single" w:sz="4" w:space="0" w:color="auto"/>
            </w:tcBorders>
            <w:shd w:val="clear" w:color="000000" w:fill="FDE9D9"/>
            <w:noWrap/>
            <w:vAlign w:val="bottom"/>
            <w:hideMark/>
          </w:tcPr>
          <w:p w14:paraId="0FB3E53A"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58.5%</w:t>
            </w:r>
          </w:p>
        </w:tc>
        <w:tc>
          <w:tcPr>
            <w:tcW w:w="370" w:type="pct"/>
            <w:tcBorders>
              <w:top w:val="nil"/>
              <w:left w:val="nil"/>
              <w:bottom w:val="single" w:sz="4" w:space="0" w:color="auto"/>
              <w:right w:val="single" w:sz="4" w:space="0" w:color="auto"/>
            </w:tcBorders>
            <w:shd w:val="clear" w:color="000000" w:fill="FDE9D9"/>
            <w:noWrap/>
            <w:vAlign w:val="bottom"/>
            <w:hideMark/>
          </w:tcPr>
          <w:p w14:paraId="036D9E2B"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59.3%</w:t>
            </w:r>
          </w:p>
        </w:tc>
        <w:tc>
          <w:tcPr>
            <w:tcW w:w="370" w:type="pct"/>
            <w:tcBorders>
              <w:top w:val="nil"/>
              <w:left w:val="nil"/>
              <w:bottom w:val="single" w:sz="4" w:space="0" w:color="auto"/>
              <w:right w:val="single" w:sz="8" w:space="0" w:color="auto"/>
            </w:tcBorders>
            <w:shd w:val="clear" w:color="000000" w:fill="FDE9D9"/>
            <w:noWrap/>
            <w:vAlign w:val="bottom"/>
            <w:hideMark/>
          </w:tcPr>
          <w:p w14:paraId="1F597EA9"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48.5%</w:t>
            </w:r>
          </w:p>
        </w:tc>
      </w:tr>
      <w:tr w:rsidR="009A356E" w:rsidRPr="00F72CFE" w14:paraId="1BEED8E6" w14:textId="77777777" w:rsidTr="009A356E">
        <w:trPr>
          <w:trHeight w:val="240"/>
        </w:trPr>
        <w:tc>
          <w:tcPr>
            <w:tcW w:w="1292" w:type="pct"/>
            <w:tcBorders>
              <w:top w:val="nil"/>
              <w:left w:val="single" w:sz="4" w:space="0" w:color="auto"/>
              <w:bottom w:val="single" w:sz="4" w:space="0" w:color="auto"/>
              <w:right w:val="single" w:sz="4" w:space="0" w:color="auto"/>
            </w:tcBorders>
            <w:shd w:val="clear" w:color="auto" w:fill="auto"/>
            <w:noWrap/>
            <w:vAlign w:val="bottom"/>
            <w:hideMark/>
          </w:tcPr>
          <w:p w14:paraId="51D28EA7" w14:textId="77777777" w:rsidR="009A356E" w:rsidRPr="00F72CFE" w:rsidRDefault="009A356E" w:rsidP="009A356E">
            <w:pPr>
              <w:rPr>
                <w:rFonts w:ascii="Calibri" w:hAnsi="Calibri"/>
                <w:sz w:val="18"/>
                <w:szCs w:val="18"/>
                <w:lang w:eastAsia="en-AU"/>
              </w:rPr>
            </w:pPr>
            <w:r w:rsidRPr="00F72CFE">
              <w:rPr>
                <w:rFonts w:ascii="Calibri" w:hAnsi="Calibri"/>
                <w:sz w:val="18"/>
                <w:szCs w:val="18"/>
                <w:lang w:eastAsia="en-AU"/>
              </w:rPr>
              <w:t>COLAC OTWAY (S)</w:t>
            </w:r>
          </w:p>
        </w:tc>
        <w:tc>
          <w:tcPr>
            <w:tcW w:w="699" w:type="pct"/>
            <w:tcBorders>
              <w:top w:val="nil"/>
              <w:left w:val="nil"/>
              <w:bottom w:val="single" w:sz="4" w:space="0" w:color="auto"/>
              <w:right w:val="nil"/>
            </w:tcBorders>
            <w:shd w:val="clear" w:color="000000" w:fill="DAEEF3"/>
            <w:noWrap/>
            <w:vAlign w:val="bottom"/>
            <w:hideMark/>
          </w:tcPr>
          <w:p w14:paraId="15B7796F" w14:textId="77777777" w:rsidR="009A356E" w:rsidRPr="00F72CFE" w:rsidRDefault="009A356E" w:rsidP="009A356E">
            <w:pPr>
              <w:jc w:val="center"/>
              <w:rPr>
                <w:rFonts w:ascii="Calibri" w:hAnsi="Calibri"/>
                <w:color w:val="000000"/>
                <w:sz w:val="18"/>
                <w:szCs w:val="18"/>
                <w:lang w:eastAsia="en-AU"/>
              </w:rPr>
            </w:pPr>
            <w:r w:rsidRPr="00F72CFE">
              <w:rPr>
                <w:rFonts w:ascii="Calibri" w:hAnsi="Calibri"/>
                <w:color w:val="000000"/>
                <w:sz w:val="18"/>
                <w:szCs w:val="18"/>
                <w:lang w:eastAsia="en-AU"/>
              </w:rPr>
              <w:t>4.5%</w:t>
            </w:r>
          </w:p>
        </w:tc>
        <w:tc>
          <w:tcPr>
            <w:tcW w:w="370" w:type="pct"/>
            <w:tcBorders>
              <w:top w:val="nil"/>
              <w:left w:val="single" w:sz="8" w:space="0" w:color="auto"/>
              <w:bottom w:val="single" w:sz="4" w:space="0" w:color="auto"/>
              <w:right w:val="single" w:sz="4" w:space="0" w:color="auto"/>
            </w:tcBorders>
            <w:shd w:val="clear" w:color="000000" w:fill="FDE9D9"/>
            <w:noWrap/>
            <w:vAlign w:val="bottom"/>
            <w:hideMark/>
          </w:tcPr>
          <w:p w14:paraId="3ABA45DB"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37.7%</w:t>
            </w:r>
          </w:p>
        </w:tc>
        <w:tc>
          <w:tcPr>
            <w:tcW w:w="370" w:type="pct"/>
            <w:tcBorders>
              <w:top w:val="nil"/>
              <w:left w:val="nil"/>
              <w:bottom w:val="single" w:sz="4" w:space="0" w:color="auto"/>
              <w:right w:val="single" w:sz="4" w:space="0" w:color="auto"/>
            </w:tcBorders>
            <w:shd w:val="clear" w:color="000000" w:fill="FDE9D9"/>
            <w:noWrap/>
            <w:vAlign w:val="bottom"/>
            <w:hideMark/>
          </w:tcPr>
          <w:p w14:paraId="1716B4AF"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35.6%</w:t>
            </w:r>
          </w:p>
        </w:tc>
        <w:tc>
          <w:tcPr>
            <w:tcW w:w="370" w:type="pct"/>
            <w:tcBorders>
              <w:top w:val="nil"/>
              <w:left w:val="nil"/>
              <w:bottom w:val="single" w:sz="4" w:space="0" w:color="auto"/>
              <w:right w:val="single" w:sz="4" w:space="0" w:color="auto"/>
            </w:tcBorders>
            <w:shd w:val="clear" w:color="000000" w:fill="FDE9D9"/>
            <w:noWrap/>
            <w:vAlign w:val="bottom"/>
            <w:hideMark/>
          </w:tcPr>
          <w:p w14:paraId="5D1E540C"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33.7%</w:t>
            </w:r>
          </w:p>
        </w:tc>
        <w:tc>
          <w:tcPr>
            <w:tcW w:w="370" w:type="pct"/>
            <w:tcBorders>
              <w:top w:val="nil"/>
              <w:left w:val="nil"/>
              <w:bottom w:val="single" w:sz="4" w:space="0" w:color="auto"/>
              <w:right w:val="single" w:sz="4" w:space="0" w:color="auto"/>
            </w:tcBorders>
            <w:shd w:val="clear" w:color="000000" w:fill="FDE9D9"/>
            <w:noWrap/>
            <w:vAlign w:val="bottom"/>
            <w:hideMark/>
          </w:tcPr>
          <w:p w14:paraId="6F8B2C38"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33.9%</w:t>
            </w:r>
          </w:p>
        </w:tc>
        <w:tc>
          <w:tcPr>
            <w:tcW w:w="370" w:type="pct"/>
            <w:tcBorders>
              <w:top w:val="nil"/>
              <w:left w:val="nil"/>
              <w:bottom w:val="single" w:sz="4" w:space="0" w:color="auto"/>
              <w:right w:val="single" w:sz="4" w:space="0" w:color="auto"/>
            </w:tcBorders>
            <w:shd w:val="clear" w:color="000000" w:fill="FDE9D9"/>
            <w:noWrap/>
            <w:vAlign w:val="bottom"/>
            <w:hideMark/>
          </w:tcPr>
          <w:p w14:paraId="492C54B5"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33.7%</w:t>
            </w:r>
          </w:p>
        </w:tc>
        <w:tc>
          <w:tcPr>
            <w:tcW w:w="421" w:type="pct"/>
            <w:tcBorders>
              <w:top w:val="nil"/>
              <w:left w:val="nil"/>
              <w:bottom w:val="single" w:sz="4" w:space="0" w:color="auto"/>
              <w:right w:val="single" w:sz="4" w:space="0" w:color="auto"/>
            </w:tcBorders>
            <w:shd w:val="clear" w:color="000000" w:fill="FDE9D9"/>
            <w:noWrap/>
            <w:vAlign w:val="bottom"/>
            <w:hideMark/>
          </w:tcPr>
          <w:p w14:paraId="44BA810A"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35.3%</w:t>
            </w:r>
          </w:p>
        </w:tc>
        <w:tc>
          <w:tcPr>
            <w:tcW w:w="370" w:type="pct"/>
            <w:tcBorders>
              <w:top w:val="nil"/>
              <w:left w:val="nil"/>
              <w:bottom w:val="single" w:sz="4" w:space="0" w:color="auto"/>
              <w:right w:val="single" w:sz="4" w:space="0" w:color="auto"/>
            </w:tcBorders>
            <w:shd w:val="clear" w:color="000000" w:fill="FDE9D9"/>
            <w:noWrap/>
            <w:vAlign w:val="bottom"/>
            <w:hideMark/>
          </w:tcPr>
          <w:p w14:paraId="41F53BF1"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37.2%</w:t>
            </w:r>
          </w:p>
        </w:tc>
        <w:tc>
          <w:tcPr>
            <w:tcW w:w="370" w:type="pct"/>
            <w:tcBorders>
              <w:top w:val="nil"/>
              <w:left w:val="nil"/>
              <w:bottom w:val="single" w:sz="4" w:space="0" w:color="auto"/>
              <w:right w:val="single" w:sz="8" w:space="0" w:color="auto"/>
            </w:tcBorders>
            <w:shd w:val="clear" w:color="000000" w:fill="FDE9D9"/>
            <w:noWrap/>
            <w:vAlign w:val="bottom"/>
            <w:hideMark/>
          </w:tcPr>
          <w:p w14:paraId="7809682F"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36.1%</w:t>
            </w:r>
          </w:p>
        </w:tc>
      </w:tr>
      <w:tr w:rsidR="009A356E" w:rsidRPr="00F72CFE" w14:paraId="3BC0C468" w14:textId="77777777" w:rsidTr="009A356E">
        <w:trPr>
          <w:trHeight w:val="240"/>
        </w:trPr>
        <w:tc>
          <w:tcPr>
            <w:tcW w:w="1292" w:type="pct"/>
            <w:tcBorders>
              <w:top w:val="nil"/>
              <w:left w:val="single" w:sz="4" w:space="0" w:color="auto"/>
              <w:bottom w:val="single" w:sz="4" w:space="0" w:color="auto"/>
              <w:right w:val="single" w:sz="4" w:space="0" w:color="auto"/>
            </w:tcBorders>
            <w:shd w:val="clear" w:color="auto" w:fill="auto"/>
            <w:noWrap/>
            <w:vAlign w:val="bottom"/>
            <w:hideMark/>
          </w:tcPr>
          <w:p w14:paraId="3503B2C4" w14:textId="77777777" w:rsidR="009A356E" w:rsidRPr="00F72CFE" w:rsidRDefault="009A356E" w:rsidP="009A356E">
            <w:pPr>
              <w:rPr>
                <w:rFonts w:ascii="Calibri" w:hAnsi="Calibri"/>
                <w:sz w:val="18"/>
                <w:szCs w:val="18"/>
                <w:lang w:eastAsia="en-AU"/>
              </w:rPr>
            </w:pPr>
            <w:r w:rsidRPr="00F72CFE">
              <w:rPr>
                <w:rFonts w:ascii="Calibri" w:hAnsi="Calibri"/>
                <w:sz w:val="18"/>
                <w:szCs w:val="18"/>
                <w:lang w:eastAsia="en-AU"/>
              </w:rPr>
              <w:t>CORANGAMITE (S)</w:t>
            </w:r>
          </w:p>
        </w:tc>
        <w:tc>
          <w:tcPr>
            <w:tcW w:w="699" w:type="pct"/>
            <w:tcBorders>
              <w:top w:val="nil"/>
              <w:left w:val="nil"/>
              <w:bottom w:val="single" w:sz="4" w:space="0" w:color="auto"/>
              <w:right w:val="nil"/>
            </w:tcBorders>
            <w:shd w:val="clear" w:color="000000" w:fill="DAEEF3"/>
            <w:noWrap/>
            <w:vAlign w:val="bottom"/>
            <w:hideMark/>
          </w:tcPr>
          <w:p w14:paraId="69EDE06B" w14:textId="77777777" w:rsidR="009A356E" w:rsidRPr="00F72CFE" w:rsidRDefault="009A356E" w:rsidP="009A356E">
            <w:pPr>
              <w:jc w:val="center"/>
              <w:rPr>
                <w:rFonts w:ascii="Calibri" w:hAnsi="Calibri"/>
                <w:color w:val="000000"/>
                <w:sz w:val="18"/>
                <w:szCs w:val="18"/>
                <w:lang w:eastAsia="en-AU"/>
              </w:rPr>
            </w:pPr>
            <w:r w:rsidRPr="00F72CFE">
              <w:rPr>
                <w:rFonts w:ascii="Calibri" w:hAnsi="Calibri"/>
                <w:color w:val="000000"/>
                <w:sz w:val="18"/>
                <w:szCs w:val="18"/>
                <w:lang w:eastAsia="en-AU"/>
              </w:rPr>
              <w:t>6.5%</w:t>
            </w:r>
          </w:p>
        </w:tc>
        <w:tc>
          <w:tcPr>
            <w:tcW w:w="370" w:type="pct"/>
            <w:tcBorders>
              <w:top w:val="nil"/>
              <w:left w:val="single" w:sz="8" w:space="0" w:color="auto"/>
              <w:bottom w:val="single" w:sz="4" w:space="0" w:color="auto"/>
              <w:right w:val="single" w:sz="4" w:space="0" w:color="auto"/>
            </w:tcBorders>
            <w:shd w:val="clear" w:color="000000" w:fill="FDE9D9"/>
            <w:noWrap/>
            <w:vAlign w:val="bottom"/>
            <w:hideMark/>
          </w:tcPr>
          <w:p w14:paraId="65C75331"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38.2%</w:t>
            </w:r>
          </w:p>
        </w:tc>
        <w:tc>
          <w:tcPr>
            <w:tcW w:w="370" w:type="pct"/>
            <w:tcBorders>
              <w:top w:val="nil"/>
              <w:left w:val="nil"/>
              <w:bottom w:val="single" w:sz="4" w:space="0" w:color="auto"/>
              <w:right w:val="single" w:sz="4" w:space="0" w:color="auto"/>
            </w:tcBorders>
            <w:shd w:val="clear" w:color="000000" w:fill="FDE9D9"/>
            <w:noWrap/>
            <w:vAlign w:val="bottom"/>
            <w:hideMark/>
          </w:tcPr>
          <w:p w14:paraId="2ACF7557"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40.8%</w:t>
            </w:r>
          </w:p>
        </w:tc>
        <w:tc>
          <w:tcPr>
            <w:tcW w:w="370" w:type="pct"/>
            <w:tcBorders>
              <w:top w:val="nil"/>
              <w:left w:val="nil"/>
              <w:bottom w:val="single" w:sz="4" w:space="0" w:color="auto"/>
              <w:right w:val="single" w:sz="4" w:space="0" w:color="auto"/>
            </w:tcBorders>
            <w:shd w:val="clear" w:color="000000" w:fill="FDE9D9"/>
            <w:noWrap/>
            <w:vAlign w:val="bottom"/>
            <w:hideMark/>
          </w:tcPr>
          <w:p w14:paraId="73D54BB7"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41.5%</w:t>
            </w:r>
          </w:p>
        </w:tc>
        <w:tc>
          <w:tcPr>
            <w:tcW w:w="370" w:type="pct"/>
            <w:tcBorders>
              <w:top w:val="nil"/>
              <w:left w:val="nil"/>
              <w:bottom w:val="single" w:sz="4" w:space="0" w:color="auto"/>
              <w:right w:val="single" w:sz="4" w:space="0" w:color="auto"/>
            </w:tcBorders>
            <w:shd w:val="clear" w:color="000000" w:fill="FDE9D9"/>
            <w:noWrap/>
            <w:vAlign w:val="bottom"/>
            <w:hideMark/>
          </w:tcPr>
          <w:p w14:paraId="58C6A5C3"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44.7%</w:t>
            </w:r>
          </w:p>
        </w:tc>
        <w:tc>
          <w:tcPr>
            <w:tcW w:w="370" w:type="pct"/>
            <w:tcBorders>
              <w:top w:val="nil"/>
              <w:left w:val="nil"/>
              <w:bottom w:val="single" w:sz="4" w:space="0" w:color="auto"/>
              <w:right w:val="single" w:sz="4" w:space="0" w:color="auto"/>
            </w:tcBorders>
            <w:shd w:val="clear" w:color="000000" w:fill="FDE9D9"/>
            <w:noWrap/>
            <w:vAlign w:val="bottom"/>
            <w:hideMark/>
          </w:tcPr>
          <w:p w14:paraId="57D21476"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42.7%</w:t>
            </w:r>
          </w:p>
        </w:tc>
        <w:tc>
          <w:tcPr>
            <w:tcW w:w="421" w:type="pct"/>
            <w:tcBorders>
              <w:top w:val="nil"/>
              <w:left w:val="nil"/>
              <w:bottom w:val="single" w:sz="4" w:space="0" w:color="auto"/>
              <w:right w:val="single" w:sz="4" w:space="0" w:color="auto"/>
            </w:tcBorders>
            <w:shd w:val="clear" w:color="000000" w:fill="FDE9D9"/>
            <w:noWrap/>
            <w:vAlign w:val="bottom"/>
            <w:hideMark/>
          </w:tcPr>
          <w:p w14:paraId="3167DEEA"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40.1%</w:t>
            </w:r>
          </w:p>
        </w:tc>
        <w:tc>
          <w:tcPr>
            <w:tcW w:w="370" w:type="pct"/>
            <w:tcBorders>
              <w:top w:val="nil"/>
              <w:left w:val="nil"/>
              <w:bottom w:val="single" w:sz="4" w:space="0" w:color="auto"/>
              <w:right w:val="single" w:sz="4" w:space="0" w:color="auto"/>
            </w:tcBorders>
            <w:shd w:val="clear" w:color="000000" w:fill="FDE9D9"/>
            <w:noWrap/>
            <w:vAlign w:val="bottom"/>
            <w:hideMark/>
          </w:tcPr>
          <w:p w14:paraId="78DF8DFF"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40.5%</w:t>
            </w:r>
          </w:p>
        </w:tc>
        <w:tc>
          <w:tcPr>
            <w:tcW w:w="370" w:type="pct"/>
            <w:tcBorders>
              <w:top w:val="nil"/>
              <w:left w:val="nil"/>
              <w:bottom w:val="single" w:sz="4" w:space="0" w:color="auto"/>
              <w:right w:val="single" w:sz="8" w:space="0" w:color="auto"/>
            </w:tcBorders>
            <w:shd w:val="clear" w:color="000000" w:fill="FDE9D9"/>
            <w:noWrap/>
            <w:vAlign w:val="bottom"/>
            <w:hideMark/>
          </w:tcPr>
          <w:p w14:paraId="33576B6B"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42.3%</w:t>
            </w:r>
          </w:p>
        </w:tc>
      </w:tr>
      <w:tr w:rsidR="009A356E" w:rsidRPr="00F72CFE" w14:paraId="40AD49E0" w14:textId="77777777" w:rsidTr="009A356E">
        <w:trPr>
          <w:trHeight w:val="240"/>
        </w:trPr>
        <w:tc>
          <w:tcPr>
            <w:tcW w:w="1292" w:type="pct"/>
            <w:tcBorders>
              <w:top w:val="nil"/>
              <w:left w:val="single" w:sz="4" w:space="0" w:color="auto"/>
              <w:bottom w:val="single" w:sz="4" w:space="0" w:color="auto"/>
              <w:right w:val="single" w:sz="4" w:space="0" w:color="auto"/>
            </w:tcBorders>
            <w:shd w:val="clear" w:color="auto" w:fill="auto"/>
            <w:noWrap/>
            <w:vAlign w:val="bottom"/>
            <w:hideMark/>
          </w:tcPr>
          <w:p w14:paraId="6D3BB022" w14:textId="77777777" w:rsidR="009A356E" w:rsidRPr="00F72CFE" w:rsidRDefault="009A356E" w:rsidP="009A356E">
            <w:pPr>
              <w:rPr>
                <w:rFonts w:ascii="Calibri" w:hAnsi="Calibri"/>
                <w:sz w:val="18"/>
                <w:szCs w:val="18"/>
                <w:lang w:eastAsia="en-AU"/>
              </w:rPr>
            </w:pPr>
            <w:r w:rsidRPr="00F72CFE">
              <w:rPr>
                <w:rFonts w:ascii="Calibri" w:hAnsi="Calibri"/>
                <w:sz w:val="18"/>
                <w:szCs w:val="18"/>
                <w:lang w:eastAsia="en-AU"/>
              </w:rPr>
              <w:t>EAST GIPPSLAND (S)</w:t>
            </w:r>
          </w:p>
        </w:tc>
        <w:tc>
          <w:tcPr>
            <w:tcW w:w="699" w:type="pct"/>
            <w:tcBorders>
              <w:top w:val="nil"/>
              <w:left w:val="nil"/>
              <w:bottom w:val="single" w:sz="4" w:space="0" w:color="auto"/>
              <w:right w:val="nil"/>
            </w:tcBorders>
            <w:shd w:val="clear" w:color="000000" w:fill="DAEEF3"/>
            <w:noWrap/>
            <w:vAlign w:val="bottom"/>
            <w:hideMark/>
          </w:tcPr>
          <w:p w14:paraId="25E0E6D7" w14:textId="77777777" w:rsidR="009A356E" w:rsidRPr="00F72CFE" w:rsidRDefault="009A356E" w:rsidP="009A356E">
            <w:pPr>
              <w:jc w:val="center"/>
              <w:rPr>
                <w:rFonts w:ascii="Calibri" w:hAnsi="Calibri"/>
                <w:color w:val="000000"/>
                <w:sz w:val="18"/>
                <w:szCs w:val="18"/>
                <w:lang w:eastAsia="en-AU"/>
              </w:rPr>
            </w:pPr>
            <w:r w:rsidRPr="00F72CFE">
              <w:rPr>
                <w:rFonts w:ascii="Calibri" w:hAnsi="Calibri"/>
                <w:color w:val="000000"/>
                <w:sz w:val="18"/>
                <w:szCs w:val="18"/>
                <w:lang w:eastAsia="en-AU"/>
              </w:rPr>
              <w:t>6.9%</w:t>
            </w:r>
          </w:p>
        </w:tc>
        <w:tc>
          <w:tcPr>
            <w:tcW w:w="370" w:type="pct"/>
            <w:tcBorders>
              <w:top w:val="nil"/>
              <w:left w:val="single" w:sz="8" w:space="0" w:color="auto"/>
              <w:bottom w:val="single" w:sz="4" w:space="0" w:color="auto"/>
              <w:right w:val="single" w:sz="4" w:space="0" w:color="auto"/>
            </w:tcBorders>
            <w:shd w:val="clear" w:color="000000" w:fill="FDE9D9"/>
            <w:noWrap/>
            <w:vAlign w:val="bottom"/>
            <w:hideMark/>
          </w:tcPr>
          <w:p w14:paraId="40047B88"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26.7%</w:t>
            </w:r>
          </w:p>
        </w:tc>
        <w:tc>
          <w:tcPr>
            <w:tcW w:w="370" w:type="pct"/>
            <w:tcBorders>
              <w:top w:val="nil"/>
              <w:left w:val="nil"/>
              <w:bottom w:val="single" w:sz="4" w:space="0" w:color="auto"/>
              <w:right w:val="single" w:sz="4" w:space="0" w:color="auto"/>
            </w:tcBorders>
            <w:shd w:val="clear" w:color="000000" w:fill="FDE9D9"/>
            <w:noWrap/>
            <w:vAlign w:val="bottom"/>
            <w:hideMark/>
          </w:tcPr>
          <w:p w14:paraId="0703D771"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31.8%</w:t>
            </w:r>
          </w:p>
        </w:tc>
        <w:tc>
          <w:tcPr>
            <w:tcW w:w="370" w:type="pct"/>
            <w:tcBorders>
              <w:top w:val="nil"/>
              <w:left w:val="nil"/>
              <w:bottom w:val="single" w:sz="4" w:space="0" w:color="auto"/>
              <w:right w:val="single" w:sz="4" w:space="0" w:color="auto"/>
            </w:tcBorders>
            <w:shd w:val="clear" w:color="000000" w:fill="FDE9D9"/>
            <w:noWrap/>
            <w:vAlign w:val="bottom"/>
            <w:hideMark/>
          </w:tcPr>
          <w:p w14:paraId="396CC505"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30.5%</w:t>
            </w:r>
          </w:p>
        </w:tc>
        <w:tc>
          <w:tcPr>
            <w:tcW w:w="370" w:type="pct"/>
            <w:tcBorders>
              <w:top w:val="nil"/>
              <w:left w:val="nil"/>
              <w:bottom w:val="single" w:sz="4" w:space="0" w:color="auto"/>
              <w:right w:val="single" w:sz="4" w:space="0" w:color="auto"/>
            </w:tcBorders>
            <w:shd w:val="clear" w:color="000000" w:fill="FDE9D9"/>
            <w:noWrap/>
            <w:vAlign w:val="bottom"/>
            <w:hideMark/>
          </w:tcPr>
          <w:p w14:paraId="1CCF28C9"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31.7%</w:t>
            </w:r>
          </w:p>
        </w:tc>
        <w:tc>
          <w:tcPr>
            <w:tcW w:w="370" w:type="pct"/>
            <w:tcBorders>
              <w:top w:val="nil"/>
              <w:left w:val="nil"/>
              <w:bottom w:val="single" w:sz="4" w:space="0" w:color="auto"/>
              <w:right w:val="single" w:sz="4" w:space="0" w:color="auto"/>
            </w:tcBorders>
            <w:shd w:val="clear" w:color="000000" w:fill="FDE9D9"/>
            <w:noWrap/>
            <w:vAlign w:val="bottom"/>
            <w:hideMark/>
          </w:tcPr>
          <w:p w14:paraId="525C63EF"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33.1%</w:t>
            </w:r>
          </w:p>
        </w:tc>
        <w:tc>
          <w:tcPr>
            <w:tcW w:w="421" w:type="pct"/>
            <w:tcBorders>
              <w:top w:val="nil"/>
              <w:left w:val="nil"/>
              <w:bottom w:val="single" w:sz="4" w:space="0" w:color="auto"/>
              <w:right w:val="single" w:sz="4" w:space="0" w:color="auto"/>
            </w:tcBorders>
            <w:shd w:val="clear" w:color="000000" w:fill="FDE9D9"/>
            <w:noWrap/>
            <w:vAlign w:val="bottom"/>
            <w:hideMark/>
          </w:tcPr>
          <w:p w14:paraId="3D72BB84"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35.9%</w:t>
            </w:r>
          </w:p>
        </w:tc>
        <w:tc>
          <w:tcPr>
            <w:tcW w:w="370" w:type="pct"/>
            <w:tcBorders>
              <w:top w:val="nil"/>
              <w:left w:val="nil"/>
              <w:bottom w:val="single" w:sz="4" w:space="0" w:color="auto"/>
              <w:right w:val="single" w:sz="4" w:space="0" w:color="auto"/>
            </w:tcBorders>
            <w:shd w:val="clear" w:color="000000" w:fill="FDE9D9"/>
            <w:noWrap/>
            <w:vAlign w:val="bottom"/>
            <w:hideMark/>
          </w:tcPr>
          <w:p w14:paraId="75907BCF"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36.6%</w:t>
            </w:r>
          </w:p>
        </w:tc>
        <w:tc>
          <w:tcPr>
            <w:tcW w:w="370" w:type="pct"/>
            <w:tcBorders>
              <w:top w:val="nil"/>
              <w:left w:val="nil"/>
              <w:bottom w:val="single" w:sz="4" w:space="0" w:color="auto"/>
              <w:right w:val="single" w:sz="8" w:space="0" w:color="auto"/>
            </w:tcBorders>
            <w:shd w:val="clear" w:color="000000" w:fill="FDE9D9"/>
            <w:noWrap/>
            <w:vAlign w:val="bottom"/>
            <w:hideMark/>
          </w:tcPr>
          <w:p w14:paraId="42EAB1A1"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41.5%</w:t>
            </w:r>
          </w:p>
        </w:tc>
      </w:tr>
      <w:tr w:rsidR="009A356E" w:rsidRPr="00F72CFE" w14:paraId="4CD242A6" w14:textId="77777777" w:rsidTr="009A356E">
        <w:trPr>
          <w:trHeight w:val="240"/>
        </w:trPr>
        <w:tc>
          <w:tcPr>
            <w:tcW w:w="1292" w:type="pct"/>
            <w:tcBorders>
              <w:top w:val="nil"/>
              <w:left w:val="single" w:sz="4" w:space="0" w:color="auto"/>
              <w:bottom w:val="single" w:sz="4" w:space="0" w:color="auto"/>
              <w:right w:val="single" w:sz="4" w:space="0" w:color="auto"/>
            </w:tcBorders>
            <w:shd w:val="clear" w:color="auto" w:fill="auto"/>
            <w:noWrap/>
            <w:vAlign w:val="bottom"/>
            <w:hideMark/>
          </w:tcPr>
          <w:p w14:paraId="52F7EECA" w14:textId="77777777" w:rsidR="009A356E" w:rsidRPr="00F72CFE" w:rsidRDefault="009A356E" w:rsidP="009A356E">
            <w:pPr>
              <w:rPr>
                <w:rFonts w:ascii="Calibri" w:hAnsi="Calibri"/>
                <w:sz w:val="18"/>
                <w:szCs w:val="18"/>
                <w:lang w:eastAsia="en-AU"/>
              </w:rPr>
            </w:pPr>
            <w:r w:rsidRPr="00F72CFE">
              <w:rPr>
                <w:rFonts w:ascii="Calibri" w:hAnsi="Calibri"/>
                <w:sz w:val="18"/>
                <w:szCs w:val="18"/>
                <w:lang w:eastAsia="en-AU"/>
              </w:rPr>
              <w:t>GANNAWARRA (S)</w:t>
            </w:r>
          </w:p>
        </w:tc>
        <w:tc>
          <w:tcPr>
            <w:tcW w:w="699" w:type="pct"/>
            <w:tcBorders>
              <w:top w:val="nil"/>
              <w:left w:val="nil"/>
              <w:bottom w:val="single" w:sz="4" w:space="0" w:color="auto"/>
              <w:right w:val="nil"/>
            </w:tcBorders>
            <w:shd w:val="clear" w:color="000000" w:fill="DAEEF3"/>
            <w:noWrap/>
            <w:vAlign w:val="bottom"/>
            <w:hideMark/>
          </w:tcPr>
          <w:p w14:paraId="0C90A21D" w14:textId="77777777" w:rsidR="009A356E" w:rsidRPr="00F72CFE" w:rsidRDefault="009A356E" w:rsidP="009A356E">
            <w:pPr>
              <w:jc w:val="center"/>
              <w:rPr>
                <w:rFonts w:ascii="Calibri" w:hAnsi="Calibri"/>
                <w:color w:val="000000"/>
                <w:sz w:val="18"/>
                <w:szCs w:val="18"/>
                <w:lang w:eastAsia="en-AU"/>
              </w:rPr>
            </w:pPr>
            <w:r w:rsidRPr="00F72CFE">
              <w:rPr>
                <w:rFonts w:ascii="Calibri" w:hAnsi="Calibri"/>
                <w:color w:val="000000"/>
                <w:sz w:val="18"/>
                <w:szCs w:val="18"/>
                <w:lang w:eastAsia="en-AU"/>
              </w:rPr>
              <w:t>6.2%</w:t>
            </w:r>
          </w:p>
        </w:tc>
        <w:tc>
          <w:tcPr>
            <w:tcW w:w="370" w:type="pct"/>
            <w:tcBorders>
              <w:top w:val="nil"/>
              <w:left w:val="single" w:sz="8" w:space="0" w:color="auto"/>
              <w:bottom w:val="single" w:sz="4" w:space="0" w:color="auto"/>
              <w:right w:val="single" w:sz="4" w:space="0" w:color="auto"/>
            </w:tcBorders>
            <w:shd w:val="clear" w:color="000000" w:fill="FDE9D9"/>
            <w:noWrap/>
            <w:vAlign w:val="bottom"/>
            <w:hideMark/>
          </w:tcPr>
          <w:p w14:paraId="23A7E723"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47.4%</w:t>
            </w:r>
          </w:p>
        </w:tc>
        <w:tc>
          <w:tcPr>
            <w:tcW w:w="370" w:type="pct"/>
            <w:tcBorders>
              <w:top w:val="nil"/>
              <w:left w:val="nil"/>
              <w:bottom w:val="single" w:sz="4" w:space="0" w:color="auto"/>
              <w:right w:val="single" w:sz="4" w:space="0" w:color="auto"/>
            </w:tcBorders>
            <w:shd w:val="clear" w:color="000000" w:fill="FDE9D9"/>
            <w:noWrap/>
            <w:vAlign w:val="bottom"/>
            <w:hideMark/>
          </w:tcPr>
          <w:p w14:paraId="7B5AF0D2"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39.9%</w:t>
            </w:r>
          </w:p>
        </w:tc>
        <w:tc>
          <w:tcPr>
            <w:tcW w:w="370" w:type="pct"/>
            <w:tcBorders>
              <w:top w:val="nil"/>
              <w:left w:val="nil"/>
              <w:bottom w:val="single" w:sz="4" w:space="0" w:color="auto"/>
              <w:right w:val="single" w:sz="4" w:space="0" w:color="auto"/>
            </w:tcBorders>
            <w:shd w:val="clear" w:color="000000" w:fill="FDE9D9"/>
            <w:noWrap/>
            <w:vAlign w:val="bottom"/>
            <w:hideMark/>
          </w:tcPr>
          <w:p w14:paraId="6AD59096"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41.7%</w:t>
            </w:r>
          </w:p>
        </w:tc>
        <w:tc>
          <w:tcPr>
            <w:tcW w:w="370" w:type="pct"/>
            <w:tcBorders>
              <w:top w:val="nil"/>
              <w:left w:val="nil"/>
              <w:bottom w:val="single" w:sz="4" w:space="0" w:color="auto"/>
              <w:right w:val="single" w:sz="4" w:space="0" w:color="auto"/>
            </w:tcBorders>
            <w:shd w:val="clear" w:color="000000" w:fill="FDE9D9"/>
            <w:noWrap/>
            <w:vAlign w:val="bottom"/>
            <w:hideMark/>
          </w:tcPr>
          <w:p w14:paraId="1E18C4B4"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48.1%</w:t>
            </w:r>
          </w:p>
        </w:tc>
        <w:tc>
          <w:tcPr>
            <w:tcW w:w="370" w:type="pct"/>
            <w:tcBorders>
              <w:top w:val="nil"/>
              <w:left w:val="nil"/>
              <w:bottom w:val="single" w:sz="4" w:space="0" w:color="auto"/>
              <w:right w:val="single" w:sz="4" w:space="0" w:color="auto"/>
            </w:tcBorders>
            <w:shd w:val="clear" w:color="000000" w:fill="FDE9D9"/>
            <w:noWrap/>
            <w:vAlign w:val="bottom"/>
            <w:hideMark/>
          </w:tcPr>
          <w:p w14:paraId="373EEAC2"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52.8%</w:t>
            </w:r>
          </w:p>
        </w:tc>
        <w:tc>
          <w:tcPr>
            <w:tcW w:w="421" w:type="pct"/>
            <w:tcBorders>
              <w:top w:val="nil"/>
              <w:left w:val="nil"/>
              <w:bottom w:val="single" w:sz="4" w:space="0" w:color="auto"/>
              <w:right w:val="single" w:sz="4" w:space="0" w:color="auto"/>
            </w:tcBorders>
            <w:shd w:val="clear" w:color="000000" w:fill="FDE9D9"/>
            <w:noWrap/>
            <w:vAlign w:val="bottom"/>
            <w:hideMark/>
          </w:tcPr>
          <w:p w14:paraId="03C0E541"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66.3%</w:t>
            </w:r>
          </w:p>
        </w:tc>
        <w:tc>
          <w:tcPr>
            <w:tcW w:w="370" w:type="pct"/>
            <w:tcBorders>
              <w:top w:val="nil"/>
              <w:left w:val="nil"/>
              <w:bottom w:val="single" w:sz="4" w:space="0" w:color="auto"/>
              <w:right w:val="single" w:sz="4" w:space="0" w:color="auto"/>
            </w:tcBorders>
            <w:shd w:val="clear" w:color="000000" w:fill="FDE9D9"/>
            <w:noWrap/>
            <w:vAlign w:val="bottom"/>
            <w:hideMark/>
          </w:tcPr>
          <w:p w14:paraId="1A279AC0"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64.7%</w:t>
            </w:r>
          </w:p>
        </w:tc>
        <w:tc>
          <w:tcPr>
            <w:tcW w:w="370" w:type="pct"/>
            <w:tcBorders>
              <w:top w:val="nil"/>
              <w:left w:val="nil"/>
              <w:bottom w:val="single" w:sz="4" w:space="0" w:color="auto"/>
              <w:right w:val="single" w:sz="8" w:space="0" w:color="auto"/>
            </w:tcBorders>
            <w:shd w:val="clear" w:color="000000" w:fill="FDE9D9"/>
            <w:noWrap/>
            <w:vAlign w:val="bottom"/>
            <w:hideMark/>
          </w:tcPr>
          <w:p w14:paraId="7C686AB3"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66.0%</w:t>
            </w:r>
          </w:p>
        </w:tc>
      </w:tr>
      <w:tr w:rsidR="009A356E" w:rsidRPr="00F72CFE" w14:paraId="06756835" w14:textId="77777777" w:rsidTr="009A356E">
        <w:trPr>
          <w:trHeight w:val="240"/>
        </w:trPr>
        <w:tc>
          <w:tcPr>
            <w:tcW w:w="1292" w:type="pct"/>
            <w:tcBorders>
              <w:top w:val="nil"/>
              <w:left w:val="single" w:sz="4" w:space="0" w:color="auto"/>
              <w:bottom w:val="single" w:sz="4" w:space="0" w:color="auto"/>
              <w:right w:val="single" w:sz="4" w:space="0" w:color="auto"/>
            </w:tcBorders>
            <w:shd w:val="clear" w:color="auto" w:fill="auto"/>
            <w:noWrap/>
            <w:vAlign w:val="bottom"/>
            <w:hideMark/>
          </w:tcPr>
          <w:p w14:paraId="3953AA41" w14:textId="77777777" w:rsidR="009A356E" w:rsidRPr="00F72CFE" w:rsidRDefault="009A356E" w:rsidP="009A356E">
            <w:pPr>
              <w:rPr>
                <w:rFonts w:ascii="Calibri" w:hAnsi="Calibri"/>
                <w:sz w:val="18"/>
                <w:szCs w:val="18"/>
                <w:lang w:eastAsia="en-AU"/>
              </w:rPr>
            </w:pPr>
            <w:r w:rsidRPr="00F72CFE">
              <w:rPr>
                <w:rFonts w:ascii="Calibri" w:hAnsi="Calibri"/>
                <w:sz w:val="18"/>
                <w:szCs w:val="18"/>
                <w:lang w:eastAsia="en-AU"/>
              </w:rPr>
              <w:t>GLENELG (S)</w:t>
            </w:r>
          </w:p>
        </w:tc>
        <w:tc>
          <w:tcPr>
            <w:tcW w:w="699" w:type="pct"/>
            <w:tcBorders>
              <w:top w:val="nil"/>
              <w:left w:val="nil"/>
              <w:bottom w:val="single" w:sz="4" w:space="0" w:color="auto"/>
              <w:right w:val="nil"/>
            </w:tcBorders>
            <w:shd w:val="clear" w:color="000000" w:fill="DAEEF3"/>
            <w:noWrap/>
            <w:vAlign w:val="bottom"/>
            <w:hideMark/>
          </w:tcPr>
          <w:p w14:paraId="59B7522F" w14:textId="77777777" w:rsidR="009A356E" w:rsidRPr="00F72CFE" w:rsidRDefault="009A356E" w:rsidP="009A356E">
            <w:pPr>
              <w:jc w:val="center"/>
              <w:rPr>
                <w:rFonts w:ascii="Calibri" w:hAnsi="Calibri"/>
                <w:color w:val="000000"/>
                <w:sz w:val="18"/>
                <w:szCs w:val="18"/>
                <w:lang w:eastAsia="en-AU"/>
              </w:rPr>
            </w:pPr>
            <w:r w:rsidRPr="00F72CFE">
              <w:rPr>
                <w:rFonts w:ascii="Calibri" w:hAnsi="Calibri"/>
                <w:color w:val="000000"/>
                <w:sz w:val="18"/>
                <w:szCs w:val="18"/>
                <w:lang w:eastAsia="en-AU"/>
              </w:rPr>
              <w:t>8.3%</w:t>
            </w:r>
          </w:p>
        </w:tc>
        <w:tc>
          <w:tcPr>
            <w:tcW w:w="370" w:type="pct"/>
            <w:tcBorders>
              <w:top w:val="nil"/>
              <w:left w:val="single" w:sz="8" w:space="0" w:color="auto"/>
              <w:bottom w:val="single" w:sz="4" w:space="0" w:color="auto"/>
              <w:right w:val="single" w:sz="4" w:space="0" w:color="auto"/>
            </w:tcBorders>
            <w:shd w:val="clear" w:color="000000" w:fill="FDE9D9"/>
            <w:noWrap/>
            <w:vAlign w:val="bottom"/>
            <w:hideMark/>
          </w:tcPr>
          <w:p w14:paraId="68D8B55B"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26.2%</w:t>
            </w:r>
          </w:p>
        </w:tc>
        <w:tc>
          <w:tcPr>
            <w:tcW w:w="370" w:type="pct"/>
            <w:tcBorders>
              <w:top w:val="nil"/>
              <w:left w:val="nil"/>
              <w:bottom w:val="single" w:sz="4" w:space="0" w:color="auto"/>
              <w:right w:val="single" w:sz="4" w:space="0" w:color="auto"/>
            </w:tcBorders>
            <w:shd w:val="clear" w:color="000000" w:fill="FDE9D9"/>
            <w:noWrap/>
            <w:vAlign w:val="bottom"/>
            <w:hideMark/>
          </w:tcPr>
          <w:p w14:paraId="5CB24D8E"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25.7%</w:t>
            </w:r>
          </w:p>
        </w:tc>
        <w:tc>
          <w:tcPr>
            <w:tcW w:w="370" w:type="pct"/>
            <w:tcBorders>
              <w:top w:val="nil"/>
              <w:left w:val="nil"/>
              <w:bottom w:val="single" w:sz="4" w:space="0" w:color="auto"/>
              <w:right w:val="single" w:sz="4" w:space="0" w:color="auto"/>
            </w:tcBorders>
            <w:shd w:val="clear" w:color="000000" w:fill="FDE9D9"/>
            <w:noWrap/>
            <w:vAlign w:val="bottom"/>
            <w:hideMark/>
          </w:tcPr>
          <w:p w14:paraId="3F563733"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23.9%</w:t>
            </w:r>
          </w:p>
        </w:tc>
        <w:tc>
          <w:tcPr>
            <w:tcW w:w="370" w:type="pct"/>
            <w:tcBorders>
              <w:top w:val="nil"/>
              <w:left w:val="nil"/>
              <w:bottom w:val="single" w:sz="4" w:space="0" w:color="auto"/>
              <w:right w:val="single" w:sz="4" w:space="0" w:color="auto"/>
            </w:tcBorders>
            <w:shd w:val="clear" w:color="000000" w:fill="FDE9D9"/>
            <w:noWrap/>
            <w:vAlign w:val="bottom"/>
            <w:hideMark/>
          </w:tcPr>
          <w:p w14:paraId="6990679B"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23.3%</w:t>
            </w:r>
          </w:p>
        </w:tc>
        <w:tc>
          <w:tcPr>
            <w:tcW w:w="370" w:type="pct"/>
            <w:tcBorders>
              <w:top w:val="nil"/>
              <w:left w:val="nil"/>
              <w:bottom w:val="single" w:sz="4" w:space="0" w:color="auto"/>
              <w:right w:val="single" w:sz="4" w:space="0" w:color="auto"/>
            </w:tcBorders>
            <w:shd w:val="clear" w:color="000000" w:fill="FDE9D9"/>
            <w:noWrap/>
            <w:vAlign w:val="bottom"/>
            <w:hideMark/>
          </w:tcPr>
          <w:p w14:paraId="63E39B78"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24.4%</w:t>
            </w:r>
          </w:p>
        </w:tc>
        <w:tc>
          <w:tcPr>
            <w:tcW w:w="421" w:type="pct"/>
            <w:tcBorders>
              <w:top w:val="nil"/>
              <w:left w:val="nil"/>
              <w:bottom w:val="single" w:sz="4" w:space="0" w:color="auto"/>
              <w:right w:val="single" w:sz="4" w:space="0" w:color="auto"/>
            </w:tcBorders>
            <w:shd w:val="clear" w:color="000000" w:fill="FDE9D9"/>
            <w:noWrap/>
            <w:vAlign w:val="bottom"/>
            <w:hideMark/>
          </w:tcPr>
          <w:p w14:paraId="2DD03598"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28.2%</w:t>
            </w:r>
          </w:p>
        </w:tc>
        <w:tc>
          <w:tcPr>
            <w:tcW w:w="370" w:type="pct"/>
            <w:tcBorders>
              <w:top w:val="nil"/>
              <w:left w:val="nil"/>
              <w:bottom w:val="single" w:sz="4" w:space="0" w:color="auto"/>
              <w:right w:val="single" w:sz="4" w:space="0" w:color="auto"/>
            </w:tcBorders>
            <w:shd w:val="clear" w:color="000000" w:fill="FDE9D9"/>
            <w:noWrap/>
            <w:vAlign w:val="bottom"/>
            <w:hideMark/>
          </w:tcPr>
          <w:p w14:paraId="27A4CA62"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28.3%</w:t>
            </w:r>
          </w:p>
        </w:tc>
        <w:tc>
          <w:tcPr>
            <w:tcW w:w="370" w:type="pct"/>
            <w:tcBorders>
              <w:top w:val="nil"/>
              <w:left w:val="nil"/>
              <w:bottom w:val="single" w:sz="4" w:space="0" w:color="auto"/>
              <w:right w:val="single" w:sz="8" w:space="0" w:color="auto"/>
            </w:tcBorders>
            <w:shd w:val="clear" w:color="000000" w:fill="FDE9D9"/>
            <w:noWrap/>
            <w:vAlign w:val="bottom"/>
            <w:hideMark/>
          </w:tcPr>
          <w:p w14:paraId="77F4D3FC"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27.5%</w:t>
            </w:r>
          </w:p>
        </w:tc>
      </w:tr>
      <w:tr w:rsidR="009A356E" w:rsidRPr="00F72CFE" w14:paraId="225FD03A" w14:textId="77777777" w:rsidTr="009A356E">
        <w:trPr>
          <w:trHeight w:val="240"/>
        </w:trPr>
        <w:tc>
          <w:tcPr>
            <w:tcW w:w="1292" w:type="pct"/>
            <w:tcBorders>
              <w:top w:val="nil"/>
              <w:left w:val="single" w:sz="4" w:space="0" w:color="auto"/>
              <w:bottom w:val="single" w:sz="4" w:space="0" w:color="auto"/>
              <w:right w:val="single" w:sz="4" w:space="0" w:color="auto"/>
            </w:tcBorders>
            <w:shd w:val="clear" w:color="auto" w:fill="auto"/>
            <w:noWrap/>
            <w:vAlign w:val="bottom"/>
            <w:hideMark/>
          </w:tcPr>
          <w:p w14:paraId="612B5DE4" w14:textId="77777777" w:rsidR="009A356E" w:rsidRPr="00F72CFE" w:rsidRDefault="009A356E" w:rsidP="009A356E">
            <w:pPr>
              <w:rPr>
                <w:rFonts w:ascii="Calibri" w:hAnsi="Calibri"/>
                <w:sz w:val="18"/>
                <w:szCs w:val="18"/>
                <w:lang w:eastAsia="en-AU"/>
              </w:rPr>
            </w:pPr>
            <w:r w:rsidRPr="00F72CFE">
              <w:rPr>
                <w:rFonts w:ascii="Calibri" w:hAnsi="Calibri"/>
                <w:sz w:val="18"/>
                <w:szCs w:val="18"/>
                <w:lang w:eastAsia="en-AU"/>
              </w:rPr>
              <w:t>GOLDEN PLAINS (S)</w:t>
            </w:r>
          </w:p>
        </w:tc>
        <w:tc>
          <w:tcPr>
            <w:tcW w:w="699" w:type="pct"/>
            <w:tcBorders>
              <w:top w:val="nil"/>
              <w:left w:val="nil"/>
              <w:bottom w:val="single" w:sz="4" w:space="0" w:color="auto"/>
              <w:right w:val="nil"/>
            </w:tcBorders>
            <w:shd w:val="clear" w:color="000000" w:fill="DAEEF3"/>
            <w:noWrap/>
            <w:vAlign w:val="bottom"/>
            <w:hideMark/>
          </w:tcPr>
          <w:p w14:paraId="57BDED36" w14:textId="77777777" w:rsidR="009A356E" w:rsidRPr="00F72CFE" w:rsidRDefault="009A356E" w:rsidP="009A356E">
            <w:pPr>
              <w:jc w:val="center"/>
              <w:rPr>
                <w:rFonts w:ascii="Calibri" w:hAnsi="Calibri"/>
                <w:color w:val="000000"/>
                <w:sz w:val="18"/>
                <w:szCs w:val="18"/>
                <w:lang w:eastAsia="en-AU"/>
              </w:rPr>
            </w:pPr>
            <w:r w:rsidRPr="00F72CFE">
              <w:rPr>
                <w:rFonts w:ascii="Calibri" w:hAnsi="Calibri"/>
                <w:color w:val="000000"/>
                <w:sz w:val="18"/>
                <w:szCs w:val="18"/>
                <w:lang w:eastAsia="en-AU"/>
              </w:rPr>
              <w:t>12.7%</w:t>
            </w:r>
          </w:p>
        </w:tc>
        <w:tc>
          <w:tcPr>
            <w:tcW w:w="370" w:type="pct"/>
            <w:tcBorders>
              <w:top w:val="nil"/>
              <w:left w:val="single" w:sz="8" w:space="0" w:color="auto"/>
              <w:bottom w:val="single" w:sz="4" w:space="0" w:color="auto"/>
              <w:right w:val="single" w:sz="4" w:space="0" w:color="auto"/>
            </w:tcBorders>
            <w:shd w:val="clear" w:color="000000" w:fill="FDE9D9"/>
            <w:noWrap/>
            <w:vAlign w:val="bottom"/>
            <w:hideMark/>
          </w:tcPr>
          <w:p w14:paraId="2C421459"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15.7%</w:t>
            </w:r>
          </w:p>
        </w:tc>
        <w:tc>
          <w:tcPr>
            <w:tcW w:w="370" w:type="pct"/>
            <w:tcBorders>
              <w:top w:val="nil"/>
              <w:left w:val="nil"/>
              <w:bottom w:val="single" w:sz="4" w:space="0" w:color="auto"/>
              <w:right w:val="single" w:sz="4" w:space="0" w:color="auto"/>
            </w:tcBorders>
            <w:shd w:val="clear" w:color="000000" w:fill="FDE9D9"/>
            <w:noWrap/>
            <w:vAlign w:val="bottom"/>
            <w:hideMark/>
          </w:tcPr>
          <w:p w14:paraId="7E136B1A"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17.7%</w:t>
            </w:r>
          </w:p>
        </w:tc>
        <w:tc>
          <w:tcPr>
            <w:tcW w:w="370" w:type="pct"/>
            <w:tcBorders>
              <w:top w:val="nil"/>
              <w:left w:val="nil"/>
              <w:bottom w:val="single" w:sz="4" w:space="0" w:color="auto"/>
              <w:right w:val="single" w:sz="4" w:space="0" w:color="auto"/>
            </w:tcBorders>
            <w:shd w:val="clear" w:color="000000" w:fill="FDE9D9"/>
            <w:noWrap/>
            <w:vAlign w:val="bottom"/>
            <w:hideMark/>
          </w:tcPr>
          <w:p w14:paraId="4A00BD4E"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23.9%</w:t>
            </w:r>
          </w:p>
        </w:tc>
        <w:tc>
          <w:tcPr>
            <w:tcW w:w="370" w:type="pct"/>
            <w:tcBorders>
              <w:top w:val="nil"/>
              <w:left w:val="nil"/>
              <w:bottom w:val="single" w:sz="4" w:space="0" w:color="auto"/>
              <w:right w:val="single" w:sz="4" w:space="0" w:color="auto"/>
            </w:tcBorders>
            <w:shd w:val="clear" w:color="000000" w:fill="FDE9D9"/>
            <w:noWrap/>
            <w:vAlign w:val="bottom"/>
            <w:hideMark/>
          </w:tcPr>
          <w:p w14:paraId="196B32BA"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26.5%</w:t>
            </w:r>
          </w:p>
        </w:tc>
        <w:tc>
          <w:tcPr>
            <w:tcW w:w="370" w:type="pct"/>
            <w:tcBorders>
              <w:top w:val="nil"/>
              <w:left w:val="nil"/>
              <w:bottom w:val="single" w:sz="4" w:space="0" w:color="auto"/>
              <w:right w:val="single" w:sz="4" w:space="0" w:color="auto"/>
            </w:tcBorders>
            <w:shd w:val="clear" w:color="000000" w:fill="FDE9D9"/>
            <w:noWrap/>
            <w:vAlign w:val="bottom"/>
            <w:hideMark/>
          </w:tcPr>
          <w:p w14:paraId="4085D7CC"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29.7%</w:t>
            </w:r>
          </w:p>
        </w:tc>
        <w:tc>
          <w:tcPr>
            <w:tcW w:w="421" w:type="pct"/>
            <w:tcBorders>
              <w:top w:val="nil"/>
              <w:left w:val="nil"/>
              <w:bottom w:val="single" w:sz="4" w:space="0" w:color="auto"/>
              <w:right w:val="single" w:sz="4" w:space="0" w:color="auto"/>
            </w:tcBorders>
            <w:shd w:val="clear" w:color="000000" w:fill="FDE9D9"/>
            <w:noWrap/>
            <w:vAlign w:val="bottom"/>
            <w:hideMark/>
          </w:tcPr>
          <w:p w14:paraId="69B478DC"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30.1%</w:t>
            </w:r>
          </w:p>
        </w:tc>
        <w:tc>
          <w:tcPr>
            <w:tcW w:w="370" w:type="pct"/>
            <w:tcBorders>
              <w:top w:val="nil"/>
              <w:left w:val="nil"/>
              <w:bottom w:val="single" w:sz="4" w:space="0" w:color="auto"/>
              <w:right w:val="single" w:sz="4" w:space="0" w:color="auto"/>
            </w:tcBorders>
            <w:shd w:val="clear" w:color="000000" w:fill="FDE9D9"/>
            <w:noWrap/>
            <w:vAlign w:val="bottom"/>
            <w:hideMark/>
          </w:tcPr>
          <w:p w14:paraId="4B8D8243"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28.2%</w:t>
            </w:r>
          </w:p>
        </w:tc>
        <w:tc>
          <w:tcPr>
            <w:tcW w:w="370" w:type="pct"/>
            <w:tcBorders>
              <w:top w:val="nil"/>
              <w:left w:val="nil"/>
              <w:bottom w:val="single" w:sz="4" w:space="0" w:color="auto"/>
              <w:right w:val="single" w:sz="8" w:space="0" w:color="auto"/>
            </w:tcBorders>
            <w:shd w:val="clear" w:color="000000" w:fill="FDE9D9"/>
            <w:noWrap/>
            <w:vAlign w:val="bottom"/>
            <w:hideMark/>
          </w:tcPr>
          <w:p w14:paraId="0ECB253A"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27.0%</w:t>
            </w:r>
          </w:p>
        </w:tc>
      </w:tr>
      <w:tr w:rsidR="009A356E" w:rsidRPr="00F72CFE" w14:paraId="115B8DE9" w14:textId="77777777" w:rsidTr="009A356E">
        <w:trPr>
          <w:trHeight w:val="240"/>
        </w:trPr>
        <w:tc>
          <w:tcPr>
            <w:tcW w:w="1292" w:type="pct"/>
            <w:tcBorders>
              <w:top w:val="nil"/>
              <w:left w:val="single" w:sz="4" w:space="0" w:color="auto"/>
              <w:bottom w:val="single" w:sz="4" w:space="0" w:color="auto"/>
              <w:right w:val="single" w:sz="4" w:space="0" w:color="auto"/>
            </w:tcBorders>
            <w:shd w:val="clear" w:color="auto" w:fill="auto"/>
            <w:noWrap/>
            <w:vAlign w:val="bottom"/>
            <w:hideMark/>
          </w:tcPr>
          <w:p w14:paraId="50C416B6" w14:textId="77777777" w:rsidR="009A356E" w:rsidRPr="00F72CFE" w:rsidRDefault="009A356E" w:rsidP="009A356E">
            <w:pPr>
              <w:rPr>
                <w:rFonts w:ascii="Calibri" w:hAnsi="Calibri"/>
                <w:sz w:val="18"/>
                <w:szCs w:val="18"/>
                <w:lang w:eastAsia="en-AU"/>
              </w:rPr>
            </w:pPr>
            <w:r w:rsidRPr="00F72CFE">
              <w:rPr>
                <w:rFonts w:ascii="Calibri" w:hAnsi="Calibri"/>
                <w:sz w:val="18"/>
                <w:szCs w:val="18"/>
                <w:lang w:eastAsia="en-AU"/>
              </w:rPr>
              <w:t>GREATER BENDIGO (C)</w:t>
            </w:r>
          </w:p>
        </w:tc>
        <w:tc>
          <w:tcPr>
            <w:tcW w:w="699" w:type="pct"/>
            <w:tcBorders>
              <w:top w:val="nil"/>
              <w:left w:val="nil"/>
              <w:bottom w:val="single" w:sz="4" w:space="0" w:color="auto"/>
              <w:right w:val="nil"/>
            </w:tcBorders>
            <w:shd w:val="clear" w:color="000000" w:fill="DAEEF3"/>
            <w:noWrap/>
            <w:vAlign w:val="bottom"/>
            <w:hideMark/>
          </w:tcPr>
          <w:p w14:paraId="0DA83590" w14:textId="77777777" w:rsidR="009A356E" w:rsidRPr="00F72CFE" w:rsidRDefault="009A356E" w:rsidP="009A356E">
            <w:pPr>
              <w:jc w:val="center"/>
              <w:rPr>
                <w:rFonts w:ascii="Calibri" w:hAnsi="Calibri"/>
                <w:color w:val="000000"/>
                <w:sz w:val="18"/>
                <w:szCs w:val="18"/>
                <w:lang w:eastAsia="en-AU"/>
              </w:rPr>
            </w:pPr>
            <w:r w:rsidRPr="00F72CFE">
              <w:rPr>
                <w:rFonts w:ascii="Calibri" w:hAnsi="Calibri"/>
                <w:color w:val="000000"/>
                <w:sz w:val="18"/>
                <w:szCs w:val="18"/>
                <w:lang w:eastAsia="en-AU"/>
              </w:rPr>
              <w:t>7.5%</w:t>
            </w:r>
          </w:p>
        </w:tc>
        <w:tc>
          <w:tcPr>
            <w:tcW w:w="370" w:type="pct"/>
            <w:tcBorders>
              <w:top w:val="nil"/>
              <w:left w:val="single" w:sz="8" w:space="0" w:color="auto"/>
              <w:bottom w:val="single" w:sz="4" w:space="0" w:color="auto"/>
              <w:right w:val="single" w:sz="4" w:space="0" w:color="auto"/>
            </w:tcBorders>
            <w:shd w:val="clear" w:color="000000" w:fill="FDE9D9"/>
            <w:noWrap/>
            <w:vAlign w:val="bottom"/>
            <w:hideMark/>
          </w:tcPr>
          <w:p w14:paraId="091B88F1"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10.7%</w:t>
            </w:r>
          </w:p>
        </w:tc>
        <w:tc>
          <w:tcPr>
            <w:tcW w:w="370" w:type="pct"/>
            <w:tcBorders>
              <w:top w:val="nil"/>
              <w:left w:val="nil"/>
              <w:bottom w:val="single" w:sz="4" w:space="0" w:color="auto"/>
              <w:right w:val="single" w:sz="4" w:space="0" w:color="auto"/>
            </w:tcBorders>
            <w:shd w:val="clear" w:color="000000" w:fill="FDE9D9"/>
            <w:noWrap/>
            <w:vAlign w:val="bottom"/>
            <w:hideMark/>
          </w:tcPr>
          <w:p w14:paraId="00613ECD"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21.2%</w:t>
            </w:r>
          </w:p>
        </w:tc>
        <w:tc>
          <w:tcPr>
            <w:tcW w:w="370" w:type="pct"/>
            <w:tcBorders>
              <w:top w:val="nil"/>
              <w:left w:val="nil"/>
              <w:bottom w:val="single" w:sz="4" w:space="0" w:color="auto"/>
              <w:right w:val="single" w:sz="4" w:space="0" w:color="auto"/>
            </w:tcBorders>
            <w:shd w:val="clear" w:color="000000" w:fill="FDE9D9"/>
            <w:noWrap/>
            <w:vAlign w:val="bottom"/>
            <w:hideMark/>
          </w:tcPr>
          <w:p w14:paraId="2DB2E942"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24.5%</w:t>
            </w:r>
          </w:p>
        </w:tc>
        <w:tc>
          <w:tcPr>
            <w:tcW w:w="370" w:type="pct"/>
            <w:tcBorders>
              <w:top w:val="nil"/>
              <w:left w:val="nil"/>
              <w:bottom w:val="single" w:sz="4" w:space="0" w:color="auto"/>
              <w:right w:val="single" w:sz="4" w:space="0" w:color="auto"/>
            </w:tcBorders>
            <w:shd w:val="clear" w:color="000000" w:fill="FDE9D9"/>
            <w:noWrap/>
            <w:vAlign w:val="bottom"/>
            <w:hideMark/>
          </w:tcPr>
          <w:p w14:paraId="43AB57F4"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24.2%</w:t>
            </w:r>
          </w:p>
        </w:tc>
        <w:tc>
          <w:tcPr>
            <w:tcW w:w="370" w:type="pct"/>
            <w:tcBorders>
              <w:top w:val="nil"/>
              <w:left w:val="nil"/>
              <w:bottom w:val="single" w:sz="4" w:space="0" w:color="auto"/>
              <w:right w:val="single" w:sz="4" w:space="0" w:color="auto"/>
            </w:tcBorders>
            <w:shd w:val="clear" w:color="000000" w:fill="FDE9D9"/>
            <w:noWrap/>
            <w:vAlign w:val="bottom"/>
            <w:hideMark/>
          </w:tcPr>
          <w:p w14:paraId="1F59FEBD"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28.3%</w:t>
            </w:r>
          </w:p>
        </w:tc>
        <w:tc>
          <w:tcPr>
            <w:tcW w:w="421" w:type="pct"/>
            <w:tcBorders>
              <w:top w:val="nil"/>
              <w:left w:val="nil"/>
              <w:bottom w:val="single" w:sz="4" w:space="0" w:color="auto"/>
              <w:right w:val="single" w:sz="4" w:space="0" w:color="auto"/>
            </w:tcBorders>
            <w:shd w:val="clear" w:color="000000" w:fill="FDE9D9"/>
            <w:noWrap/>
            <w:vAlign w:val="bottom"/>
            <w:hideMark/>
          </w:tcPr>
          <w:p w14:paraId="5A8E5CFE"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27.2%</w:t>
            </w:r>
          </w:p>
        </w:tc>
        <w:tc>
          <w:tcPr>
            <w:tcW w:w="370" w:type="pct"/>
            <w:tcBorders>
              <w:top w:val="nil"/>
              <w:left w:val="nil"/>
              <w:bottom w:val="single" w:sz="4" w:space="0" w:color="auto"/>
              <w:right w:val="single" w:sz="4" w:space="0" w:color="auto"/>
            </w:tcBorders>
            <w:shd w:val="clear" w:color="000000" w:fill="FDE9D9"/>
            <w:noWrap/>
            <w:vAlign w:val="bottom"/>
            <w:hideMark/>
          </w:tcPr>
          <w:p w14:paraId="22926F4A"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26.4%</w:t>
            </w:r>
          </w:p>
        </w:tc>
        <w:tc>
          <w:tcPr>
            <w:tcW w:w="370" w:type="pct"/>
            <w:tcBorders>
              <w:top w:val="nil"/>
              <w:left w:val="nil"/>
              <w:bottom w:val="single" w:sz="4" w:space="0" w:color="auto"/>
              <w:right w:val="single" w:sz="8" w:space="0" w:color="auto"/>
            </w:tcBorders>
            <w:shd w:val="clear" w:color="000000" w:fill="FDE9D9"/>
            <w:noWrap/>
            <w:vAlign w:val="bottom"/>
            <w:hideMark/>
          </w:tcPr>
          <w:p w14:paraId="66C43CC0"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25.1%</w:t>
            </w:r>
          </w:p>
        </w:tc>
      </w:tr>
      <w:tr w:rsidR="009A356E" w:rsidRPr="00F72CFE" w14:paraId="7D19D1B7" w14:textId="77777777" w:rsidTr="009A356E">
        <w:trPr>
          <w:trHeight w:val="240"/>
        </w:trPr>
        <w:tc>
          <w:tcPr>
            <w:tcW w:w="1292" w:type="pct"/>
            <w:tcBorders>
              <w:top w:val="nil"/>
              <w:left w:val="single" w:sz="4" w:space="0" w:color="auto"/>
              <w:bottom w:val="single" w:sz="4" w:space="0" w:color="auto"/>
              <w:right w:val="single" w:sz="4" w:space="0" w:color="auto"/>
            </w:tcBorders>
            <w:shd w:val="clear" w:color="auto" w:fill="auto"/>
            <w:noWrap/>
            <w:vAlign w:val="bottom"/>
            <w:hideMark/>
          </w:tcPr>
          <w:p w14:paraId="005FD64D" w14:textId="77777777" w:rsidR="009A356E" w:rsidRPr="00F72CFE" w:rsidRDefault="009A356E" w:rsidP="009A356E">
            <w:pPr>
              <w:rPr>
                <w:rFonts w:ascii="Calibri" w:hAnsi="Calibri"/>
                <w:sz w:val="18"/>
                <w:szCs w:val="18"/>
                <w:lang w:eastAsia="en-AU"/>
              </w:rPr>
            </w:pPr>
            <w:r w:rsidRPr="00F72CFE">
              <w:rPr>
                <w:rFonts w:ascii="Calibri" w:hAnsi="Calibri"/>
                <w:sz w:val="18"/>
                <w:szCs w:val="18"/>
                <w:lang w:eastAsia="en-AU"/>
              </w:rPr>
              <w:t>GREATER GEELONG (C)</w:t>
            </w:r>
          </w:p>
        </w:tc>
        <w:tc>
          <w:tcPr>
            <w:tcW w:w="699" w:type="pct"/>
            <w:tcBorders>
              <w:top w:val="nil"/>
              <w:left w:val="nil"/>
              <w:bottom w:val="single" w:sz="4" w:space="0" w:color="auto"/>
              <w:right w:val="nil"/>
            </w:tcBorders>
            <w:shd w:val="clear" w:color="000000" w:fill="DAEEF3"/>
            <w:noWrap/>
            <w:vAlign w:val="bottom"/>
            <w:hideMark/>
          </w:tcPr>
          <w:p w14:paraId="77ACF35A" w14:textId="77777777" w:rsidR="009A356E" w:rsidRPr="00F72CFE" w:rsidRDefault="009A356E" w:rsidP="009A356E">
            <w:pPr>
              <w:jc w:val="center"/>
              <w:rPr>
                <w:rFonts w:ascii="Calibri" w:hAnsi="Calibri"/>
                <w:color w:val="000000"/>
                <w:sz w:val="18"/>
                <w:szCs w:val="18"/>
                <w:lang w:eastAsia="en-AU"/>
              </w:rPr>
            </w:pPr>
            <w:r w:rsidRPr="00F72CFE">
              <w:rPr>
                <w:rFonts w:ascii="Calibri" w:hAnsi="Calibri"/>
                <w:color w:val="000000"/>
                <w:sz w:val="18"/>
                <w:szCs w:val="18"/>
                <w:lang w:eastAsia="en-AU"/>
              </w:rPr>
              <w:t>6.5%</w:t>
            </w:r>
          </w:p>
        </w:tc>
        <w:tc>
          <w:tcPr>
            <w:tcW w:w="370" w:type="pct"/>
            <w:tcBorders>
              <w:top w:val="nil"/>
              <w:left w:val="single" w:sz="8" w:space="0" w:color="auto"/>
              <w:bottom w:val="single" w:sz="4" w:space="0" w:color="auto"/>
              <w:right w:val="single" w:sz="4" w:space="0" w:color="auto"/>
            </w:tcBorders>
            <w:shd w:val="clear" w:color="000000" w:fill="FDE9D9"/>
            <w:noWrap/>
            <w:vAlign w:val="bottom"/>
            <w:hideMark/>
          </w:tcPr>
          <w:p w14:paraId="4100CA6B"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15.0%</w:t>
            </w:r>
          </w:p>
        </w:tc>
        <w:tc>
          <w:tcPr>
            <w:tcW w:w="370" w:type="pct"/>
            <w:tcBorders>
              <w:top w:val="nil"/>
              <w:left w:val="nil"/>
              <w:bottom w:val="single" w:sz="4" w:space="0" w:color="auto"/>
              <w:right w:val="single" w:sz="4" w:space="0" w:color="auto"/>
            </w:tcBorders>
            <w:shd w:val="clear" w:color="000000" w:fill="FDE9D9"/>
            <w:noWrap/>
            <w:vAlign w:val="bottom"/>
            <w:hideMark/>
          </w:tcPr>
          <w:p w14:paraId="5662435C"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14.7%</w:t>
            </w:r>
          </w:p>
        </w:tc>
        <w:tc>
          <w:tcPr>
            <w:tcW w:w="370" w:type="pct"/>
            <w:tcBorders>
              <w:top w:val="nil"/>
              <w:left w:val="nil"/>
              <w:bottom w:val="single" w:sz="4" w:space="0" w:color="auto"/>
              <w:right w:val="single" w:sz="4" w:space="0" w:color="auto"/>
            </w:tcBorders>
            <w:shd w:val="clear" w:color="000000" w:fill="FDE9D9"/>
            <w:noWrap/>
            <w:vAlign w:val="bottom"/>
            <w:hideMark/>
          </w:tcPr>
          <w:p w14:paraId="12BF0E1F"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14.4%</w:t>
            </w:r>
          </w:p>
        </w:tc>
        <w:tc>
          <w:tcPr>
            <w:tcW w:w="370" w:type="pct"/>
            <w:tcBorders>
              <w:top w:val="nil"/>
              <w:left w:val="nil"/>
              <w:bottom w:val="single" w:sz="4" w:space="0" w:color="auto"/>
              <w:right w:val="single" w:sz="4" w:space="0" w:color="auto"/>
            </w:tcBorders>
            <w:shd w:val="clear" w:color="000000" w:fill="FDE9D9"/>
            <w:noWrap/>
            <w:vAlign w:val="bottom"/>
            <w:hideMark/>
          </w:tcPr>
          <w:p w14:paraId="468D6BBE"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13.6%</w:t>
            </w:r>
          </w:p>
        </w:tc>
        <w:tc>
          <w:tcPr>
            <w:tcW w:w="370" w:type="pct"/>
            <w:tcBorders>
              <w:top w:val="nil"/>
              <w:left w:val="nil"/>
              <w:bottom w:val="single" w:sz="4" w:space="0" w:color="auto"/>
              <w:right w:val="single" w:sz="4" w:space="0" w:color="auto"/>
            </w:tcBorders>
            <w:shd w:val="clear" w:color="000000" w:fill="FDE9D9"/>
            <w:noWrap/>
            <w:vAlign w:val="bottom"/>
            <w:hideMark/>
          </w:tcPr>
          <w:p w14:paraId="3A6B1F81"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14.0%</w:t>
            </w:r>
          </w:p>
        </w:tc>
        <w:tc>
          <w:tcPr>
            <w:tcW w:w="421" w:type="pct"/>
            <w:tcBorders>
              <w:top w:val="nil"/>
              <w:left w:val="nil"/>
              <w:bottom w:val="single" w:sz="4" w:space="0" w:color="auto"/>
              <w:right w:val="single" w:sz="4" w:space="0" w:color="auto"/>
            </w:tcBorders>
            <w:shd w:val="clear" w:color="000000" w:fill="FDE9D9"/>
            <w:noWrap/>
            <w:vAlign w:val="bottom"/>
            <w:hideMark/>
          </w:tcPr>
          <w:p w14:paraId="3AA47CA4"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13.8%</w:t>
            </w:r>
          </w:p>
        </w:tc>
        <w:tc>
          <w:tcPr>
            <w:tcW w:w="370" w:type="pct"/>
            <w:tcBorders>
              <w:top w:val="nil"/>
              <w:left w:val="nil"/>
              <w:bottom w:val="single" w:sz="4" w:space="0" w:color="auto"/>
              <w:right w:val="single" w:sz="4" w:space="0" w:color="auto"/>
            </w:tcBorders>
            <w:shd w:val="clear" w:color="000000" w:fill="FDE9D9"/>
            <w:noWrap/>
            <w:vAlign w:val="bottom"/>
            <w:hideMark/>
          </w:tcPr>
          <w:p w14:paraId="534E852E"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13.2%</w:t>
            </w:r>
          </w:p>
        </w:tc>
        <w:tc>
          <w:tcPr>
            <w:tcW w:w="370" w:type="pct"/>
            <w:tcBorders>
              <w:top w:val="nil"/>
              <w:left w:val="nil"/>
              <w:bottom w:val="single" w:sz="4" w:space="0" w:color="auto"/>
              <w:right w:val="single" w:sz="8" w:space="0" w:color="auto"/>
            </w:tcBorders>
            <w:shd w:val="clear" w:color="000000" w:fill="FDE9D9"/>
            <w:noWrap/>
            <w:vAlign w:val="bottom"/>
            <w:hideMark/>
          </w:tcPr>
          <w:p w14:paraId="06581B3E"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13.4%</w:t>
            </w:r>
          </w:p>
        </w:tc>
      </w:tr>
      <w:tr w:rsidR="009A356E" w:rsidRPr="00F72CFE" w14:paraId="69FF03D0" w14:textId="77777777" w:rsidTr="009A356E">
        <w:trPr>
          <w:trHeight w:val="240"/>
        </w:trPr>
        <w:tc>
          <w:tcPr>
            <w:tcW w:w="1292" w:type="pct"/>
            <w:tcBorders>
              <w:top w:val="nil"/>
              <w:left w:val="single" w:sz="4" w:space="0" w:color="auto"/>
              <w:bottom w:val="single" w:sz="4" w:space="0" w:color="auto"/>
              <w:right w:val="single" w:sz="4" w:space="0" w:color="auto"/>
            </w:tcBorders>
            <w:shd w:val="clear" w:color="auto" w:fill="auto"/>
            <w:noWrap/>
            <w:vAlign w:val="bottom"/>
            <w:hideMark/>
          </w:tcPr>
          <w:p w14:paraId="628F6286" w14:textId="77777777" w:rsidR="009A356E" w:rsidRPr="00F72CFE" w:rsidRDefault="009A356E" w:rsidP="009A356E">
            <w:pPr>
              <w:rPr>
                <w:rFonts w:ascii="Calibri" w:hAnsi="Calibri"/>
                <w:sz w:val="18"/>
                <w:szCs w:val="18"/>
                <w:lang w:eastAsia="en-AU"/>
              </w:rPr>
            </w:pPr>
            <w:r w:rsidRPr="00F72CFE">
              <w:rPr>
                <w:rFonts w:ascii="Calibri" w:hAnsi="Calibri"/>
                <w:sz w:val="18"/>
                <w:szCs w:val="18"/>
                <w:lang w:eastAsia="en-AU"/>
              </w:rPr>
              <w:t>GREATER SHEPPARTON (C)</w:t>
            </w:r>
          </w:p>
        </w:tc>
        <w:tc>
          <w:tcPr>
            <w:tcW w:w="699" w:type="pct"/>
            <w:tcBorders>
              <w:top w:val="nil"/>
              <w:left w:val="nil"/>
              <w:bottom w:val="single" w:sz="4" w:space="0" w:color="auto"/>
              <w:right w:val="nil"/>
            </w:tcBorders>
            <w:shd w:val="clear" w:color="000000" w:fill="DAEEF3"/>
            <w:noWrap/>
            <w:vAlign w:val="bottom"/>
            <w:hideMark/>
          </w:tcPr>
          <w:p w14:paraId="31C39110" w14:textId="77777777" w:rsidR="009A356E" w:rsidRPr="00F72CFE" w:rsidRDefault="009A356E" w:rsidP="009A356E">
            <w:pPr>
              <w:jc w:val="center"/>
              <w:rPr>
                <w:rFonts w:ascii="Calibri" w:hAnsi="Calibri"/>
                <w:color w:val="000000"/>
                <w:sz w:val="18"/>
                <w:szCs w:val="18"/>
                <w:lang w:eastAsia="en-AU"/>
              </w:rPr>
            </w:pPr>
            <w:r w:rsidRPr="00F72CFE">
              <w:rPr>
                <w:rFonts w:ascii="Calibri" w:hAnsi="Calibri"/>
                <w:color w:val="000000"/>
                <w:sz w:val="18"/>
                <w:szCs w:val="18"/>
                <w:lang w:eastAsia="en-AU"/>
              </w:rPr>
              <w:t>8.9%</w:t>
            </w:r>
          </w:p>
        </w:tc>
        <w:tc>
          <w:tcPr>
            <w:tcW w:w="370" w:type="pct"/>
            <w:tcBorders>
              <w:top w:val="nil"/>
              <w:left w:val="single" w:sz="8" w:space="0" w:color="auto"/>
              <w:bottom w:val="single" w:sz="4" w:space="0" w:color="auto"/>
              <w:right w:val="single" w:sz="4" w:space="0" w:color="auto"/>
            </w:tcBorders>
            <w:shd w:val="clear" w:color="000000" w:fill="FDE9D9"/>
            <w:noWrap/>
            <w:vAlign w:val="bottom"/>
            <w:hideMark/>
          </w:tcPr>
          <w:p w14:paraId="36A0D93F"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7.7%</w:t>
            </w:r>
          </w:p>
        </w:tc>
        <w:tc>
          <w:tcPr>
            <w:tcW w:w="370" w:type="pct"/>
            <w:tcBorders>
              <w:top w:val="nil"/>
              <w:left w:val="nil"/>
              <w:bottom w:val="single" w:sz="4" w:space="0" w:color="auto"/>
              <w:right w:val="single" w:sz="4" w:space="0" w:color="auto"/>
            </w:tcBorders>
            <w:shd w:val="clear" w:color="000000" w:fill="FDE9D9"/>
            <w:noWrap/>
            <w:vAlign w:val="bottom"/>
            <w:hideMark/>
          </w:tcPr>
          <w:p w14:paraId="53BB15D6"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12.0%</w:t>
            </w:r>
          </w:p>
        </w:tc>
        <w:tc>
          <w:tcPr>
            <w:tcW w:w="370" w:type="pct"/>
            <w:tcBorders>
              <w:top w:val="nil"/>
              <w:left w:val="nil"/>
              <w:bottom w:val="single" w:sz="4" w:space="0" w:color="auto"/>
              <w:right w:val="single" w:sz="4" w:space="0" w:color="auto"/>
            </w:tcBorders>
            <w:shd w:val="clear" w:color="000000" w:fill="FDE9D9"/>
            <w:noWrap/>
            <w:vAlign w:val="bottom"/>
            <w:hideMark/>
          </w:tcPr>
          <w:p w14:paraId="4B418550"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15.9%</w:t>
            </w:r>
          </w:p>
        </w:tc>
        <w:tc>
          <w:tcPr>
            <w:tcW w:w="370" w:type="pct"/>
            <w:tcBorders>
              <w:top w:val="nil"/>
              <w:left w:val="nil"/>
              <w:bottom w:val="single" w:sz="4" w:space="0" w:color="auto"/>
              <w:right w:val="single" w:sz="4" w:space="0" w:color="auto"/>
            </w:tcBorders>
            <w:shd w:val="clear" w:color="000000" w:fill="FDE9D9"/>
            <w:noWrap/>
            <w:vAlign w:val="bottom"/>
            <w:hideMark/>
          </w:tcPr>
          <w:p w14:paraId="2BA42E59"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21.2%</w:t>
            </w:r>
          </w:p>
        </w:tc>
        <w:tc>
          <w:tcPr>
            <w:tcW w:w="370" w:type="pct"/>
            <w:tcBorders>
              <w:top w:val="nil"/>
              <w:left w:val="nil"/>
              <w:bottom w:val="single" w:sz="4" w:space="0" w:color="auto"/>
              <w:right w:val="single" w:sz="4" w:space="0" w:color="auto"/>
            </w:tcBorders>
            <w:shd w:val="clear" w:color="000000" w:fill="FDE9D9"/>
            <w:noWrap/>
            <w:vAlign w:val="bottom"/>
            <w:hideMark/>
          </w:tcPr>
          <w:p w14:paraId="5492CF78"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25.1%</w:t>
            </w:r>
          </w:p>
        </w:tc>
        <w:tc>
          <w:tcPr>
            <w:tcW w:w="421" w:type="pct"/>
            <w:tcBorders>
              <w:top w:val="nil"/>
              <w:left w:val="nil"/>
              <w:bottom w:val="single" w:sz="4" w:space="0" w:color="auto"/>
              <w:right w:val="single" w:sz="4" w:space="0" w:color="auto"/>
            </w:tcBorders>
            <w:shd w:val="clear" w:color="000000" w:fill="FDE9D9"/>
            <w:noWrap/>
            <w:vAlign w:val="bottom"/>
            <w:hideMark/>
          </w:tcPr>
          <w:p w14:paraId="1F2DFED8"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26.0%</w:t>
            </w:r>
          </w:p>
        </w:tc>
        <w:tc>
          <w:tcPr>
            <w:tcW w:w="370" w:type="pct"/>
            <w:tcBorders>
              <w:top w:val="nil"/>
              <w:left w:val="nil"/>
              <w:bottom w:val="single" w:sz="4" w:space="0" w:color="auto"/>
              <w:right w:val="single" w:sz="4" w:space="0" w:color="auto"/>
            </w:tcBorders>
            <w:shd w:val="clear" w:color="000000" w:fill="FDE9D9"/>
            <w:noWrap/>
            <w:vAlign w:val="bottom"/>
            <w:hideMark/>
          </w:tcPr>
          <w:p w14:paraId="42966C8D"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23.5%</w:t>
            </w:r>
          </w:p>
        </w:tc>
        <w:tc>
          <w:tcPr>
            <w:tcW w:w="370" w:type="pct"/>
            <w:tcBorders>
              <w:top w:val="nil"/>
              <w:left w:val="nil"/>
              <w:bottom w:val="single" w:sz="4" w:space="0" w:color="auto"/>
              <w:right w:val="single" w:sz="8" w:space="0" w:color="auto"/>
            </w:tcBorders>
            <w:shd w:val="clear" w:color="000000" w:fill="FDE9D9"/>
            <w:noWrap/>
            <w:vAlign w:val="bottom"/>
            <w:hideMark/>
          </w:tcPr>
          <w:p w14:paraId="1FCF2D06"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22.4%</w:t>
            </w:r>
          </w:p>
        </w:tc>
      </w:tr>
      <w:tr w:rsidR="009A356E" w:rsidRPr="00F72CFE" w14:paraId="092EDB4A" w14:textId="77777777" w:rsidTr="009A356E">
        <w:trPr>
          <w:trHeight w:val="240"/>
        </w:trPr>
        <w:tc>
          <w:tcPr>
            <w:tcW w:w="1292" w:type="pct"/>
            <w:tcBorders>
              <w:top w:val="nil"/>
              <w:left w:val="single" w:sz="4" w:space="0" w:color="auto"/>
              <w:bottom w:val="single" w:sz="4" w:space="0" w:color="auto"/>
              <w:right w:val="single" w:sz="4" w:space="0" w:color="auto"/>
            </w:tcBorders>
            <w:shd w:val="clear" w:color="auto" w:fill="auto"/>
            <w:noWrap/>
            <w:vAlign w:val="bottom"/>
            <w:hideMark/>
          </w:tcPr>
          <w:p w14:paraId="77422B16" w14:textId="77777777" w:rsidR="009A356E" w:rsidRPr="00F72CFE" w:rsidRDefault="009A356E" w:rsidP="009A356E">
            <w:pPr>
              <w:rPr>
                <w:rFonts w:ascii="Calibri" w:hAnsi="Calibri"/>
                <w:sz w:val="18"/>
                <w:szCs w:val="18"/>
                <w:lang w:eastAsia="en-AU"/>
              </w:rPr>
            </w:pPr>
            <w:r w:rsidRPr="00F72CFE">
              <w:rPr>
                <w:rFonts w:ascii="Calibri" w:hAnsi="Calibri"/>
                <w:sz w:val="18"/>
                <w:szCs w:val="18"/>
                <w:lang w:eastAsia="en-AU"/>
              </w:rPr>
              <w:t>HEPBURN (S)</w:t>
            </w:r>
          </w:p>
        </w:tc>
        <w:tc>
          <w:tcPr>
            <w:tcW w:w="699" w:type="pct"/>
            <w:tcBorders>
              <w:top w:val="nil"/>
              <w:left w:val="nil"/>
              <w:bottom w:val="single" w:sz="4" w:space="0" w:color="auto"/>
              <w:right w:val="nil"/>
            </w:tcBorders>
            <w:shd w:val="clear" w:color="000000" w:fill="DAEEF3"/>
            <w:noWrap/>
            <w:vAlign w:val="bottom"/>
            <w:hideMark/>
          </w:tcPr>
          <w:p w14:paraId="407BD3BE" w14:textId="77777777" w:rsidR="009A356E" w:rsidRPr="00F72CFE" w:rsidRDefault="009A356E" w:rsidP="009A356E">
            <w:pPr>
              <w:jc w:val="center"/>
              <w:rPr>
                <w:rFonts w:ascii="Calibri" w:hAnsi="Calibri"/>
                <w:color w:val="000000"/>
                <w:sz w:val="18"/>
                <w:szCs w:val="18"/>
                <w:lang w:eastAsia="en-AU"/>
              </w:rPr>
            </w:pPr>
            <w:r w:rsidRPr="00F72CFE">
              <w:rPr>
                <w:rFonts w:ascii="Calibri" w:hAnsi="Calibri"/>
                <w:color w:val="000000"/>
                <w:sz w:val="18"/>
                <w:szCs w:val="18"/>
                <w:lang w:eastAsia="en-AU"/>
              </w:rPr>
              <w:t>5.4%</w:t>
            </w:r>
          </w:p>
        </w:tc>
        <w:tc>
          <w:tcPr>
            <w:tcW w:w="370" w:type="pct"/>
            <w:tcBorders>
              <w:top w:val="nil"/>
              <w:left w:val="single" w:sz="8" w:space="0" w:color="auto"/>
              <w:bottom w:val="single" w:sz="4" w:space="0" w:color="auto"/>
              <w:right w:val="single" w:sz="4" w:space="0" w:color="auto"/>
            </w:tcBorders>
            <w:shd w:val="clear" w:color="000000" w:fill="FDE9D9"/>
            <w:noWrap/>
            <w:vAlign w:val="bottom"/>
            <w:hideMark/>
          </w:tcPr>
          <w:p w14:paraId="6976F750"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22.6%</w:t>
            </w:r>
          </w:p>
        </w:tc>
        <w:tc>
          <w:tcPr>
            <w:tcW w:w="370" w:type="pct"/>
            <w:tcBorders>
              <w:top w:val="nil"/>
              <w:left w:val="nil"/>
              <w:bottom w:val="single" w:sz="4" w:space="0" w:color="auto"/>
              <w:right w:val="single" w:sz="4" w:space="0" w:color="auto"/>
            </w:tcBorders>
            <w:shd w:val="clear" w:color="000000" w:fill="FDE9D9"/>
            <w:noWrap/>
            <w:vAlign w:val="bottom"/>
            <w:hideMark/>
          </w:tcPr>
          <w:p w14:paraId="13FAA95B"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27.3%</w:t>
            </w:r>
          </w:p>
        </w:tc>
        <w:tc>
          <w:tcPr>
            <w:tcW w:w="370" w:type="pct"/>
            <w:tcBorders>
              <w:top w:val="nil"/>
              <w:left w:val="nil"/>
              <w:bottom w:val="single" w:sz="4" w:space="0" w:color="auto"/>
              <w:right w:val="single" w:sz="4" w:space="0" w:color="auto"/>
            </w:tcBorders>
            <w:shd w:val="clear" w:color="000000" w:fill="FDE9D9"/>
            <w:noWrap/>
            <w:vAlign w:val="bottom"/>
            <w:hideMark/>
          </w:tcPr>
          <w:p w14:paraId="123FD41D"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28.4%</w:t>
            </w:r>
          </w:p>
        </w:tc>
        <w:tc>
          <w:tcPr>
            <w:tcW w:w="370" w:type="pct"/>
            <w:tcBorders>
              <w:top w:val="nil"/>
              <w:left w:val="nil"/>
              <w:bottom w:val="single" w:sz="4" w:space="0" w:color="auto"/>
              <w:right w:val="single" w:sz="4" w:space="0" w:color="auto"/>
            </w:tcBorders>
            <w:shd w:val="clear" w:color="000000" w:fill="FDE9D9"/>
            <w:noWrap/>
            <w:vAlign w:val="bottom"/>
            <w:hideMark/>
          </w:tcPr>
          <w:p w14:paraId="35B91E06"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32.9%</w:t>
            </w:r>
          </w:p>
        </w:tc>
        <w:tc>
          <w:tcPr>
            <w:tcW w:w="370" w:type="pct"/>
            <w:tcBorders>
              <w:top w:val="nil"/>
              <w:left w:val="nil"/>
              <w:bottom w:val="single" w:sz="4" w:space="0" w:color="auto"/>
              <w:right w:val="single" w:sz="4" w:space="0" w:color="auto"/>
            </w:tcBorders>
            <w:shd w:val="clear" w:color="000000" w:fill="FDE9D9"/>
            <w:noWrap/>
            <w:vAlign w:val="bottom"/>
            <w:hideMark/>
          </w:tcPr>
          <w:p w14:paraId="19C19C95"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51.9%</w:t>
            </w:r>
          </w:p>
        </w:tc>
        <w:tc>
          <w:tcPr>
            <w:tcW w:w="421" w:type="pct"/>
            <w:tcBorders>
              <w:top w:val="nil"/>
              <w:left w:val="nil"/>
              <w:bottom w:val="single" w:sz="4" w:space="0" w:color="auto"/>
              <w:right w:val="single" w:sz="4" w:space="0" w:color="auto"/>
            </w:tcBorders>
            <w:shd w:val="clear" w:color="000000" w:fill="FDE9D9"/>
            <w:noWrap/>
            <w:vAlign w:val="bottom"/>
            <w:hideMark/>
          </w:tcPr>
          <w:p w14:paraId="33A0AFC9"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67.1%</w:t>
            </w:r>
          </w:p>
        </w:tc>
        <w:tc>
          <w:tcPr>
            <w:tcW w:w="370" w:type="pct"/>
            <w:tcBorders>
              <w:top w:val="nil"/>
              <w:left w:val="nil"/>
              <w:bottom w:val="single" w:sz="4" w:space="0" w:color="auto"/>
              <w:right w:val="single" w:sz="4" w:space="0" w:color="auto"/>
            </w:tcBorders>
            <w:shd w:val="clear" w:color="000000" w:fill="FDE9D9"/>
            <w:noWrap/>
            <w:vAlign w:val="bottom"/>
            <w:hideMark/>
          </w:tcPr>
          <w:p w14:paraId="36847994"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67.4%</w:t>
            </w:r>
          </w:p>
        </w:tc>
        <w:tc>
          <w:tcPr>
            <w:tcW w:w="370" w:type="pct"/>
            <w:tcBorders>
              <w:top w:val="nil"/>
              <w:left w:val="nil"/>
              <w:bottom w:val="single" w:sz="4" w:space="0" w:color="auto"/>
              <w:right w:val="single" w:sz="8" w:space="0" w:color="auto"/>
            </w:tcBorders>
            <w:shd w:val="clear" w:color="000000" w:fill="FDE9D9"/>
            <w:noWrap/>
            <w:vAlign w:val="bottom"/>
            <w:hideMark/>
          </w:tcPr>
          <w:p w14:paraId="1338E827"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64.2%</w:t>
            </w:r>
          </w:p>
        </w:tc>
      </w:tr>
      <w:tr w:rsidR="009A356E" w:rsidRPr="00F72CFE" w14:paraId="46BC3F8F" w14:textId="77777777" w:rsidTr="009A356E">
        <w:trPr>
          <w:trHeight w:val="240"/>
        </w:trPr>
        <w:tc>
          <w:tcPr>
            <w:tcW w:w="1292" w:type="pct"/>
            <w:tcBorders>
              <w:top w:val="nil"/>
              <w:left w:val="single" w:sz="4" w:space="0" w:color="auto"/>
              <w:bottom w:val="single" w:sz="4" w:space="0" w:color="auto"/>
              <w:right w:val="single" w:sz="4" w:space="0" w:color="auto"/>
            </w:tcBorders>
            <w:shd w:val="clear" w:color="auto" w:fill="auto"/>
            <w:noWrap/>
            <w:vAlign w:val="bottom"/>
            <w:hideMark/>
          </w:tcPr>
          <w:p w14:paraId="659F656C" w14:textId="77777777" w:rsidR="009A356E" w:rsidRPr="00F72CFE" w:rsidRDefault="009A356E" w:rsidP="009A356E">
            <w:pPr>
              <w:rPr>
                <w:rFonts w:ascii="Calibri" w:hAnsi="Calibri"/>
                <w:sz w:val="18"/>
                <w:szCs w:val="18"/>
                <w:lang w:eastAsia="en-AU"/>
              </w:rPr>
            </w:pPr>
            <w:r w:rsidRPr="00F72CFE">
              <w:rPr>
                <w:rFonts w:ascii="Calibri" w:hAnsi="Calibri"/>
                <w:sz w:val="18"/>
                <w:szCs w:val="18"/>
                <w:lang w:eastAsia="en-AU"/>
              </w:rPr>
              <w:t>HINDMARSH (S)</w:t>
            </w:r>
          </w:p>
        </w:tc>
        <w:tc>
          <w:tcPr>
            <w:tcW w:w="699" w:type="pct"/>
            <w:tcBorders>
              <w:top w:val="nil"/>
              <w:left w:val="nil"/>
              <w:bottom w:val="single" w:sz="4" w:space="0" w:color="auto"/>
              <w:right w:val="nil"/>
            </w:tcBorders>
            <w:shd w:val="clear" w:color="000000" w:fill="DAEEF3"/>
            <w:noWrap/>
            <w:vAlign w:val="bottom"/>
            <w:hideMark/>
          </w:tcPr>
          <w:p w14:paraId="2F02BB46" w14:textId="77777777" w:rsidR="009A356E" w:rsidRPr="00F72CFE" w:rsidRDefault="009A356E" w:rsidP="009A356E">
            <w:pPr>
              <w:jc w:val="center"/>
              <w:rPr>
                <w:rFonts w:ascii="Calibri" w:hAnsi="Calibri"/>
                <w:color w:val="000000"/>
                <w:sz w:val="18"/>
                <w:szCs w:val="18"/>
                <w:lang w:eastAsia="en-AU"/>
              </w:rPr>
            </w:pPr>
            <w:r w:rsidRPr="00F72CFE">
              <w:rPr>
                <w:rFonts w:ascii="Calibri" w:hAnsi="Calibri"/>
                <w:color w:val="000000"/>
                <w:sz w:val="18"/>
                <w:szCs w:val="18"/>
                <w:lang w:eastAsia="en-AU"/>
              </w:rPr>
              <w:t>5.2%</w:t>
            </w:r>
          </w:p>
        </w:tc>
        <w:tc>
          <w:tcPr>
            <w:tcW w:w="370" w:type="pct"/>
            <w:tcBorders>
              <w:top w:val="nil"/>
              <w:left w:val="single" w:sz="8" w:space="0" w:color="auto"/>
              <w:bottom w:val="single" w:sz="4" w:space="0" w:color="auto"/>
              <w:right w:val="single" w:sz="4" w:space="0" w:color="auto"/>
            </w:tcBorders>
            <w:shd w:val="clear" w:color="000000" w:fill="FDE9D9"/>
            <w:noWrap/>
            <w:vAlign w:val="bottom"/>
            <w:hideMark/>
          </w:tcPr>
          <w:p w14:paraId="16D73A82"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55.6%</w:t>
            </w:r>
          </w:p>
        </w:tc>
        <w:tc>
          <w:tcPr>
            <w:tcW w:w="370" w:type="pct"/>
            <w:tcBorders>
              <w:top w:val="nil"/>
              <w:left w:val="nil"/>
              <w:bottom w:val="single" w:sz="4" w:space="0" w:color="auto"/>
              <w:right w:val="single" w:sz="4" w:space="0" w:color="auto"/>
            </w:tcBorders>
            <w:shd w:val="clear" w:color="000000" w:fill="FDE9D9"/>
            <w:noWrap/>
            <w:vAlign w:val="bottom"/>
            <w:hideMark/>
          </w:tcPr>
          <w:p w14:paraId="59EC4B0B"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61.8%</w:t>
            </w:r>
          </w:p>
        </w:tc>
        <w:tc>
          <w:tcPr>
            <w:tcW w:w="370" w:type="pct"/>
            <w:tcBorders>
              <w:top w:val="nil"/>
              <w:left w:val="nil"/>
              <w:bottom w:val="single" w:sz="4" w:space="0" w:color="auto"/>
              <w:right w:val="single" w:sz="4" w:space="0" w:color="auto"/>
            </w:tcBorders>
            <w:shd w:val="clear" w:color="000000" w:fill="FDE9D9"/>
            <w:noWrap/>
            <w:vAlign w:val="bottom"/>
            <w:hideMark/>
          </w:tcPr>
          <w:p w14:paraId="5907B937"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68.2%</w:t>
            </w:r>
          </w:p>
        </w:tc>
        <w:tc>
          <w:tcPr>
            <w:tcW w:w="370" w:type="pct"/>
            <w:tcBorders>
              <w:top w:val="nil"/>
              <w:left w:val="nil"/>
              <w:bottom w:val="single" w:sz="4" w:space="0" w:color="auto"/>
              <w:right w:val="single" w:sz="4" w:space="0" w:color="auto"/>
            </w:tcBorders>
            <w:shd w:val="clear" w:color="000000" w:fill="FDE9D9"/>
            <w:noWrap/>
            <w:vAlign w:val="bottom"/>
            <w:hideMark/>
          </w:tcPr>
          <w:p w14:paraId="1859531E"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68.0%</w:t>
            </w:r>
          </w:p>
        </w:tc>
        <w:tc>
          <w:tcPr>
            <w:tcW w:w="370" w:type="pct"/>
            <w:tcBorders>
              <w:top w:val="nil"/>
              <w:left w:val="nil"/>
              <w:bottom w:val="single" w:sz="4" w:space="0" w:color="auto"/>
              <w:right w:val="single" w:sz="4" w:space="0" w:color="auto"/>
            </w:tcBorders>
            <w:shd w:val="clear" w:color="000000" w:fill="FDE9D9"/>
            <w:noWrap/>
            <w:vAlign w:val="bottom"/>
            <w:hideMark/>
          </w:tcPr>
          <w:p w14:paraId="35D65B19"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68.6%</w:t>
            </w:r>
          </w:p>
        </w:tc>
        <w:tc>
          <w:tcPr>
            <w:tcW w:w="421" w:type="pct"/>
            <w:tcBorders>
              <w:top w:val="nil"/>
              <w:left w:val="nil"/>
              <w:bottom w:val="single" w:sz="4" w:space="0" w:color="auto"/>
              <w:right w:val="single" w:sz="4" w:space="0" w:color="auto"/>
            </w:tcBorders>
            <w:shd w:val="clear" w:color="000000" w:fill="FDE9D9"/>
            <w:noWrap/>
            <w:vAlign w:val="bottom"/>
            <w:hideMark/>
          </w:tcPr>
          <w:p w14:paraId="7B71A692"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102.1%</w:t>
            </w:r>
          </w:p>
        </w:tc>
        <w:tc>
          <w:tcPr>
            <w:tcW w:w="370" w:type="pct"/>
            <w:tcBorders>
              <w:top w:val="nil"/>
              <w:left w:val="nil"/>
              <w:bottom w:val="single" w:sz="4" w:space="0" w:color="auto"/>
              <w:right w:val="single" w:sz="4" w:space="0" w:color="auto"/>
            </w:tcBorders>
            <w:shd w:val="clear" w:color="000000" w:fill="FDE9D9"/>
            <w:noWrap/>
            <w:vAlign w:val="bottom"/>
            <w:hideMark/>
          </w:tcPr>
          <w:p w14:paraId="52101CBC"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96.7%</w:t>
            </w:r>
          </w:p>
        </w:tc>
        <w:tc>
          <w:tcPr>
            <w:tcW w:w="370" w:type="pct"/>
            <w:tcBorders>
              <w:top w:val="nil"/>
              <w:left w:val="nil"/>
              <w:bottom w:val="single" w:sz="4" w:space="0" w:color="auto"/>
              <w:right w:val="single" w:sz="8" w:space="0" w:color="auto"/>
            </w:tcBorders>
            <w:shd w:val="clear" w:color="000000" w:fill="FDE9D9"/>
            <w:noWrap/>
            <w:vAlign w:val="bottom"/>
            <w:hideMark/>
          </w:tcPr>
          <w:p w14:paraId="4F2B2F23"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88.8%</w:t>
            </w:r>
          </w:p>
        </w:tc>
      </w:tr>
      <w:tr w:rsidR="009A356E" w:rsidRPr="00F72CFE" w14:paraId="25053888" w14:textId="77777777" w:rsidTr="009A356E">
        <w:trPr>
          <w:trHeight w:val="240"/>
        </w:trPr>
        <w:tc>
          <w:tcPr>
            <w:tcW w:w="1292" w:type="pct"/>
            <w:tcBorders>
              <w:top w:val="nil"/>
              <w:left w:val="single" w:sz="4" w:space="0" w:color="auto"/>
              <w:bottom w:val="single" w:sz="4" w:space="0" w:color="auto"/>
              <w:right w:val="single" w:sz="4" w:space="0" w:color="auto"/>
            </w:tcBorders>
            <w:shd w:val="clear" w:color="auto" w:fill="auto"/>
            <w:noWrap/>
            <w:vAlign w:val="bottom"/>
            <w:hideMark/>
          </w:tcPr>
          <w:p w14:paraId="3EDF35BA" w14:textId="77777777" w:rsidR="009A356E" w:rsidRPr="00F72CFE" w:rsidRDefault="009A356E" w:rsidP="009A356E">
            <w:pPr>
              <w:rPr>
                <w:rFonts w:ascii="Calibri" w:hAnsi="Calibri"/>
                <w:sz w:val="18"/>
                <w:szCs w:val="18"/>
                <w:lang w:eastAsia="en-AU"/>
              </w:rPr>
            </w:pPr>
            <w:r w:rsidRPr="00F72CFE">
              <w:rPr>
                <w:rFonts w:ascii="Calibri" w:hAnsi="Calibri"/>
                <w:sz w:val="18"/>
                <w:szCs w:val="18"/>
                <w:lang w:eastAsia="en-AU"/>
              </w:rPr>
              <w:t>HORSHAM (RC)</w:t>
            </w:r>
          </w:p>
        </w:tc>
        <w:tc>
          <w:tcPr>
            <w:tcW w:w="699" w:type="pct"/>
            <w:tcBorders>
              <w:top w:val="nil"/>
              <w:left w:val="nil"/>
              <w:bottom w:val="single" w:sz="4" w:space="0" w:color="auto"/>
              <w:right w:val="nil"/>
            </w:tcBorders>
            <w:shd w:val="clear" w:color="000000" w:fill="DAEEF3"/>
            <w:noWrap/>
            <w:vAlign w:val="bottom"/>
            <w:hideMark/>
          </w:tcPr>
          <w:p w14:paraId="141D062D" w14:textId="77777777" w:rsidR="009A356E" w:rsidRPr="00F72CFE" w:rsidRDefault="009A356E" w:rsidP="009A356E">
            <w:pPr>
              <w:jc w:val="center"/>
              <w:rPr>
                <w:rFonts w:ascii="Calibri" w:hAnsi="Calibri"/>
                <w:color w:val="000000"/>
                <w:sz w:val="18"/>
                <w:szCs w:val="18"/>
                <w:lang w:eastAsia="en-AU"/>
              </w:rPr>
            </w:pPr>
            <w:r w:rsidRPr="00F72CFE">
              <w:rPr>
                <w:rFonts w:ascii="Calibri" w:hAnsi="Calibri"/>
                <w:color w:val="000000"/>
                <w:sz w:val="18"/>
                <w:szCs w:val="18"/>
                <w:lang w:eastAsia="en-AU"/>
              </w:rPr>
              <w:t>6.8%</w:t>
            </w:r>
          </w:p>
        </w:tc>
        <w:tc>
          <w:tcPr>
            <w:tcW w:w="370" w:type="pct"/>
            <w:tcBorders>
              <w:top w:val="nil"/>
              <w:left w:val="single" w:sz="8" w:space="0" w:color="auto"/>
              <w:bottom w:val="single" w:sz="4" w:space="0" w:color="auto"/>
              <w:right w:val="single" w:sz="4" w:space="0" w:color="auto"/>
            </w:tcBorders>
            <w:shd w:val="clear" w:color="000000" w:fill="FDE9D9"/>
            <w:noWrap/>
            <w:vAlign w:val="bottom"/>
            <w:hideMark/>
          </w:tcPr>
          <w:p w14:paraId="3882AB83"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24.5%</w:t>
            </w:r>
          </w:p>
        </w:tc>
        <w:tc>
          <w:tcPr>
            <w:tcW w:w="370" w:type="pct"/>
            <w:tcBorders>
              <w:top w:val="nil"/>
              <w:left w:val="nil"/>
              <w:bottom w:val="single" w:sz="4" w:space="0" w:color="auto"/>
              <w:right w:val="single" w:sz="4" w:space="0" w:color="auto"/>
            </w:tcBorders>
            <w:shd w:val="clear" w:color="000000" w:fill="FDE9D9"/>
            <w:noWrap/>
            <w:vAlign w:val="bottom"/>
            <w:hideMark/>
          </w:tcPr>
          <w:p w14:paraId="07FA9F27"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28.6%</w:t>
            </w:r>
          </w:p>
        </w:tc>
        <w:tc>
          <w:tcPr>
            <w:tcW w:w="370" w:type="pct"/>
            <w:tcBorders>
              <w:top w:val="nil"/>
              <w:left w:val="nil"/>
              <w:bottom w:val="single" w:sz="4" w:space="0" w:color="auto"/>
              <w:right w:val="single" w:sz="4" w:space="0" w:color="auto"/>
            </w:tcBorders>
            <w:shd w:val="clear" w:color="000000" w:fill="FDE9D9"/>
            <w:noWrap/>
            <w:vAlign w:val="bottom"/>
            <w:hideMark/>
          </w:tcPr>
          <w:p w14:paraId="34B8577C"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33.4%</w:t>
            </w:r>
          </w:p>
        </w:tc>
        <w:tc>
          <w:tcPr>
            <w:tcW w:w="370" w:type="pct"/>
            <w:tcBorders>
              <w:top w:val="nil"/>
              <w:left w:val="nil"/>
              <w:bottom w:val="single" w:sz="4" w:space="0" w:color="auto"/>
              <w:right w:val="single" w:sz="4" w:space="0" w:color="auto"/>
            </w:tcBorders>
            <w:shd w:val="clear" w:color="000000" w:fill="FDE9D9"/>
            <w:noWrap/>
            <w:vAlign w:val="bottom"/>
            <w:hideMark/>
          </w:tcPr>
          <w:p w14:paraId="1F01125B"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35.2%</w:t>
            </w:r>
          </w:p>
        </w:tc>
        <w:tc>
          <w:tcPr>
            <w:tcW w:w="370" w:type="pct"/>
            <w:tcBorders>
              <w:top w:val="nil"/>
              <w:left w:val="nil"/>
              <w:bottom w:val="single" w:sz="4" w:space="0" w:color="auto"/>
              <w:right w:val="single" w:sz="4" w:space="0" w:color="auto"/>
            </w:tcBorders>
            <w:shd w:val="clear" w:color="000000" w:fill="FDE9D9"/>
            <w:noWrap/>
            <w:vAlign w:val="bottom"/>
            <w:hideMark/>
          </w:tcPr>
          <w:p w14:paraId="0729EC87"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44.7%</w:t>
            </w:r>
          </w:p>
        </w:tc>
        <w:tc>
          <w:tcPr>
            <w:tcW w:w="421" w:type="pct"/>
            <w:tcBorders>
              <w:top w:val="nil"/>
              <w:left w:val="nil"/>
              <w:bottom w:val="single" w:sz="4" w:space="0" w:color="auto"/>
              <w:right w:val="single" w:sz="4" w:space="0" w:color="auto"/>
            </w:tcBorders>
            <w:shd w:val="clear" w:color="000000" w:fill="FDE9D9"/>
            <w:noWrap/>
            <w:vAlign w:val="bottom"/>
            <w:hideMark/>
          </w:tcPr>
          <w:p w14:paraId="6E63A4BF"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48.7%</w:t>
            </w:r>
          </w:p>
        </w:tc>
        <w:tc>
          <w:tcPr>
            <w:tcW w:w="370" w:type="pct"/>
            <w:tcBorders>
              <w:top w:val="nil"/>
              <w:left w:val="nil"/>
              <w:bottom w:val="single" w:sz="4" w:space="0" w:color="auto"/>
              <w:right w:val="single" w:sz="4" w:space="0" w:color="auto"/>
            </w:tcBorders>
            <w:shd w:val="clear" w:color="000000" w:fill="FDE9D9"/>
            <w:noWrap/>
            <w:vAlign w:val="bottom"/>
            <w:hideMark/>
          </w:tcPr>
          <w:p w14:paraId="7FB42BF1"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47.1%</w:t>
            </w:r>
          </w:p>
        </w:tc>
        <w:tc>
          <w:tcPr>
            <w:tcW w:w="370" w:type="pct"/>
            <w:tcBorders>
              <w:top w:val="nil"/>
              <w:left w:val="nil"/>
              <w:bottom w:val="single" w:sz="4" w:space="0" w:color="auto"/>
              <w:right w:val="single" w:sz="8" w:space="0" w:color="auto"/>
            </w:tcBorders>
            <w:shd w:val="clear" w:color="000000" w:fill="FDE9D9"/>
            <w:noWrap/>
            <w:vAlign w:val="bottom"/>
            <w:hideMark/>
          </w:tcPr>
          <w:p w14:paraId="3E06C6CB"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48.1%</w:t>
            </w:r>
          </w:p>
        </w:tc>
      </w:tr>
      <w:tr w:rsidR="009A356E" w:rsidRPr="00F72CFE" w14:paraId="7C4180F7" w14:textId="77777777" w:rsidTr="009A356E">
        <w:trPr>
          <w:trHeight w:val="240"/>
        </w:trPr>
        <w:tc>
          <w:tcPr>
            <w:tcW w:w="1292" w:type="pct"/>
            <w:tcBorders>
              <w:top w:val="nil"/>
              <w:left w:val="single" w:sz="4" w:space="0" w:color="auto"/>
              <w:bottom w:val="single" w:sz="4" w:space="0" w:color="auto"/>
              <w:right w:val="single" w:sz="4" w:space="0" w:color="auto"/>
            </w:tcBorders>
            <w:shd w:val="clear" w:color="auto" w:fill="auto"/>
            <w:noWrap/>
            <w:vAlign w:val="bottom"/>
            <w:hideMark/>
          </w:tcPr>
          <w:p w14:paraId="54568AA1" w14:textId="77777777" w:rsidR="009A356E" w:rsidRPr="00F72CFE" w:rsidRDefault="009A356E" w:rsidP="009A356E">
            <w:pPr>
              <w:rPr>
                <w:rFonts w:ascii="Calibri" w:hAnsi="Calibri"/>
                <w:sz w:val="18"/>
                <w:szCs w:val="18"/>
                <w:lang w:eastAsia="en-AU"/>
              </w:rPr>
            </w:pPr>
            <w:r w:rsidRPr="00F72CFE">
              <w:rPr>
                <w:rFonts w:ascii="Calibri" w:hAnsi="Calibri"/>
                <w:sz w:val="18"/>
                <w:szCs w:val="18"/>
                <w:lang w:eastAsia="en-AU"/>
              </w:rPr>
              <w:t>INDIGO (S)</w:t>
            </w:r>
          </w:p>
        </w:tc>
        <w:tc>
          <w:tcPr>
            <w:tcW w:w="699" w:type="pct"/>
            <w:tcBorders>
              <w:top w:val="nil"/>
              <w:left w:val="nil"/>
              <w:bottom w:val="single" w:sz="4" w:space="0" w:color="auto"/>
              <w:right w:val="nil"/>
            </w:tcBorders>
            <w:shd w:val="clear" w:color="000000" w:fill="DAEEF3"/>
            <w:noWrap/>
            <w:vAlign w:val="bottom"/>
            <w:hideMark/>
          </w:tcPr>
          <w:p w14:paraId="1711186F" w14:textId="77777777" w:rsidR="009A356E" w:rsidRPr="00F72CFE" w:rsidRDefault="009A356E" w:rsidP="009A356E">
            <w:pPr>
              <w:jc w:val="center"/>
              <w:rPr>
                <w:rFonts w:ascii="Calibri" w:hAnsi="Calibri"/>
                <w:color w:val="000000"/>
                <w:sz w:val="18"/>
                <w:szCs w:val="18"/>
                <w:lang w:eastAsia="en-AU"/>
              </w:rPr>
            </w:pPr>
            <w:r w:rsidRPr="00F72CFE">
              <w:rPr>
                <w:rFonts w:ascii="Calibri" w:hAnsi="Calibri"/>
                <w:color w:val="000000"/>
                <w:sz w:val="18"/>
                <w:szCs w:val="18"/>
                <w:lang w:eastAsia="en-AU"/>
              </w:rPr>
              <w:t>3.0%</w:t>
            </w:r>
          </w:p>
        </w:tc>
        <w:tc>
          <w:tcPr>
            <w:tcW w:w="370" w:type="pct"/>
            <w:tcBorders>
              <w:top w:val="nil"/>
              <w:left w:val="single" w:sz="8" w:space="0" w:color="auto"/>
              <w:bottom w:val="single" w:sz="4" w:space="0" w:color="auto"/>
              <w:right w:val="single" w:sz="4" w:space="0" w:color="auto"/>
            </w:tcBorders>
            <w:shd w:val="clear" w:color="000000" w:fill="FDE9D9"/>
            <w:noWrap/>
            <w:vAlign w:val="bottom"/>
            <w:hideMark/>
          </w:tcPr>
          <w:p w14:paraId="05E31AEB"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33.4%</w:t>
            </w:r>
          </w:p>
        </w:tc>
        <w:tc>
          <w:tcPr>
            <w:tcW w:w="370" w:type="pct"/>
            <w:tcBorders>
              <w:top w:val="nil"/>
              <w:left w:val="nil"/>
              <w:bottom w:val="single" w:sz="4" w:space="0" w:color="auto"/>
              <w:right w:val="single" w:sz="4" w:space="0" w:color="auto"/>
            </w:tcBorders>
            <w:shd w:val="clear" w:color="000000" w:fill="FDE9D9"/>
            <w:noWrap/>
            <w:vAlign w:val="bottom"/>
            <w:hideMark/>
          </w:tcPr>
          <w:p w14:paraId="748C4C82"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38.7%</w:t>
            </w:r>
          </w:p>
        </w:tc>
        <w:tc>
          <w:tcPr>
            <w:tcW w:w="370" w:type="pct"/>
            <w:tcBorders>
              <w:top w:val="nil"/>
              <w:left w:val="nil"/>
              <w:bottom w:val="single" w:sz="4" w:space="0" w:color="auto"/>
              <w:right w:val="single" w:sz="4" w:space="0" w:color="auto"/>
            </w:tcBorders>
            <w:shd w:val="clear" w:color="000000" w:fill="FDE9D9"/>
            <w:noWrap/>
            <w:vAlign w:val="bottom"/>
            <w:hideMark/>
          </w:tcPr>
          <w:p w14:paraId="45601EB2"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40.3%</w:t>
            </w:r>
          </w:p>
        </w:tc>
        <w:tc>
          <w:tcPr>
            <w:tcW w:w="370" w:type="pct"/>
            <w:tcBorders>
              <w:top w:val="nil"/>
              <w:left w:val="nil"/>
              <w:bottom w:val="single" w:sz="4" w:space="0" w:color="auto"/>
              <w:right w:val="single" w:sz="4" w:space="0" w:color="auto"/>
            </w:tcBorders>
            <w:shd w:val="clear" w:color="000000" w:fill="FDE9D9"/>
            <w:noWrap/>
            <w:vAlign w:val="bottom"/>
            <w:hideMark/>
          </w:tcPr>
          <w:p w14:paraId="13867C17"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32.4%</w:t>
            </w:r>
          </w:p>
        </w:tc>
        <w:tc>
          <w:tcPr>
            <w:tcW w:w="370" w:type="pct"/>
            <w:tcBorders>
              <w:top w:val="nil"/>
              <w:left w:val="nil"/>
              <w:bottom w:val="single" w:sz="4" w:space="0" w:color="auto"/>
              <w:right w:val="single" w:sz="4" w:space="0" w:color="auto"/>
            </w:tcBorders>
            <w:shd w:val="clear" w:color="000000" w:fill="FDE9D9"/>
            <w:noWrap/>
            <w:vAlign w:val="bottom"/>
            <w:hideMark/>
          </w:tcPr>
          <w:p w14:paraId="295347A3"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42.4%</w:t>
            </w:r>
          </w:p>
        </w:tc>
        <w:tc>
          <w:tcPr>
            <w:tcW w:w="421" w:type="pct"/>
            <w:tcBorders>
              <w:top w:val="nil"/>
              <w:left w:val="nil"/>
              <w:bottom w:val="single" w:sz="4" w:space="0" w:color="auto"/>
              <w:right w:val="single" w:sz="4" w:space="0" w:color="auto"/>
            </w:tcBorders>
            <w:shd w:val="clear" w:color="000000" w:fill="FDE9D9"/>
            <w:noWrap/>
            <w:vAlign w:val="bottom"/>
            <w:hideMark/>
          </w:tcPr>
          <w:p w14:paraId="7AF0046A"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44.0%</w:t>
            </w:r>
          </w:p>
        </w:tc>
        <w:tc>
          <w:tcPr>
            <w:tcW w:w="370" w:type="pct"/>
            <w:tcBorders>
              <w:top w:val="nil"/>
              <w:left w:val="nil"/>
              <w:bottom w:val="single" w:sz="4" w:space="0" w:color="auto"/>
              <w:right w:val="single" w:sz="4" w:space="0" w:color="auto"/>
            </w:tcBorders>
            <w:shd w:val="clear" w:color="000000" w:fill="FDE9D9"/>
            <w:noWrap/>
            <w:vAlign w:val="bottom"/>
            <w:hideMark/>
          </w:tcPr>
          <w:p w14:paraId="64E64C4B"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40.9%</w:t>
            </w:r>
          </w:p>
        </w:tc>
        <w:tc>
          <w:tcPr>
            <w:tcW w:w="370" w:type="pct"/>
            <w:tcBorders>
              <w:top w:val="nil"/>
              <w:left w:val="nil"/>
              <w:bottom w:val="single" w:sz="4" w:space="0" w:color="auto"/>
              <w:right w:val="single" w:sz="8" w:space="0" w:color="auto"/>
            </w:tcBorders>
            <w:shd w:val="clear" w:color="000000" w:fill="FDE9D9"/>
            <w:noWrap/>
            <w:vAlign w:val="bottom"/>
            <w:hideMark/>
          </w:tcPr>
          <w:p w14:paraId="7209C7C3"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38.5%</w:t>
            </w:r>
          </w:p>
        </w:tc>
      </w:tr>
      <w:tr w:rsidR="009A356E" w:rsidRPr="00F72CFE" w14:paraId="47E45627" w14:textId="77777777" w:rsidTr="009A356E">
        <w:trPr>
          <w:trHeight w:val="240"/>
        </w:trPr>
        <w:tc>
          <w:tcPr>
            <w:tcW w:w="1292" w:type="pct"/>
            <w:tcBorders>
              <w:top w:val="nil"/>
              <w:left w:val="single" w:sz="4" w:space="0" w:color="auto"/>
              <w:bottom w:val="single" w:sz="4" w:space="0" w:color="auto"/>
              <w:right w:val="single" w:sz="4" w:space="0" w:color="auto"/>
            </w:tcBorders>
            <w:shd w:val="clear" w:color="auto" w:fill="auto"/>
            <w:noWrap/>
            <w:vAlign w:val="bottom"/>
            <w:hideMark/>
          </w:tcPr>
          <w:p w14:paraId="77FD90F8" w14:textId="77777777" w:rsidR="009A356E" w:rsidRPr="00F72CFE" w:rsidRDefault="009A356E" w:rsidP="009A356E">
            <w:pPr>
              <w:rPr>
                <w:rFonts w:ascii="Calibri" w:hAnsi="Calibri"/>
                <w:sz w:val="18"/>
                <w:szCs w:val="18"/>
                <w:lang w:eastAsia="en-AU"/>
              </w:rPr>
            </w:pPr>
            <w:r w:rsidRPr="00F72CFE">
              <w:rPr>
                <w:rFonts w:ascii="Calibri" w:hAnsi="Calibri"/>
                <w:sz w:val="18"/>
                <w:szCs w:val="18"/>
                <w:lang w:eastAsia="en-AU"/>
              </w:rPr>
              <w:t>LATROBE (C)</w:t>
            </w:r>
          </w:p>
        </w:tc>
        <w:tc>
          <w:tcPr>
            <w:tcW w:w="699" w:type="pct"/>
            <w:tcBorders>
              <w:top w:val="nil"/>
              <w:left w:val="nil"/>
              <w:bottom w:val="single" w:sz="4" w:space="0" w:color="auto"/>
              <w:right w:val="nil"/>
            </w:tcBorders>
            <w:shd w:val="clear" w:color="000000" w:fill="DAEEF3"/>
            <w:noWrap/>
            <w:vAlign w:val="bottom"/>
            <w:hideMark/>
          </w:tcPr>
          <w:p w14:paraId="55AF6311" w14:textId="77777777" w:rsidR="009A356E" w:rsidRPr="00F72CFE" w:rsidRDefault="009A356E" w:rsidP="009A356E">
            <w:pPr>
              <w:jc w:val="center"/>
              <w:rPr>
                <w:rFonts w:ascii="Calibri" w:hAnsi="Calibri"/>
                <w:color w:val="000000"/>
                <w:sz w:val="18"/>
                <w:szCs w:val="18"/>
                <w:lang w:eastAsia="en-AU"/>
              </w:rPr>
            </w:pPr>
            <w:r w:rsidRPr="00F72CFE">
              <w:rPr>
                <w:rFonts w:ascii="Calibri" w:hAnsi="Calibri"/>
                <w:color w:val="000000"/>
                <w:sz w:val="18"/>
                <w:szCs w:val="18"/>
                <w:lang w:eastAsia="en-AU"/>
              </w:rPr>
              <w:t>7.6%</w:t>
            </w:r>
          </w:p>
        </w:tc>
        <w:tc>
          <w:tcPr>
            <w:tcW w:w="370" w:type="pct"/>
            <w:tcBorders>
              <w:top w:val="nil"/>
              <w:left w:val="single" w:sz="8" w:space="0" w:color="auto"/>
              <w:bottom w:val="single" w:sz="4" w:space="0" w:color="auto"/>
              <w:right w:val="single" w:sz="4" w:space="0" w:color="auto"/>
            </w:tcBorders>
            <w:shd w:val="clear" w:color="000000" w:fill="FDE9D9"/>
            <w:noWrap/>
            <w:vAlign w:val="bottom"/>
            <w:hideMark/>
          </w:tcPr>
          <w:p w14:paraId="44786F72"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29.7%</w:t>
            </w:r>
          </w:p>
        </w:tc>
        <w:tc>
          <w:tcPr>
            <w:tcW w:w="370" w:type="pct"/>
            <w:tcBorders>
              <w:top w:val="nil"/>
              <w:left w:val="nil"/>
              <w:bottom w:val="single" w:sz="4" w:space="0" w:color="auto"/>
              <w:right w:val="single" w:sz="4" w:space="0" w:color="auto"/>
            </w:tcBorders>
            <w:shd w:val="clear" w:color="000000" w:fill="FDE9D9"/>
            <w:noWrap/>
            <w:vAlign w:val="bottom"/>
            <w:hideMark/>
          </w:tcPr>
          <w:p w14:paraId="5B58544F"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30.8%</w:t>
            </w:r>
          </w:p>
        </w:tc>
        <w:tc>
          <w:tcPr>
            <w:tcW w:w="370" w:type="pct"/>
            <w:tcBorders>
              <w:top w:val="nil"/>
              <w:left w:val="nil"/>
              <w:bottom w:val="single" w:sz="4" w:space="0" w:color="auto"/>
              <w:right w:val="single" w:sz="4" w:space="0" w:color="auto"/>
            </w:tcBorders>
            <w:shd w:val="clear" w:color="000000" w:fill="FDE9D9"/>
            <w:noWrap/>
            <w:vAlign w:val="bottom"/>
            <w:hideMark/>
          </w:tcPr>
          <w:p w14:paraId="66A74A1E"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34.1%</w:t>
            </w:r>
          </w:p>
        </w:tc>
        <w:tc>
          <w:tcPr>
            <w:tcW w:w="370" w:type="pct"/>
            <w:tcBorders>
              <w:top w:val="nil"/>
              <w:left w:val="nil"/>
              <w:bottom w:val="single" w:sz="4" w:space="0" w:color="auto"/>
              <w:right w:val="single" w:sz="4" w:space="0" w:color="auto"/>
            </w:tcBorders>
            <w:shd w:val="clear" w:color="000000" w:fill="FDE9D9"/>
            <w:noWrap/>
            <w:vAlign w:val="bottom"/>
            <w:hideMark/>
          </w:tcPr>
          <w:p w14:paraId="3AD33E8F"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34.8%</w:t>
            </w:r>
          </w:p>
        </w:tc>
        <w:tc>
          <w:tcPr>
            <w:tcW w:w="370" w:type="pct"/>
            <w:tcBorders>
              <w:top w:val="nil"/>
              <w:left w:val="nil"/>
              <w:bottom w:val="single" w:sz="4" w:space="0" w:color="auto"/>
              <w:right w:val="single" w:sz="4" w:space="0" w:color="auto"/>
            </w:tcBorders>
            <w:shd w:val="clear" w:color="000000" w:fill="FDE9D9"/>
            <w:noWrap/>
            <w:vAlign w:val="bottom"/>
            <w:hideMark/>
          </w:tcPr>
          <w:p w14:paraId="5513CFBC"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33.8%</w:t>
            </w:r>
          </w:p>
        </w:tc>
        <w:tc>
          <w:tcPr>
            <w:tcW w:w="421" w:type="pct"/>
            <w:tcBorders>
              <w:top w:val="nil"/>
              <w:left w:val="nil"/>
              <w:bottom w:val="single" w:sz="4" w:space="0" w:color="auto"/>
              <w:right w:val="single" w:sz="4" w:space="0" w:color="auto"/>
            </w:tcBorders>
            <w:shd w:val="clear" w:color="000000" w:fill="FDE9D9"/>
            <w:noWrap/>
            <w:vAlign w:val="bottom"/>
            <w:hideMark/>
          </w:tcPr>
          <w:p w14:paraId="74154CB0"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31.4%</w:t>
            </w:r>
          </w:p>
        </w:tc>
        <w:tc>
          <w:tcPr>
            <w:tcW w:w="370" w:type="pct"/>
            <w:tcBorders>
              <w:top w:val="nil"/>
              <w:left w:val="nil"/>
              <w:bottom w:val="single" w:sz="4" w:space="0" w:color="auto"/>
              <w:right w:val="single" w:sz="4" w:space="0" w:color="auto"/>
            </w:tcBorders>
            <w:shd w:val="clear" w:color="000000" w:fill="FDE9D9"/>
            <w:noWrap/>
            <w:vAlign w:val="bottom"/>
            <w:hideMark/>
          </w:tcPr>
          <w:p w14:paraId="702C03A1"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28.3%</w:t>
            </w:r>
          </w:p>
        </w:tc>
        <w:tc>
          <w:tcPr>
            <w:tcW w:w="370" w:type="pct"/>
            <w:tcBorders>
              <w:top w:val="nil"/>
              <w:left w:val="nil"/>
              <w:bottom w:val="single" w:sz="4" w:space="0" w:color="auto"/>
              <w:right w:val="single" w:sz="8" w:space="0" w:color="auto"/>
            </w:tcBorders>
            <w:shd w:val="clear" w:color="000000" w:fill="FDE9D9"/>
            <w:noWrap/>
            <w:vAlign w:val="bottom"/>
            <w:hideMark/>
          </w:tcPr>
          <w:p w14:paraId="639435E4"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24.5%</w:t>
            </w:r>
          </w:p>
        </w:tc>
      </w:tr>
      <w:tr w:rsidR="009A356E" w:rsidRPr="00F72CFE" w14:paraId="5FDF31C1" w14:textId="77777777" w:rsidTr="009A356E">
        <w:trPr>
          <w:trHeight w:val="240"/>
        </w:trPr>
        <w:tc>
          <w:tcPr>
            <w:tcW w:w="1292" w:type="pct"/>
            <w:tcBorders>
              <w:top w:val="nil"/>
              <w:left w:val="single" w:sz="4" w:space="0" w:color="auto"/>
              <w:bottom w:val="single" w:sz="4" w:space="0" w:color="auto"/>
              <w:right w:val="single" w:sz="4" w:space="0" w:color="auto"/>
            </w:tcBorders>
            <w:shd w:val="clear" w:color="auto" w:fill="auto"/>
            <w:noWrap/>
            <w:vAlign w:val="bottom"/>
            <w:hideMark/>
          </w:tcPr>
          <w:p w14:paraId="1DC9E658" w14:textId="77777777" w:rsidR="009A356E" w:rsidRPr="00F72CFE" w:rsidRDefault="009A356E" w:rsidP="009A356E">
            <w:pPr>
              <w:rPr>
                <w:rFonts w:ascii="Calibri" w:hAnsi="Calibri"/>
                <w:sz w:val="18"/>
                <w:szCs w:val="18"/>
                <w:lang w:eastAsia="en-AU"/>
              </w:rPr>
            </w:pPr>
            <w:r w:rsidRPr="00F72CFE">
              <w:rPr>
                <w:rFonts w:ascii="Calibri" w:hAnsi="Calibri"/>
                <w:sz w:val="18"/>
                <w:szCs w:val="18"/>
                <w:lang w:eastAsia="en-AU"/>
              </w:rPr>
              <w:t>LODDON (S)</w:t>
            </w:r>
          </w:p>
        </w:tc>
        <w:tc>
          <w:tcPr>
            <w:tcW w:w="699" w:type="pct"/>
            <w:tcBorders>
              <w:top w:val="nil"/>
              <w:left w:val="nil"/>
              <w:bottom w:val="single" w:sz="4" w:space="0" w:color="auto"/>
              <w:right w:val="nil"/>
            </w:tcBorders>
            <w:shd w:val="clear" w:color="000000" w:fill="DAEEF3"/>
            <w:noWrap/>
            <w:vAlign w:val="bottom"/>
            <w:hideMark/>
          </w:tcPr>
          <w:p w14:paraId="65967F14" w14:textId="77777777" w:rsidR="009A356E" w:rsidRPr="00F72CFE" w:rsidRDefault="009A356E" w:rsidP="009A356E">
            <w:pPr>
              <w:jc w:val="center"/>
              <w:rPr>
                <w:rFonts w:ascii="Calibri" w:hAnsi="Calibri"/>
                <w:color w:val="000000"/>
                <w:sz w:val="18"/>
                <w:szCs w:val="18"/>
                <w:lang w:eastAsia="en-AU"/>
              </w:rPr>
            </w:pPr>
            <w:r w:rsidRPr="00F72CFE">
              <w:rPr>
                <w:rFonts w:ascii="Calibri" w:hAnsi="Calibri"/>
                <w:color w:val="000000"/>
                <w:sz w:val="18"/>
                <w:szCs w:val="18"/>
                <w:lang w:eastAsia="en-AU"/>
              </w:rPr>
              <w:t>5.2%</w:t>
            </w:r>
          </w:p>
        </w:tc>
        <w:tc>
          <w:tcPr>
            <w:tcW w:w="370" w:type="pct"/>
            <w:tcBorders>
              <w:top w:val="nil"/>
              <w:left w:val="single" w:sz="8" w:space="0" w:color="auto"/>
              <w:bottom w:val="single" w:sz="4" w:space="0" w:color="auto"/>
              <w:right w:val="single" w:sz="4" w:space="0" w:color="auto"/>
            </w:tcBorders>
            <w:shd w:val="clear" w:color="000000" w:fill="FDE9D9"/>
            <w:noWrap/>
            <w:vAlign w:val="bottom"/>
            <w:hideMark/>
          </w:tcPr>
          <w:p w14:paraId="59961C8C"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49.6%</w:t>
            </w:r>
          </w:p>
        </w:tc>
        <w:tc>
          <w:tcPr>
            <w:tcW w:w="370" w:type="pct"/>
            <w:tcBorders>
              <w:top w:val="nil"/>
              <w:left w:val="nil"/>
              <w:bottom w:val="single" w:sz="4" w:space="0" w:color="auto"/>
              <w:right w:val="single" w:sz="4" w:space="0" w:color="auto"/>
            </w:tcBorders>
            <w:shd w:val="clear" w:color="000000" w:fill="FDE9D9"/>
            <w:noWrap/>
            <w:vAlign w:val="bottom"/>
            <w:hideMark/>
          </w:tcPr>
          <w:p w14:paraId="6ED2117B"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50.0%</w:t>
            </w:r>
          </w:p>
        </w:tc>
        <w:tc>
          <w:tcPr>
            <w:tcW w:w="370" w:type="pct"/>
            <w:tcBorders>
              <w:top w:val="nil"/>
              <w:left w:val="nil"/>
              <w:bottom w:val="single" w:sz="4" w:space="0" w:color="auto"/>
              <w:right w:val="single" w:sz="4" w:space="0" w:color="auto"/>
            </w:tcBorders>
            <w:shd w:val="clear" w:color="000000" w:fill="FDE9D9"/>
            <w:noWrap/>
            <w:vAlign w:val="bottom"/>
            <w:hideMark/>
          </w:tcPr>
          <w:p w14:paraId="0BF587BC"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49.7%</w:t>
            </w:r>
          </w:p>
        </w:tc>
        <w:tc>
          <w:tcPr>
            <w:tcW w:w="370" w:type="pct"/>
            <w:tcBorders>
              <w:top w:val="nil"/>
              <w:left w:val="nil"/>
              <w:bottom w:val="single" w:sz="4" w:space="0" w:color="auto"/>
              <w:right w:val="single" w:sz="4" w:space="0" w:color="auto"/>
            </w:tcBorders>
            <w:shd w:val="clear" w:color="000000" w:fill="FDE9D9"/>
            <w:noWrap/>
            <w:vAlign w:val="bottom"/>
            <w:hideMark/>
          </w:tcPr>
          <w:p w14:paraId="6564E7EC"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43.4%</w:t>
            </w:r>
          </w:p>
        </w:tc>
        <w:tc>
          <w:tcPr>
            <w:tcW w:w="370" w:type="pct"/>
            <w:tcBorders>
              <w:top w:val="nil"/>
              <w:left w:val="nil"/>
              <w:bottom w:val="single" w:sz="4" w:space="0" w:color="auto"/>
              <w:right w:val="single" w:sz="4" w:space="0" w:color="auto"/>
            </w:tcBorders>
            <w:shd w:val="clear" w:color="000000" w:fill="FDE9D9"/>
            <w:noWrap/>
            <w:vAlign w:val="bottom"/>
            <w:hideMark/>
          </w:tcPr>
          <w:p w14:paraId="6B224483"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90.4%</w:t>
            </w:r>
          </w:p>
        </w:tc>
        <w:tc>
          <w:tcPr>
            <w:tcW w:w="421" w:type="pct"/>
            <w:tcBorders>
              <w:top w:val="nil"/>
              <w:left w:val="nil"/>
              <w:bottom w:val="single" w:sz="4" w:space="0" w:color="auto"/>
              <w:right w:val="single" w:sz="4" w:space="0" w:color="auto"/>
            </w:tcBorders>
            <w:shd w:val="clear" w:color="000000" w:fill="FDE9D9"/>
            <w:noWrap/>
            <w:vAlign w:val="bottom"/>
            <w:hideMark/>
          </w:tcPr>
          <w:p w14:paraId="1CAB587E"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83.3%</w:t>
            </w:r>
          </w:p>
        </w:tc>
        <w:tc>
          <w:tcPr>
            <w:tcW w:w="370" w:type="pct"/>
            <w:tcBorders>
              <w:top w:val="nil"/>
              <w:left w:val="nil"/>
              <w:bottom w:val="single" w:sz="4" w:space="0" w:color="auto"/>
              <w:right w:val="single" w:sz="4" w:space="0" w:color="auto"/>
            </w:tcBorders>
            <w:shd w:val="clear" w:color="000000" w:fill="FDE9D9"/>
            <w:noWrap/>
            <w:vAlign w:val="bottom"/>
            <w:hideMark/>
          </w:tcPr>
          <w:p w14:paraId="746E99D6"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82.4%</w:t>
            </w:r>
          </w:p>
        </w:tc>
        <w:tc>
          <w:tcPr>
            <w:tcW w:w="370" w:type="pct"/>
            <w:tcBorders>
              <w:top w:val="nil"/>
              <w:left w:val="nil"/>
              <w:bottom w:val="single" w:sz="4" w:space="0" w:color="auto"/>
              <w:right w:val="single" w:sz="8" w:space="0" w:color="auto"/>
            </w:tcBorders>
            <w:shd w:val="clear" w:color="000000" w:fill="FDE9D9"/>
            <w:noWrap/>
            <w:vAlign w:val="bottom"/>
            <w:hideMark/>
          </w:tcPr>
          <w:p w14:paraId="52108C32"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83.7%</w:t>
            </w:r>
          </w:p>
        </w:tc>
      </w:tr>
      <w:tr w:rsidR="009A356E" w:rsidRPr="00F72CFE" w14:paraId="135ABCDF" w14:textId="77777777" w:rsidTr="009A356E">
        <w:trPr>
          <w:trHeight w:val="240"/>
        </w:trPr>
        <w:tc>
          <w:tcPr>
            <w:tcW w:w="1292" w:type="pct"/>
            <w:tcBorders>
              <w:top w:val="nil"/>
              <w:left w:val="single" w:sz="4" w:space="0" w:color="auto"/>
              <w:bottom w:val="single" w:sz="4" w:space="0" w:color="auto"/>
              <w:right w:val="single" w:sz="4" w:space="0" w:color="auto"/>
            </w:tcBorders>
            <w:shd w:val="clear" w:color="auto" w:fill="auto"/>
            <w:noWrap/>
            <w:vAlign w:val="bottom"/>
            <w:hideMark/>
          </w:tcPr>
          <w:p w14:paraId="10849FEB" w14:textId="77777777" w:rsidR="009A356E" w:rsidRPr="00F72CFE" w:rsidRDefault="009A356E" w:rsidP="009A356E">
            <w:pPr>
              <w:rPr>
                <w:rFonts w:ascii="Calibri" w:hAnsi="Calibri"/>
                <w:sz w:val="18"/>
                <w:szCs w:val="18"/>
                <w:lang w:eastAsia="en-AU"/>
              </w:rPr>
            </w:pPr>
            <w:r w:rsidRPr="00F72CFE">
              <w:rPr>
                <w:rFonts w:ascii="Calibri" w:hAnsi="Calibri"/>
                <w:sz w:val="18"/>
                <w:szCs w:val="18"/>
                <w:lang w:eastAsia="en-AU"/>
              </w:rPr>
              <w:t>MACEDON RANGES (S)</w:t>
            </w:r>
          </w:p>
        </w:tc>
        <w:tc>
          <w:tcPr>
            <w:tcW w:w="699" w:type="pct"/>
            <w:tcBorders>
              <w:top w:val="nil"/>
              <w:left w:val="nil"/>
              <w:bottom w:val="single" w:sz="4" w:space="0" w:color="auto"/>
              <w:right w:val="nil"/>
            </w:tcBorders>
            <w:shd w:val="clear" w:color="000000" w:fill="DAEEF3"/>
            <w:noWrap/>
            <w:vAlign w:val="bottom"/>
            <w:hideMark/>
          </w:tcPr>
          <w:p w14:paraId="4AF7B5F0" w14:textId="77777777" w:rsidR="009A356E" w:rsidRPr="00F72CFE" w:rsidRDefault="009A356E" w:rsidP="009A356E">
            <w:pPr>
              <w:jc w:val="center"/>
              <w:rPr>
                <w:rFonts w:ascii="Calibri" w:hAnsi="Calibri"/>
                <w:color w:val="000000"/>
                <w:sz w:val="18"/>
                <w:szCs w:val="18"/>
                <w:lang w:eastAsia="en-AU"/>
              </w:rPr>
            </w:pPr>
            <w:r w:rsidRPr="00F72CFE">
              <w:rPr>
                <w:rFonts w:ascii="Calibri" w:hAnsi="Calibri"/>
                <w:color w:val="000000"/>
                <w:sz w:val="18"/>
                <w:szCs w:val="18"/>
                <w:lang w:eastAsia="en-AU"/>
              </w:rPr>
              <w:t>8.7%</w:t>
            </w:r>
          </w:p>
        </w:tc>
        <w:tc>
          <w:tcPr>
            <w:tcW w:w="370" w:type="pct"/>
            <w:tcBorders>
              <w:top w:val="nil"/>
              <w:left w:val="single" w:sz="8" w:space="0" w:color="auto"/>
              <w:bottom w:val="single" w:sz="4" w:space="0" w:color="auto"/>
              <w:right w:val="single" w:sz="4" w:space="0" w:color="auto"/>
            </w:tcBorders>
            <w:shd w:val="clear" w:color="000000" w:fill="FDE9D9"/>
            <w:noWrap/>
            <w:vAlign w:val="bottom"/>
            <w:hideMark/>
          </w:tcPr>
          <w:p w14:paraId="1C0BA18A"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15.4%</w:t>
            </w:r>
          </w:p>
        </w:tc>
        <w:tc>
          <w:tcPr>
            <w:tcW w:w="370" w:type="pct"/>
            <w:tcBorders>
              <w:top w:val="nil"/>
              <w:left w:val="nil"/>
              <w:bottom w:val="single" w:sz="4" w:space="0" w:color="auto"/>
              <w:right w:val="single" w:sz="4" w:space="0" w:color="auto"/>
            </w:tcBorders>
            <w:shd w:val="clear" w:color="000000" w:fill="FDE9D9"/>
            <w:noWrap/>
            <w:vAlign w:val="bottom"/>
            <w:hideMark/>
          </w:tcPr>
          <w:p w14:paraId="0540ED73"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15.2%</w:t>
            </w:r>
          </w:p>
        </w:tc>
        <w:tc>
          <w:tcPr>
            <w:tcW w:w="370" w:type="pct"/>
            <w:tcBorders>
              <w:top w:val="nil"/>
              <w:left w:val="nil"/>
              <w:bottom w:val="single" w:sz="4" w:space="0" w:color="auto"/>
              <w:right w:val="single" w:sz="4" w:space="0" w:color="auto"/>
            </w:tcBorders>
            <w:shd w:val="clear" w:color="000000" w:fill="FDE9D9"/>
            <w:noWrap/>
            <w:vAlign w:val="bottom"/>
            <w:hideMark/>
          </w:tcPr>
          <w:p w14:paraId="26E1FEBD"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16.1%</w:t>
            </w:r>
          </w:p>
        </w:tc>
        <w:tc>
          <w:tcPr>
            <w:tcW w:w="370" w:type="pct"/>
            <w:tcBorders>
              <w:top w:val="nil"/>
              <w:left w:val="nil"/>
              <w:bottom w:val="single" w:sz="4" w:space="0" w:color="auto"/>
              <w:right w:val="single" w:sz="4" w:space="0" w:color="auto"/>
            </w:tcBorders>
            <w:shd w:val="clear" w:color="000000" w:fill="FDE9D9"/>
            <w:noWrap/>
            <w:vAlign w:val="bottom"/>
            <w:hideMark/>
          </w:tcPr>
          <w:p w14:paraId="46F667B6"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16.8%</w:t>
            </w:r>
          </w:p>
        </w:tc>
        <w:tc>
          <w:tcPr>
            <w:tcW w:w="370" w:type="pct"/>
            <w:tcBorders>
              <w:top w:val="nil"/>
              <w:left w:val="nil"/>
              <w:bottom w:val="single" w:sz="4" w:space="0" w:color="auto"/>
              <w:right w:val="single" w:sz="4" w:space="0" w:color="auto"/>
            </w:tcBorders>
            <w:shd w:val="clear" w:color="000000" w:fill="FDE9D9"/>
            <w:noWrap/>
            <w:vAlign w:val="bottom"/>
            <w:hideMark/>
          </w:tcPr>
          <w:p w14:paraId="75F57CCB"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18.2%</w:t>
            </w:r>
          </w:p>
        </w:tc>
        <w:tc>
          <w:tcPr>
            <w:tcW w:w="421" w:type="pct"/>
            <w:tcBorders>
              <w:top w:val="nil"/>
              <w:left w:val="nil"/>
              <w:bottom w:val="single" w:sz="4" w:space="0" w:color="auto"/>
              <w:right w:val="single" w:sz="4" w:space="0" w:color="auto"/>
            </w:tcBorders>
            <w:shd w:val="clear" w:color="000000" w:fill="FDE9D9"/>
            <w:noWrap/>
            <w:vAlign w:val="bottom"/>
            <w:hideMark/>
          </w:tcPr>
          <w:p w14:paraId="65C1631E"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20.9%</w:t>
            </w:r>
          </w:p>
        </w:tc>
        <w:tc>
          <w:tcPr>
            <w:tcW w:w="370" w:type="pct"/>
            <w:tcBorders>
              <w:top w:val="nil"/>
              <w:left w:val="nil"/>
              <w:bottom w:val="single" w:sz="4" w:space="0" w:color="auto"/>
              <w:right w:val="single" w:sz="4" w:space="0" w:color="auto"/>
            </w:tcBorders>
            <w:shd w:val="clear" w:color="000000" w:fill="FDE9D9"/>
            <w:noWrap/>
            <w:vAlign w:val="bottom"/>
            <w:hideMark/>
          </w:tcPr>
          <w:p w14:paraId="47045AFA"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21.5%</w:t>
            </w:r>
          </w:p>
        </w:tc>
        <w:tc>
          <w:tcPr>
            <w:tcW w:w="370" w:type="pct"/>
            <w:tcBorders>
              <w:top w:val="nil"/>
              <w:left w:val="nil"/>
              <w:bottom w:val="single" w:sz="4" w:space="0" w:color="auto"/>
              <w:right w:val="single" w:sz="8" w:space="0" w:color="auto"/>
            </w:tcBorders>
            <w:shd w:val="clear" w:color="000000" w:fill="FDE9D9"/>
            <w:noWrap/>
            <w:vAlign w:val="bottom"/>
            <w:hideMark/>
          </w:tcPr>
          <w:p w14:paraId="0D2303F0"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23.8%</w:t>
            </w:r>
          </w:p>
        </w:tc>
      </w:tr>
      <w:tr w:rsidR="009A356E" w:rsidRPr="00F72CFE" w14:paraId="08AD88EE" w14:textId="77777777" w:rsidTr="009A356E">
        <w:trPr>
          <w:trHeight w:val="240"/>
        </w:trPr>
        <w:tc>
          <w:tcPr>
            <w:tcW w:w="1292" w:type="pct"/>
            <w:tcBorders>
              <w:top w:val="nil"/>
              <w:left w:val="single" w:sz="4" w:space="0" w:color="auto"/>
              <w:bottom w:val="single" w:sz="4" w:space="0" w:color="auto"/>
              <w:right w:val="single" w:sz="4" w:space="0" w:color="auto"/>
            </w:tcBorders>
            <w:shd w:val="clear" w:color="auto" w:fill="auto"/>
            <w:noWrap/>
            <w:vAlign w:val="bottom"/>
            <w:hideMark/>
          </w:tcPr>
          <w:p w14:paraId="1B0C70B6" w14:textId="77777777" w:rsidR="009A356E" w:rsidRPr="00F72CFE" w:rsidRDefault="009A356E" w:rsidP="009A356E">
            <w:pPr>
              <w:rPr>
                <w:rFonts w:ascii="Calibri" w:hAnsi="Calibri"/>
                <w:sz w:val="18"/>
                <w:szCs w:val="18"/>
                <w:lang w:eastAsia="en-AU"/>
              </w:rPr>
            </w:pPr>
            <w:r w:rsidRPr="00F72CFE">
              <w:rPr>
                <w:rFonts w:ascii="Calibri" w:hAnsi="Calibri"/>
                <w:sz w:val="18"/>
                <w:szCs w:val="18"/>
                <w:lang w:eastAsia="en-AU"/>
              </w:rPr>
              <w:t>MANSFIELD (S)</w:t>
            </w:r>
          </w:p>
        </w:tc>
        <w:tc>
          <w:tcPr>
            <w:tcW w:w="699" w:type="pct"/>
            <w:tcBorders>
              <w:top w:val="nil"/>
              <w:left w:val="nil"/>
              <w:bottom w:val="single" w:sz="4" w:space="0" w:color="auto"/>
              <w:right w:val="nil"/>
            </w:tcBorders>
            <w:shd w:val="clear" w:color="000000" w:fill="DAEEF3"/>
            <w:noWrap/>
            <w:vAlign w:val="bottom"/>
            <w:hideMark/>
          </w:tcPr>
          <w:p w14:paraId="474CA459" w14:textId="77777777" w:rsidR="009A356E" w:rsidRPr="00F72CFE" w:rsidRDefault="009A356E" w:rsidP="009A356E">
            <w:pPr>
              <w:jc w:val="center"/>
              <w:rPr>
                <w:rFonts w:ascii="Calibri" w:hAnsi="Calibri"/>
                <w:color w:val="000000"/>
                <w:sz w:val="18"/>
                <w:szCs w:val="18"/>
                <w:lang w:eastAsia="en-AU"/>
              </w:rPr>
            </w:pPr>
            <w:r w:rsidRPr="00F72CFE">
              <w:rPr>
                <w:rFonts w:ascii="Calibri" w:hAnsi="Calibri"/>
                <w:color w:val="000000"/>
                <w:sz w:val="18"/>
                <w:szCs w:val="18"/>
                <w:lang w:eastAsia="en-AU"/>
              </w:rPr>
              <w:t>0.1%</w:t>
            </w:r>
          </w:p>
        </w:tc>
        <w:tc>
          <w:tcPr>
            <w:tcW w:w="370" w:type="pct"/>
            <w:tcBorders>
              <w:top w:val="nil"/>
              <w:left w:val="single" w:sz="8" w:space="0" w:color="auto"/>
              <w:bottom w:val="single" w:sz="4" w:space="0" w:color="auto"/>
              <w:right w:val="single" w:sz="4" w:space="0" w:color="auto"/>
            </w:tcBorders>
            <w:shd w:val="clear" w:color="000000" w:fill="FDE9D9"/>
            <w:noWrap/>
            <w:vAlign w:val="bottom"/>
            <w:hideMark/>
          </w:tcPr>
          <w:p w14:paraId="6249C6F1"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14.9%</w:t>
            </w:r>
          </w:p>
        </w:tc>
        <w:tc>
          <w:tcPr>
            <w:tcW w:w="370" w:type="pct"/>
            <w:tcBorders>
              <w:top w:val="nil"/>
              <w:left w:val="nil"/>
              <w:bottom w:val="single" w:sz="4" w:space="0" w:color="auto"/>
              <w:right w:val="single" w:sz="4" w:space="0" w:color="auto"/>
            </w:tcBorders>
            <w:shd w:val="clear" w:color="000000" w:fill="FDE9D9"/>
            <w:noWrap/>
            <w:vAlign w:val="bottom"/>
            <w:hideMark/>
          </w:tcPr>
          <w:p w14:paraId="4361F8DF"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13.9%</w:t>
            </w:r>
          </w:p>
        </w:tc>
        <w:tc>
          <w:tcPr>
            <w:tcW w:w="370" w:type="pct"/>
            <w:tcBorders>
              <w:top w:val="nil"/>
              <w:left w:val="nil"/>
              <w:bottom w:val="single" w:sz="4" w:space="0" w:color="auto"/>
              <w:right w:val="single" w:sz="4" w:space="0" w:color="auto"/>
            </w:tcBorders>
            <w:shd w:val="clear" w:color="000000" w:fill="FDE9D9"/>
            <w:noWrap/>
            <w:vAlign w:val="bottom"/>
            <w:hideMark/>
          </w:tcPr>
          <w:p w14:paraId="20955D61"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12.2%</w:t>
            </w:r>
          </w:p>
        </w:tc>
        <w:tc>
          <w:tcPr>
            <w:tcW w:w="370" w:type="pct"/>
            <w:tcBorders>
              <w:top w:val="nil"/>
              <w:left w:val="nil"/>
              <w:bottom w:val="single" w:sz="4" w:space="0" w:color="auto"/>
              <w:right w:val="single" w:sz="4" w:space="0" w:color="auto"/>
            </w:tcBorders>
            <w:shd w:val="clear" w:color="000000" w:fill="FDE9D9"/>
            <w:noWrap/>
            <w:vAlign w:val="bottom"/>
            <w:hideMark/>
          </w:tcPr>
          <w:p w14:paraId="1D2C07F7"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11.0%</w:t>
            </w:r>
          </w:p>
        </w:tc>
        <w:tc>
          <w:tcPr>
            <w:tcW w:w="370" w:type="pct"/>
            <w:tcBorders>
              <w:top w:val="nil"/>
              <w:left w:val="nil"/>
              <w:bottom w:val="single" w:sz="4" w:space="0" w:color="auto"/>
              <w:right w:val="single" w:sz="4" w:space="0" w:color="auto"/>
            </w:tcBorders>
            <w:shd w:val="clear" w:color="000000" w:fill="FDE9D9"/>
            <w:noWrap/>
            <w:vAlign w:val="bottom"/>
            <w:hideMark/>
          </w:tcPr>
          <w:p w14:paraId="3D3A4B46"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9.9%</w:t>
            </w:r>
          </w:p>
        </w:tc>
        <w:tc>
          <w:tcPr>
            <w:tcW w:w="421" w:type="pct"/>
            <w:tcBorders>
              <w:top w:val="nil"/>
              <w:left w:val="nil"/>
              <w:bottom w:val="single" w:sz="4" w:space="0" w:color="auto"/>
              <w:right w:val="single" w:sz="4" w:space="0" w:color="auto"/>
            </w:tcBorders>
            <w:shd w:val="clear" w:color="000000" w:fill="FDE9D9"/>
            <w:noWrap/>
            <w:vAlign w:val="bottom"/>
            <w:hideMark/>
          </w:tcPr>
          <w:p w14:paraId="00668D48"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12.3%</w:t>
            </w:r>
          </w:p>
        </w:tc>
        <w:tc>
          <w:tcPr>
            <w:tcW w:w="370" w:type="pct"/>
            <w:tcBorders>
              <w:top w:val="nil"/>
              <w:left w:val="nil"/>
              <w:bottom w:val="single" w:sz="4" w:space="0" w:color="auto"/>
              <w:right w:val="single" w:sz="4" w:space="0" w:color="auto"/>
            </w:tcBorders>
            <w:shd w:val="clear" w:color="000000" w:fill="FDE9D9"/>
            <w:noWrap/>
            <w:vAlign w:val="bottom"/>
            <w:hideMark/>
          </w:tcPr>
          <w:p w14:paraId="7946B641"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19.8%</w:t>
            </w:r>
          </w:p>
        </w:tc>
        <w:tc>
          <w:tcPr>
            <w:tcW w:w="370" w:type="pct"/>
            <w:tcBorders>
              <w:top w:val="nil"/>
              <w:left w:val="nil"/>
              <w:bottom w:val="single" w:sz="4" w:space="0" w:color="auto"/>
              <w:right w:val="single" w:sz="8" w:space="0" w:color="auto"/>
            </w:tcBorders>
            <w:shd w:val="clear" w:color="000000" w:fill="FDE9D9"/>
            <w:noWrap/>
            <w:vAlign w:val="bottom"/>
            <w:hideMark/>
          </w:tcPr>
          <w:p w14:paraId="28CAD72C"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19.6%</w:t>
            </w:r>
          </w:p>
        </w:tc>
      </w:tr>
      <w:tr w:rsidR="009A356E" w:rsidRPr="00F72CFE" w14:paraId="6F8BF9B7" w14:textId="77777777" w:rsidTr="009A356E">
        <w:trPr>
          <w:trHeight w:val="240"/>
        </w:trPr>
        <w:tc>
          <w:tcPr>
            <w:tcW w:w="1292" w:type="pct"/>
            <w:tcBorders>
              <w:top w:val="nil"/>
              <w:left w:val="single" w:sz="4" w:space="0" w:color="auto"/>
              <w:bottom w:val="single" w:sz="4" w:space="0" w:color="auto"/>
              <w:right w:val="single" w:sz="4" w:space="0" w:color="auto"/>
            </w:tcBorders>
            <w:shd w:val="clear" w:color="auto" w:fill="auto"/>
            <w:noWrap/>
            <w:vAlign w:val="bottom"/>
            <w:hideMark/>
          </w:tcPr>
          <w:p w14:paraId="046AD30E" w14:textId="77777777" w:rsidR="009A356E" w:rsidRPr="00F72CFE" w:rsidRDefault="009A356E" w:rsidP="009A356E">
            <w:pPr>
              <w:rPr>
                <w:rFonts w:ascii="Calibri" w:hAnsi="Calibri"/>
                <w:sz w:val="18"/>
                <w:szCs w:val="18"/>
                <w:lang w:eastAsia="en-AU"/>
              </w:rPr>
            </w:pPr>
            <w:r w:rsidRPr="00F72CFE">
              <w:rPr>
                <w:rFonts w:ascii="Calibri" w:hAnsi="Calibri"/>
                <w:sz w:val="18"/>
                <w:szCs w:val="18"/>
                <w:lang w:eastAsia="en-AU"/>
              </w:rPr>
              <w:lastRenderedPageBreak/>
              <w:t>MILDURA (RC)</w:t>
            </w:r>
          </w:p>
        </w:tc>
        <w:tc>
          <w:tcPr>
            <w:tcW w:w="699" w:type="pct"/>
            <w:tcBorders>
              <w:top w:val="nil"/>
              <w:left w:val="nil"/>
              <w:bottom w:val="single" w:sz="4" w:space="0" w:color="auto"/>
              <w:right w:val="nil"/>
            </w:tcBorders>
            <w:shd w:val="clear" w:color="000000" w:fill="DAEEF3"/>
            <w:noWrap/>
            <w:vAlign w:val="bottom"/>
            <w:hideMark/>
          </w:tcPr>
          <w:p w14:paraId="112F633B" w14:textId="77777777" w:rsidR="009A356E" w:rsidRPr="00F72CFE" w:rsidRDefault="009A356E" w:rsidP="009A356E">
            <w:pPr>
              <w:jc w:val="center"/>
              <w:rPr>
                <w:rFonts w:ascii="Calibri" w:hAnsi="Calibri"/>
                <w:color w:val="000000"/>
                <w:sz w:val="18"/>
                <w:szCs w:val="18"/>
                <w:lang w:eastAsia="en-AU"/>
              </w:rPr>
            </w:pPr>
            <w:r w:rsidRPr="00F72CFE">
              <w:rPr>
                <w:rFonts w:ascii="Calibri" w:hAnsi="Calibri"/>
                <w:color w:val="000000"/>
                <w:sz w:val="18"/>
                <w:szCs w:val="18"/>
                <w:lang w:eastAsia="en-AU"/>
              </w:rPr>
              <w:t>3.1%</w:t>
            </w:r>
          </w:p>
        </w:tc>
        <w:tc>
          <w:tcPr>
            <w:tcW w:w="370" w:type="pct"/>
            <w:tcBorders>
              <w:top w:val="nil"/>
              <w:left w:val="single" w:sz="8" w:space="0" w:color="auto"/>
              <w:bottom w:val="single" w:sz="4" w:space="0" w:color="auto"/>
              <w:right w:val="single" w:sz="4" w:space="0" w:color="auto"/>
            </w:tcBorders>
            <w:shd w:val="clear" w:color="000000" w:fill="FDE9D9"/>
            <w:noWrap/>
            <w:vAlign w:val="bottom"/>
            <w:hideMark/>
          </w:tcPr>
          <w:p w14:paraId="61FE892D"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22.3%</w:t>
            </w:r>
          </w:p>
        </w:tc>
        <w:tc>
          <w:tcPr>
            <w:tcW w:w="370" w:type="pct"/>
            <w:tcBorders>
              <w:top w:val="nil"/>
              <w:left w:val="nil"/>
              <w:bottom w:val="single" w:sz="4" w:space="0" w:color="auto"/>
              <w:right w:val="single" w:sz="4" w:space="0" w:color="auto"/>
            </w:tcBorders>
            <w:shd w:val="clear" w:color="000000" w:fill="FDE9D9"/>
            <w:noWrap/>
            <w:vAlign w:val="bottom"/>
            <w:hideMark/>
          </w:tcPr>
          <w:p w14:paraId="7CE16CC5"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21.7%</w:t>
            </w:r>
          </w:p>
        </w:tc>
        <w:tc>
          <w:tcPr>
            <w:tcW w:w="370" w:type="pct"/>
            <w:tcBorders>
              <w:top w:val="nil"/>
              <w:left w:val="nil"/>
              <w:bottom w:val="single" w:sz="4" w:space="0" w:color="auto"/>
              <w:right w:val="single" w:sz="4" w:space="0" w:color="auto"/>
            </w:tcBorders>
            <w:shd w:val="clear" w:color="000000" w:fill="FDE9D9"/>
            <w:noWrap/>
            <w:vAlign w:val="bottom"/>
            <w:hideMark/>
          </w:tcPr>
          <w:p w14:paraId="6F16B135"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24.1%</w:t>
            </w:r>
          </w:p>
        </w:tc>
        <w:tc>
          <w:tcPr>
            <w:tcW w:w="370" w:type="pct"/>
            <w:tcBorders>
              <w:top w:val="nil"/>
              <w:left w:val="nil"/>
              <w:bottom w:val="single" w:sz="4" w:space="0" w:color="auto"/>
              <w:right w:val="single" w:sz="4" w:space="0" w:color="auto"/>
            </w:tcBorders>
            <w:shd w:val="clear" w:color="000000" w:fill="FDE9D9"/>
            <w:noWrap/>
            <w:vAlign w:val="bottom"/>
            <w:hideMark/>
          </w:tcPr>
          <w:p w14:paraId="549930D1"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24.2%</w:t>
            </w:r>
          </w:p>
        </w:tc>
        <w:tc>
          <w:tcPr>
            <w:tcW w:w="370" w:type="pct"/>
            <w:tcBorders>
              <w:top w:val="nil"/>
              <w:left w:val="nil"/>
              <w:bottom w:val="single" w:sz="4" w:space="0" w:color="auto"/>
              <w:right w:val="single" w:sz="4" w:space="0" w:color="auto"/>
            </w:tcBorders>
            <w:shd w:val="clear" w:color="000000" w:fill="FDE9D9"/>
            <w:noWrap/>
            <w:vAlign w:val="bottom"/>
            <w:hideMark/>
          </w:tcPr>
          <w:p w14:paraId="13F2B7CA"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27.1%</w:t>
            </w:r>
          </w:p>
        </w:tc>
        <w:tc>
          <w:tcPr>
            <w:tcW w:w="421" w:type="pct"/>
            <w:tcBorders>
              <w:top w:val="nil"/>
              <w:left w:val="nil"/>
              <w:bottom w:val="single" w:sz="4" w:space="0" w:color="auto"/>
              <w:right w:val="single" w:sz="4" w:space="0" w:color="auto"/>
            </w:tcBorders>
            <w:shd w:val="clear" w:color="000000" w:fill="FDE9D9"/>
            <w:noWrap/>
            <w:vAlign w:val="bottom"/>
            <w:hideMark/>
          </w:tcPr>
          <w:p w14:paraId="61818F81"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31.1%</w:t>
            </w:r>
          </w:p>
        </w:tc>
        <w:tc>
          <w:tcPr>
            <w:tcW w:w="370" w:type="pct"/>
            <w:tcBorders>
              <w:top w:val="nil"/>
              <w:left w:val="nil"/>
              <w:bottom w:val="single" w:sz="4" w:space="0" w:color="auto"/>
              <w:right w:val="single" w:sz="4" w:space="0" w:color="auto"/>
            </w:tcBorders>
            <w:shd w:val="clear" w:color="000000" w:fill="FDE9D9"/>
            <w:noWrap/>
            <w:vAlign w:val="bottom"/>
            <w:hideMark/>
          </w:tcPr>
          <w:p w14:paraId="426B40DF"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29.5%</w:t>
            </w:r>
          </w:p>
        </w:tc>
        <w:tc>
          <w:tcPr>
            <w:tcW w:w="370" w:type="pct"/>
            <w:tcBorders>
              <w:top w:val="nil"/>
              <w:left w:val="nil"/>
              <w:bottom w:val="single" w:sz="4" w:space="0" w:color="auto"/>
              <w:right w:val="single" w:sz="8" w:space="0" w:color="auto"/>
            </w:tcBorders>
            <w:shd w:val="clear" w:color="000000" w:fill="FDE9D9"/>
            <w:noWrap/>
            <w:vAlign w:val="bottom"/>
            <w:hideMark/>
          </w:tcPr>
          <w:p w14:paraId="27A49244"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28.3%</w:t>
            </w:r>
          </w:p>
        </w:tc>
      </w:tr>
      <w:tr w:rsidR="009A356E" w:rsidRPr="00F72CFE" w14:paraId="0FC434DD" w14:textId="77777777" w:rsidTr="009A356E">
        <w:trPr>
          <w:trHeight w:val="240"/>
        </w:trPr>
        <w:tc>
          <w:tcPr>
            <w:tcW w:w="1292" w:type="pct"/>
            <w:tcBorders>
              <w:top w:val="nil"/>
              <w:left w:val="single" w:sz="4" w:space="0" w:color="auto"/>
              <w:bottom w:val="single" w:sz="4" w:space="0" w:color="auto"/>
              <w:right w:val="single" w:sz="4" w:space="0" w:color="auto"/>
            </w:tcBorders>
            <w:shd w:val="clear" w:color="auto" w:fill="auto"/>
            <w:noWrap/>
            <w:vAlign w:val="bottom"/>
            <w:hideMark/>
          </w:tcPr>
          <w:p w14:paraId="67F7D877" w14:textId="77777777" w:rsidR="009A356E" w:rsidRPr="00F72CFE" w:rsidRDefault="009A356E" w:rsidP="009A356E">
            <w:pPr>
              <w:rPr>
                <w:rFonts w:ascii="Calibri" w:hAnsi="Calibri"/>
                <w:sz w:val="18"/>
                <w:szCs w:val="18"/>
                <w:lang w:eastAsia="en-AU"/>
              </w:rPr>
            </w:pPr>
            <w:r w:rsidRPr="00F72CFE">
              <w:rPr>
                <w:rFonts w:ascii="Calibri" w:hAnsi="Calibri"/>
                <w:sz w:val="18"/>
                <w:szCs w:val="18"/>
                <w:lang w:eastAsia="en-AU"/>
              </w:rPr>
              <w:t>MITCHELL (S)</w:t>
            </w:r>
          </w:p>
        </w:tc>
        <w:tc>
          <w:tcPr>
            <w:tcW w:w="699" w:type="pct"/>
            <w:tcBorders>
              <w:top w:val="nil"/>
              <w:left w:val="nil"/>
              <w:bottom w:val="single" w:sz="4" w:space="0" w:color="auto"/>
              <w:right w:val="nil"/>
            </w:tcBorders>
            <w:shd w:val="clear" w:color="000000" w:fill="DAEEF3"/>
            <w:noWrap/>
            <w:vAlign w:val="bottom"/>
            <w:hideMark/>
          </w:tcPr>
          <w:p w14:paraId="2A383828" w14:textId="77777777" w:rsidR="009A356E" w:rsidRPr="00F72CFE" w:rsidRDefault="009A356E" w:rsidP="009A356E">
            <w:pPr>
              <w:jc w:val="center"/>
              <w:rPr>
                <w:rFonts w:ascii="Calibri" w:hAnsi="Calibri"/>
                <w:color w:val="000000"/>
                <w:sz w:val="18"/>
                <w:szCs w:val="18"/>
                <w:lang w:eastAsia="en-AU"/>
              </w:rPr>
            </w:pPr>
            <w:r w:rsidRPr="00F72CFE">
              <w:rPr>
                <w:rFonts w:ascii="Calibri" w:hAnsi="Calibri"/>
                <w:color w:val="000000"/>
                <w:sz w:val="18"/>
                <w:szCs w:val="18"/>
                <w:lang w:eastAsia="en-AU"/>
              </w:rPr>
              <w:t>7.9%</w:t>
            </w:r>
          </w:p>
        </w:tc>
        <w:tc>
          <w:tcPr>
            <w:tcW w:w="370" w:type="pct"/>
            <w:tcBorders>
              <w:top w:val="nil"/>
              <w:left w:val="single" w:sz="8" w:space="0" w:color="auto"/>
              <w:bottom w:val="single" w:sz="4" w:space="0" w:color="auto"/>
              <w:right w:val="single" w:sz="4" w:space="0" w:color="auto"/>
            </w:tcBorders>
            <w:shd w:val="clear" w:color="000000" w:fill="FDE9D9"/>
            <w:noWrap/>
            <w:vAlign w:val="bottom"/>
            <w:hideMark/>
          </w:tcPr>
          <w:p w14:paraId="49CF11B9"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21.8%</w:t>
            </w:r>
          </w:p>
        </w:tc>
        <w:tc>
          <w:tcPr>
            <w:tcW w:w="370" w:type="pct"/>
            <w:tcBorders>
              <w:top w:val="nil"/>
              <w:left w:val="nil"/>
              <w:bottom w:val="single" w:sz="4" w:space="0" w:color="auto"/>
              <w:right w:val="single" w:sz="4" w:space="0" w:color="auto"/>
            </w:tcBorders>
            <w:shd w:val="clear" w:color="000000" w:fill="FDE9D9"/>
            <w:noWrap/>
            <w:vAlign w:val="bottom"/>
            <w:hideMark/>
          </w:tcPr>
          <w:p w14:paraId="27E7D314"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22.3%</w:t>
            </w:r>
          </w:p>
        </w:tc>
        <w:tc>
          <w:tcPr>
            <w:tcW w:w="370" w:type="pct"/>
            <w:tcBorders>
              <w:top w:val="nil"/>
              <w:left w:val="nil"/>
              <w:bottom w:val="single" w:sz="4" w:space="0" w:color="auto"/>
              <w:right w:val="single" w:sz="4" w:space="0" w:color="auto"/>
            </w:tcBorders>
            <w:shd w:val="clear" w:color="000000" w:fill="FDE9D9"/>
            <w:noWrap/>
            <w:vAlign w:val="bottom"/>
            <w:hideMark/>
          </w:tcPr>
          <w:p w14:paraId="03997D30"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21.4%</w:t>
            </w:r>
          </w:p>
        </w:tc>
        <w:tc>
          <w:tcPr>
            <w:tcW w:w="370" w:type="pct"/>
            <w:tcBorders>
              <w:top w:val="nil"/>
              <w:left w:val="nil"/>
              <w:bottom w:val="single" w:sz="4" w:space="0" w:color="auto"/>
              <w:right w:val="single" w:sz="4" w:space="0" w:color="auto"/>
            </w:tcBorders>
            <w:shd w:val="clear" w:color="000000" w:fill="FDE9D9"/>
            <w:noWrap/>
            <w:vAlign w:val="bottom"/>
            <w:hideMark/>
          </w:tcPr>
          <w:p w14:paraId="32644286"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22.7%</w:t>
            </w:r>
          </w:p>
        </w:tc>
        <w:tc>
          <w:tcPr>
            <w:tcW w:w="370" w:type="pct"/>
            <w:tcBorders>
              <w:top w:val="nil"/>
              <w:left w:val="nil"/>
              <w:bottom w:val="single" w:sz="4" w:space="0" w:color="auto"/>
              <w:right w:val="single" w:sz="4" w:space="0" w:color="auto"/>
            </w:tcBorders>
            <w:shd w:val="clear" w:color="000000" w:fill="FDE9D9"/>
            <w:noWrap/>
            <w:vAlign w:val="bottom"/>
            <w:hideMark/>
          </w:tcPr>
          <w:p w14:paraId="4B58EF56"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23.8%</w:t>
            </w:r>
          </w:p>
        </w:tc>
        <w:tc>
          <w:tcPr>
            <w:tcW w:w="421" w:type="pct"/>
            <w:tcBorders>
              <w:top w:val="nil"/>
              <w:left w:val="nil"/>
              <w:bottom w:val="single" w:sz="4" w:space="0" w:color="auto"/>
              <w:right w:val="single" w:sz="4" w:space="0" w:color="auto"/>
            </w:tcBorders>
            <w:shd w:val="clear" w:color="000000" w:fill="FDE9D9"/>
            <w:noWrap/>
            <w:vAlign w:val="bottom"/>
            <w:hideMark/>
          </w:tcPr>
          <w:p w14:paraId="2DE29C39"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23.8%</w:t>
            </w:r>
          </w:p>
        </w:tc>
        <w:tc>
          <w:tcPr>
            <w:tcW w:w="370" w:type="pct"/>
            <w:tcBorders>
              <w:top w:val="nil"/>
              <w:left w:val="nil"/>
              <w:bottom w:val="single" w:sz="4" w:space="0" w:color="auto"/>
              <w:right w:val="single" w:sz="4" w:space="0" w:color="auto"/>
            </w:tcBorders>
            <w:shd w:val="clear" w:color="000000" w:fill="FDE9D9"/>
            <w:noWrap/>
            <w:vAlign w:val="bottom"/>
            <w:hideMark/>
          </w:tcPr>
          <w:p w14:paraId="698FF259"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23.1%</w:t>
            </w:r>
          </w:p>
        </w:tc>
        <w:tc>
          <w:tcPr>
            <w:tcW w:w="370" w:type="pct"/>
            <w:tcBorders>
              <w:top w:val="nil"/>
              <w:left w:val="nil"/>
              <w:bottom w:val="single" w:sz="4" w:space="0" w:color="auto"/>
              <w:right w:val="single" w:sz="8" w:space="0" w:color="auto"/>
            </w:tcBorders>
            <w:shd w:val="clear" w:color="000000" w:fill="FDE9D9"/>
            <w:noWrap/>
            <w:vAlign w:val="bottom"/>
            <w:hideMark/>
          </w:tcPr>
          <w:p w14:paraId="525130A6"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21.7%</w:t>
            </w:r>
          </w:p>
        </w:tc>
      </w:tr>
      <w:tr w:rsidR="009A356E" w:rsidRPr="00F72CFE" w14:paraId="4073EFE8" w14:textId="77777777" w:rsidTr="009A356E">
        <w:trPr>
          <w:trHeight w:val="240"/>
        </w:trPr>
        <w:tc>
          <w:tcPr>
            <w:tcW w:w="1292" w:type="pct"/>
            <w:tcBorders>
              <w:top w:val="nil"/>
              <w:left w:val="single" w:sz="4" w:space="0" w:color="auto"/>
              <w:bottom w:val="single" w:sz="4" w:space="0" w:color="auto"/>
              <w:right w:val="single" w:sz="4" w:space="0" w:color="auto"/>
            </w:tcBorders>
            <w:shd w:val="clear" w:color="auto" w:fill="auto"/>
            <w:noWrap/>
            <w:vAlign w:val="bottom"/>
            <w:hideMark/>
          </w:tcPr>
          <w:p w14:paraId="752CAC9E" w14:textId="77777777" w:rsidR="009A356E" w:rsidRPr="00F72CFE" w:rsidRDefault="009A356E" w:rsidP="009A356E">
            <w:pPr>
              <w:rPr>
                <w:rFonts w:ascii="Calibri" w:hAnsi="Calibri"/>
                <w:sz w:val="18"/>
                <w:szCs w:val="18"/>
                <w:lang w:eastAsia="en-AU"/>
              </w:rPr>
            </w:pPr>
            <w:r w:rsidRPr="00F72CFE">
              <w:rPr>
                <w:rFonts w:ascii="Calibri" w:hAnsi="Calibri"/>
                <w:sz w:val="18"/>
                <w:szCs w:val="18"/>
                <w:lang w:eastAsia="en-AU"/>
              </w:rPr>
              <w:t>MOIRA (S)</w:t>
            </w:r>
          </w:p>
        </w:tc>
        <w:tc>
          <w:tcPr>
            <w:tcW w:w="699" w:type="pct"/>
            <w:tcBorders>
              <w:top w:val="nil"/>
              <w:left w:val="nil"/>
              <w:bottom w:val="single" w:sz="4" w:space="0" w:color="auto"/>
              <w:right w:val="nil"/>
            </w:tcBorders>
            <w:shd w:val="clear" w:color="000000" w:fill="DAEEF3"/>
            <w:noWrap/>
            <w:vAlign w:val="bottom"/>
            <w:hideMark/>
          </w:tcPr>
          <w:p w14:paraId="4DE71B4A" w14:textId="77777777" w:rsidR="009A356E" w:rsidRPr="00F72CFE" w:rsidRDefault="009A356E" w:rsidP="009A356E">
            <w:pPr>
              <w:jc w:val="center"/>
              <w:rPr>
                <w:rFonts w:ascii="Calibri" w:hAnsi="Calibri"/>
                <w:color w:val="000000"/>
                <w:sz w:val="18"/>
                <w:szCs w:val="18"/>
                <w:lang w:eastAsia="en-AU"/>
              </w:rPr>
            </w:pPr>
            <w:r w:rsidRPr="00F72CFE">
              <w:rPr>
                <w:rFonts w:ascii="Calibri" w:hAnsi="Calibri"/>
                <w:color w:val="000000"/>
                <w:sz w:val="18"/>
                <w:szCs w:val="18"/>
                <w:lang w:eastAsia="en-AU"/>
              </w:rPr>
              <w:t>8.4%</w:t>
            </w:r>
          </w:p>
        </w:tc>
        <w:tc>
          <w:tcPr>
            <w:tcW w:w="370" w:type="pct"/>
            <w:tcBorders>
              <w:top w:val="nil"/>
              <w:left w:val="single" w:sz="8" w:space="0" w:color="auto"/>
              <w:bottom w:val="single" w:sz="4" w:space="0" w:color="auto"/>
              <w:right w:val="single" w:sz="4" w:space="0" w:color="auto"/>
            </w:tcBorders>
            <w:shd w:val="clear" w:color="000000" w:fill="FDE9D9"/>
            <w:noWrap/>
            <w:vAlign w:val="bottom"/>
            <w:hideMark/>
          </w:tcPr>
          <w:p w14:paraId="360EC352"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20.2%</w:t>
            </w:r>
          </w:p>
        </w:tc>
        <w:tc>
          <w:tcPr>
            <w:tcW w:w="370" w:type="pct"/>
            <w:tcBorders>
              <w:top w:val="nil"/>
              <w:left w:val="nil"/>
              <w:bottom w:val="single" w:sz="4" w:space="0" w:color="auto"/>
              <w:right w:val="single" w:sz="4" w:space="0" w:color="auto"/>
            </w:tcBorders>
            <w:shd w:val="clear" w:color="000000" w:fill="FDE9D9"/>
            <w:noWrap/>
            <w:vAlign w:val="bottom"/>
            <w:hideMark/>
          </w:tcPr>
          <w:p w14:paraId="6F67E7AB"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19.4%</w:t>
            </w:r>
          </w:p>
        </w:tc>
        <w:tc>
          <w:tcPr>
            <w:tcW w:w="370" w:type="pct"/>
            <w:tcBorders>
              <w:top w:val="nil"/>
              <w:left w:val="nil"/>
              <w:bottom w:val="single" w:sz="4" w:space="0" w:color="auto"/>
              <w:right w:val="single" w:sz="4" w:space="0" w:color="auto"/>
            </w:tcBorders>
            <w:shd w:val="clear" w:color="000000" w:fill="FDE9D9"/>
            <w:noWrap/>
            <w:vAlign w:val="bottom"/>
            <w:hideMark/>
          </w:tcPr>
          <w:p w14:paraId="002F84E2"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19.7%</w:t>
            </w:r>
          </w:p>
        </w:tc>
        <w:tc>
          <w:tcPr>
            <w:tcW w:w="370" w:type="pct"/>
            <w:tcBorders>
              <w:top w:val="nil"/>
              <w:left w:val="nil"/>
              <w:bottom w:val="single" w:sz="4" w:space="0" w:color="auto"/>
              <w:right w:val="single" w:sz="4" w:space="0" w:color="auto"/>
            </w:tcBorders>
            <w:shd w:val="clear" w:color="000000" w:fill="FDE9D9"/>
            <w:noWrap/>
            <w:vAlign w:val="bottom"/>
            <w:hideMark/>
          </w:tcPr>
          <w:p w14:paraId="3A098C06"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20.5%</w:t>
            </w:r>
          </w:p>
        </w:tc>
        <w:tc>
          <w:tcPr>
            <w:tcW w:w="370" w:type="pct"/>
            <w:tcBorders>
              <w:top w:val="nil"/>
              <w:left w:val="nil"/>
              <w:bottom w:val="single" w:sz="4" w:space="0" w:color="auto"/>
              <w:right w:val="single" w:sz="4" w:space="0" w:color="auto"/>
            </w:tcBorders>
            <w:shd w:val="clear" w:color="000000" w:fill="FDE9D9"/>
            <w:noWrap/>
            <w:vAlign w:val="bottom"/>
            <w:hideMark/>
          </w:tcPr>
          <w:p w14:paraId="1B4D8552"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22.7%</w:t>
            </w:r>
          </w:p>
        </w:tc>
        <w:tc>
          <w:tcPr>
            <w:tcW w:w="421" w:type="pct"/>
            <w:tcBorders>
              <w:top w:val="nil"/>
              <w:left w:val="nil"/>
              <w:bottom w:val="single" w:sz="4" w:space="0" w:color="auto"/>
              <w:right w:val="single" w:sz="4" w:space="0" w:color="auto"/>
            </w:tcBorders>
            <w:shd w:val="clear" w:color="000000" w:fill="FDE9D9"/>
            <w:noWrap/>
            <w:vAlign w:val="bottom"/>
            <w:hideMark/>
          </w:tcPr>
          <w:p w14:paraId="08005310"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22.8%</w:t>
            </w:r>
          </w:p>
        </w:tc>
        <w:tc>
          <w:tcPr>
            <w:tcW w:w="370" w:type="pct"/>
            <w:tcBorders>
              <w:top w:val="nil"/>
              <w:left w:val="nil"/>
              <w:bottom w:val="single" w:sz="4" w:space="0" w:color="auto"/>
              <w:right w:val="single" w:sz="4" w:space="0" w:color="auto"/>
            </w:tcBorders>
            <w:shd w:val="clear" w:color="000000" w:fill="FDE9D9"/>
            <w:noWrap/>
            <w:vAlign w:val="bottom"/>
            <w:hideMark/>
          </w:tcPr>
          <w:p w14:paraId="0F7F501A"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21.2%</w:t>
            </w:r>
          </w:p>
        </w:tc>
        <w:tc>
          <w:tcPr>
            <w:tcW w:w="370" w:type="pct"/>
            <w:tcBorders>
              <w:top w:val="nil"/>
              <w:left w:val="nil"/>
              <w:bottom w:val="single" w:sz="4" w:space="0" w:color="auto"/>
              <w:right w:val="single" w:sz="8" w:space="0" w:color="auto"/>
            </w:tcBorders>
            <w:shd w:val="clear" w:color="000000" w:fill="FDE9D9"/>
            <w:noWrap/>
            <w:vAlign w:val="bottom"/>
            <w:hideMark/>
          </w:tcPr>
          <w:p w14:paraId="2230AD45"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19.7%</w:t>
            </w:r>
          </w:p>
        </w:tc>
      </w:tr>
      <w:tr w:rsidR="009A356E" w:rsidRPr="00F72CFE" w14:paraId="22A65112" w14:textId="77777777" w:rsidTr="009A356E">
        <w:trPr>
          <w:trHeight w:val="240"/>
        </w:trPr>
        <w:tc>
          <w:tcPr>
            <w:tcW w:w="1292" w:type="pct"/>
            <w:tcBorders>
              <w:top w:val="nil"/>
              <w:left w:val="single" w:sz="4" w:space="0" w:color="auto"/>
              <w:bottom w:val="single" w:sz="4" w:space="0" w:color="auto"/>
              <w:right w:val="single" w:sz="4" w:space="0" w:color="auto"/>
            </w:tcBorders>
            <w:shd w:val="clear" w:color="auto" w:fill="auto"/>
            <w:noWrap/>
            <w:vAlign w:val="bottom"/>
            <w:hideMark/>
          </w:tcPr>
          <w:p w14:paraId="3AC767D4" w14:textId="77777777" w:rsidR="009A356E" w:rsidRPr="00F72CFE" w:rsidRDefault="009A356E" w:rsidP="009A356E">
            <w:pPr>
              <w:rPr>
                <w:rFonts w:ascii="Calibri" w:hAnsi="Calibri"/>
                <w:sz w:val="18"/>
                <w:szCs w:val="18"/>
                <w:lang w:eastAsia="en-AU"/>
              </w:rPr>
            </w:pPr>
            <w:r w:rsidRPr="00F72CFE">
              <w:rPr>
                <w:rFonts w:ascii="Calibri" w:hAnsi="Calibri"/>
                <w:sz w:val="18"/>
                <w:szCs w:val="18"/>
                <w:lang w:eastAsia="en-AU"/>
              </w:rPr>
              <w:t>MOORABOOL (S)</w:t>
            </w:r>
          </w:p>
        </w:tc>
        <w:tc>
          <w:tcPr>
            <w:tcW w:w="699" w:type="pct"/>
            <w:tcBorders>
              <w:top w:val="nil"/>
              <w:left w:val="nil"/>
              <w:bottom w:val="single" w:sz="4" w:space="0" w:color="auto"/>
              <w:right w:val="nil"/>
            </w:tcBorders>
            <w:shd w:val="clear" w:color="000000" w:fill="DAEEF3"/>
            <w:noWrap/>
            <w:vAlign w:val="bottom"/>
            <w:hideMark/>
          </w:tcPr>
          <w:p w14:paraId="0EE713F9" w14:textId="77777777" w:rsidR="009A356E" w:rsidRPr="00F72CFE" w:rsidRDefault="009A356E" w:rsidP="009A356E">
            <w:pPr>
              <w:jc w:val="center"/>
              <w:rPr>
                <w:rFonts w:ascii="Calibri" w:hAnsi="Calibri"/>
                <w:color w:val="000000"/>
                <w:sz w:val="18"/>
                <w:szCs w:val="18"/>
                <w:lang w:eastAsia="en-AU"/>
              </w:rPr>
            </w:pPr>
            <w:r w:rsidRPr="00F72CFE">
              <w:rPr>
                <w:rFonts w:ascii="Calibri" w:hAnsi="Calibri"/>
                <w:color w:val="000000"/>
                <w:sz w:val="18"/>
                <w:szCs w:val="18"/>
                <w:lang w:eastAsia="en-AU"/>
              </w:rPr>
              <w:t>10.1%</w:t>
            </w:r>
          </w:p>
        </w:tc>
        <w:tc>
          <w:tcPr>
            <w:tcW w:w="370" w:type="pct"/>
            <w:tcBorders>
              <w:top w:val="nil"/>
              <w:left w:val="single" w:sz="8" w:space="0" w:color="auto"/>
              <w:bottom w:val="single" w:sz="4" w:space="0" w:color="auto"/>
              <w:right w:val="single" w:sz="4" w:space="0" w:color="auto"/>
            </w:tcBorders>
            <w:shd w:val="clear" w:color="000000" w:fill="FDE9D9"/>
            <w:noWrap/>
            <w:vAlign w:val="bottom"/>
            <w:hideMark/>
          </w:tcPr>
          <w:p w14:paraId="51F5F6C5"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29.3%</w:t>
            </w:r>
          </w:p>
        </w:tc>
        <w:tc>
          <w:tcPr>
            <w:tcW w:w="370" w:type="pct"/>
            <w:tcBorders>
              <w:top w:val="nil"/>
              <w:left w:val="nil"/>
              <w:bottom w:val="single" w:sz="4" w:space="0" w:color="auto"/>
              <w:right w:val="single" w:sz="4" w:space="0" w:color="auto"/>
            </w:tcBorders>
            <w:shd w:val="clear" w:color="000000" w:fill="FDE9D9"/>
            <w:noWrap/>
            <w:vAlign w:val="bottom"/>
            <w:hideMark/>
          </w:tcPr>
          <w:p w14:paraId="6408D010"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34.4%</w:t>
            </w:r>
          </w:p>
        </w:tc>
        <w:tc>
          <w:tcPr>
            <w:tcW w:w="370" w:type="pct"/>
            <w:tcBorders>
              <w:top w:val="nil"/>
              <w:left w:val="nil"/>
              <w:bottom w:val="single" w:sz="4" w:space="0" w:color="auto"/>
              <w:right w:val="single" w:sz="4" w:space="0" w:color="auto"/>
            </w:tcBorders>
            <w:shd w:val="clear" w:color="000000" w:fill="FDE9D9"/>
            <w:noWrap/>
            <w:vAlign w:val="bottom"/>
            <w:hideMark/>
          </w:tcPr>
          <w:p w14:paraId="4122D040"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35.1%</w:t>
            </w:r>
          </w:p>
        </w:tc>
        <w:tc>
          <w:tcPr>
            <w:tcW w:w="370" w:type="pct"/>
            <w:tcBorders>
              <w:top w:val="nil"/>
              <w:left w:val="nil"/>
              <w:bottom w:val="single" w:sz="4" w:space="0" w:color="auto"/>
              <w:right w:val="single" w:sz="4" w:space="0" w:color="auto"/>
            </w:tcBorders>
            <w:shd w:val="clear" w:color="000000" w:fill="FDE9D9"/>
            <w:noWrap/>
            <w:vAlign w:val="bottom"/>
            <w:hideMark/>
          </w:tcPr>
          <w:p w14:paraId="6F9C0A4D"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29.4%</w:t>
            </w:r>
          </w:p>
        </w:tc>
        <w:tc>
          <w:tcPr>
            <w:tcW w:w="370" w:type="pct"/>
            <w:tcBorders>
              <w:top w:val="nil"/>
              <w:left w:val="nil"/>
              <w:bottom w:val="single" w:sz="4" w:space="0" w:color="auto"/>
              <w:right w:val="single" w:sz="4" w:space="0" w:color="auto"/>
            </w:tcBorders>
            <w:shd w:val="clear" w:color="000000" w:fill="FDE9D9"/>
            <w:noWrap/>
            <w:vAlign w:val="bottom"/>
            <w:hideMark/>
          </w:tcPr>
          <w:p w14:paraId="5044311F"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35.9%</w:t>
            </w:r>
          </w:p>
        </w:tc>
        <w:tc>
          <w:tcPr>
            <w:tcW w:w="421" w:type="pct"/>
            <w:tcBorders>
              <w:top w:val="nil"/>
              <w:left w:val="nil"/>
              <w:bottom w:val="single" w:sz="4" w:space="0" w:color="auto"/>
              <w:right w:val="single" w:sz="4" w:space="0" w:color="auto"/>
            </w:tcBorders>
            <w:shd w:val="clear" w:color="000000" w:fill="FDE9D9"/>
            <w:noWrap/>
            <w:vAlign w:val="bottom"/>
            <w:hideMark/>
          </w:tcPr>
          <w:p w14:paraId="631D438F"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37.1%</w:t>
            </w:r>
          </w:p>
        </w:tc>
        <w:tc>
          <w:tcPr>
            <w:tcW w:w="370" w:type="pct"/>
            <w:tcBorders>
              <w:top w:val="nil"/>
              <w:left w:val="nil"/>
              <w:bottom w:val="single" w:sz="4" w:space="0" w:color="auto"/>
              <w:right w:val="single" w:sz="4" w:space="0" w:color="auto"/>
            </w:tcBorders>
            <w:shd w:val="clear" w:color="000000" w:fill="FDE9D9"/>
            <w:noWrap/>
            <w:vAlign w:val="bottom"/>
            <w:hideMark/>
          </w:tcPr>
          <w:p w14:paraId="74B5A1DB"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39.4%</w:t>
            </w:r>
          </w:p>
        </w:tc>
        <w:tc>
          <w:tcPr>
            <w:tcW w:w="370" w:type="pct"/>
            <w:tcBorders>
              <w:top w:val="nil"/>
              <w:left w:val="nil"/>
              <w:bottom w:val="single" w:sz="4" w:space="0" w:color="auto"/>
              <w:right w:val="single" w:sz="8" w:space="0" w:color="auto"/>
            </w:tcBorders>
            <w:shd w:val="clear" w:color="000000" w:fill="FDE9D9"/>
            <w:noWrap/>
            <w:vAlign w:val="bottom"/>
            <w:hideMark/>
          </w:tcPr>
          <w:p w14:paraId="770F57C0"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40.9%</w:t>
            </w:r>
          </w:p>
        </w:tc>
      </w:tr>
      <w:tr w:rsidR="009A356E" w:rsidRPr="00F72CFE" w14:paraId="560B944E" w14:textId="77777777" w:rsidTr="009A356E">
        <w:trPr>
          <w:trHeight w:val="240"/>
        </w:trPr>
        <w:tc>
          <w:tcPr>
            <w:tcW w:w="1292" w:type="pct"/>
            <w:tcBorders>
              <w:top w:val="nil"/>
              <w:left w:val="single" w:sz="4" w:space="0" w:color="auto"/>
              <w:bottom w:val="single" w:sz="4" w:space="0" w:color="auto"/>
              <w:right w:val="single" w:sz="4" w:space="0" w:color="auto"/>
            </w:tcBorders>
            <w:shd w:val="clear" w:color="auto" w:fill="auto"/>
            <w:noWrap/>
            <w:vAlign w:val="bottom"/>
            <w:hideMark/>
          </w:tcPr>
          <w:p w14:paraId="6180DDCE" w14:textId="77777777" w:rsidR="009A356E" w:rsidRPr="00F72CFE" w:rsidRDefault="009A356E" w:rsidP="009A356E">
            <w:pPr>
              <w:rPr>
                <w:rFonts w:ascii="Calibri" w:hAnsi="Calibri"/>
                <w:sz w:val="18"/>
                <w:szCs w:val="18"/>
                <w:lang w:eastAsia="en-AU"/>
              </w:rPr>
            </w:pPr>
            <w:r w:rsidRPr="00F72CFE">
              <w:rPr>
                <w:rFonts w:ascii="Calibri" w:hAnsi="Calibri"/>
                <w:sz w:val="18"/>
                <w:szCs w:val="18"/>
                <w:lang w:eastAsia="en-AU"/>
              </w:rPr>
              <w:t>MOUNT ALEXANDER (S)</w:t>
            </w:r>
          </w:p>
        </w:tc>
        <w:tc>
          <w:tcPr>
            <w:tcW w:w="699" w:type="pct"/>
            <w:tcBorders>
              <w:top w:val="nil"/>
              <w:left w:val="nil"/>
              <w:bottom w:val="single" w:sz="4" w:space="0" w:color="auto"/>
              <w:right w:val="nil"/>
            </w:tcBorders>
            <w:shd w:val="clear" w:color="000000" w:fill="DAEEF3"/>
            <w:noWrap/>
            <w:vAlign w:val="bottom"/>
            <w:hideMark/>
          </w:tcPr>
          <w:p w14:paraId="27C9FF81" w14:textId="77777777" w:rsidR="009A356E" w:rsidRPr="00F72CFE" w:rsidRDefault="009A356E" w:rsidP="009A356E">
            <w:pPr>
              <w:jc w:val="center"/>
              <w:rPr>
                <w:rFonts w:ascii="Calibri" w:hAnsi="Calibri"/>
                <w:color w:val="000000"/>
                <w:sz w:val="18"/>
                <w:szCs w:val="18"/>
                <w:lang w:eastAsia="en-AU"/>
              </w:rPr>
            </w:pPr>
            <w:r w:rsidRPr="00F72CFE">
              <w:rPr>
                <w:rFonts w:ascii="Calibri" w:hAnsi="Calibri"/>
                <w:color w:val="000000"/>
                <w:sz w:val="18"/>
                <w:szCs w:val="18"/>
                <w:lang w:eastAsia="en-AU"/>
              </w:rPr>
              <w:t>5.3%</w:t>
            </w:r>
          </w:p>
        </w:tc>
        <w:tc>
          <w:tcPr>
            <w:tcW w:w="370" w:type="pct"/>
            <w:tcBorders>
              <w:top w:val="nil"/>
              <w:left w:val="single" w:sz="8" w:space="0" w:color="auto"/>
              <w:bottom w:val="single" w:sz="4" w:space="0" w:color="auto"/>
              <w:right w:val="single" w:sz="4" w:space="0" w:color="auto"/>
            </w:tcBorders>
            <w:shd w:val="clear" w:color="000000" w:fill="FDE9D9"/>
            <w:noWrap/>
            <w:vAlign w:val="bottom"/>
            <w:hideMark/>
          </w:tcPr>
          <w:p w14:paraId="0B5BBF46"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25.1%</w:t>
            </w:r>
          </w:p>
        </w:tc>
        <w:tc>
          <w:tcPr>
            <w:tcW w:w="370" w:type="pct"/>
            <w:tcBorders>
              <w:top w:val="nil"/>
              <w:left w:val="nil"/>
              <w:bottom w:val="single" w:sz="4" w:space="0" w:color="auto"/>
              <w:right w:val="single" w:sz="4" w:space="0" w:color="auto"/>
            </w:tcBorders>
            <w:shd w:val="clear" w:color="000000" w:fill="FDE9D9"/>
            <w:noWrap/>
            <w:vAlign w:val="bottom"/>
            <w:hideMark/>
          </w:tcPr>
          <w:p w14:paraId="59C597E0"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26.9%</w:t>
            </w:r>
          </w:p>
        </w:tc>
        <w:tc>
          <w:tcPr>
            <w:tcW w:w="370" w:type="pct"/>
            <w:tcBorders>
              <w:top w:val="nil"/>
              <w:left w:val="nil"/>
              <w:bottom w:val="single" w:sz="4" w:space="0" w:color="auto"/>
              <w:right w:val="single" w:sz="4" w:space="0" w:color="auto"/>
            </w:tcBorders>
            <w:shd w:val="clear" w:color="000000" w:fill="FDE9D9"/>
            <w:noWrap/>
            <w:vAlign w:val="bottom"/>
            <w:hideMark/>
          </w:tcPr>
          <w:p w14:paraId="0C60561A"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32.0%</w:t>
            </w:r>
          </w:p>
        </w:tc>
        <w:tc>
          <w:tcPr>
            <w:tcW w:w="370" w:type="pct"/>
            <w:tcBorders>
              <w:top w:val="nil"/>
              <w:left w:val="nil"/>
              <w:bottom w:val="single" w:sz="4" w:space="0" w:color="auto"/>
              <w:right w:val="single" w:sz="4" w:space="0" w:color="auto"/>
            </w:tcBorders>
            <w:shd w:val="clear" w:color="000000" w:fill="FDE9D9"/>
            <w:noWrap/>
            <w:vAlign w:val="bottom"/>
            <w:hideMark/>
          </w:tcPr>
          <w:p w14:paraId="66D3E23C"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33.3%</w:t>
            </w:r>
          </w:p>
        </w:tc>
        <w:tc>
          <w:tcPr>
            <w:tcW w:w="370" w:type="pct"/>
            <w:tcBorders>
              <w:top w:val="nil"/>
              <w:left w:val="nil"/>
              <w:bottom w:val="single" w:sz="4" w:space="0" w:color="auto"/>
              <w:right w:val="single" w:sz="4" w:space="0" w:color="auto"/>
            </w:tcBorders>
            <w:shd w:val="clear" w:color="000000" w:fill="FDE9D9"/>
            <w:noWrap/>
            <w:vAlign w:val="bottom"/>
            <w:hideMark/>
          </w:tcPr>
          <w:p w14:paraId="699AF9E0"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33.6%</w:t>
            </w:r>
          </w:p>
        </w:tc>
        <w:tc>
          <w:tcPr>
            <w:tcW w:w="421" w:type="pct"/>
            <w:tcBorders>
              <w:top w:val="nil"/>
              <w:left w:val="nil"/>
              <w:bottom w:val="single" w:sz="4" w:space="0" w:color="auto"/>
              <w:right w:val="single" w:sz="4" w:space="0" w:color="auto"/>
            </w:tcBorders>
            <w:shd w:val="clear" w:color="000000" w:fill="FDE9D9"/>
            <w:noWrap/>
            <w:vAlign w:val="bottom"/>
            <w:hideMark/>
          </w:tcPr>
          <w:p w14:paraId="7970FDA8"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36.8%</w:t>
            </w:r>
          </w:p>
        </w:tc>
        <w:tc>
          <w:tcPr>
            <w:tcW w:w="370" w:type="pct"/>
            <w:tcBorders>
              <w:top w:val="nil"/>
              <w:left w:val="nil"/>
              <w:bottom w:val="single" w:sz="4" w:space="0" w:color="auto"/>
              <w:right w:val="single" w:sz="4" w:space="0" w:color="auto"/>
            </w:tcBorders>
            <w:shd w:val="clear" w:color="000000" w:fill="FDE9D9"/>
            <w:noWrap/>
            <w:vAlign w:val="bottom"/>
            <w:hideMark/>
          </w:tcPr>
          <w:p w14:paraId="7EC01CD3"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31.9%</w:t>
            </w:r>
          </w:p>
        </w:tc>
        <w:tc>
          <w:tcPr>
            <w:tcW w:w="370" w:type="pct"/>
            <w:tcBorders>
              <w:top w:val="nil"/>
              <w:left w:val="nil"/>
              <w:bottom w:val="single" w:sz="4" w:space="0" w:color="auto"/>
              <w:right w:val="single" w:sz="8" w:space="0" w:color="auto"/>
            </w:tcBorders>
            <w:shd w:val="clear" w:color="000000" w:fill="FDE9D9"/>
            <w:noWrap/>
            <w:vAlign w:val="bottom"/>
            <w:hideMark/>
          </w:tcPr>
          <w:p w14:paraId="2B1EC22A"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30.0%</w:t>
            </w:r>
          </w:p>
        </w:tc>
      </w:tr>
      <w:tr w:rsidR="009A356E" w:rsidRPr="00F72CFE" w14:paraId="6AC65F46" w14:textId="77777777" w:rsidTr="009A356E">
        <w:trPr>
          <w:trHeight w:val="240"/>
        </w:trPr>
        <w:tc>
          <w:tcPr>
            <w:tcW w:w="1292" w:type="pct"/>
            <w:tcBorders>
              <w:top w:val="nil"/>
              <w:left w:val="single" w:sz="4" w:space="0" w:color="auto"/>
              <w:bottom w:val="single" w:sz="4" w:space="0" w:color="auto"/>
              <w:right w:val="single" w:sz="4" w:space="0" w:color="auto"/>
            </w:tcBorders>
            <w:shd w:val="clear" w:color="auto" w:fill="auto"/>
            <w:noWrap/>
            <w:vAlign w:val="bottom"/>
            <w:hideMark/>
          </w:tcPr>
          <w:p w14:paraId="15456661" w14:textId="77777777" w:rsidR="009A356E" w:rsidRPr="00F72CFE" w:rsidRDefault="009A356E" w:rsidP="009A356E">
            <w:pPr>
              <w:rPr>
                <w:rFonts w:ascii="Calibri" w:hAnsi="Calibri"/>
                <w:sz w:val="18"/>
                <w:szCs w:val="18"/>
                <w:lang w:eastAsia="en-AU"/>
              </w:rPr>
            </w:pPr>
            <w:r w:rsidRPr="00F72CFE">
              <w:rPr>
                <w:rFonts w:ascii="Calibri" w:hAnsi="Calibri"/>
                <w:sz w:val="18"/>
                <w:szCs w:val="18"/>
                <w:lang w:eastAsia="en-AU"/>
              </w:rPr>
              <w:t>MOYNE (S)</w:t>
            </w:r>
          </w:p>
        </w:tc>
        <w:tc>
          <w:tcPr>
            <w:tcW w:w="699" w:type="pct"/>
            <w:tcBorders>
              <w:top w:val="nil"/>
              <w:left w:val="nil"/>
              <w:bottom w:val="single" w:sz="4" w:space="0" w:color="auto"/>
              <w:right w:val="nil"/>
            </w:tcBorders>
            <w:shd w:val="clear" w:color="000000" w:fill="DAEEF3"/>
            <w:noWrap/>
            <w:vAlign w:val="bottom"/>
            <w:hideMark/>
          </w:tcPr>
          <w:p w14:paraId="22755C40" w14:textId="77777777" w:rsidR="009A356E" w:rsidRPr="00F72CFE" w:rsidRDefault="009A356E" w:rsidP="009A356E">
            <w:pPr>
              <w:jc w:val="center"/>
              <w:rPr>
                <w:rFonts w:ascii="Calibri" w:hAnsi="Calibri"/>
                <w:color w:val="000000"/>
                <w:sz w:val="18"/>
                <w:szCs w:val="18"/>
                <w:lang w:eastAsia="en-AU"/>
              </w:rPr>
            </w:pPr>
            <w:r w:rsidRPr="00F72CFE">
              <w:rPr>
                <w:rFonts w:ascii="Calibri" w:hAnsi="Calibri"/>
                <w:color w:val="000000"/>
                <w:sz w:val="18"/>
                <w:szCs w:val="18"/>
                <w:lang w:eastAsia="en-AU"/>
              </w:rPr>
              <w:t>7.1%</w:t>
            </w:r>
          </w:p>
        </w:tc>
        <w:tc>
          <w:tcPr>
            <w:tcW w:w="370" w:type="pct"/>
            <w:tcBorders>
              <w:top w:val="nil"/>
              <w:left w:val="single" w:sz="8" w:space="0" w:color="auto"/>
              <w:bottom w:val="single" w:sz="4" w:space="0" w:color="auto"/>
              <w:right w:val="single" w:sz="4" w:space="0" w:color="auto"/>
            </w:tcBorders>
            <w:shd w:val="clear" w:color="000000" w:fill="FDE9D9"/>
            <w:noWrap/>
            <w:vAlign w:val="bottom"/>
            <w:hideMark/>
          </w:tcPr>
          <w:p w14:paraId="0B60C1E5"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62.4%</w:t>
            </w:r>
          </w:p>
        </w:tc>
        <w:tc>
          <w:tcPr>
            <w:tcW w:w="370" w:type="pct"/>
            <w:tcBorders>
              <w:top w:val="nil"/>
              <w:left w:val="nil"/>
              <w:bottom w:val="single" w:sz="4" w:space="0" w:color="auto"/>
              <w:right w:val="single" w:sz="4" w:space="0" w:color="auto"/>
            </w:tcBorders>
            <w:shd w:val="clear" w:color="000000" w:fill="FDE9D9"/>
            <w:noWrap/>
            <w:vAlign w:val="bottom"/>
            <w:hideMark/>
          </w:tcPr>
          <w:p w14:paraId="19FB1BFA"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67.3%</w:t>
            </w:r>
          </w:p>
        </w:tc>
        <w:tc>
          <w:tcPr>
            <w:tcW w:w="370" w:type="pct"/>
            <w:tcBorders>
              <w:top w:val="nil"/>
              <w:left w:val="nil"/>
              <w:bottom w:val="single" w:sz="4" w:space="0" w:color="auto"/>
              <w:right w:val="single" w:sz="4" w:space="0" w:color="auto"/>
            </w:tcBorders>
            <w:shd w:val="clear" w:color="000000" w:fill="FDE9D9"/>
            <w:noWrap/>
            <w:vAlign w:val="bottom"/>
            <w:hideMark/>
          </w:tcPr>
          <w:p w14:paraId="516CF89F"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67.8%</w:t>
            </w:r>
          </w:p>
        </w:tc>
        <w:tc>
          <w:tcPr>
            <w:tcW w:w="370" w:type="pct"/>
            <w:tcBorders>
              <w:top w:val="nil"/>
              <w:left w:val="nil"/>
              <w:bottom w:val="single" w:sz="4" w:space="0" w:color="auto"/>
              <w:right w:val="single" w:sz="4" w:space="0" w:color="auto"/>
            </w:tcBorders>
            <w:shd w:val="clear" w:color="000000" w:fill="FDE9D9"/>
            <w:noWrap/>
            <w:vAlign w:val="bottom"/>
            <w:hideMark/>
          </w:tcPr>
          <w:p w14:paraId="5C8ACB72"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63.6%</w:t>
            </w:r>
          </w:p>
        </w:tc>
        <w:tc>
          <w:tcPr>
            <w:tcW w:w="370" w:type="pct"/>
            <w:tcBorders>
              <w:top w:val="nil"/>
              <w:left w:val="nil"/>
              <w:bottom w:val="single" w:sz="4" w:space="0" w:color="auto"/>
              <w:right w:val="single" w:sz="4" w:space="0" w:color="auto"/>
            </w:tcBorders>
            <w:shd w:val="clear" w:color="000000" w:fill="FDE9D9"/>
            <w:noWrap/>
            <w:vAlign w:val="bottom"/>
            <w:hideMark/>
          </w:tcPr>
          <w:p w14:paraId="53ABAC87"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62.6%</w:t>
            </w:r>
          </w:p>
        </w:tc>
        <w:tc>
          <w:tcPr>
            <w:tcW w:w="421" w:type="pct"/>
            <w:tcBorders>
              <w:top w:val="nil"/>
              <w:left w:val="nil"/>
              <w:bottom w:val="single" w:sz="4" w:space="0" w:color="auto"/>
              <w:right w:val="single" w:sz="4" w:space="0" w:color="auto"/>
            </w:tcBorders>
            <w:shd w:val="clear" w:color="000000" w:fill="FDE9D9"/>
            <w:noWrap/>
            <w:vAlign w:val="bottom"/>
            <w:hideMark/>
          </w:tcPr>
          <w:p w14:paraId="7C06A842"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63.1%</w:t>
            </w:r>
          </w:p>
        </w:tc>
        <w:tc>
          <w:tcPr>
            <w:tcW w:w="370" w:type="pct"/>
            <w:tcBorders>
              <w:top w:val="nil"/>
              <w:left w:val="nil"/>
              <w:bottom w:val="single" w:sz="4" w:space="0" w:color="auto"/>
              <w:right w:val="single" w:sz="4" w:space="0" w:color="auto"/>
            </w:tcBorders>
            <w:shd w:val="clear" w:color="000000" w:fill="FDE9D9"/>
            <w:noWrap/>
            <w:vAlign w:val="bottom"/>
            <w:hideMark/>
          </w:tcPr>
          <w:p w14:paraId="2671D76D"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63.0%</w:t>
            </w:r>
          </w:p>
        </w:tc>
        <w:tc>
          <w:tcPr>
            <w:tcW w:w="370" w:type="pct"/>
            <w:tcBorders>
              <w:top w:val="nil"/>
              <w:left w:val="nil"/>
              <w:bottom w:val="single" w:sz="4" w:space="0" w:color="auto"/>
              <w:right w:val="single" w:sz="8" w:space="0" w:color="auto"/>
            </w:tcBorders>
            <w:shd w:val="clear" w:color="000000" w:fill="FDE9D9"/>
            <w:noWrap/>
            <w:vAlign w:val="bottom"/>
            <w:hideMark/>
          </w:tcPr>
          <w:p w14:paraId="78623634"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65.5%</w:t>
            </w:r>
          </w:p>
        </w:tc>
      </w:tr>
      <w:tr w:rsidR="009A356E" w:rsidRPr="00F72CFE" w14:paraId="7DA55BC1" w14:textId="77777777" w:rsidTr="009A356E">
        <w:trPr>
          <w:trHeight w:val="240"/>
        </w:trPr>
        <w:tc>
          <w:tcPr>
            <w:tcW w:w="1292" w:type="pct"/>
            <w:tcBorders>
              <w:top w:val="nil"/>
              <w:left w:val="single" w:sz="4" w:space="0" w:color="auto"/>
              <w:bottom w:val="single" w:sz="4" w:space="0" w:color="auto"/>
              <w:right w:val="single" w:sz="4" w:space="0" w:color="auto"/>
            </w:tcBorders>
            <w:shd w:val="clear" w:color="auto" w:fill="auto"/>
            <w:noWrap/>
            <w:vAlign w:val="bottom"/>
            <w:hideMark/>
          </w:tcPr>
          <w:p w14:paraId="57420055" w14:textId="77777777" w:rsidR="009A356E" w:rsidRPr="00F72CFE" w:rsidRDefault="009A356E" w:rsidP="009A356E">
            <w:pPr>
              <w:rPr>
                <w:rFonts w:ascii="Calibri" w:hAnsi="Calibri"/>
                <w:sz w:val="18"/>
                <w:szCs w:val="18"/>
                <w:lang w:eastAsia="en-AU"/>
              </w:rPr>
            </w:pPr>
            <w:r w:rsidRPr="00F72CFE">
              <w:rPr>
                <w:rFonts w:ascii="Calibri" w:hAnsi="Calibri"/>
                <w:sz w:val="18"/>
                <w:szCs w:val="18"/>
                <w:lang w:eastAsia="en-AU"/>
              </w:rPr>
              <w:t>MURRINDINDI (S)</w:t>
            </w:r>
          </w:p>
        </w:tc>
        <w:tc>
          <w:tcPr>
            <w:tcW w:w="699" w:type="pct"/>
            <w:tcBorders>
              <w:top w:val="nil"/>
              <w:left w:val="nil"/>
              <w:bottom w:val="single" w:sz="4" w:space="0" w:color="auto"/>
              <w:right w:val="nil"/>
            </w:tcBorders>
            <w:shd w:val="clear" w:color="000000" w:fill="DAEEF3"/>
            <w:noWrap/>
            <w:vAlign w:val="bottom"/>
            <w:hideMark/>
          </w:tcPr>
          <w:p w14:paraId="1A13991E" w14:textId="77777777" w:rsidR="009A356E" w:rsidRPr="00F72CFE" w:rsidRDefault="009A356E" w:rsidP="009A356E">
            <w:pPr>
              <w:jc w:val="center"/>
              <w:rPr>
                <w:rFonts w:ascii="Calibri" w:hAnsi="Calibri"/>
                <w:color w:val="000000"/>
                <w:sz w:val="18"/>
                <w:szCs w:val="18"/>
                <w:lang w:eastAsia="en-AU"/>
              </w:rPr>
            </w:pPr>
            <w:r w:rsidRPr="00F72CFE">
              <w:rPr>
                <w:rFonts w:ascii="Calibri" w:hAnsi="Calibri"/>
                <w:color w:val="000000"/>
                <w:sz w:val="18"/>
                <w:szCs w:val="18"/>
                <w:lang w:eastAsia="en-AU"/>
              </w:rPr>
              <w:t>7.2%</w:t>
            </w:r>
          </w:p>
        </w:tc>
        <w:tc>
          <w:tcPr>
            <w:tcW w:w="370" w:type="pct"/>
            <w:tcBorders>
              <w:top w:val="nil"/>
              <w:left w:val="single" w:sz="8" w:space="0" w:color="auto"/>
              <w:bottom w:val="single" w:sz="4" w:space="0" w:color="auto"/>
              <w:right w:val="single" w:sz="4" w:space="0" w:color="auto"/>
            </w:tcBorders>
            <w:shd w:val="clear" w:color="000000" w:fill="FDE9D9"/>
            <w:noWrap/>
            <w:vAlign w:val="bottom"/>
            <w:hideMark/>
          </w:tcPr>
          <w:p w14:paraId="7CE5DE60"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21.2%</w:t>
            </w:r>
          </w:p>
        </w:tc>
        <w:tc>
          <w:tcPr>
            <w:tcW w:w="370" w:type="pct"/>
            <w:tcBorders>
              <w:top w:val="nil"/>
              <w:left w:val="nil"/>
              <w:bottom w:val="single" w:sz="4" w:space="0" w:color="auto"/>
              <w:right w:val="single" w:sz="4" w:space="0" w:color="auto"/>
            </w:tcBorders>
            <w:shd w:val="clear" w:color="000000" w:fill="FDE9D9"/>
            <w:noWrap/>
            <w:vAlign w:val="bottom"/>
            <w:hideMark/>
          </w:tcPr>
          <w:p w14:paraId="1990F7D9"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20.0%</w:t>
            </w:r>
          </w:p>
        </w:tc>
        <w:tc>
          <w:tcPr>
            <w:tcW w:w="370" w:type="pct"/>
            <w:tcBorders>
              <w:top w:val="nil"/>
              <w:left w:val="nil"/>
              <w:bottom w:val="single" w:sz="4" w:space="0" w:color="auto"/>
              <w:right w:val="single" w:sz="4" w:space="0" w:color="auto"/>
            </w:tcBorders>
            <w:shd w:val="clear" w:color="000000" w:fill="FDE9D9"/>
            <w:noWrap/>
            <w:vAlign w:val="bottom"/>
            <w:hideMark/>
          </w:tcPr>
          <w:p w14:paraId="6980F3C1"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22.8%</w:t>
            </w:r>
          </w:p>
        </w:tc>
        <w:tc>
          <w:tcPr>
            <w:tcW w:w="370" w:type="pct"/>
            <w:tcBorders>
              <w:top w:val="nil"/>
              <w:left w:val="nil"/>
              <w:bottom w:val="single" w:sz="4" w:space="0" w:color="auto"/>
              <w:right w:val="single" w:sz="4" w:space="0" w:color="auto"/>
            </w:tcBorders>
            <w:shd w:val="clear" w:color="000000" w:fill="FDE9D9"/>
            <w:noWrap/>
            <w:vAlign w:val="bottom"/>
            <w:hideMark/>
          </w:tcPr>
          <w:p w14:paraId="13142E99"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23.8%</w:t>
            </w:r>
          </w:p>
        </w:tc>
        <w:tc>
          <w:tcPr>
            <w:tcW w:w="370" w:type="pct"/>
            <w:tcBorders>
              <w:top w:val="nil"/>
              <w:left w:val="nil"/>
              <w:bottom w:val="single" w:sz="4" w:space="0" w:color="auto"/>
              <w:right w:val="single" w:sz="4" w:space="0" w:color="auto"/>
            </w:tcBorders>
            <w:shd w:val="clear" w:color="000000" w:fill="FDE9D9"/>
            <w:noWrap/>
            <w:vAlign w:val="bottom"/>
            <w:hideMark/>
          </w:tcPr>
          <w:p w14:paraId="084C6440"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26.4%</w:t>
            </w:r>
          </w:p>
        </w:tc>
        <w:tc>
          <w:tcPr>
            <w:tcW w:w="421" w:type="pct"/>
            <w:tcBorders>
              <w:top w:val="nil"/>
              <w:left w:val="nil"/>
              <w:bottom w:val="single" w:sz="4" w:space="0" w:color="auto"/>
              <w:right w:val="single" w:sz="4" w:space="0" w:color="auto"/>
            </w:tcBorders>
            <w:shd w:val="clear" w:color="000000" w:fill="FDE9D9"/>
            <w:noWrap/>
            <w:vAlign w:val="bottom"/>
            <w:hideMark/>
          </w:tcPr>
          <w:p w14:paraId="75AE955B"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26.5%</w:t>
            </w:r>
          </w:p>
        </w:tc>
        <w:tc>
          <w:tcPr>
            <w:tcW w:w="370" w:type="pct"/>
            <w:tcBorders>
              <w:top w:val="nil"/>
              <w:left w:val="nil"/>
              <w:bottom w:val="single" w:sz="4" w:space="0" w:color="auto"/>
              <w:right w:val="single" w:sz="4" w:space="0" w:color="auto"/>
            </w:tcBorders>
            <w:shd w:val="clear" w:color="000000" w:fill="FDE9D9"/>
            <w:noWrap/>
            <w:vAlign w:val="bottom"/>
            <w:hideMark/>
          </w:tcPr>
          <w:p w14:paraId="45A4C768"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27.0%</w:t>
            </w:r>
          </w:p>
        </w:tc>
        <w:tc>
          <w:tcPr>
            <w:tcW w:w="370" w:type="pct"/>
            <w:tcBorders>
              <w:top w:val="nil"/>
              <w:left w:val="nil"/>
              <w:bottom w:val="single" w:sz="4" w:space="0" w:color="auto"/>
              <w:right w:val="single" w:sz="8" w:space="0" w:color="auto"/>
            </w:tcBorders>
            <w:shd w:val="clear" w:color="000000" w:fill="FDE9D9"/>
            <w:noWrap/>
            <w:vAlign w:val="bottom"/>
            <w:hideMark/>
          </w:tcPr>
          <w:p w14:paraId="5D82CAA7"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26.0%</w:t>
            </w:r>
          </w:p>
        </w:tc>
      </w:tr>
      <w:tr w:rsidR="009A356E" w:rsidRPr="00F72CFE" w14:paraId="06110E8A" w14:textId="77777777" w:rsidTr="009A356E">
        <w:trPr>
          <w:trHeight w:val="240"/>
        </w:trPr>
        <w:tc>
          <w:tcPr>
            <w:tcW w:w="1292" w:type="pct"/>
            <w:tcBorders>
              <w:top w:val="nil"/>
              <w:left w:val="single" w:sz="4" w:space="0" w:color="auto"/>
              <w:bottom w:val="single" w:sz="4" w:space="0" w:color="auto"/>
              <w:right w:val="single" w:sz="4" w:space="0" w:color="auto"/>
            </w:tcBorders>
            <w:shd w:val="clear" w:color="auto" w:fill="auto"/>
            <w:noWrap/>
            <w:vAlign w:val="bottom"/>
            <w:hideMark/>
          </w:tcPr>
          <w:p w14:paraId="4BBDFB51" w14:textId="77777777" w:rsidR="009A356E" w:rsidRPr="00F72CFE" w:rsidRDefault="009A356E" w:rsidP="009A356E">
            <w:pPr>
              <w:rPr>
                <w:rFonts w:ascii="Calibri" w:hAnsi="Calibri"/>
                <w:sz w:val="18"/>
                <w:szCs w:val="18"/>
                <w:lang w:eastAsia="en-AU"/>
              </w:rPr>
            </w:pPr>
            <w:r w:rsidRPr="00F72CFE">
              <w:rPr>
                <w:rFonts w:ascii="Calibri" w:hAnsi="Calibri"/>
                <w:sz w:val="18"/>
                <w:szCs w:val="18"/>
                <w:lang w:eastAsia="en-AU"/>
              </w:rPr>
              <w:t>NORTHERN GRAMPIANS (S)</w:t>
            </w:r>
          </w:p>
        </w:tc>
        <w:tc>
          <w:tcPr>
            <w:tcW w:w="699" w:type="pct"/>
            <w:tcBorders>
              <w:top w:val="nil"/>
              <w:left w:val="nil"/>
              <w:bottom w:val="single" w:sz="4" w:space="0" w:color="auto"/>
              <w:right w:val="nil"/>
            </w:tcBorders>
            <w:shd w:val="clear" w:color="000000" w:fill="DAEEF3"/>
            <w:noWrap/>
            <w:vAlign w:val="bottom"/>
            <w:hideMark/>
          </w:tcPr>
          <w:p w14:paraId="525F242C" w14:textId="77777777" w:rsidR="009A356E" w:rsidRPr="00F72CFE" w:rsidRDefault="009A356E" w:rsidP="009A356E">
            <w:pPr>
              <w:jc w:val="center"/>
              <w:rPr>
                <w:rFonts w:ascii="Calibri" w:hAnsi="Calibri"/>
                <w:color w:val="000000"/>
                <w:sz w:val="18"/>
                <w:szCs w:val="18"/>
                <w:lang w:eastAsia="en-AU"/>
              </w:rPr>
            </w:pPr>
            <w:r w:rsidRPr="00F72CFE">
              <w:rPr>
                <w:rFonts w:ascii="Calibri" w:hAnsi="Calibri"/>
                <w:color w:val="000000"/>
                <w:sz w:val="18"/>
                <w:szCs w:val="18"/>
                <w:lang w:eastAsia="en-AU"/>
              </w:rPr>
              <w:t>10.3%</w:t>
            </w:r>
          </w:p>
        </w:tc>
        <w:tc>
          <w:tcPr>
            <w:tcW w:w="370" w:type="pct"/>
            <w:tcBorders>
              <w:top w:val="nil"/>
              <w:left w:val="single" w:sz="8" w:space="0" w:color="auto"/>
              <w:bottom w:val="single" w:sz="4" w:space="0" w:color="auto"/>
              <w:right w:val="single" w:sz="4" w:space="0" w:color="auto"/>
            </w:tcBorders>
            <w:shd w:val="clear" w:color="000000" w:fill="FDE9D9"/>
            <w:noWrap/>
            <w:vAlign w:val="bottom"/>
            <w:hideMark/>
          </w:tcPr>
          <w:p w14:paraId="26FB8C58"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37.1%</w:t>
            </w:r>
          </w:p>
        </w:tc>
        <w:tc>
          <w:tcPr>
            <w:tcW w:w="370" w:type="pct"/>
            <w:tcBorders>
              <w:top w:val="nil"/>
              <w:left w:val="nil"/>
              <w:bottom w:val="single" w:sz="4" w:space="0" w:color="auto"/>
              <w:right w:val="single" w:sz="4" w:space="0" w:color="auto"/>
            </w:tcBorders>
            <w:shd w:val="clear" w:color="000000" w:fill="FDE9D9"/>
            <w:noWrap/>
            <w:vAlign w:val="bottom"/>
            <w:hideMark/>
          </w:tcPr>
          <w:p w14:paraId="1B43D613"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39.9%</w:t>
            </w:r>
          </w:p>
        </w:tc>
        <w:tc>
          <w:tcPr>
            <w:tcW w:w="370" w:type="pct"/>
            <w:tcBorders>
              <w:top w:val="nil"/>
              <w:left w:val="nil"/>
              <w:bottom w:val="single" w:sz="4" w:space="0" w:color="auto"/>
              <w:right w:val="single" w:sz="4" w:space="0" w:color="auto"/>
            </w:tcBorders>
            <w:shd w:val="clear" w:color="000000" w:fill="FDE9D9"/>
            <w:noWrap/>
            <w:vAlign w:val="bottom"/>
            <w:hideMark/>
          </w:tcPr>
          <w:p w14:paraId="14786308"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39.0%</w:t>
            </w:r>
          </w:p>
        </w:tc>
        <w:tc>
          <w:tcPr>
            <w:tcW w:w="370" w:type="pct"/>
            <w:tcBorders>
              <w:top w:val="nil"/>
              <w:left w:val="nil"/>
              <w:bottom w:val="single" w:sz="4" w:space="0" w:color="auto"/>
              <w:right w:val="single" w:sz="4" w:space="0" w:color="auto"/>
            </w:tcBorders>
            <w:shd w:val="clear" w:color="000000" w:fill="FDE9D9"/>
            <w:noWrap/>
            <w:vAlign w:val="bottom"/>
            <w:hideMark/>
          </w:tcPr>
          <w:p w14:paraId="697BF25C"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49.1%</w:t>
            </w:r>
          </w:p>
        </w:tc>
        <w:tc>
          <w:tcPr>
            <w:tcW w:w="370" w:type="pct"/>
            <w:tcBorders>
              <w:top w:val="nil"/>
              <w:left w:val="nil"/>
              <w:bottom w:val="single" w:sz="4" w:space="0" w:color="auto"/>
              <w:right w:val="single" w:sz="4" w:space="0" w:color="auto"/>
            </w:tcBorders>
            <w:shd w:val="clear" w:color="000000" w:fill="FDE9D9"/>
            <w:noWrap/>
            <w:vAlign w:val="bottom"/>
            <w:hideMark/>
          </w:tcPr>
          <w:p w14:paraId="530DA610"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69.0%</w:t>
            </w:r>
          </w:p>
        </w:tc>
        <w:tc>
          <w:tcPr>
            <w:tcW w:w="421" w:type="pct"/>
            <w:tcBorders>
              <w:top w:val="nil"/>
              <w:left w:val="nil"/>
              <w:bottom w:val="single" w:sz="4" w:space="0" w:color="auto"/>
              <w:right w:val="single" w:sz="4" w:space="0" w:color="auto"/>
            </w:tcBorders>
            <w:shd w:val="clear" w:color="000000" w:fill="FDE9D9"/>
            <w:noWrap/>
            <w:vAlign w:val="bottom"/>
            <w:hideMark/>
          </w:tcPr>
          <w:p w14:paraId="4DA88A34"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83.9%</w:t>
            </w:r>
          </w:p>
        </w:tc>
        <w:tc>
          <w:tcPr>
            <w:tcW w:w="370" w:type="pct"/>
            <w:tcBorders>
              <w:top w:val="nil"/>
              <w:left w:val="nil"/>
              <w:bottom w:val="single" w:sz="4" w:space="0" w:color="auto"/>
              <w:right w:val="single" w:sz="4" w:space="0" w:color="auto"/>
            </w:tcBorders>
            <w:shd w:val="clear" w:color="000000" w:fill="FDE9D9"/>
            <w:noWrap/>
            <w:vAlign w:val="bottom"/>
            <w:hideMark/>
          </w:tcPr>
          <w:p w14:paraId="55CAD74A"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85.1%</w:t>
            </w:r>
          </w:p>
        </w:tc>
        <w:tc>
          <w:tcPr>
            <w:tcW w:w="370" w:type="pct"/>
            <w:tcBorders>
              <w:top w:val="nil"/>
              <w:left w:val="nil"/>
              <w:bottom w:val="single" w:sz="4" w:space="0" w:color="auto"/>
              <w:right w:val="single" w:sz="8" w:space="0" w:color="auto"/>
            </w:tcBorders>
            <w:shd w:val="clear" w:color="000000" w:fill="FDE9D9"/>
            <w:noWrap/>
            <w:vAlign w:val="bottom"/>
            <w:hideMark/>
          </w:tcPr>
          <w:p w14:paraId="61B20906"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69.9%</w:t>
            </w:r>
          </w:p>
        </w:tc>
      </w:tr>
      <w:tr w:rsidR="009A356E" w:rsidRPr="00F72CFE" w14:paraId="2064B35E" w14:textId="77777777" w:rsidTr="009A356E">
        <w:trPr>
          <w:trHeight w:val="240"/>
        </w:trPr>
        <w:tc>
          <w:tcPr>
            <w:tcW w:w="1292" w:type="pct"/>
            <w:tcBorders>
              <w:top w:val="nil"/>
              <w:left w:val="single" w:sz="4" w:space="0" w:color="auto"/>
              <w:bottom w:val="single" w:sz="4" w:space="0" w:color="auto"/>
              <w:right w:val="single" w:sz="4" w:space="0" w:color="auto"/>
            </w:tcBorders>
            <w:shd w:val="clear" w:color="auto" w:fill="auto"/>
            <w:noWrap/>
            <w:vAlign w:val="bottom"/>
            <w:hideMark/>
          </w:tcPr>
          <w:p w14:paraId="57677210" w14:textId="77777777" w:rsidR="009A356E" w:rsidRPr="00F72CFE" w:rsidRDefault="009A356E" w:rsidP="009A356E">
            <w:pPr>
              <w:rPr>
                <w:rFonts w:ascii="Calibri" w:hAnsi="Calibri"/>
                <w:sz w:val="18"/>
                <w:szCs w:val="18"/>
                <w:lang w:eastAsia="en-AU"/>
              </w:rPr>
            </w:pPr>
            <w:r w:rsidRPr="00F72CFE">
              <w:rPr>
                <w:rFonts w:ascii="Calibri" w:hAnsi="Calibri"/>
                <w:sz w:val="18"/>
                <w:szCs w:val="18"/>
                <w:lang w:eastAsia="en-AU"/>
              </w:rPr>
              <w:t>PYRENEES (S)</w:t>
            </w:r>
          </w:p>
        </w:tc>
        <w:tc>
          <w:tcPr>
            <w:tcW w:w="699" w:type="pct"/>
            <w:tcBorders>
              <w:top w:val="nil"/>
              <w:left w:val="nil"/>
              <w:bottom w:val="single" w:sz="4" w:space="0" w:color="auto"/>
              <w:right w:val="nil"/>
            </w:tcBorders>
            <w:shd w:val="clear" w:color="000000" w:fill="DAEEF3"/>
            <w:noWrap/>
            <w:vAlign w:val="bottom"/>
            <w:hideMark/>
          </w:tcPr>
          <w:p w14:paraId="368FB6EA" w14:textId="77777777" w:rsidR="009A356E" w:rsidRPr="00F72CFE" w:rsidRDefault="009A356E" w:rsidP="009A356E">
            <w:pPr>
              <w:jc w:val="center"/>
              <w:rPr>
                <w:rFonts w:ascii="Calibri" w:hAnsi="Calibri"/>
                <w:color w:val="000000"/>
                <w:sz w:val="18"/>
                <w:szCs w:val="18"/>
                <w:lang w:eastAsia="en-AU"/>
              </w:rPr>
            </w:pPr>
            <w:r w:rsidRPr="00F72CFE">
              <w:rPr>
                <w:rFonts w:ascii="Calibri" w:hAnsi="Calibri"/>
                <w:color w:val="000000"/>
                <w:sz w:val="18"/>
                <w:szCs w:val="18"/>
                <w:lang w:eastAsia="en-AU"/>
              </w:rPr>
              <w:t>3.0%</w:t>
            </w:r>
          </w:p>
        </w:tc>
        <w:tc>
          <w:tcPr>
            <w:tcW w:w="370" w:type="pct"/>
            <w:tcBorders>
              <w:top w:val="nil"/>
              <w:left w:val="single" w:sz="8" w:space="0" w:color="auto"/>
              <w:bottom w:val="single" w:sz="4" w:space="0" w:color="auto"/>
              <w:right w:val="single" w:sz="4" w:space="0" w:color="auto"/>
            </w:tcBorders>
            <w:shd w:val="clear" w:color="000000" w:fill="FDE9D9"/>
            <w:noWrap/>
            <w:vAlign w:val="bottom"/>
            <w:hideMark/>
          </w:tcPr>
          <w:p w14:paraId="42690673"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76.2%</w:t>
            </w:r>
          </w:p>
        </w:tc>
        <w:tc>
          <w:tcPr>
            <w:tcW w:w="370" w:type="pct"/>
            <w:tcBorders>
              <w:top w:val="nil"/>
              <w:left w:val="nil"/>
              <w:bottom w:val="single" w:sz="4" w:space="0" w:color="auto"/>
              <w:right w:val="single" w:sz="4" w:space="0" w:color="auto"/>
            </w:tcBorders>
            <w:shd w:val="clear" w:color="000000" w:fill="FDE9D9"/>
            <w:noWrap/>
            <w:vAlign w:val="bottom"/>
            <w:hideMark/>
          </w:tcPr>
          <w:p w14:paraId="522942A4"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73.7%</w:t>
            </w:r>
          </w:p>
        </w:tc>
        <w:tc>
          <w:tcPr>
            <w:tcW w:w="370" w:type="pct"/>
            <w:tcBorders>
              <w:top w:val="nil"/>
              <w:left w:val="nil"/>
              <w:bottom w:val="single" w:sz="4" w:space="0" w:color="auto"/>
              <w:right w:val="single" w:sz="4" w:space="0" w:color="auto"/>
            </w:tcBorders>
            <w:shd w:val="clear" w:color="000000" w:fill="FDE9D9"/>
            <w:noWrap/>
            <w:vAlign w:val="bottom"/>
            <w:hideMark/>
          </w:tcPr>
          <w:p w14:paraId="13EE77C1"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75.1%</w:t>
            </w:r>
          </w:p>
        </w:tc>
        <w:tc>
          <w:tcPr>
            <w:tcW w:w="370" w:type="pct"/>
            <w:tcBorders>
              <w:top w:val="nil"/>
              <w:left w:val="nil"/>
              <w:bottom w:val="single" w:sz="4" w:space="0" w:color="auto"/>
              <w:right w:val="single" w:sz="4" w:space="0" w:color="auto"/>
            </w:tcBorders>
            <w:shd w:val="clear" w:color="000000" w:fill="FDE9D9"/>
            <w:noWrap/>
            <w:vAlign w:val="bottom"/>
            <w:hideMark/>
          </w:tcPr>
          <w:p w14:paraId="3E74E95A"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66.4%</w:t>
            </w:r>
          </w:p>
        </w:tc>
        <w:tc>
          <w:tcPr>
            <w:tcW w:w="370" w:type="pct"/>
            <w:tcBorders>
              <w:top w:val="nil"/>
              <w:left w:val="nil"/>
              <w:bottom w:val="single" w:sz="4" w:space="0" w:color="auto"/>
              <w:right w:val="single" w:sz="4" w:space="0" w:color="auto"/>
            </w:tcBorders>
            <w:shd w:val="clear" w:color="000000" w:fill="FDE9D9"/>
            <w:noWrap/>
            <w:vAlign w:val="bottom"/>
            <w:hideMark/>
          </w:tcPr>
          <w:p w14:paraId="2628EB0D"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44.5%</w:t>
            </w:r>
          </w:p>
        </w:tc>
        <w:tc>
          <w:tcPr>
            <w:tcW w:w="421" w:type="pct"/>
            <w:tcBorders>
              <w:top w:val="nil"/>
              <w:left w:val="nil"/>
              <w:bottom w:val="single" w:sz="4" w:space="0" w:color="auto"/>
              <w:right w:val="single" w:sz="4" w:space="0" w:color="auto"/>
            </w:tcBorders>
            <w:shd w:val="clear" w:color="000000" w:fill="FDE9D9"/>
            <w:noWrap/>
            <w:vAlign w:val="bottom"/>
            <w:hideMark/>
          </w:tcPr>
          <w:p w14:paraId="0ACE24E6"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44.8%</w:t>
            </w:r>
          </w:p>
        </w:tc>
        <w:tc>
          <w:tcPr>
            <w:tcW w:w="370" w:type="pct"/>
            <w:tcBorders>
              <w:top w:val="nil"/>
              <w:left w:val="nil"/>
              <w:bottom w:val="single" w:sz="4" w:space="0" w:color="auto"/>
              <w:right w:val="single" w:sz="4" w:space="0" w:color="auto"/>
            </w:tcBorders>
            <w:shd w:val="clear" w:color="000000" w:fill="FDE9D9"/>
            <w:noWrap/>
            <w:vAlign w:val="bottom"/>
            <w:hideMark/>
          </w:tcPr>
          <w:p w14:paraId="216A307F"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34.5%</w:t>
            </w:r>
          </w:p>
        </w:tc>
        <w:tc>
          <w:tcPr>
            <w:tcW w:w="370" w:type="pct"/>
            <w:tcBorders>
              <w:top w:val="nil"/>
              <w:left w:val="nil"/>
              <w:bottom w:val="single" w:sz="4" w:space="0" w:color="auto"/>
              <w:right w:val="single" w:sz="8" w:space="0" w:color="auto"/>
            </w:tcBorders>
            <w:shd w:val="clear" w:color="000000" w:fill="FDE9D9"/>
            <w:noWrap/>
            <w:vAlign w:val="bottom"/>
            <w:hideMark/>
          </w:tcPr>
          <w:p w14:paraId="01D340AC"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38.7%</w:t>
            </w:r>
          </w:p>
        </w:tc>
      </w:tr>
      <w:tr w:rsidR="009A356E" w:rsidRPr="00F72CFE" w14:paraId="334571E7" w14:textId="77777777" w:rsidTr="009A356E">
        <w:trPr>
          <w:trHeight w:val="240"/>
        </w:trPr>
        <w:tc>
          <w:tcPr>
            <w:tcW w:w="1292" w:type="pct"/>
            <w:tcBorders>
              <w:top w:val="nil"/>
              <w:left w:val="single" w:sz="4" w:space="0" w:color="auto"/>
              <w:bottom w:val="single" w:sz="4" w:space="0" w:color="auto"/>
              <w:right w:val="single" w:sz="4" w:space="0" w:color="auto"/>
            </w:tcBorders>
            <w:shd w:val="clear" w:color="auto" w:fill="auto"/>
            <w:noWrap/>
            <w:vAlign w:val="bottom"/>
            <w:hideMark/>
          </w:tcPr>
          <w:p w14:paraId="5241EF6C" w14:textId="77777777" w:rsidR="009A356E" w:rsidRPr="00F72CFE" w:rsidRDefault="009A356E" w:rsidP="009A356E">
            <w:pPr>
              <w:rPr>
                <w:rFonts w:ascii="Calibri" w:hAnsi="Calibri"/>
                <w:sz w:val="18"/>
                <w:szCs w:val="18"/>
                <w:lang w:eastAsia="en-AU"/>
              </w:rPr>
            </w:pPr>
            <w:r w:rsidRPr="00F72CFE">
              <w:rPr>
                <w:rFonts w:ascii="Calibri" w:hAnsi="Calibri"/>
                <w:sz w:val="18"/>
                <w:szCs w:val="18"/>
                <w:lang w:eastAsia="en-AU"/>
              </w:rPr>
              <w:t>SOUTH GIPPSLAND (S)</w:t>
            </w:r>
          </w:p>
        </w:tc>
        <w:tc>
          <w:tcPr>
            <w:tcW w:w="699" w:type="pct"/>
            <w:tcBorders>
              <w:top w:val="nil"/>
              <w:left w:val="nil"/>
              <w:bottom w:val="single" w:sz="4" w:space="0" w:color="auto"/>
              <w:right w:val="nil"/>
            </w:tcBorders>
            <w:shd w:val="clear" w:color="000000" w:fill="DAEEF3"/>
            <w:noWrap/>
            <w:vAlign w:val="bottom"/>
            <w:hideMark/>
          </w:tcPr>
          <w:p w14:paraId="468ADDA6" w14:textId="77777777" w:rsidR="009A356E" w:rsidRPr="00F72CFE" w:rsidRDefault="009A356E" w:rsidP="009A356E">
            <w:pPr>
              <w:jc w:val="center"/>
              <w:rPr>
                <w:rFonts w:ascii="Calibri" w:hAnsi="Calibri"/>
                <w:color w:val="000000"/>
                <w:sz w:val="18"/>
                <w:szCs w:val="18"/>
                <w:lang w:eastAsia="en-AU"/>
              </w:rPr>
            </w:pPr>
            <w:r w:rsidRPr="00F72CFE">
              <w:rPr>
                <w:rFonts w:ascii="Calibri" w:hAnsi="Calibri"/>
                <w:color w:val="000000"/>
                <w:sz w:val="18"/>
                <w:szCs w:val="18"/>
                <w:lang w:eastAsia="en-AU"/>
              </w:rPr>
              <w:t>4.1%</w:t>
            </w:r>
          </w:p>
        </w:tc>
        <w:tc>
          <w:tcPr>
            <w:tcW w:w="370" w:type="pct"/>
            <w:tcBorders>
              <w:top w:val="nil"/>
              <w:left w:val="single" w:sz="8" w:space="0" w:color="auto"/>
              <w:bottom w:val="single" w:sz="4" w:space="0" w:color="auto"/>
              <w:right w:val="single" w:sz="4" w:space="0" w:color="auto"/>
            </w:tcBorders>
            <w:shd w:val="clear" w:color="000000" w:fill="FDE9D9"/>
            <w:noWrap/>
            <w:vAlign w:val="bottom"/>
            <w:hideMark/>
          </w:tcPr>
          <w:p w14:paraId="5865F3DB"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16.8%</w:t>
            </w:r>
          </w:p>
        </w:tc>
        <w:tc>
          <w:tcPr>
            <w:tcW w:w="370" w:type="pct"/>
            <w:tcBorders>
              <w:top w:val="nil"/>
              <w:left w:val="nil"/>
              <w:bottom w:val="single" w:sz="4" w:space="0" w:color="auto"/>
              <w:right w:val="single" w:sz="4" w:space="0" w:color="auto"/>
            </w:tcBorders>
            <w:shd w:val="clear" w:color="000000" w:fill="FDE9D9"/>
            <w:noWrap/>
            <w:vAlign w:val="bottom"/>
            <w:hideMark/>
          </w:tcPr>
          <w:p w14:paraId="5A490E7F"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17.9%</w:t>
            </w:r>
          </w:p>
        </w:tc>
        <w:tc>
          <w:tcPr>
            <w:tcW w:w="370" w:type="pct"/>
            <w:tcBorders>
              <w:top w:val="nil"/>
              <w:left w:val="nil"/>
              <w:bottom w:val="single" w:sz="4" w:space="0" w:color="auto"/>
              <w:right w:val="single" w:sz="4" w:space="0" w:color="auto"/>
            </w:tcBorders>
            <w:shd w:val="clear" w:color="000000" w:fill="FDE9D9"/>
            <w:noWrap/>
            <w:vAlign w:val="bottom"/>
            <w:hideMark/>
          </w:tcPr>
          <w:p w14:paraId="3FBDF43B"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16.9%</w:t>
            </w:r>
          </w:p>
        </w:tc>
        <w:tc>
          <w:tcPr>
            <w:tcW w:w="370" w:type="pct"/>
            <w:tcBorders>
              <w:top w:val="nil"/>
              <w:left w:val="nil"/>
              <w:bottom w:val="single" w:sz="4" w:space="0" w:color="auto"/>
              <w:right w:val="single" w:sz="4" w:space="0" w:color="auto"/>
            </w:tcBorders>
            <w:shd w:val="clear" w:color="000000" w:fill="FDE9D9"/>
            <w:noWrap/>
            <w:vAlign w:val="bottom"/>
            <w:hideMark/>
          </w:tcPr>
          <w:p w14:paraId="754F49F5"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16.9%</w:t>
            </w:r>
          </w:p>
        </w:tc>
        <w:tc>
          <w:tcPr>
            <w:tcW w:w="370" w:type="pct"/>
            <w:tcBorders>
              <w:top w:val="nil"/>
              <w:left w:val="nil"/>
              <w:bottom w:val="single" w:sz="4" w:space="0" w:color="auto"/>
              <w:right w:val="single" w:sz="4" w:space="0" w:color="auto"/>
            </w:tcBorders>
            <w:shd w:val="clear" w:color="000000" w:fill="FDE9D9"/>
            <w:noWrap/>
            <w:vAlign w:val="bottom"/>
            <w:hideMark/>
          </w:tcPr>
          <w:p w14:paraId="7DD523A0"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21.7%</w:t>
            </w:r>
          </w:p>
        </w:tc>
        <w:tc>
          <w:tcPr>
            <w:tcW w:w="421" w:type="pct"/>
            <w:tcBorders>
              <w:top w:val="nil"/>
              <w:left w:val="nil"/>
              <w:bottom w:val="single" w:sz="4" w:space="0" w:color="auto"/>
              <w:right w:val="single" w:sz="4" w:space="0" w:color="auto"/>
            </w:tcBorders>
            <w:shd w:val="clear" w:color="000000" w:fill="FDE9D9"/>
            <w:noWrap/>
            <w:vAlign w:val="bottom"/>
            <w:hideMark/>
          </w:tcPr>
          <w:p w14:paraId="74C4B96B"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25.1%</w:t>
            </w:r>
          </w:p>
        </w:tc>
        <w:tc>
          <w:tcPr>
            <w:tcW w:w="370" w:type="pct"/>
            <w:tcBorders>
              <w:top w:val="nil"/>
              <w:left w:val="nil"/>
              <w:bottom w:val="single" w:sz="4" w:space="0" w:color="auto"/>
              <w:right w:val="single" w:sz="4" w:space="0" w:color="auto"/>
            </w:tcBorders>
            <w:shd w:val="clear" w:color="000000" w:fill="FDE9D9"/>
            <w:noWrap/>
            <w:vAlign w:val="bottom"/>
            <w:hideMark/>
          </w:tcPr>
          <w:p w14:paraId="3A0A274C"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28.8%</w:t>
            </w:r>
          </w:p>
        </w:tc>
        <w:tc>
          <w:tcPr>
            <w:tcW w:w="370" w:type="pct"/>
            <w:tcBorders>
              <w:top w:val="nil"/>
              <w:left w:val="nil"/>
              <w:bottom w:val="single" w:sz="4" w:space="0" w:color="auto"/>
              <w:right w:val="single" w:sz="8" w:space="0" w:color="auto"/>
            </w:tcBorders>
            <w:shd w:val="clear" w:color="000000" w:fill="FDE9D9"/>
            <w:noWrap/>
            <w:vAlign w:val="bottom"/>
            <w:hideMark/>
          </w:tcPr>
          <w:p w14:paraId="329257F7"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29.3%</w:t>
            </w:r>
          </w:p>
        </w:tc>
      </w:tr>
      <w:tr w:rsidR="009A356E" w:rsidRPr="00F72CFE" w14:paraId="716E5115" w14:textId="77777777" w:rsidTr="009A356E">
        <w:trPr>
          <w:trHeight w:val="240"/>
        </w:trPr>
        <w:tc>
          <w:tcPr>
            <w:tcW w:w="1292" w:type="pct"/>
            <w:tcBorders>
              <w:top w:val="nil"/>
              <w:left w:val="single" w:sz="4" w:space="0" w:color="auto"/>
              <w:bottom w:val="single" w:sz="4" w:space="0" w:color="auto"/>
              <w:right w:val="single" w:sz="4" w:space="0" w:color="auto"/>
            </w:tcBorders>
            <w:shd w:val="clear" w:color="auto" w:fill="auto"/>
            <w:noWrap/>
            <w:vAlign w:val="bottom"/>
            <w:hideMark/>
          </w:tcPr>
          <w:p w14:paraId="0A2F7639" w14:textId="77777777" w:rsidR="009A356E" w:rsidRPr="00F72CFE" w:rsidRDefault="009A356E" w:rsidP="009A356E">
            <w:pPr>
              <w:rPr>
                <w:rFonts w:ascii="Calibri" w:hAnsi="Calibri"/>
                <w:sz w:val="18"/>
                <w:szCs w:val="18"/>
                <w:lang w:eastAsia="en-AU"/>
              </w:rPr>
            </w:pPr>
            <w:r w:rsidRPr="00F72CFE">
              <w:rPr>
                <w:rFonts w:ascii="Calibri" w:hAnsi="Calibri"/>
                <w:sz w:val="18"/>
                <w:szCs w:val="18"/>
                <w:lang w:eastAsia="en-AU"/>
              </w:rPr>
              <w:t>SOUTHERN GRAMPIANS (S)</w:t>
            </w:r>
          </w:p>
        </w:tc>
        <w:tc>
          <w:tcPr>
            <w:tcW w:w="699" w:type="pct"/>
            <w:tcBorders>
              <w:top w:val="nil"/>
              <w:left w:val="nil"/>
              <w:bottom w:val="single" w:sz="4" w:space="0" w:color="auto"/>
              <w:right w:val="nil"/>
            </w:tcBorders>
            <w:shd w:val="clear" w:color="000000" w:fill="DAEEF3"/>
            <w:noWrap/>
            <w:vAlign w:val="bottom"/>
            <w:hideMark/>
          </w:tcPr>
          <w:p w14:paraId="59D7313D" w14:textId="77777777" w:rsidR="009A356E" w:rsidRPr="00F72CFE" w:rsidRDefault="009A356E" w:rsidP="009A356E">
            <w:pPr>
              <w:jc w:val="center"/>
              <w:rPr>
                <w:rFonts w:ascii="Calibri" w:hAnsi="Calibri"/>
                <w:color w:val="000000"/>
                <w:sz w:val="18"/>
                <w:szCs w:val="18"/>
                <w:lang w:eastAsia="en-AU"/>
              </w:rPr>
            </w:pPr>
            <w:r w:rsidRPr="00F72CFE">
              <w:rPr>
                <w:rFonts w:ascii="Calibri" w:hAnsi="Calibri"/>
                <w:color w:val="000000"/>
                <w:sz w:val="18"/>
                <w:szCs w:val="18"/>
                <w:lang w:eastAsia="en-AU"/>
              </w:rPr>
              <w:t>5.2%</w:t>
            </w:r>
          </w:p>
        </w:tc>
        <w:tc>
          <w:tcPr>
            <w:tcW w:w="370" w:type="pct"/>
            <w:tcBorders>
              <w:top w:val="nil"/>
              <w:left w:val="single" w:sz="8" w:space="0" w:color="auto"/>
              <w:bottom w:val="single" w:sz="4" w:space="0" w:color="auto"/>
              <w:right w:val="single" w:sz="4" w:space="0" w:color="auto"/>
            </w:tcBorders>
            <w:shd w:val="clear" w:color="000000" w:fill="FDE9D9"/>
            <w:noWrap/>
            <w:vAlign w:val="bottom"/>
            <w:hideMark/>
          </w:tcPr>
          <w:p w14:paraId="2F88C468"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47.4%</w:t>
            </w:r>
          </w:p>
        </w:tc>
        <w:tc>
          <w:tcPr>
            <w:tcW w:w="370" w:type="pct"/>
            <w:tcBorders>
              <w:top w:val="nil"/>
              <w:left w:val="nil"/>
              <w:bottom w:val="single" w:sz="4" w:space="0" w:color="auto"/>
              <w:right w:val="single" w:sz="4" w:space="0" w:color="auto"/>
            </w:tcBorders>
            <w:shd w:val="clear" w:color="000000" w:fill="FDE9D9"/>
            <w:noWrap/>
            <w:vAlign w:val="bottom"/>
            <w:hideMark/>
          </w:tcPr>
          <w:p w14:paraId="2CE39C0E"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58.2%</w:t>
            </w:r>
          </w:p>
        </w:tc>
        <w:tc>
          <w:tcPr>
            <w:tcW w:w="370" w:type="pct"/>
            <w:tcBorders>
              <w:top w:val="nil"/>
              <w:left w:val="nil"/>
              <w:bottom w:val="single" w:sz="4" w:space="0" w:color="auto"/>
              <w:right w:val="single" w:sz="4" w:space="0" w:color="auto"/>
            </w:tcBorders>
            <w:shd w:val="clear" w:color="000000" w:fill="FDE9D9"/>
            <w:noWrap/>
            <w:vAlign w:val="bottom"/>
            <w:hideMark/>
          </w:tcPr>
          <w:p w14:paraId="32E6897F"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50.2%</w:t>
            </w:r>
          </w:p>
        </w:tc>
        <w:tc>
          <w:tcPr>
            <w:tcW w:w="370" w:type="pct"/>
            <w:tcBorders>
              <w:top w:val="nil"/>
              <w:left w:val="nil"/>
              <w:bottom w:val="single" w:sz="4" w:space="0" w:color="auto"/>
              <w:right w:val="single" w:sz="4" w:space="0" w:color="auto"/>
            </w:tcBorders>
            <w:shd w:val="clear" w:color="000000" w:fill="FDE9D9"/>
            <w:noWrap/>
            <w:vAlign w:val="bottom"/>
            <w:hideMark/>
          </w:tcPr>
          <w:p w14:paraId="5135A0C2"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50.2%</w:t>
            </w:r>
          </w:p>
        </w:tc>
        <w:tc>
          <w:tcPr>
            <w:tcW w:w="370" w:type="pct"/>
            <w:tcBorders>
              <w:top w:val="nil"/>
              <w:left w:val="nil"/>
              <w:bottom w:val="single" w:sz="4" w:space="0" w:color="auto"/>
              <w:right w:val="single" w:sz="4" w:space="0" w:color="auto"/>
            </w:tcBorders>
            <w:shd w:val="clear" w:color="000000" w:fill="FDE9D9"/>
            <w:noWrap/>
            <w:vAlign w:val="bottom"/>
            <w:hideMark/>
          </w:tcPr>
          <w:p w14:paraId="1165013B"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48.5%</w:t>
            </w:r>
          </w:p>
        </w:tc>
        <w:tc>
          <w:tcPr>
            <w:tcW w:w="421" w:type="pct"/>
            <w:tcBorders>
              <w:top w:val="nil"/>
              <w:left w:val="nil"/>
              <w:bottom w:val="single" w:sz="4" w:space="0" w:color="auto"/>
              <w:right w:val="single" w:sz="4" w:space="0" w:color="auto"/>
            </w:tcBorders>
            <w:shd w:val="clear" w:color="000000" w:fill="FDE9D9"/>
            <w:noWrap/>
            <w:vAlign w:val="bottom"/>
            <w:hideMark/>
          </w:tcPr>
          <w:p w14:paraId="6AECE43C"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42.9%</w:t>
            </w:r>
          </w:p>
        </w:tc>
        <w:tc>
          <w:tcPr>
            <w:tcW w:w="370" w:type="pct"/>
            <w:tcBorders>
              <w:top w:val="nil"/>
              <w:left w:val="nil"/>
              <w:bottom w:val="single" w:sz="4" w:space="0" w:color="auto"/>
              <w:right w:val="single" w:sz="4" w:space="0" w:color="auto"/>
            </w:tcBorders>
            <w:shd w:val="clear" w:color="000000" w:fill="FDE9D9"/>
            <w:noWrap/>
            <w:vAlign w:val="bottom"/>
            <w:hideMark/>
          </w:tcPr>
          <w:p w14:paraId="1CFCCDA8"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43.2%</w:t>
            </w:r>
          </w:p>
        </w:tc>
        <w:tc>
          <w:tcPr>
            <w:tcW w:w="370" w:type="pct"/>
            <w:tcBorders>
              <w:top w:val="nil"/>
              <w:left w:val="nil"/>
              <w:bottom w:val="single" w:sz="4" w:space="0" w:color="auto"/>
              <w:right w:val="single" w:sz="8" w:space="0" w:color="auto"/>
            </w:tcBorders>
            <w:shd w:val="clear" w:color="000000" w:fill="FDE9D9"/>
            <w:noWrap/>
            <w:vAlign w:val="bottom"/>
            <w:hideMark/>
          </w:tcPr>
          <w:p w14:paraId="296A6340"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41.5%</w:t>
            </w:r>
          </w:p>
        </w:tc>
      </w:tr>
      <w:tr w:rsidR="009A356E" w:rsidRPr="00F72CFE" w14:paraId="7FCCABBF" w14:textId="77777777" w:rsidTr="009A356E">
        <w:trPr>
          <w:trHeight w:val="240"/>
        </w:trPr>
        <w:tc>
          <w:tcPr>
            <w:tcW w:w="1292" w:type="pct"/>
            <w:tcBorders>
              <w:top w:val="nil"/>
              <w:left w:val="single" w:sz="4" w:space="0" w:color="auto"/>
              <w:bottom w:val="single" w:sz="4" w:space="0" w:color="auto"/>
              <w:right w:val="single" w:sz="4" w:space="0" w:color="auto"/>
            </w:tcBorders>
            <w:shd w:val="clear" w:color="auto" w:fill="auto"/>
            <w:noWrap/>
            <w:vAlign w:val="bottom"/>
            <w:hideMark/>
          </w:tcPr>
          <w:p w14:paraId="302993BB" w14:textId="77777777" w:rsidR="009A356E" w:rsidRPr="00F72CFE" w:rsidRDefault="009A356E" w:rsidP="009A356E">
            <w:pPr>
              <w:rPr>
                <w:rFonts w:ascii="Calibri" w:hAnsi="Calibri"/>
                <w:sz w:val="18"/>
                <w:szCs w:val="18"/>
                <w:lang w:eastAsia="en-AU"/>
              </w:rPr>
            </w:pPr>
            <w:r w:rsidRPr="00F72CFE">
              <w:rPr>
                <w:rFonts w:ascii="Calibri" w:hAnsi="Calibri"/>
                <w:sz w:val="18"/>
                <w:szCs w:val="18"/>
                <w:lang w:eastAsia="en-AU"/>
              </w:rPr>
              <w:t>STRATHBOGIE (S)</w:t>
            </w:r>
          </w:p>
        </w:tc>
        <w:tc>
          <w:tcPr>
            <w:tcW w:w="699" w:type="pct"/>
            <w:tcBorders>
              <w:top w:val="nil"/>
              <w:left w:val="nil"/>
              <w:bottom w:val="single" w:sz="4" w:space="0" w:color="auto"/>
              <w:right w:val="nil"/>
            </w:tcBorders>
            <w:shd w:val="clear" w:color="000000" w:fill="DAEEF3"/>
            <w:noWrap/>
            <w:vAlign w:val="bottom"/>
            <w:hideMark/>
          </w:tcPr>
          <w:p w14:paraId="46154593" w14:textId="77777777" w:rsidR="009A356E" w:rsidRPr="00F72CFE" w:rsidRDefault="009A356E" w:rsidP="009A356E">
            <w:pPr>
              <w:jc w:val="center"/>
              <w:rPr>
                <w:rFonts w:ascii="Calibri" w:hAnsi="Calibri"/>
                <w:color w:val="000000"/>
                <w:sz w:val="18"/>
                <w:szCs w:val="18"/>
                <w:lang w:eastAsia="en-AU"/>
              </w:rPr>
            </w:pPr>
            <w:r w:rsidRPr="00F72CFE">
              <w:rPr>
                <w:rFonts w:ascii="Calibri" w:hAnsi="Calibri"/>
                <w:color w:val="000000"/>
                <w:sz w:val="18"/>
                <w:szCs w:val="18"/>
                <w:lang w:eastAsia="en-AU"/>
              </w:rPr>
              <w:t>8.8%</w:t>
            </w:r>
          </w:p>
        </w:tc>
        <w:tc>
          <w:tcPr>
            <w:tcW w:w="370" w:type="pct"/>
            <w:tcBorders>
              <w:top w:val="nil"/>
              <w:left w:val="single" w:sz="8" w:space="0" w:color="auto"/>
              <w:bottom w:val="single" w:sz="4" w:space="0" w:color="auto"/>
              <w:right w:val="single" w:sz="4" w:space="0" w:color="auto"/>
            </w:tcBorders>
            <w:shd w:val="clear" w:color="000000" w:fill="FDE9D9"/>
            <w:noWrap/>
            <w:vAlign w:val="bottom"/>
            <w:hideMark/>
          </w:tcPr>
          <w:p w14:paraId="391AEDAC"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14.2%</w:t>
            </w:r>
          </w:p>
        </w:tc>
        <w:tc>
          <w:tcPr>
            <w:tcW w:w="370" w:type="pct"/>
            <w:tcBorders>
              <w:top w:val="nil"/>
              <w:left w:val="nil"/>
              <w:bottom w:val="single" w:sz="4" w:space="0" w:color="auto"/>
              <w:right w:val="single" w:sz="4" w:space="0" w:color="auto"/>
            </w:tcBorders>
            <w:shd w:val="clear" w:color="000000" w:fill="FDE9D9"/>
            <w:noWrap/>
            <w:vAlign w:val="bottom"/>
            <w:hideMark/>
          </w:tcPr>
          <w:p w14:paraId="591CAE15"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16.1%</w:t>
            </w:r>
          </w:p>
        </w:tc>
        <w:tc>
          <w:tcPr>
            <w:tcW w:w="370" w:type="pct"/>
            <w:tcBorders>
              <w:top w:val="nil"/>
              <w:left w:val="nil"/>
              <w:bottom w:val="single" w:sz="4" w:space="0" w:color="auto"/>
              <w:right w:val="single" w:sz="4" w:space="0" w:color="auto"/>
            </w:tcBorders>
            <w:shd w:val="clear" w:color="000000" w:fill="FDE9D9"/>
            <w:noWrap/>
            <w:vAlign w:val="bottom"/>
            <w:hideMark/>
          </w:tcPr>
          <w:p w14:paraId="3C4F4A39"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17.5%</w:t>
            </w:r>
          </w:p>
        </w:tc>
        <w:tc>
          <w:tcPr>
            <w:tcW w:w="370" w:type="pct"/>
            <w:tcBorders>
              <w:top w:val="nil"/>
              <w:left w:val="nil"/>
              <w:bottom w:val="single" w:sz="4" w:space="0" w:color="auto"/>
              <w:right w:val="single" w:sz="4" w:space="0" w:color="auto"/>
            </w:tcBorders>
            <w:shd w:val="clear" w:color="000000" w:fill="FDE9D9"/>
            <w:noWrap/>
            <w:vAlign w:val="bottom"/>
            <w:hideMark/>
          </w:tcPr>
          <w:p w14:paraId="48DF4A71"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18.1%</w:t>
            </w:r>
          </w:p>
        </w:tc>
        <w:tc>
          <w:tcPr>
            <w:tcW w:w="370" w:type="pct"/>
            <w:tcBorders>
              <w:top w:val="nil"/>
              <w:left w:val="nil"/>
              <w:bottom w:val="single" w:sz="4" w:space="0" w:color="auto"/>
              <w:right w:val="single" w:sz="4" w:space="0" w:color="auto"/>
            </w:tcBorders>
            <w:shd w:val="clear" w:color="000000" w:fill="FDE9D9"/>
            <w:noWrap/>
            <w:vAlign w:val="bottom"/>
            <w:hideMark/>
          </w:tcPr>
          <w:p w14:paraId="3937B3CF"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25.8%</w:t>
            </w:r>
          </w:p>
        </w:tc>
        <w:tc>
          <w:tcPr>
            <w:tcW w:w="421" w:type="pct"/>
            <w:tcBorders>
              <w:top w:val="nil"/>
              <w:left w:val="nil"/>
              <w:bottom w:val="single" w:sz="4" w:space="0" w:color="auto"/>
              <w:right w:val="single" w:sz="4" w:space="0" w:color="auto"/>
            </w:tcBorders>
            <w:shd w:val="clear" w:color="000000" w:fill="FDE9D9"/>
            <w:noWrap/>
            <w:vAlign w:val="bottom"/>
            <w:hideMark/>
          </w:tcPr>
          <w:p w14:paraId="28F9CF1D"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29.6%</w:t>
            </w:r>
          </w:p>
        </w:tc>
        <w:tc>
          <w:tcPr>
            <w:tcW w:w="370" w:type="pct"/>
            <w:tcBorders>
              <w:top w:val="nil"/>
              <w:left w:val="nil"/>
              <w:bottom w:val="single" w:sz="4" w:space="0" w:color="auto"/>
              <w:right w:val="single" w:sz="4" w:space="0" w:color="auto"/>
            </w:tcBorders>
            <w:shd w:val="clear" w:color="000000" w:fill="FDE9D9"/>
            <w:noWrap/>
            <w:vAlign w:val="bottom"/>
            <w:hideMark/>
          </w:tcPr>
          <w:p w14:paraId="128B46E2"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33.1%</w:t>
            </w:r>
          </w:p>
        </w:tc>
        <w:tc>
          <w:tcPr>
            <w:tcW w:w="370" w:type="pct"/>
            <w:tcBorders>
              <w:top w:val="nil"/>
              <w:left w:val="nil"/>
              <w:bottom w:val="single" w:sz="4" w:space="0" w:color="auto"/>
              <w:right w:val="single" w:sz="8" w:space="0" w:color="auto"/>
            </w:tcBorders>
            <w:shd w:val="clear" w:color="000000" w:fill="FDE9D9"/>
            <w:noWrap/>
            <w:vAlign w:val="bottom"/>
            <w:hideMark/>
          </w:tcPr>
          <w:p w14:paraId="042AFA30"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37.9%</w:t>
            </w:r>
          </w:p>
        </w:tc>
      </w:tr>
      <w:tr w:rsidR="009A356E" w:rsidRPr="00F72CFE" w14:paraId="5FD0395F" w14:textId="77777777" w:rsidTr="009A356E">
        <w:trPr>
          <w:trHeight w:val="240"/>
        </w:trPr>
        <w:tc>
          <w:tcPr>
            <w:tcW w:w="1292" w:type="pct"/>
            <w:tcBorders>
              <w:top w:val="nil"/>
              <w:left w:val="single" w:sz="4" w:space="0" w:color="auto"/>
              <w:bottom w:val="single" w:sz="4" w:space="0" w:color="auto"/>
              <w:right w:val="single" w:sz="4" w:space="0" w:color="auto"/>
            </w:tcBorders>
            <w:shd w:val="clear" w:color="auto" w:fill="auto"/>
            <w:noWrap/>
            <w:vAlign w:val="bottom"/>
            <w:hideMark/>
          </w:tcPr>
          <w:p w14:paraId="69E5B3F2" w14:textId="77777777" w:rsidR="009A356E" w:rsidRPr="00F72CFE" w:rsidRDefault="009A356E" w:rsidP="009A356E">
            <w:pPr>
              <w:rPr>
                <w:rFonts w:ascii="Calibri" w:hAnsi="Calibri"/>
                <w:sz w:val="18"/>
                <w:szCs w:val="18"/>
                <w:lang w:eastAsia="en-AU"/>
              </w:rPr>
            </w:pPr>
            <w:r w:rsidRPr="00F72CFE">
              <w:rPr>
                <w:rFonts w:ascii="Calibri" w:hAnsi="Calibri"/>
                <w:sz w:val="18"/>
                <w:szCs w:val="18"/>
                <w:lang w:eastAsia="en-AU"/>
              </w:rPr>
              <w:t>SURF COAST (S)</w:t>
            </w:r>
          </w:p>
        </w:tc>
        <w:tc>
          <w:tcPr>
            <w:tcW w:w="699" w:type="pct"/>
            <w:tcBorders>
              <w:top w:val="nil"/>
              <w:left w:val="nil"/>
              <w:bottom w:val="single" w:sz="4" w:space="0" w:color="auto"/>
              <w:right w:val="nil"/>
            </w:tcBorders>
            <w:shd w:val="clear" w:color="000000" w:fill="DAEEF3"/>
            <w:noWrap/>
            <w:vAlign w:val="bottom"/>
            <w:hideMark/>
          </w:tcPr>
          <w:p w14:paraId="2C354AF8" w14:textId="77777777" w:rsidR="009A356E" w:rsidRPr="00F72CFE" w:rsidRDefault="009A356E" w:rsidP="009A356E">
            <w:pPr>
              <w:jc w:val="center"/>
              <w:rPr>
                <w:rFonts w:ascii="Calibri" w:hAnsi="Calibri"/>
                <w:color w:val="000000"/>
                <w:sz w:val="18"/>
                <w:szCs w:val="18"/>
                <w:lang w:eastAsia="en-AU"/>
              </w:rPr>
            </w:pPr>
            <w:r w:rsidRPr="00F72CFE">
              <w:rPr>
                <w:rFonts w:ascii="Calibri" w:hAnsi="Calibri"/>
                <w:color w:val="000000"/>
                <w:sz w:val="18"/>
                <w:szCs w:val="18"/>
                <w:lang w:eastAsia="en-AU"/>
              </w:rPr>
              <w:t>7.0%</w:t>
            </w:r>
          </w:p>
        </w:tc>
        <w:tc>
          <w:tcPr>
            <w:tcW w:w="370" w:type="pct"/>
            <w:tcBorders>
              <w:top w:val="nil"/>
              <w:left w:val="single" w:sz="8" w:space="0" w:color="auto"/>
              <w:bottom w:val="single" w:sz="4" w:space="0" w:color="auto"/>
              <w:right w:val="single" w:sz="4" w:space="0" w:color="auto"/>
            </w:tcBorders>
            <w:shd w:val="clear" w:color="000000" w:fill="FDE9D9"/>
            <w:noWrap/>
            <w:vAlign w:val="bottom"/>
            <w:hideMark/>
          </w:tcPr>
          <w:p w14:paraId="1389CFD5"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13.6%</w:t>
            </w:r>
          </w:p>
        </w:tc>
        <w:tc>
          <w:tcPr>
            <w:tcW w:w="370" w:type="pct"/>
            <w:tcBorders>
              <w:top w:val="nil"/>
              <w:left w:val="nil"/>
              <w:bottom w:val="single" w:sz="4" w:space="0" w:color="auto"/>
              <w:right w:val="single" w:sz="4" w:space="0" w:color="auto"/>
            </w:tcBorders>
            <w:shd w:val="clear" w:color="000000" w:fill="FDE9D9"/>
            <w:noWrap/>
            <w:vAlign w:val="bottom"/>
            <w:hideMark/>
          </w:tcPr>
          <w:p w14:paraId="28F6D9A6"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14.6%</w:t>
            </w:r>
          </w:p>
        </w:tc>
        <w:tc>
          <w:tcPr>
            <w:tcW w:w="370" w:type="pct"/>
            <w:tcBorders>
              <w:top w:val="nil"/>
              <w:left w:val="nil"/>
              <w:bottom w:val="single" w:sz="4" w:space="0" w:color="auto"/>
              <w:right w:val="single" w:sz="4" w:space="0" w:color="auto"/>
            </w:tcBorders>
            <w:shd w:val="clear" w:color="000000" w:fill="FDE9D9"/>
            <w:noWrap/>
            <w:vAlign w:val="bottom"/>
            <w:hideMark/>
          </w:tcPr>
          <w:p w14:paraId="210882C8"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14.9%</w:t>
            </w:r>
          </w:p>
        </w:tc>
        <w:tc>
          <w:tcPr>
            <w:tcW w:w="370" w:type="pct"/>
            <w:tcBorders>
              <w:top w:val="nil"/>
              <w:left w:val="nil"/>
              <w:bottom w:val="single" w:sz="4" w:space="0" w:color="auto"/>
              <w:right w:val="single" w:sz="4" w:space="0" w:color="auto"/>
            </w:tcBorders>
            <w:shd w:val="clear" w:color="000000" w:fill="FDE9D9"/>
            <w:noWrap/>
            <w:vAlign w:val="bottom"/>
            <w:hideMark/>
          </w:tcPr>
          <w:p w14:paraId="5E8E0573"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14.5%</w:t>
            </w:r>
          </w:p>
        </w:tc>
        <w:tc>
          <w:tcPr>
            <w:tcW w:w="370" w:type="pct"/>
            <w:tcBorders>
              <w:top w:val="nil"/>
              <w:left w:val="nil"/>
              <w:bottom w:val="single" w:sz="4" w:space="0" w:color="auto"/>
              <w:right w:val="single" w:sz="4" w:space="0" w:color="auto"/>
            </w:tcBorders>
            <w:shd w:val="clear" w:color="000000" w:fill="FDE9D9"/>
            <w:noWrap/>
            <w:vAlign w:val="bottom"/>
            <w:hideMark/>
          </w:tcPr>
          <w:p w14:paraId="097401F8"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14.6%</w:t>
            </w:r>
          </w:p>
        </w:tc>
        <w:tc>
          <w:tcPr>
            <w:tcW w:w="421" w:type="pct"/>
            <w:tcBorders>
              <w:top w:val="nil"/>
              <w:left w:val="nil"/>
              <w:bottom w:val="single" w:sz="4" w:space="0" w:color="auto"/>
              <w:right w:val="single" w:sz="4" w:space="0" w:color="auto"/>
            </w:tcBorders>
            <w:shd w:val="clear" w:color="000000" w:fill="FDE9D9"/>
            <w:noWrap/>
            <w:vAlign w:val="bottom"/>
            <w:hideMark/>
          </w:tcPr>
          <w:p w14:paraId="427C3DDE"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13.5%</w:t>
            </w:r>
          </w:p>
        </w:tc>
        <w:tc>
          <w:tcPr>
            <w:tcW w:w="370" w:type="pct"/>
            <w:tcBorders>
              <w:top w:val="nil"/>
              <w:left w:val="nil"/>
              <w:bottom w:val="single" w:sz="4" w:space="0" w:color="auto"/>
              <w:right w:val="single" w:sz="4" w:space="0" w:color="auto"/>
            </w:tcBorders>
            <w:shd w:val="clear" w:color="000000" w:fill="FDE9D9"/>
            <w:noWrap/>
            <w:vAlign w:val="bottom"/>
            <w:hideMark/>
          </w:tcPr>
          <w:p w14:paraId="335E3F06"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12.9%</w:t>
            </w:r>
          </w:p>
        </w:tc>
        <w:tc>
          <w:tcPr>
            <w:tcW w:w="370" w:type="pct"/>
            <w:tcBorders>
              <w:top w:val="nil"/>
              <w:left w:val="nil"/>
              <w:bottom w:val="single" w:sz="4" w:space="0" w:color="auto"/>
              <w:right w:val="single" w:sz="8" w:space="0" w:color="auto"/>
            </w:tcBorders>
            <w:shd w:val="clear" w:color="000000" w:fill="FDE9D9"/>
            <w:noWrap/>
            <w:vAlign w:val="bottom"/>
            <w:hideMark/>
          </w:tcPr>
          <w:p w14:paraId="41A486B2"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13.1%</w:t>
            </w:r>
          </w:p>
        </w:tc>
      </w:tr>
      <w:tr w:rsidR="009A356E" w:rsidRPr="00F72CFE" w14:paraId="7E7CC94C" w14:textId="77777777" w:rsidTr="009A356E">
        <w:trPr>
          <w:trHeight w:val="240"/>
        </w:trPr>
        <w:tc>
          <w:tcPr>
            <w:tcW w:w="1292" w:type="pct"/>
            <w:tcBorders>
              <w:top w:val="nil"/>
              <w:left w:val="single" w:sz="4" w:space="0" w:color="auto"/>
              <w:bottom w:val="single" w:sz="4" w:space="0" w:color="auto"/>
              <w:right w:val="single" w:sz="4" w:space="0" w:color="auto"/>
            </w:tcBorders>
            <w:shd w:val="clear" w:color="auto" w:fill="auto"/>
            <w:noWrap/>
            <w:vAlign w:val="bottom"/>
            <w:hideMark/>
          </w:tcPr>
          <w:p w14:paraId="5235E221" w14:textId="77777777" w:rsidR="009A356E" w:rsidRPr="00F72CFE" w:rsidRDefault="009A356E" w:rsidP="009A356E">
            <w:pPr>
              <w:rPr>
                <w:rFonts w:ascii="Calibri" w:hAnsi="Calibri"/>
                <w:sz w:val="18"/>
                <w:szCs w:val="18"/>
                <w:lang w:eastAsia="en-AU"/>
              </w:rPr>
            </w:pPr>
            <w:r w:rsidRPr="00F72CFE">
              <w:rPr>
                <w:rFonts w:ascii="Calibri" w:hAnsi="Calibri"/>
                <w:sz w:val="18"/>
                <w:szCs w:val="18"/>
                <w:lang w:eastAsia="en-AU"/>
              </w:rPr>
              <w:t>SWAN HILL (RC)</w:t>
            </w:r>
          </w:p>
        </w:tc>
        <w:tc>
          <w:tcPr>
            <w:tcW w:w="699" w:type="pct"/>
            <w:tcBorders>
              <w:top w:val="nil"/>
              <w:left w:val="nil"/>
              <w:bottom w:val="single" w:sz="4" w:space="0" w:color="auto"/>
              <w:right w:val="nil"/>
            </w:tcBorders>
            <w:shd w:val="clear" w:color="000000" w:fill="DAEEF3"/>
            <w:noWrap/>
            <w:vAlign w:val="bottom"/>
            <w:hideMark/>
          </w:tcPr>
          <w:p w14:paraId="7830E60D" w14:textId="77777777" w:rsidR="009A356E" w:rsidRPr="00F72CFE" w:rsidRDefault="009A356E" w:rsidP="009A356E">
            <w:pPr>
              <w:jc w:val="center"/>
              <w:rPr>
                <w:rFonts w:ascii="Calibri" w:hAnsi="Calibri"/>
                <w:color w:val="000000"/>
                <w:sz w:val="18"/>
                <w:szCs w:val="18"/>
                <w:lang w:eastAsia="en-AU"/>
              </w:rPr>
            </w:pPr>
            <w:r w:rsidRPr="00F72CFE">
              <w:rPr>
                <w:rFonts w:ascii="Calibri" w:hAnsi="Calibri"/>
                <w:color w:val="000000"/>
                <w:sz w:val="18"/>
                <w:szCs w:val="18"/>
                <w:lang w:eastAsia="en-AU"/>
              </w:rPr>
              <w:t>8.8%</w:t>
            </w:r>
          </w:p>
        </w:tc>
        <w:tc>
          <w:tcPr>
            <w:tcW w:w="370" w:type="pct"/>
            <w:tcBorders>
              <w:top w:val="nil"/>
              <w:left w:val="single" w:sz="8" w:space="0" w:color="auto"/>
              <w:bottom w:val="single" w:sz="4" w:space="0" w:color="auto"/>
              <w:right w:val="single" w:sz="4" w:space="0" w:color="auto"/>
            </w:tcBorders>
            <w:shd w:val="clear" w:color="000000" w:fill="FDE9D9"/>
            <w:noWrap/>
            <w:vAlign w:val="bottom"/>
            <w:hideMark/>
          </w:tcPr>
          <w:p w14:paraId="06F6674E"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16.6%</w:t>
            </w:r>
          </w:p>
        </w:tc>
        <w:tc>
          <w:tcPr>
            <w:tcW w:w="370" w:type="pct"/>
            <w:tcBorders>
              <w:top w:val="nil"/>
              <w:left w:val="nil"/>
              <w:bottom w:val="single" w:sz="4" w:space="0" w:color="auto"/>
              <w:right w:val="single" w:sz="4" w:space="0" w:color="auto"/>
            </w:tcBorders>
            <w:shd w:val="clear" w:color="000000" w:fill="FDE9D9"/>
            <w:noWrap/>
            <w:vAlign w:val="bottom"/>
            <w:hideMark/>
          </w:tcPr>
          <w:p w14:paraId="35E5C213"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17.4%</w:t>
            </w:r>
          </w:p>
        </w:tc>
        <w:tc>
          <w:tcPr>
            <w:tcW w:w="370" w:type="pct"/>
            <w:tcBorders>
              <w:top w:val="nil"/>
              <w:left w:val="nil"/>
              <w:bottom w:val="single" w:sz="4" w:space="0" w:color="auto"/>
              <w:right w:val="single" w:sz="4" w:space="0" w:color="auto"/>
            </w:tcBorders>
            <w:shd w:val="clear" w:color="000000" w:fill="FDE9D9"/>
            <w:noWrap/>
            <w:vAlign w:val="bottom"/>
            <w:hideMark/>
          </w:tcPr>
          <w:p w14:paraId="4A532938"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23.3%</w:t>
            </w:r>
          </w:p>
        </w:tc>
        <w:tc>
          <w:tcPr>
            <w:tcW w:w="370" w:type="pct"/>
            <w:tcBorders>
              <w:top w:val="nil"/>
              <w:left w:val="nil"/>
              <w:bottom w:val="single" w:sz="4" w:space="0" w:color="auto"/>
              <w:right w:val="single" w:sz="4" w:space="0" w:color="auto"/>
            </w:tcBorders>
            <w:shd w:val="clear" w:color="000000" w:fill="FDE9D9"/>
            <w:noWrap/>
            <w:vAlign w:val="bottom"/>
            <w:hideMark/>
          </w:tcPr>
          <w:p w14:paraId="73612CC5"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25.6%</w:t>
            </w:r>
          </w:p>
        </w:tc>
        <w:tc>
          <w:tcPr>
            <w:tcW w:w="370" w:type="pct"/>
            <w:tcBorders>
              <w:top w:val="nil"/>
              <w:left w:val="nil"/>
              <w:bottom w:val="single" w:sz="4" w:space="0" w:color="auto"/>
              <w:right w:val="single" w:sz="4" w:space="0" w:color="auto"/>
            </w:tcBorders>
            <w:shd w:val="clear" w:color="000000" w:fill="FDE9D9"/>
            <w:noWrap/>
            <w:vAlign w:val="bottom"/>
            <w:hideMark/>
          </w:tcPr>
          <w:p w14:paraId="71FF8331"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33.3%</w:t>
            </w:r>
          </w:p>
        </w:tc>
        <w:tc>
          <w:tcPr>
            <w:tcW w:w="421" w:type="pct"/>
            <w:tcBorders>
              <w:top w:val="nil"/>
              <w:left w:val="nil"/>
              <w:bottom w:val="single" w:sz="4" w:space="0" w:color="auto"/>
              <w:right w:val="single" w:sz="4" w:space="0" w:color="auto"/>
            </w:tcBorders>
            <w:shd w:val="clear" w:color="000000" w:fill="FDE9D9"/>
            <w:noWrap/>
            <w:vAlign w:val="bottom"/>
            <w:hideMark/>
          </w:tcPr>
          <w:p w14:paraId="7258D1C7"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39.1%</w:t>
            </w:r>
          </w:p>
        </w:tc>
        <w:tc>
          <w:tcPr>
            <w:tcW w:w="370" w:type="pct"/>
            <w:tcBorders>
              <w:top w:val="nil"/>
              <w:left w:val="nil"/>
              <w:bottom w:val="single" w:sz="4" w:space="0" w:color="auto"/>
              <w:right w:val="single" w:sz="4" w:space="0" w:color="auto"/>
            </w:tcBorders>
            <w:shd w:val="clear" w:color="000000" w:fill="FDE9D9"/>
            <w:noWrap/>
            <w:vAlign w:val="bottom"/>
            <w:hideMark/>
          </w:tcPr>
          <w:p w14:paraId="5474BD8C"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36.4%</w:t>
            </w:r>
          </w:p>
        </w:tc>
        <w:tc>
          <w:tcPr>
            <w:tcW w:w="370" w:type="pct"/>
            <w:tcBorders>
              <w:top w:val="nil"/>
              <w:left w:val="nil"/>
              <w:bottom w:val="single" w:sz="4" w:space="0" w:color="auto"/>
              <w:right w:val="single" w:sz="8" w:space="0" w:color="auto"/>
            </w:tcBorders>
            <w:shd w:val="clear" w:color="000000" w:fill="FDE9D9"/>
            <w:noWrap/>
            <w:vAlign w:val="bottom"/>
            <w:hideMark/>
          </w:tcPr>
          <w:p w14:paraId="1D988040"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36.7%</w:t>
            </w:r>
          </w:p>
        </w:tc>
      </w:tr>
      <w:tr w:rsidR="009A356E" w:rsidRPr="00F72CFE" w14:paraId="0EA251AF" w14:textId="77777777" w:rsidTr="009A356E">
        <w:trPr>
          <w:trHeight w:val="240"/>
        </w:trPr>
        <w:tc>
          <w:tcPr>
            <w:tcW w:w="1292" w:type="pct"/>
            <w:tcBorders>
              <w:top w:val="nil"/>
              <w:left w:val="single" w:sz="4" w:space="0" w:color="auto"/>
              <w:bottom w:val="single" w:sz="4" w:space="0" w:color="auto"/>
              <w:right w:val="single" w:sz="4" w:space="0" w:color="auto"/>
            </w:tcBorders>
            <w:shd w:val="clear" w:color="auto" w:fill="auto"/>
            <w:noWrap/>
            <w:vAlign w:val="bottom"/>
            <w:hideMark/>
          </w:tcPr>
          <w:p w14:paraId="144375B4" w14:textId="77777777" w:rsidR="009A356E" w:rsidRPr="00F72CFE" w:rsidRDefault="009A356E" w:rsidP="009A356E">
            <w:pPr>
              <w:rPr>
                <w:rFonts w:ascii="Calibri" w:hAnsi="Calibri"/>
                <w:sz w:val="18"/>
                <w:szCs w:val="18"/>
                <w:lang w:eastAsia="en-AU"/>
              </w:rPr>
            </w:pPr>
            <w:r w:rsidRPr="00F72CFE">
              <w:rPr>
                <w:rFonts w:ascii="Calibri" w:hAnsi="Calibri"/>
                <w:sz w:val="18"/>
                <w:szCs w:val="18"/>
                <w:lang w:eastAsia="en-AU"/>
              </w:rPr>
              <w:t>TOWONG (S)</w:t>
            </w:r>
          </w:p>
        </w:tc>
        <w:tc>
          <w:tcPr>
            <w:tcW w:w="699" w:type="pct"/>
            <w:tcBorders>
              <w:top w:val="nil"/>
              <w:left w:val="nil"/>
              <w:bottom w:val="single" w:sz="4" w:space="0" w:color="auto"/>
              <w:right w:val="nil"/>
            </w:tcBorders>
            <w:shd w:val="clear" w:color="000000" w:fill="DAEEF3"/>
            <w:noWrap/>
            <w:vAlign w:val="bottom"/>
            <w:hideMark/>
          </w:tcPr>
          <w:p w14:paraId="7B072F10" w14:textId="77777777" w:rsidR="009A356E" w:rsidRPr="00F72CFE" w:rsidRDefault="009A356E" w:rsidP="009A356E">
            <w:pPr>
              <w:jc w:val="center"/>
              <w:rPr>
                <w:rFonts w:ascii="Calibri" w:hAnsi="Calibri"/>
                <w:color w:val="000000"/>
                <w:sz w:val="18"/>
                <w:szCs w:val="18"/>
                <w:lang w:eastAsia="en-AU"/>
              </w:rPr>
            </w:pPr>
            <w:r w:rsidRPr="00F72CFE">
              <w:rPr>
                <w:rFonts w:ascii="Calibri" w:hAnsi="Calibri"/>
                <w:color w:val="000000"/>
                <w:sz w:val="18"/>
                <w:szCs w:val="18"/>
                <w:lang w:eastAsia="en-AU"/>
              </w:rPr>
              <w:t>0.0%</w:t>
            </w:r>
          </w:p>
        </w:tc>
        <w:tc>
          <w:tcPr>
            <w:tcW w:w="370" w:type="pct"/>
            <w:tcBorders>
              <w:top w:val="nil"/>
              <w:left w:val="single" w:sz="8" w:space="0" w:color="auto"/>
              <w:bottom w:val="single" w:sz="4" w:space="0" w:color="auto"/>
              <w:right w:val="single" w:sz="4" w:space="0" w:color="auto"/>
            </w:tcBorders>
            <w:shd w:val="clear" w:color="000000" w:fill="FDE9D9"/>
            <w:noWrap/>
            <w:vAlign w:val="bottom"/>
            <w:hideMark/>
          </w:tcPr>
          <w:p w14:paraId="5DA56D40"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25.3%</w:t>
            </w:r>
          </w:p>
        </w:tc>
        <w:tc>
          <w:tcPr>
            <w:tcW w:w="370" w:type="pct"/>
            <w:tcBorders>
              <w:top w:val="nil"/>
              <w:left w:val="nil"/>
              <w:bottom w:val="single" w:sz="4" w:space="0" w:color="auto"/>
              <w:right w:val="single" w:sz="4" w:space="0" w:color="auto"/>
            </w:tcBorders>
            <w:shd w:val="clear" w:color="000000" w:fill="FDE9D9"/>
            <w:noWrap/>
            <w:vAlign w:val="bottom"/>
            <w:hideMark/>
          </w:tcPr>
          <w:p w14:paraId="2E5D146E"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40.2%</w:t>
            </w:r>
          </w:p>
        </w:tc>
        <w:tc>
          <w:tcPr>
            <w:tcW w:w="370" w:type="pct"/>
            <w:tcBorders>
              <w:top w:val="nil"/>
              <w:left w:val="nil"/>
              <w:bottom w:val="single" w:sz="4" w:space="0" w:color="auto"/>
              <w:right w:val="single" w:sz="4" w:space="0" w:color="auto"/>
            </w:tcBorders>
            <w:shd w:val="clear" w:color="000000" w:fill="FDE9D9"/>
            <w:noWrap/>
            <w:vAlign w:val="bottom"/>
            <w:hideMark/>
          </w:tcPr>
          <w:p w14:paraId="43E5942E"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48.8%</w:t>
            </w:r>
          </w:p>
        </w:tc>
        <w:tc>
          <w:tcPr>
            <w:tcW w:w="370" w:type="pct"/>
            <w:tcBorders>
              <w:top w:val="nil"/>
              <w:left w:val="nil"/>
              <w:bottom w:val="single" w:sz="4" w:space="0" w:color="auto"/>
              <w:right w:val="single" w:sz="4" w:space="0" w:color="auto"/>
            </w:tcBorders>
            <w:shd w:val="clear" w:color="000000" w:fill="FDE9D9"/>
            <w:noWrap/>
            <w:vAlign w:val="bottom"/>
            <w:hideMark/>
          </w:tcPr>
          <w:p w14:paraId="597288D8"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49.7%</w:t>
            </w:r>
          </w:p>
        </w:tc>
        <w:tc>
          <w:tcPr>
            <w:tcW w:w="370" w:type="pct"/>
            <w:tcBorders>
              <w:top w:val="nil"/>
              <w:left w:val="nil"/>
              <w:bottom w:val="single" w:sz="4" w:space="0" w:color="auto"/>
              <w:right w:val="single" w:sz="4" w:space="0" w:color="auto"/>
            </w:tcBorders>
            <w:shd w:val="clear" w:color="000000" w:fill="FDE9D9"/>
            <w:noWrap/>
            <w:vAlign w:val="bottom"/>
            <w:hideMark/>
          </w:tcPr>
          <w:p w14:paraId="19F8A209"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46.5%</w:t>
            </w:r>
          </w:p>
        </w:tc>
        <w:tc>
          <w:tcPr>
            <w:tcW w:w="421" w:type="pct"/>
            <w:tcBorders>
              <w:top w:val="nil"/>
              <w:left w:val="nil"/>
              <w:bottom w:val="single" w:sz="4" w:space="0" w:color="auto"/>
              <w:right w:val="single" w:sz="4" w:space="0" w:color="auto"/>
            </w:tcBorders>
            <w:shd w:val="clear" w:color="000000" w:fill="FDE9D9"/>
            <w:noWrap/>
            <w:vAlign w:val="bottom"/>
            <w:hideMark/>
          </w:tcPr>
          <w:p w14:paraId="726CE565"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51.8%</w:t>
            </w:r>
          </w:p>
        </w:tc>
        <w:tc>
          <w:tcPr>
            <w:tcW w:w="370" w:type="pct"/>
            <w:tcBorders>
              <w:top w:val="nil"/>
              <w:left w:val="nil"/>
              <w:bottom w:val="single" w:sz="4" w:space="0" w:color="auto"/>
              <w:right w:val="single" w:sz="4" w:space="0" w:color="auto"/>
            </w:tcBorders>
            <w:shd w:val="clear" w:color="000000" w:fill="FDE9D9"/>
            <w:noWrap/>
            <w:vAlign w:val="bottom"/>
            <w:hideMark/>
          </w:tcPr>
          <w:p w14:paraId="56A94163"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60.1%</w:t>
            </w:r>
          </w:p>
        </w:tc>
        <w:tc>
          <w:tcPr>
            <w:tcW w:w="370" w:type="pct"/>
            <w:tcBorders>
              <w:top w:val="nil"/>
              <w:left w:val="nil"/>
              <w:bottom w:val="single" w:sz="4" w:space="0" w:color="auto"/>
              <w:right w:val="single" w:sz="8" w:space="0" w:color="auto"/>
            </w:tcBorders>
            <w:shd w:val="clear" w:color="000000" w:fill="FDE9D9"/>
            <w:noWrap/>
            <w:vAlign w:val="bottom"/>
            <w:hideMark/>
          </w:tcPr>
          <w:p w14:paraId="363E49CF"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59.2%</w:t>
            </w:r>
          </w:p>
        </w:tc>
      </w:tr>
      <w:tr w:rsidR="009A356E" w:rsidRPr="00F72CFE" w14:paraId="48E9C38F" w14:textId="77777777" w:rsidTr="009A356E">
        <w:trPr>
          <w:trHeight w:val="240"/>
        </w:trPr>
        <w:tc>
          <w:tcPr>
            <w:tcW w:w="1292" w:type="pct"/>
            <w:tcBorders>
              <w:top w:val="nil"/>
              <w:left w:val="single" w:sz="4" w:space="0" w:color="auto"/>
              <w:bottom w:val="single" w:sz="4" w:space="0" w:color="auto"/>
              <w:right w:val="single" w:sz="4" w:space="0" w:color="auto"/>
            </w:tcBorders>
            <w:shd w:val="clear" w:color="auto" w:fill="auto"/>
            <w:noWrap/>
            <w:vAlign w:val="bottom"/>
            <w:hideMark/>
          </w:tcPr>
          <w:p w14:paraId="042464FE" w14:textId="77777777" w:rsidR="009A356E" w:rsidRPr="00F72CFE" w:rsidRDefault="009A356E" w:rsidP="009A356E">
            <w:pPr>
              <w:rPr>
                <w:rFonts w:ascii="Calibri" w:hAnsi="Calibri"/>
                <w:sz w:val="18"/>
                <w:szCs w:val="18"/>
                <w:lang w:eastAsia="en-AU"/>
              </w:rPr>
            </w:pPr>
            <w:r w:rsidRPr="00F72CFE">
              <w:rPr>
                <w:rFonts w:ascii="Calibri" w:hAnsi="Calibri"/>
                <w:sz w:val="18"/>
                <w:szCs w:val="18"/>
                <w:lang w:eastAsia="en-AU"/>
              </w:rPr>
              <w:t>WANGARATTA (RC)</w:t>
            </w:r>
          </w:p>
        </w:tc>
        <w:tc>
          <w:tcPr>
            <w:tcW w:w="699" w:type="pct"/>
            <w:tcBorders>
              <w:top w:val="nil"/>
              <w:left w:val="nil"/>
              <w:bottom w:val="single" w:sz="4" w:space="0" w:color="auto"/>
              <w:right w:val="nil"/>
            </w:tcBorders>
            <w:shd w:val="clear" w:color="000000" w:fill="DAEEF3"/>
            <w:noWrap/>
            <w:vAlign w:val="bottom"/>
            <w:hideMark/>
          </w:tcPr>
          <w:p w14:paraId="03432384" w14:textId="77777777" w:rsidR="009A356E" w:rsidRPr="00F72CFE" w:rsidRDefault="009A356E" w:rsidP="009A356E">
            <w:pPr>
              <w:jc w:val="center"/>
              <w:rPr>
                <w:rFonts w:ascii="Calibri" w:hAnsi="Calibri"/>
                <w:color w:val="000000"/>
                <w:sz w:val="18"/>
                <w:szCs w:val="18"/>
                <w:lang w:eastAsia="en-AU"/>
              </w:rPr>
            </w:pPr>
            <w:r w:rsidRPr="00F72CFE">
              <w:rPr>
                <w:rFonts w:ascii="Calibri" w:hAnsi="Calibri"/>
                <w:color w:val="000000"/>
                <w:sz w:val="18"/>
                <w:szCs w:val="18"/>
                <w:lang w:eastAsia="en-AU"/>
              </w:rPr>
              <w:t>5.1%</w:t>
            </w:r>
          </w:p>
        </w:tc>
        <w:tc>
          <w:tcPr>
            <w:tcW w:w="370" w:type="pct"/>
            <w:tcBorders>
              <w:top w:val="nil"/>
              <w:left w:val="single" w:sz="8" w:space="0" w:color="auto"/>
              <w:bottom w:val="single" w:sz="4" w:space="0" w:color="auto"/>
              <w:right w:val="single" w:sz="4" w:space="0" w:color="auto"/>
            </w:tcBorders>
            <w:shd w:val="clear" w:color="000000" w:fill="FDE9D9"/>
            <w:noWrap/>
            <w:vAlign w:val="bottom"/>
            <w:hideMark/>
          </w:tcPr>
          <w:p w14:paraId="41B63E1E"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16.3%</w:t>
            </w:r>
          </w:p>
        </w:tc>
        <w:tc>
          <w:tcPr>
            <w:tcW w:w="370" w:type="pct"/>
            <w:tcBorders>
              <w:top w:val="nil"/>
              <w:left w:val="nil"/>
              <w:bottom w:val="single" w:sz="4" w:space="0" w:color="auto"/>
              <w:right w:val="single" w:sz="4" w:space="0" w:color="auto"/>
            </w:tcBorders>
            <w:shd w:val="clear" w:color="000000" w:fill="FDE9D9"/>
            <w:noWrap/>
            <w:vAlign w:val="bottom"/>
            <w:hideMark/>
          </w:tcPr>
          <w:p w14:paraId="0779E377"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25.6%</w:t>
            </w:r>
          </w:p>
        </w:tc>
        <w:tc>
          <w:tcPr>
            <w:tcW w:w="370" w:type="pct"/>
            <w:tcBorders>
              <w:top w:val="nil"/>
              <w:left w:val="nil"/>
              <w:bottom w:val="single" w:sz="4" w:space="0" w:color="auto"/>
              <w:right w:val="single" w:sz="4" w:space="0" w:color="auto"/>
            </w:tcBorders>
            <w:shd w:val="clear" w:color="000000" w:fill="FDE9D9"/>
            <w:noWrap/>
            <w:vAlign w:val="bottom"/>
            <w:hideMark/>
          </w:tcPr>
          <w:p w14:paraId="6A17F92F"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30.3%</w:t>
            </w:r>
          </w:p>
        </w:tc>
        <w:tc>
          <w:tcPr>
            <w:tcW w:w="370" w:type="pct"/>
            <w:tcBorders>
              <w:top w:val="nil"/>
              <w:left w:val="nil"/>
              <w:bottom w:val="single" w:sz="4" w:space="0" w:color="auto"/>
              <w:right w:val="single" w:sz="4" w:space="0" w:color="auto"/>
            </w:tcBorders>
            <w:shd w:val="clear" w:color="000000" w:fill="FDE9D9"/>
            <w:noWrap/>
            <w:vAlign w:val="bottom"/>
            <w:hideMark/>
          </w:tcPr>
          <w:p w14:paraId="34BF7FAE"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29.2%</w:t>
            </w:r>
          </w:p>
        </w:tc>
        <w:tc>
          <w:tcPr>
            <w:tcW w:w="370" w:type="pct"/>
            <w:tcBorders>
              <w:top w:val="nil"/>
              <w:left w:val="nil"/>
              <w:bottom w:val="single" w:sz="4" w:space="0" w:color="auto"/>
              <w:right w:val="single" w:sz="4" w:space="0" w:color="auto"/>
            </w:tcBorders>
            <w:shd w:val="clear" w:color="000000" w:fill="FDE9D9"/>
            <w:noWrap/>
            <w:vAlign w:val="bottom"/>
            <w:hideMark/>
          </w:tcPr>
          <w:p w14:paraId="3191F680"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29.1%</w:t>
            </w:r>
          </w:p>
        </w:tc>
        <w:tc>
          <w:tcPr>
            <w:tcW w:w="421" w:type="pct"/>
            <w:tcBorders>
              <w:top w:val="nil"/>
              <w:left w:val="nil"/>
              <w:bottom w:val="single" w:sz="4" w:space="0" w:color="auto"/>
              <w:right w:val="single" w:sz="4" w:space="0" w:color="auto"/>
            </w:tcBorders>
            <w:shd w:val="clear" w:color="000000" w:fill="FDE9D9"/>
            <w:noWrap/>
            <w:vAlign w:val="bottom"/>
            <w:hideMark/>
          </w:tcPr>
          <w:p w14:paraId="47AA607F"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28.4%</w:t>
            </w:r>
          </w:p>
        </w:tc>
        <w:tc>
          <w:tcPr>
            <w:tcW w:w="370" w:type="pct"/>
            <w:tcBorders>
              <w:top w:val="nil"/>
              <w:left w:val="nil"/>
              <w:bottom w:val="single" w:sz="4" w:space="0" w:color="auto"/>
              <w:right w:val="single" w:sz="4" w:space="0" w:color="auto"/>
            </w:tcBorders>
            <w:shd w:val="clear" w:color="000000" w:fill="FDE9D9"/>
            <w:noWrap/>
            <w:vAlign w:val="bottom"/>
            <w:hideMark/>
          </w:tcPr>
          <w:p w14:paraId="6E44B35D"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25.3%</w:t>
            </w:r>
          </w:p>
        </w:tc>
        <w:tc>
          <w:tcPr>
            <w:tcW w:w="370" w:type="pct"/>
            <w:tcBorders>
              <w:top w:val="nil"/>
              <w:left w:val="nil"/>
              <w:bottom w:val="single" w:sz="4" w:space="0" w:color="auto"/>
              <w:right w:val="single" w:sz="8" w:space="0" w:color="auto"/>
            </w:tcBorders>
            <w:shd w:val="clear" w:color="000000" w:fill="FDE9D9"/>
            <w:noWrap/>
            <w:vAlign w:val="bottom"/>
            <w:hideMark/>
          </w:tcPr>
          <w:p w14:paraId="5CA1DEB6"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28.2%</w:t>
            </w:r>
          </w:p>
        </w:tc>
      </w:tr>
      <w:tr w:rsidR="009A356E" w:rsidRPr="00F72CFE" w14:paraId="6D3E249B" w14:textId="77777777" w:rsidTr="009A356E">
        <w:trPr>
          <w:trHeight w:val="240"/>
        </w:trPr>
        <w:tc>
          <w:tcPr>
            <w:tcW w:w="1292" w:type="pct"/>
            <w:tcBorders>
              <w:top w:val="nil"/>
              <w:left w:val="single" w:sz="4" w:space="0" w:color="auto"/>
              <w:bottom w:val="single" w:sz="4" w:space="0" w:color="auto"/>
              <w:right w:val="single" w:sz="4" w:space="0" w:color="auto"/>
            </w:tcBorders>
            <w:shd w:val="clear" w:color="auto" w:fill="auto"/>
            <w:noWrap/>
            <w:vAlign w:val="bottom"/>
            <w:hideMark/>
          </w:tcPr>
          <w:p w14:paraId="4B001DD0" w14:textId="77777777" w:rsidR="009A356E" w:rsidRPr="00F72CFE" w:rsidRDefault="009A356E" w:rsidP="009A356E">
            <w:pPr>
              <w:rPr>
                <w:rFonts w:ascii="Calibri" w:hAnsi="Calibri"/>
                <w:sz w:val="18"/>
                <w:szCs w:val="18"/>
                <w:lang w:eastAsia="en-AU"/>
              </w:rPr>
            </w:pPr>
            <w:r w:rsidRPr="00F72CFE">
              <w:rPr>
                <w:rFonts w:ascii="Calibri" w:hAnsi="Calibri"/>
                <w:sz w:val="18"/>
                <w:szCs w:val="18"/>
                <w:lang w:eastAsia="en-AU"/>
              </w:rPr>
              <w:t>WARRNAMBOOL (C)</w:t>
            </w:r>
          </w:p>
        </w:tc>
        <w:tc>
          <w:tcPr>
            <w:tcW w:w="699" w:type="pct"/>
            <w:tcBorders>
              <w:top w:val="nil"/>
              <w:left w:val="nil"/>
              <w:bottom w:val="single" w:sz="4" w:space="0" w:color="auto"/>
              <w:right w:val="nil"/>
            </w:tcBorders>
            <w:shd w:val="clear" w:color="000000" w:fill="DAEEF3"/>
            <w:noWrap/>
            <w:vAlign w:val="bottom"/>
            <w:hideMark/>
          </w:tcPr>
          <w:p w14:paraId="5E849EBC" w14:textId="77777777" w:rsidR="009A356E" w:rsidRPr="00F72CFE" w:rsidRDefault="009A356E" w:rsidP="009A356E">
            <w:pPr>
              <w:jc w:val="center"/>
              <w:rPr>
                <w:rFonts w:ascii="Calibri" w:hAnsi="Calibri"/>
                <w:color w:val="000000"/>
                <w:sz w:val="18"/>
                <w:szCs w:val="18"/>
                <w:lang w:eastAsia="en-AU"/>
              </w:rPr>
            </w:pPr>
            <w:r w:rsidRPr="00F72CFE">
              <w:rPr>
                <w:rFonts w:ascii="Calibri" w:hAnsi="Calibri"/>
                <w:color w:val="000000"/>
                <w:sz w:val="18"/>
                <w:szCs w:val="18"/>
                <w:lang w:eastAsia="en-AU"/>
              </w:rPr>
              <w:t>14.7%</w:t>
            </w:r>
          </w:p>
        </w:tc>
        <w:tc>
          <w:tcPr>
            <w:tcW w:w="370" w:type="pct"/>
            <w:tcBorders>
              <w:top w:val="nil"/>
              <w:left w:val="single" w:sz="8" w:space="0" w:color="auto"/>
              <w:bottom w:val="single" w:sz="4" w:space="0" w:color="auto"/>
              <w:right w:val="single" w:sz="4" w:space="0" w:color="auto"/>
            </w:tcBorders>
            <w:shd w:val="clear" w:color="000000" w:fill="FDE9D9"/>
            <w:noWrap/>
            <w:vAlign w:val="bottom"/>
            <w:hideMark/>
          </w:tcPr>
          <w:p w14:paraId="20CA7AE6"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23.8%</w:t>
            </w:r>
          </w:p>
        </w:tc>
        <w:tc>
          <w:tcPr>
            <w:tcW w:w="370" w:type="pct"/>
            <w:tcBorders>
              <w:top w:val="nil"/>
              <w:left w:val="nil"/>
              <w:bottom w:val="single" w:sz="4" w:space="0" w:color="auto"/>
              <w:right w:val="single" w:sz="4" w:space="0" w:color="auto"/>
            </w:tcBorders>
            <w:shd w:val="clear" w:color="000000" w:fill="FDE9D9"/>
            <w:noWrap/>
            <w:vAlign w:val="bottom"/>
            <w:hideMark/>
          </w:tcPr>
          <w:p w14:paraId="12D992EA"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28.1%</w:t>
            </w:r>
          </w:p>
        </w:tc>
        <w:tc>
          <w:tcPr>
            <w:tcW w:w="370" w:type="pct"/>
            <w:tcBorders>
              <w:top w:val="nil"/>
              <w:left w:val="nil"/>
              <w:bottom w:val="single" w:sz="4" w:space="0" w:color="auto"/>
              <w:right w:val="single" w:sz="4" w:space="0" w:color="auto"/>
            </w:tcBorders>
            <w:shd w:val="clear" w:color="000000" w:fill="FDE9D9"/>
            <w:noWrap/>
            <w:vAlign w:val="bottom"/>
            <w:hideMark/>
          </w:tcPr>
          <w:p w14:paraId="3FE5C7D1"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29.4%</w:t>
            </w:r>
          </w:p>
        </w:tc>
        <w:tc>
          <w:tcPr>
            <w:tcW w:w="370" w:type="pct"/>
            <w:tcBorders>
              <w:top w:val="nil"/>
              <w:left w:val="nil"/>
              <w:bottom w:val="single" w:sz="4" w:space="0" w:color="auto"/>
              <w:right w:val="single" w:sz="4" w:space="0" w:color="auto"/>
            </w:tcBorders>
            <w:shd w:val="clear" w:color="000000" w:fill="FDE9D9"/>
            <w:noWrap/>
            <w:vAlign w:val="bottom"/>
            <w:hideMark/>
          </w:tcPr>
          <w:p w14:paraId="6D2F683A"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31.5%</w:t>
            </w:r>
          </w:p>
        </w:tc>
        <w:tc>
          <w:tcPr>
            <w:tcW w:w="370" w:type="pct"/>
            <w:tcBorders>
              <w:top w:val="nil"/>
              <w:left w:val="nil"/>
              <w:bottom w:val="single" w:sz="4" w:space="0" w:color="auto"/>
              <w:right w:val="single" w:sz="4" w:space="0" w:color="auto"/>
            </w:tcBorders>
            <w:shd w:val="clear" w:color="000000" w:fill="FDE9D9"/>
            <w:noWrap/>
            <w:vAlign w:val="bottom"/>
            <w:hideMark/>
          </w:tcPr>
          <w:p w14:paraId="4EBE67F7"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33.9%</w:t>
            </w:r>
          </w:p>
        </w:tc>
        <w:tc>
          <w:tcPr>
            <w:tcW w:w="421" w:type="pct"/>
            <w:tcBorders>
              <w:top w:val="nil"/>
              <w:left w:val="nil"/>
              <w:bottom w:val="single" w:sz="4" w:space="0" w:color="auto"/>
              <w:right w:val="single" w:sz="4" w:space="0" w:color="auto"/>
            </w:tcBorders>
            <w:shd w:val="clear" w:color="000000" w:fill="FDE9D9"/>
            <w:noWrap/>
            <w:vAlign w:val="bottom"/>
            <w:hideMark/>
          </w:tcPr>
          <w:p w14:paraId="79A741F9"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30.6%</w:t>
            </w:r>
          </w:p>
        </w:tc>
        <w:tc>
          <w:tcPr>
            <w:tcW w:w="370" w:type="pct"/>
            <w:tcBorders>
              <w:top w:val="nil"/>
              <w:left w:val="nil"/>
              <w:bottom w:val="single" w:sz="4" w:space="0" w:color="auto"/>
              <w:right w:val="single" w:sz="4" w:space="0" w:color="auto"/>
            </w:tcBorders>
            <w:shd w:val="clear" w:color="000000" w:fill="FDE9D9"/>
            <w:noWrap/>
            <w:vAlign w:val="bottom"/>
            <w:hideMark/>
          </w:tcPr>
          <w:p w14:paraId="209AE618"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32.2%</w:t>
            </w:r>
          </w:p>
        </w:tc>
        <w:tc>
          <w:tcPr>
            <w:tcW w:w="370" w:type="pct"/>
            <w:tcBorders>
              <w:top w:val="nil"/>
              <w:left w:val="nil"/>
              <w:bottom w:val="single" w:sz="4" w:space="0" w:color="auto"/>
              <w:right w:val="single" w:sz="8" w:space="0" w:color="auto"/>
            </w:tcBorders>
            <w:shd w:val="clear" w:color="000000" w:fill="FDE9D9"/>
            <w:noWrap/>
            <w:vAlign w:val="bottom"/>
            <w:hideMark/>
          </w:tcPr>
          <w:p w14:paraId="7179EB20"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29.7%</w:t>
            </w:r>
          </w:p>
        </w:tc>
      </w:tr>
      <w:tr w:rsidR="009A356E" w:rsidRPr="00F72CFE" w14:paraId="4B652F22" w14:textId="77777777" w:rsidTr="009A356E">
        <w:trPr>
          <w:trHeight w:val="240"/>
        </w:trPr>
        <w:tc>
          <w:tcPr>
            <w:tcW w:w="1292" w:type="pct"/>
            <w:tcBorders>
              <w:top w:val="nil"/>
              <w:left w:val="single" w:sz="4" w:space="0" w:color="auto"/>
              <w:bottom w:val="single" w:sz="4" w:space="0" w:color="auto"/>
              <w:right w:val="single" w:sz="4" w:space="0" w:color="auto"/>
            </w:tcBorders>
            <w:shd w:val="clear" w:color="auto" w:fill="auto"/>
            <w:noWrap/>
            <w:vAlign w:val="bottom"/>
            <w:hideMark/>
          </w:tcPr>
          <w:p w14:paraId="040F436D" w14:textId="77777777" w:rsidR="009A356E" w:rsidRPr="00F72CFE" w:rsidRDefault="009A356E" w:rsidP="009A356E">
            <w:pPr>
              <w:rPr>
                <w:rFonts w:ascii="Calibri" w:hAnsi="Calibri"/>
                <w:sz w:val="18"/>
                <w:szCs w:val="18"/>
                <w:lang w:eastAsia="en-AU"/>
              </w:rPr>
            </w:pPr>
            <w:r w:rsidRPr="00F72CFE">
              <w:rPr>
                <w:rFonts w:ascii="Calibri" w:hAnsi="Calibri"/>
                <w:sz w:val="18"/>
                <w:szCs w:val="18"/>
                <w:lang w:eastAsia="en-AU"/>
              </w:rPr>
              <w:t>WELLINGTON (S)</w:t>
            </w:r>
          </w:p>
        </w:tc>
        <w:tc>
          <w:tcPr>
            <w:tcW w:w="699" w:type="pct"/>
            <w:tcBorders>
              <w:top w:val="nil"/>
              <w:left w:val="nil"/>
              <w:bottom w:val="single" w:sz="4" w:space="0" w:color="auto"/>
              <w:right w:val="nil"/>
            </w:tcBorders>
            <w:shd w:val="clear" w:color="000000" w:fill="DAEEF3"/>
            <w:noWrap/>
            <w:vAlign w:val="bottom"/>
            <w:hideMark/>
          </w:tcPr>
          <w:p w14:paraId="589A5C7A" w14:textId="77777777" w:rsidR="009A356E" w:rsidRPr="00F72CFE" w:rsidRDefault="009A356E" w:rsidP="009A356E">
            <w:pPr>
              <w:jc w:val="center"/>
              <w:rPr>
                <w:rFonts w:ascii="Calibri" w:hAnsi="Calibri"/>
                <w:color w:val="000000"/>
                <w:sz w:val="18"/>
                <w:szCs w:val="18"/>
                <w:lang w:eastAsia="en-AU"/>
              </w:rPr>
            </w:pPr>
            <w:r w:rsidRPr="00F72CFE">
              <w:rPr>
                <w:rFonts w:ascii="Calibri" w:hAnsi="Calibri"/>
                <w:color w:val="000000"/>
                <w:sz w:val="18"/>
                <w:szCs w:val="18"/>
                <w:lang w:eastAsia="en-AU"/>
              </w:rPr>
              <w:t>7.8%</w:t>
            </w:r>
          </w:p>
        </w:tc>
        <w:tc>
          <w:tcPr>
            <w:tcW w:w="370" w:type="pct"/>
            <w:tcBorders>
              <w:top w:val="nil"/>
              <w:left w:val="single" w:sz="8" w:space="0" w:color="auto"/>
              <w:bottom w:val="single" w:sz="4" w:space="0" w:color="auto"/>
              <w:right w:val="single" w:sz="4" w:space="0" w:color="auto"/>
            </w:tcBorders>
            <w:shd w:val="clear" w:color="000000" w:fill="FDE9D9"/>
            <w:noWrap/>
            <w:vAlign w:val="bottom"/>
            <w:hideMark/>
          </w:tcPr>
          <w:p w14:paraId="34DA90C8"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40.2%</w:t>
            </w:r>
          </w:p>
        </w:tc>
        <w:tc>
          <w:tcPr>
            <w:tcW w:w="370" w:type="pct"/>
            <w:tcBorders>
              <w:top w:val="nil"/>
              <w:left w:val="nil"/>
              <w:bottom w:val="single" w:sz="4" w:space="0" w:color="auto"/>
              <w:right w:val="single" w:sz="4" w:space="0" w:color="auto"/>
            </w:tcBorders>
            <w:shd w:val="clear" w:color="000000" w:fill="FDE9D9"/>
            <w:noWrap/>
            <w:vAlign w:val="bottom"/>
            <w:hideMark/>
          </w:tcPr>
          <w:p w14:paraId="3FF1280A"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43.1%</w:t>
            </w:r>
          </w:p>
        </w:tc>
        <w:tc>
          <w:tcPr>
            <w:tcW w:w="370" w:type="pct"/>
            <w:tcBorders>
              <w:top w:val="nil"/>
              <w:left w:val="nil"/>
              <w:bottom w:val="single" w:sz="4" w:space="0" w:color="auto"/>
              <w:right w:val="single" w:sz="4" w:space="0" w:color="auto"/>
            </w:tcBorders>
            <w:shd w:val="clear" w:color="000000" w:fill="FDE9D9"/>
            <w:noWrap/>
            <w:vAlign w:val="bottom"/>
            <w:hideMark/>
          </w:tcPr>
          <w:p w14:paraId="2199EA3E"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43.4%</w:t>
            </w:r>
          </w:p>
        </w:tc>
        <w:tc>
          <w:tcPr>
            <w:tcW w:w="370" w:type="pct"/>
            <w:tcBorders>
              <w:top w:val="nil"/>
              <w:left w:val="nil"/>
              <w:bottom w:val="single" w:sz="4" w:space="0" w:color="auto"/>
              <w:right w:val="single" w:sz="4" w:space="0" w:color="auto"/>
            </w:tcBorders>
            <w:shd w:val="clear" w:color="000000" w:fill="FDE9D9"/>
            <w:noWrap/>
            <w:vAlign w:val="bottom"/>
            <w:hideMark/>
          </w:tcPr>
          <w:p w14:paraId="28BC0180"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41.4%</w:t>
            </w:r>
          </w:p>
        </w:tc>
        <w:tc>
          <w:tcPr>
            <w:tcW w:w="370" w:type="pct"/>
            <w:tcBorders>
              <w:top w:val="nil"/>
              <w:left w:val="nil"/>
              <w:bottom w:val="single" w:sz="4" w:space="0" w:color="auto"/>
              <w:right w:val="single" w:sz="4" w:space="0" w:color="auto"/>
            </w:tcBorders>
            <w:shd w:val="clear" w:color="000000" w:fill="FDE9D9"/>
            <w:noWrap/>
            <w:vAlign w:val="bottom"/>
            <w:hideMark/>
          </w:tcPr>
          <w:p w14:paraId="4F924F16"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32.8%</w:t>
            </w:r>
          </w:p>
        </w:tc>
        <w:tc>
          <w:tcPr>
            <w:tcW w:w="421" w:type="pct"/>
            <w:tcBorders>
              <w:top w:val="nil"/>
              <w:left w:val="nil"/>
              <w:bottom w:val="single" w:sz="4" w:space="0" w:color="auto"/>
              <w:right w:val="single" w:sz="4" w:space="0" w:color="auto"/>
            </w:tcBorders>
            <w:shd w:val="clear" w:color="000000" w:fill="FDE9D9"/>
            <w:noWrap/>
            <w:vAlign w:val="bottom"/>
            <w:hideMark/>
          </w:tcPr>
          <w:p w14:paraId="3AF0D2B0"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30.3%</w:t>
            </w:r>
          </w:p>
        </w:tc>
        <w:tc>
          <w:tcPr>
            <w:tcW w:w="370" w:type="pct"/>
            <w:tcBorders>
              <w:top w:val="nil"/>
              <w:left w:val="nil"/>
              <w:bottom w:val="single" w:sz="4" w:space="0" w:color="auto"/>
              <w:right w:val="single" w:sz="4" w:space="0" w:color="auto"/>
            </w:tcBorders>
            <w:shd w:val="clear" w:color="000000" w:fill="FDE9D9"/>
            <w:noWrap/>
            <w:vAlign w:val="bottom"/>
            <w:hideMark/>
          </w:tcPr>
          <w:p w14:paraId="43CF7FA8"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28.4%</w:t>
            </w:r>
          </w:p>
        </w:tc>
        <w:tc>
          <w:tcPr>
            <w:tcW w:w="370" w:type="pct"/>
            <w:tcBorders>
              <w:top w:val="nil"/>
              <w:left w:val="nil"/>
              <w:bottom w:val="single" w:sz="4" w:space="0" w:color="auto"/>
              <w:right w:val="single" w:sz="8" w:space="0" w:color="auto"/>
            </w:tcBorders>
            <w:shd w:val="clear" w:color="000000" w:fill="FDE9D9"/>
            <w:noWrap/>
            <w:vAlign w:val="bottom"/>
            <w:hideMark/>
          </w:tcPr>
          <w:p w14:paraId="0A612215"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29.3%</w:t>
            </w:r>
          </w:p>
        </w:tc>
      </w:tr>
      <w:tr w:rsidR="009A356E" w:rsidRPr="00F72CFE" w14:paraId="6E01B457" w14:textId="77777777" w:rsidTr="009A356E">
        <w:trPr>
          <w:trHeight w:val="240"/>
        </w:trPr>
        <w:tc>
          <w:tcPr>
            <w:tcW w:w="1292" w:type="pct"/>
            <w:tcBorders>
              <w:top w:val="nil"/>
              <w:left w:val="single" w:sz="4" w:space="0" w:color="auto"/>
              <w:bottom w:val="single" w:sz="4" w:space="0" w:color="auto"/>
              <w:right w:val="single" w:sz="4" w:space="0" w:color="auto"/>
            </w:tcBorders>
            <w:shd w:val="clear" w:color="auto" w:fill="auto"/>
            <w:noWrap/>
            <w:vAlign w:val="bottom"/>
            <w:hideMark/>
          </w:tcPr>
          <w:p w14:paraId="03CE0B57" w14:textId="77777777" w:rsidR="009A356E" w:rsidRPr="00F72CFE" w:rsidRDefault="009A356E" w:rsidP="009A356E">
            <w:pPr>
              <w:rPr>
                <w:rFonts w:ascii="Calibri" w:hAnsi="Calibri"/>
                <w:sz w:val="18"/>
                <w:szCs w:val="18"/>
                <w:lang w:eastAsia="en-AU"/>
              </w:rPr>
            </w:pPr>
            <w:r w:rsidRPr="00F72CFE">
              <w:rPr>
                <w:rFonts w:ascii="Calibri" w:hAnsi="Calibri"/>
                <w:sz w:val="18"/>
                <w:szCs w:val="18"/>
                <w:lang w:eastAsia="en-AU"/>
              </w:rPr>
              <w:t>WEST WIMMERA (S)</w:t>
            </w:r>
          </w:p>
        </w:tc>
        <w:tc>
          <w:tcPr>
            <w:tcW w:w="699" w:type="pct"/>
            <w:tcBorders>
              <w:top w:val="nil"/>
              <w:left w:val="nil"/>
              <w:bottom w:val="single" w:sz="4" w:space="0" w:color="auto"/>
              <w:right w:val="nil"/>
            </w:tcBorders>
            <w:shd w:val="clear" w:color="000000" w:fill="DAEEF3"/>
            <w:noWrap/>
            <w:vAlign w:val="bottom"/>
            <w:hideMark/>
          </w:tcPr>
          <w:p w14:paraId="1295AFDF" w14:textId="77777777" w:rsidR="009A356E" w:rsidRPr="00F72CFE" w:rsidRDefault="009A356E" w:rsidP="009A356E">
            <w:pPr>
              <w:jc w:val="center"/>
              <w:rPr>
                <w:rFonts w:ascii="Calibri" w:hAnsi="Calibri"/>
                <w:color w:val="000000"/>
                <w:sz w:val="18"/>
                <w:szCs w:val="18"/>
                <w:lang w:eastAsia="en-AU"/>
              </w:rPr>
            </w:pPr>
            <w:r w:rsidRPr="00F72CFE">
              <w:rPr>
                <w:rFonts w:ascii="Calibri" w:hAnsi="Calibri"/>
                <w:color w:val="000000"/>
                <w:sz w:val="18"/>
                <w:szCs w:val="18"/>
                <w:lang w:eastAsia="en-AU"/>
              </w:rPr>
              <w:t>7.9%</w:t>
            </w:r>
          </w:p>
        </w:tc>
        <w:tc>
          <w:tcPr>
            <w:tcW w:w="370" w:type="pct"/>
            <w:tcBorders>
              <w:top w:val="nil"/>
              <w:left w:val="single" w:sz="8" w:space="0" w:color="auto"/>
              <w:bottom w:val="single" w:sz="4" w:space="0" w:color="auto"/>
              <w:right w:val="single" w:sz="4" w:space="0" w:color="auto"/>
            </w:tcBorders>
            <w:shd w:val="clear" w:color="000000" w:fill="FDE9D9"/>
            <w:noWrap/>
            <w:vAlign w:val="bottom"/>
            <w:hideMark/>
          </w:tcPr>
          <w:p w14:paraId="1388B862"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74.6%</w:t>
            </w:r>
          </w:p>
        </w:tc>
        <w:tc>
          <w:tcPr>
            <w:tcW w:w="370" w:type="pct"/>
            <w:tcBorders>
              <w:top w:val="nil"/>
              <w:left w:val="nil"/>
              <w:bottom w:val="single" w:sz="4" w:space="0" w:color="auto"/>
              <w:right w:val="single" w:sz="4" w:space="0" w:color="auto"/>
            </w:tcBorders>
            <w:shd w:val="clear" w:color="000000" w:fill="FDE9D9"/>
            <w:noWrap/>
            <w:vAlign w:val="bottom"/>
            <w:hideMark/>
          </w:tcPr>
          <w:p w14:paraId="7F164E2E"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84.2%</w:t>
            </w:r>
          </w:p>
        </w:tc>
        <w:tc>
          <w:tcPr>
            <w:tcW w:w="370" w:type="pct"/>
            <w:tcBorders>
              <w:top w:val="nil"/>
              <w:left w:val="nil"/>
              <w:bottom w:val="single" w:sz="4" w:space="0" w:color="auto"/>
              <w:right w:val="single" w:sz="4" w:space="0" w:color="auto"/>
            </w:tcBorders>
            <w:shd w:val="clear" w:color="000000" w:fill="FDE9D9"/>
            <w:noWrap/>
            <w:vAlign w:val="bottom"/>
            <w:hideMark/>
          </w:tcPr>
          <w:p w14:paraId="15C23EF6"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98.0%</w:t>
            </w:r>
          </w:p>
        </w:tc>
        <w:tc>
          <w:tcPr>
            <w:tcW w:w="370" w:type="pct"/>
            <w:tcBorders>
              <w:top w:val="nil"/>
              <w:left w:val="nil"/>
              <w:bottom w:val="single" w:sz="4" w:space="0" w:color="auto"/>
              <w:right w:val="single" w:sz="4" w:space="0" w:color="auto"/>
            </w:tcBorders>
            <w:shd w:val="clear" w:color="000000" w:fill="FDE9D9"/>
            <w:noWrap/>
            <w:vAlign w:val="bottom"/>
            <w:hideMark/>
          </w:tcPr>
          <w:p w14:paraId="57F62DC5"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95.5%</w:t>
            </w:r>
          </w:p>
        </w:tc>
        <w:tc>
          <w:tcPr>
            <w:tcW w:w="370" w:type="pct"/>
            <w:tcBorders>
              <w:top w:val="nil"/>
              <w:left w:val="nil"/>
              <w:bottom w:val="single" w:sz="4" w:space="0" w:color="auto"/>
              <w:right w:val="single" w:sz="4" w:space="0" w:color="auto"/>
            </w:tcBorders>
            <w:shd w:val="clear" w:color="000000" w:fill="FDE9D9"/>
            <w:noWrap/>
            <w:vAlign w:val="bottom"/>
            <w:hideMark/>
          </w:tcPr>
          <w:p w14:paraId="1A46C692"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93.2%</w:t>
            </w:r>
          </w:p>
        </w:tc>
        <w:tc>
          <w:tcPr>
            <w:tcW w:w="421" w:type="pct"/>
            <w:tcBorders>
              <w:top w:val="nil"/>
              <w:left w:val="nil"/>
              <w:bottom w:val="single" w:sz="4" w:space="0" w:color="auto"/>
              <w:right w:val="single" w:sz="4" w:space="0" w:color="auto"/>
            </w:tcBorders>
            <w:shd w:val="clear" w:color="000000" w:fill="FDE9D9"/>
            <w:noWrap/>
            <w:vAlign w:val="bottom"/>
            <w:hideMark/>
          </w:tcPr>
          <w:p w14:paraId="283C8703"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84.7%</w:t>
            </w:r>
          </w:p>
        </w:tc>
        <w:tc>
          <w:tcPr>
            <w:tcW w:w="370" w:type="pct"/>
            <w:tcBorders>
              <w:top w:val="nil"/>
              <w:left w:val="nil"/>
              <w:bottom w:val="single" w:sz="4" w:space="0" w:color="auto"/>
              <w:right w:val="single" w:sz="4" w:space="0" w:color="auto"/>
            </w:tcBorders>
            <w:shd w:val="clear" w:color="000000" w:fill="FDE9D9"/>
            <w:noWrap/>
            <w:vAlign w:val="bottom"/>
            <w:hideMark/>
          </w:tcPr>
          <w:p w14:paraId="35144BDE"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77.2%</w:t>
            </w:r>
          </w:p>
        </w:tc>
        <w:tc>
          <w:tcPr>
            <w:tcW w:w="370" w:type="pct"/>
            <w:tcBorders>
              <w:top w:val="nil"/>
              <w:left w:val="nil"/>
              <w:bottom w:val="single" w:sz="4" w:space="0" w:color="auto"/>
              <w:right w:val="single" w:sz="8" w:space="0" w:color="auto"/>
            </w:tcBorders>
            <w:shd w:val="clear" w:color="000000" w:fill="FDE9D9"/>
            <w:noWrap/>
            <w:vAlign w:val="bottom"/>
            <w:hideMark/>
          </w:tcPr>
          <w:p w14:paraId="66AF4BF4"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77.4%</w:t>
            </w:r>
          </w:p>
        </w:tc>
      </w:tr>
      <w:tr w:rsidR="009A356E" w:rsidRPr="00F72CFE" w14:paraId="0195DE9D" w14:textId="77777777" w:rsidTr="009A356E">
        <w:trPr>
          <w:trHeight w:val="240"/>
        </w:trPr>
        <w:tc>
          <w:tcPr>
            <w:tcW w:w="1292" w:type="pct"/>
            <w:tcBorders>
              <w:top w:val="nil"/>
              <w:left w:val="single" w:sz="4" w:space="0" w:color="auto"/>
              <w:bottom w:val="single" w:sz="4" w:space="0" w:color="auto"/>
              <w:right w:val="single" w:sz="4" w:space="0" w:color="auto"/>
            </w:tcBorders>
            <w:shd w:val="clear" w:color="auto" w:fill="auto"/>
            <w:noWrap/>
            <w:vAlign w:val="bottom"/>
            <w:hideMark/>
          </w:tcPr>
          <w:p w14:paraId="5270729A" w14:textId="77777777" w:rsidR="009A356E" w:rsidRPr="00F72CFE" w:rsidRDefault="009A356E" w:rsidP="009A356E">
            <w:pPr>
              <w:rPr>
                <w:rFonts w:ascii="Calibri" w:hAnsi="Calibri"/>
                <w:sz w:val="18"/>
                <w:szCs w:val="18"/>
                <w:lang w:eastAsia="en-AU"/>
              </w:rPr>
            </w:pPr>
            <w:r w:rsidRPr="00F72CFE">
              <w:rPr>
                <w:rFonts w:ascii="Calibri" w:hAnsi="Calibri"/>
                <w:sz w:val="18"/>
                <w:szCs w:val="18"/>
                <w:lang w:eastAsia="en-AU"/>
              </w:rPr>
              <w:t>WODONGA (C)</w:t>
            </w:r>
          </w:p>
        </w:tc>
        <w:tc>
          <w:tcPr>
            <w:tcW w:w="699" w:type="pct"/>
            <w:tcBorders>
              <w:top w:val="nil"/>
              <w:left w:val="nil"/>
              <w:bottom w:val="single" w:sz="4" w:space="0" w:color="auto"/>
              <w:right w:val="nil"/>
            </w:tcBorders>
            <w:shd w:val="clear" w:color="000000" w:fill="DAEEF3"/>
            <w:noWrap/>
            <w:vAlign w:val="bottom"/>
            <w:hideMark/>
          </w:tcPr>
          <w:p w14:paraId="3EE967AB" w14:textId="77777777" w:rsidR="009A356E" w:rsidRPr="00F72CFE" w:rsidRDefault="009A356E" w:rsidP="009A356E">
            <w:pPr>
              <w:jc w:val="center"/>
              <w:rPr>
                <w:rFonts w:ascii="Calibri" w:hAnsi="Calibri"/>
                <w:color w:val="000000"/>
                <w:sz w:val="18"/>
                <w:szCs w:val="18"/>
                <w:lang w:eastAsia="en-AU"/>
              </w:rPr>
            </w:pPr>
            <w:r w:rsidRPr="00F72CFE">
              <w:rPr>
                <w:rFonts w:ascii="Calibri" w:hAnsi="Calibri"/>
                <w:color w:val="000000"/>
                <w:sz w:val="18"/>
                <w:szCs w:val="18"/>
                <w:lang w:eastAsia="en-AU"/>
              </w:rPr>
              <w:t>9.5%</w:t>
            </w:r>
          </w:p>
        </w:tc>
        <w:tc>
          <w:tcPr>
            <w:tcW w:w="370" w:type="pct"/>
            <w:tcBorders>
              <w:top w:val="nil"/>
              <w:left w:val="single" w:sz="8" w:space="0" w:color="auto"/>
              <w:bottom w:val="single" w:sz="4" w:space="0" w:color="auto"/>
              <w:right w:val="single" w:sz="4" w:space="0" w:color="auto"/>
            </w:tcBorders>
            <w:shd w:val="clear" w:color="000000" w:fill="FDE9D9"/>
            <w:noWrap/>
            <w:vAlign w:val="bottom"/>
            <w:hideMark/>
          </w:tcPr>
          <w:p w14:paraId="1B3AF047"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9.1%</w:t>
            </w:r>
          </w:p>
        </w:tc>
        <w:tc>
          <w:tcPr>
            <w:tcW w:w="370" w:type="pct"/>
            <w:tcBorders>
              <w:top w:val="nil"/>
              <w:left w:val="nil"/>
              <w:bottom w:val="single" w:sz="4" w:space="0" w:color="auto"/>
              <w:right w:val="single" w:sz="4" w:space="0" w:color="auto"/>
            </w:tcBorders>
            <w:shd w:val="clear" w:color="000000" w:fill="FDE9D9"/>
            <w:noWrap/>
            <w:vAlign w:val="bottom"/>
            <w:hideMark/>
          </w:tcPr>
          <w:p w14:paraId="3F208F83"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5.9%</w:t>
            </w:r>
          </w:p>
        </w:tc>
        <w:tc>
          <w:tcPr>
            <w:tcW w:w="370" w:type="pct"/>
            <w:tcBorders>
              <w:top w:val="nil"/>
              <w:left w:val="nil"/>
              <w:bottom w:val="single" w:sz="4" w:space="0" w:color="auto"/>
              <w:right w:val="single" w:sz="4" w:space="0" w:color="auto"/>
            </w:tcBorders>
            <w:shd w:val="clear" w:color="000000" w:fill="FDE9D9"/>
            <w:noWrap/>
            <w:vAlign w:val="bottom"/>
            <w:hideMark/>
          </w:tcPr>
          <w:p w14:paraId="5F2E6583"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3.7%</w:t>
            </w:r>
          </w:p>
        </w:tc>
        <w:tc>
          <w:tcPr>
            <w:tcW w:w="370" w:type="pct"/>
            <w:tcBorders>
              <w:top w:val="nil"/>
              <w:left w:val="nil"/>
              <w:bottom w:val="single" w:sz="4" w:space="0" w:color="auto"/>
              <w:right w:val="single" w:sz="4" w:space="0" w:color="auto"/>
            </w:tcBorders>
            <w:shd w:val="clear" w:color="000000" w:fill="FDE9D9"/>
            <w:noWrap/>
            <w:vAlign w:val="bottom"/>
            <w:hideMark/>
          </w:tcPr>
          <w:p w14:paraId="11F93307"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2.0%</w:t>
            </w:r>
          </w:p>
        </w:tc>
        <w:tc>
          <w:tcPr>
            <w:tcW w:w="370" w:type="pct"/>
            <w:tcBorders>
              <w:top w:val="nil"/>
              <w:left w:val="nil"/>
              <w:bottom w:val="single" w:sz="4" w:space="0" w:color="auto"/>
              <w:right w:val="single" w:sz="4" w:space="0" w:color="auto"/>
            </w:tcBorders>
            <w:shd w:val="clear" w:color="000000" w:fill="FDE9D9"/>
            <w:noWrap/>
            <w:vAlign w:val="bottom"/>
            <w:hideMark/>
          </w:tcPr>
          <w:p w14:paraId="20273E41"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3.3%</w:t>
            </w:r>
          </w:p>
        </w:tc>
        <w:tc>
          <w:tcPr>
            <w:tcW w:w="421" w:type="pct"/>
            <w:tcBorders>
              <w:top w:val="nil"/>
              <w:left w:val="nil"/>
              <w:bottom w:val="single" w:sz="4" w:space="0" w:color="auto"/>
              <w:right w:val="single" w:sz="4" w:space="0" w:color="auto"/>
            </w:tcBorders>
            <w:shd w:val="clear" w:color="000000" w:fill="FDE9D9"/>
            <w:noWrap/>
            <w:vAlign w:val="bottom"/>
            <w:hideMark/>
          </w:tcPr>
          <w:p w14:paraId="1C8C0B9F"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5.1%</w:t>
            </w:r>
          </w:p>
        </w:tc>
        <w:tc>
          <w:tcPr>
            <w:tcW w:w="370" w:type="pct"/>
            <w:tcBorders>
              <w:top w:val="nil"/>
              <w:left w:val="nil"/>
              <w:bottom w:val="single" w:sz="4" w:space="0" w:color="auto"/>
              <w:right w:val="single" w:sz="4" w:space="0" w:color="auto"/>
            </w:tcBorders>
            <w:shd w:val="clear" w:color="000000" w:fill="FDE9D9"/>
            <w:noWrap/>
            <w:vAlign w:val="bottom"/>
            <w:hideMark/>
          </w:tcPr>
          <w:p w14:paraId="43A69B98"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6.9%</w:t>
            </w:r>
          </w:p>
        </w:tc>
        <w:tc>
          <w:tcPr>
            <w:tcW w:w="370" w:type="pct"/>
            <w:tcBorders>
              <w:top w:val="nil"/>
              <w:left w:val="nil"/>
              <w:bottom w:val="single" w:sz="4" w:space="0" w:color="auto"/>
              <w:right w:val="single" w:sz="8" w:space="0" w:color="auto"/>
            </w:tcBorders>
            <w:shd w:val="clear" w:color="000000" w:fill="FDE9D9"/>
            <w:noWrap/>
            <w:vAlign w:val="bottom"/>
            <w:hideMark/>
          </w:tcPr>
          <w:p w14:paraId="69ABDEF9"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7.9%</w:t>
            </w:r>
          </w:p>
        </w:tc>
      </w:tr>
      <w:tr w:rsidR="009A356E" w:rsidRPr="00F72CFE" w14:paraId="5202BDB4" w14:textId="77777777" w:rsidTr="009A356E">
        <w:trPr>
          <w:trHeight w:val="240"/>
        </w:trPr>
        <w:tc>
          <w:tcPr>
            <w:tcW w:w="1292" w:type="pct"/>
            <w:tcBorders>
              <w:top w:val="nil"/>
              <w:left w:val="single" w:sz="4" w:space="0" w:color="auto"/>
              <w:bottom w:val="single" w:sz="4" w:space="0" w:color="auto"/>
              <w:right w:val="single" w:sz="4" w:space="0" w:color="auto"/>
            </w:tcBorders>
            <w:shd w:val="clear" w:color="auto" w:fill="auto"/>
            <w:noWrap/>
            <w:vAlign w:val="bottom"/>
            <w:hideMark/>
          </w:tcPr>
          <w:p w14:paraId="6D89CC94" w14:textId="77777777" w:rsidR="009A356E" w:rsidRPr="00F72CFE" w:rsidRDefault="009A356E" w:rsidP="009A356E">
            <w:pPr>
              <w:rPr>
                <w:rFonts w:ascii="Calibri" w:hAnsi="Calibri"/>
                <w:sz w:val="18"/>
                <w:szCs w:val="18"/>
                <w:lang w:eastAsia="en-AU"/>
              </w:rPr>
            </w:pPr>
            <w:r w:rsidRPr="00F72CFE">
              <w:rPr>
                <w:rFonts w:ascii="Calibri" w:hAnsi="Calibri"/>
                <w:sz w:val="18"/>
                <w:szCs w:val="18"/>
                <w:lang w:eastAsia="en-AU"/>
              </w:rPr>
              <w:t>YARRIAMBIACK (S)</w:t>
            </w:r>
          </w:p>
        </w:tc>
        <w:tc>
          <w:tcPr>
            <w:tcW w:w="699" w:type="pct"/>
            <w:tcBorders>
              <w:top w:val="nil"/>
              <w:left w:val="nil"/>
              <w:bottom w:val="single" w:sz="4" w:space="0" w:color="auto"/>
              <w:right w:val="nil"/>
            </w:tcBorders>
            <w:shd w:val="clear" w:color="000000" w:fill="DAEEF3"/>
            <w:noWrap/>
            <w:vAlign w:val="bottom"/>
            <w:hideMark/>
          </w:tcPr>
          <w:p w14:paraId="5A7A35AA" w14:textId="77777777" w:rsidR="009A356E" w:rsidRPr="00F72CFE" w:rsidRDefault="009A356E" w:rsidP="009A356E">
            <w:pPr>
              <w:jc w:val="center"/>
              <w:rPr>
                <w:rFonts w:ascii="Calibri" w:hAnsi="Calibri"/>
                <w:color w:val="000000"/>
                <w:sz w:val="18"/>
                <w:szCs w:val="18"/>
                <w:lang w:eastAsia="en-AU"/>
              </w:rPr>
            </w:pPr>
            <w:r w:rsidRPr="00F72CFE">
              <w:rPr>
                <w:rFonts w:ascii="Calibri" w:hAnsi="Calibri"/>
                <w:color w:val="000000"/>
                <w:sz w:val="18"/>
                <w:szCs w:val="18"/>
                <w:lang w:eastAsia="en-AU"/>
              </w:rPr>
              <w:t>4.9%</w:t>
            </w:r>
          </w:p>
        </w:tc>
        <w:tc>
          <w:tcPr>
            <w:tcW w:w="370" w:type="pct"/>
            <w:tcBorders>
              <w:top w:val="nil"/>
              <w:left w:val="single" w:sz="8" w:space="0" w:color="auto"/>
              <w:bottom w:val="single" w:sz="4" w:space="0" w:color="auto"/>
              <w:right w:val="single" w:sz="4" w:space="0" w:color="auto"/>
            </w:tcBorders>
            <w:shd w:val="clear" w:color="000000" w:fill="FDE9D9"/>
            <w:noWrap/>
            <w:vAlign w:val="bottom"/>
            <w:hideMark/>
          </w:tcPr>
          <w:p w14:paraId="1D698F5B"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47.5%</w:t>
            </w:r>
          </w:p>
        </w:tc>
        <w:tc>
          <w:tcPr>
            <w:tcW w:w="370" w:type="pct"/>
            <w:tcBorders>
              <w:top w:val="nil"/>
              <w:left w:val="nil"/>
              <w:bottom w:val="single" w:sz="4" w:space="0" w:color="auto"/>
              <w:right w:val="single" w:sz="4" w:space="0" w:color="auto"/>
            </w:tcBorders>
            <w:shd w:val="clear" w:color="000000" w:fill="FDE9D9"/>
            <w:noWrap/>
            <w:vAlign w:val="bottom"/>
            <w:hideMark/>
          </w:tcPr>
          <w:p w14:paraId="75AD4C4E"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47.7%</w:t>
            </w:r>
          </w:p>
        </w:tc>
        <w:tc>
          <w:tcPr>
            <w:tcW w:w="370" w:type="pct"/>
            <w:tcBorders>
              <w:top w:val="nil"/>
              <w:left w:val="nil"/>
              <w:bottom w:val="single" w:sz="4" w:space="0" w:color="auto"/>
              <w:right w:val="single" w:sz="4" w:space="0" w:color="auto"/>
            </w:tcBorders>
            <w:shd w:val="clear" w:color="000000" w:fill="FDE9D9"/>
            <w:noWrap/>
            <w:vAlign w:val="bottom"/>
            <w:hideMark/>
          </w:tcPr>
          <w:p w14:paraId="145539A9"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49.6%</w:t>
            </w:r>
          </w:p>
        </w:tc>
        <w:tc>
          <w:tcPr>
            <w:tcW w:w="370" w:type="pct"/>
            <w:tcBorders>
              <w:top w:val="nil"/>
              <w:left w:val="nil"/>
              <w:bottom w:val="single" w:sz="4" w:space="0" w:color="auto"/>
              <w:right w:val="single" w:sz="4" w:space="0" w:color="auto"/>
            </w:tcBorders>
            <w:shd w:val="clear" w:color="000000" w:fill="FDE9D9"/>
            <w:noWrap/>
            <w:vAlign w:val="bottom"/>
            <w:hideMark/>
          </w:tcPr>
          <w:p w14:paraId="2491BC79"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41.6%</w:t>
            </w:r>
          </w:p>
        </w:tc>
        <w:tc>
          <w:tcPr>
            <w:tcW w:w="370" w:type="pct"/>
            <w:tcBorders>
              <w:top w:val="nil"/>
              <w:left w:val="nil"/>
              <w:bottom w:val="single" w:sz="4" w:space="0" w:color="auto"/>
              <w:right w:val="single" w:sz="4" w:space="0" w:color="auto"/>
            </w:tcBorders>
            <w:shd w:val="clear" w:color="000000" w:fill="FDE9D9"/>
            <w:noWrap/>
            <w:vAlign w:val="bottom"/>
            <w:hideMark/>
          </w:tcPr>
          <w:p w14:paraId="05F82AA7"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49.4%</w:t>
            </w:r>
          </w:p>
        </w:tc>
        <w:tc>
          <w:tcPr>
            <w:tcW w:w="421" w:type="pct"/>
            <w:tcBorders>
              <w:top w:val="nil"/>
              <w:left w:val="nil"/>
              <w:bottom w:val="single" w:sz="4" w:space="0" w:color="auto"/>
              <w:right w:val="single" w:sz="4" w:space="0" w:color="auto"/>
            </w:tcBorders>
            <w:shd w:val="clear" w:color="000000" w:fill="FDE9D9"/>
            <w:noWrap/>
            <w:vAlign w:val="bottom"/>
            <w:hideMark/>
          </w:tcPr>
          <w:p w14:paraId="1C890117"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52.8%</w:t>
            </w:r>
          </w:p>
        </w:tc>
        <w:tc>
          <w:tcPr>
            <w:tcW w:w="370" w:type="pct"/>
            <w:tcBorders>
              <w:top w:val="nil"/>
              <w:left w:val="nil"/>
              <w:bottom w:val="single" w:sz="4" w:space="0" w:color="auto"/>
              <w:right w:val="single" w:sz="4" w:space="0" w:color="auto"/>
            </w:tcBorders>
            <w:shd w:val="clear" w:color="000000" w:fill="FDE9D9"/>
            <w:noWrap/>
            <w:vAlign w:val="bottom"/>
            <w:hideMark/>
          </w:tcPr>
          <w:p w14:paraId="4EFBA094"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51.9%</w:t>
            </w:r>
          </w:p>
        </w:tc>
        <w:tc>
          <w:tcPr>
            <w:tcW w:w="370" w:type="pct"/>
            <w:tcBorders>
              <w:top w:val="nil"/>
              <w:left w:val="nil"/>
              <w:bottom w:val="single" w:sz="4" w:space="0" w:color="auto"/>
              <w:right w:val="single" w:sz="8" w:space="0" w:color="auto"/>
            </w:tcBorders>
            <w:shd w:val="clear" w:color="000000" w:fill="FDE9D9"/>
            <w:noWrap/>
            <w:vAlign w:val="bottom"/>
            <w:hideMark/>
          </w:tcPr>
          <w:p w14:paraId="264C23B6"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57.1%</w:t>
            </w:r>
          </w:p>
        </w:tc>
      </w:tr>
      <w:tr w:rsidR="009A356E" w:rsidRPr="00F72CFE" w14:paraId="371677D8" w14:textId="77777777" w:rsidTr="009A356E">
        <w:trPr>
          <w:trHeight w:val="240"/>
        </w:trPr>
        <w:tc>
          <w:tcPr>
            <w:tcW w:w="1292" w:type="pct"/>
            <w:tcBorders>
              <w:top w:val="nil"/>
              <w:left w:val="single" w:sz="4" w:space="0" w:color="auto"/>
              <w:bottom w:val="single" w:sz="4" w:space="0" w:color="auto"/>
              <w:right w:val="single" w:sz="4" w:space="0" w:color="auto"/>
            </w:tcBorders>
            <w:shd w:val="clear" w:color="000000" w:fill="000000"/>
            <w:noWrap/>
            <w:vAlign w:val="bottom"/>
            <w:hideMark/>
          </w:tcPr>
          <w:p w14:paraId="4E349242" w14:textId="77777777" w:rsidR="009A356E" w:rsidRPr="00F72CFE" w:rsidRDefault="009A356E" w:rsidP="009A356E">
            <w:pPr>
              <w:rPr>
                <w:rFonts w:ascii="Calibri" w:hAnsi="Calibri"/>
                <w:sz w:val="18"/>
                <w:szCs w:val="18"/>
                <w:lang w:eastAsia="en-AU"/>
              </w:rPr>
            </w:pPr>
            <w:r w:rsidRPr="00F72CFE">
              <w:rPr>
                <w:rFonts w:ascii="Calibri" w:hAnsi="Calibri"/>
                <w:sz w:val="18"/>
                <w:szCs w:val="18"/>
                <w:lang w:eastAsia="en-AU"/>
              </w:rPr>
              <w:t> </w:t>
            </w:r>
          </w:p>
        </w:tc>
        <w:tc>
          <w:tcPr>
            <w:tcW w:w="699" w:type="pct"/>
            <w:tcBorders>
              <w:top w:val="nil"/>
              <w:left w:val="nil"/>
              <w:bottom w:val="single" w:sz="4" w:space="0" w:color="auto"/>
              <w:right w:val="nil"/>
            </w:tcBorders>
            <w:shd w:val="clear" w:color="000000" w:fill="000000"/>
            <w:noWrap/>
            <w:vAlign w:val="bottom"/>
            <w:hideMark/>
          </w:tcPr>
          <w:p w14:paraId="51DBCF15" w14:textId="77777777" w:rsidR="009A356E" w:rsidRPr="00F72CFE" w:rsidRDefault="009A356E" w:rsidP="009A356E">
            <w:pPr>
              <w:jc w:val="center"/>
              <w:rPr>
                <w:rFonts w:ascii="Calibri" w:hAnsi="Calibri"/>
                <w:color w:val="000000"/>
                <w:sz w:val="18"/>
                <w:szCs w:val="18"/>
                <w:lang w:eastAsia="en-AU"/>
              </w:rPr>
            </w:pPr>
            <w:r w:rsidRPr="00F72CFE">
              <w:rPr>
                <w:rFonts w:ascii="Calibri" w:hAnsi="Calibri"/>
                <w:color w:val="000000"/>
                <w:sz w:val="18"/>
                <w:szCs w:val="18"/>
                <w:lang w:eastAsia="en-AU"/>
              </w:rPr>
              <w:t> </w:t>
            </w:r>
          </w:p>
        </w:tc>
        <w:tc>
          <w:tcPr>
            <w:tcW w:w="370" w:type="pct"/>
            <w:tcBorders>
              <w:top w:val="nil"/>
              <w:left w:val="single" w:sz="8" w:space="0" w:color="auto"/>
              <w:bottom w:val="single" w:sz="4" w:space="0" w:color="auto"/>
              <w:right w:val="single" w:sz="4" w:space="0" w:color="auto"/>
            </w:tcBorders>
            <w:shd w:val="clear" w:color="000000" w:fill="000000"/>
            <w:noWrap/>
            <w:vAlign w:val="bottom"/>
            <w:hideMark/>
          </w:tcPr>
          <w:p w14:paraId="78A4420D" w14:textId="77777777" w:rsidR="009A356E" w:rsidRPr="00F72CFE" w:rsidRDefault="009A356E" w:rsidP="009A356E">
            <w:pPr>
              <w:rPr>
                <w:rFonts w:ascii="Calibri" w:hAnsi="Calibri"/>
                <w:color w:val="000000"/>
                <w:sz w:val="18"/>
                <w:szCs w:val="18"/>
                <w:lang w:eastAsia="en-AU"/>
              </w:rPr>
            </w:pPr>
            <w:r w:rsidRPr="00F72CFE">
              <w:rPr>
                <w:rFonts w:ascii="Calibri" w:hAnsi="Calibri"/>
                <w:color w:val="000000"/>
                <w:sz w:val="18"/>
                <w:szCs w:val="18"/>
                <w:lang w:eastAsia="en-AU"/>
              </w:rPr>
              <w:t> </w:t>
            </w:r>
          </w:p>
        </w:tc>
        <w:tc>
          <w:tcPr>
            <w:tcW w:w="370" w:type="pct"/>
            <w:tcBorders>
              <w:top w:val="nil"/>
              <w:left w:val="nil"/>
              <w:bottom w:val="single" w:sz="4" w:space="0" w:color="auto"/>
              <w:right w:val="single" w:sz="4" w:space="0" w:color="auto"/>
            </w:tcBorders>
            <w:shd w:val="clear" w:color="000000" w:fill="000000"/>
            <w:noWrap/>
            <w:vAlign w:val="bottom"/>
            <w:hideMark/>
          </w:tcPr>
          <w:p w14:paraId="5086DC5D" w14:textId="77777777" w:rsidR="009A356E" w:rsidRPr="00F72CFE" w:rsidRDefault="009A356E" w:rsidP="009A356E">
            <w:pPr>
              <w:rPr>
                <w:rFonts w:ascii="Calibri" w:hAnsi="Calibri"/>
                <w:color w:val="000000"/>
                <w:sz w:val="18"/>
                <w:szCs w:val="18"/>
                <w:lang w:eastAsia="en-AU"/>
              </w:rPr>
            </w:pPr>
            <w:r w:rsidRPr="00F72CFE">
              <w:rPr>
                <w:rFonts w:ascii="Calibri" w:hAnsi="Calibri"/>
                <w:color w:val="000000"/>
                <w:sz w:val="18"/>
                <w:szCs w:val="18"/>
                <w:lang w:eastAsia="en-AU"/>
              </w:rPr>
              <w:t> </w:t>
            </w:r>
          </w:p>
        </w:tc>
        <w:tc>
          <w:tcPr>
            <w:tcW w:w="370" w:type="pct"/>
            <w:tcBorders>
              <w:top w:val="nil"/>
              <w:left w:val="nil"/>
              <w:bottom w:val="single" w:sz="4" w:space="0" w:color="auto"/>
              <w:right w:val="single" w:sz="4" w:space="0" w:color="auto"/>
            </w:tcBorders>
            <w:shd w:val="clear" w:color="000000" w:fill="000000"/>
            <w:noWrap/>
            <w:vAlign w:val="bottom"/>
            <w:hideMark/>
          </w:tcPr>
          <w:p w14:paraId="60C0CE59" w14:textId="77777777" w:rsidR="009A356E" w:rsidRPr="00F72CFE" w:rsidRDefault="009A356E" w:rsidP="009A356E">
            <w:pPr>
              <w:rPr>
                <w:rFonts w:ascii="Calibri" w:hAnsi="Calibri"/>
                <w:color w:val="000000"/>
                <w:sz w:val="18"/>
                <w:szCs w:val="18"/>
                <w:lang w:eastAsia="en-AU"/>
              </w:rPr>
            </w:pPr>
            <w:r w:rsidRPr="00F72CFE">
              <w:rPr>
                <w:rFonts w:ascii="Calibri" w:hAnsi="Calibri"/>
                <w:color w:val="000000"/>
                <w:sz w:val="18"/>
                <w:szCs w:val="18"/>
                <w:lang w:eastAsia="en-AU"/>
              </w:rPr>
              <w:t> </w:t>
            </w:r>
          </w:p>
        </w:tc>
        <w:tc>
          <w:tcPr>
            <w:tcW w:w="370" w:type="pct"/>
            <w:tcBorders>
              <w:top w:val="nil"/>
              <w:left w:val="nil"/>
              <w:bottom w:val="single" w:sz="4" w:space="0" w:color="auto"/>
              <w:right w:val="single" w:sz="4" w:space="0" w:color="auto"/>
            </w:tcBorders>
            <w:shd w:val="clear" w:color="000000" w:fill="000000"/>
            <w:noWrap/>
            <w:vAlign w:val="bottom"/>
            <w:hideMark/>
          </w:tcPr>
          <w:p w14:paraId="5FB9221E" w14:textId="77777777" w:rsidR="009A356E" w:rsidRPr="00F72CFE" w:rsidRDefault="009A356E" w:rsidP="009A356E">
            <w:pPr>
              <w:rPr>
                <w:rFonts w:ascii="Calibri" w:hAnsi="Calibri"/>
                <w:color w:val="000000"/>
                <w:sz w:val="18"/>
                <w:szCs w:val="18"/>
                <w:lang w:eastAsia="en-AU"/>
              </w:rPr>
            </w:pPr>
            <w:r w:rsidRPr="00F72CFE">
              <w:rPr>
                <w:rFonts w:ascii="Calibri" w:hAnsi="Calibri"/>
                <w:color w:val="000000"/>
                <w:sz w:val="18"/>
                <w:szCs w:val="18"/>
                <w:lang w:eastAsia="en-AU"/>
              </w:rPr>
              <w:t> </w:t>
            </w:r>
          </w:p>
        </w:tc>
        <w:tc>
          <w:tcPr>
            <w:tcW w:w="370" w:type="pct"/>
            <w:tcBorders>
              <w:top w:val="nil"/>
              <w:left w:val="nil"/>
              <w:bottom w:val="single" w:sz="4" w:space="0" w:color="auto"/>
              <w:right w:val="single" w:sz="4" w:space="0" w:color="auto"/>
            </w:tcBorders>
            <w:shd w:val="clear" w:color="000000" w:fill="000000"/>
            <w:noWrap/>
            <w:vAlign w:val="bottom"/>
            <w:hideMark/>
          </w:tcPr>
          <w:p w14:paraId="5C5EC76B" w14:textId="77777777" w:rsidR="009A356E" w:rsidRPr="00F72CFE" w:rsidRDefault="009A356E" w:rsidP="009A356E">
            <w:pPr>
              <w:rPr>
                <w:rFonts w:ascii="Calibri" w:hAnsi="Calibri"/>
                <w:color w:val="000000"/>
                <w:sz w:val="18"/>
                <w:szCs w:val="18"/>
                <w:lang w:eastAsia="en-AU"/>
              </w:rPr>
            </w:pPr>
            <w:r w:rsidRPr="00F72CFE">
              <w:rPr>
                <w:rFonts w:ascii="Calibri" w:hAnsi="Calibri"/>
                <w:color w:val="000000"/>
                <w:sz w:val="18"/>
                <w:szCs w:val="18"/>
                <w:lang w:eastAsia="en-AU"/>
              </w:rPr>
              <w:t> </w:t>
            </w:r>
          </w:p>
        </w:tc>
        <w:tc>
          <w:tcPr>
            <w:tcW w:w="421" w:type="pct"/>
            <w:tcBorders>
              <w:top w:val="nil"/>
              <w:left w:val="nil"/>
              <w:bottom w:val="single" w:sz="4" w:space="0" w:color="auto"/>
              <w:right w:val="single" w:sz="4" w:space="0" w:color="auto"/>
            </w:tcBorders>
            <w:shd w:val="clear" w:color="000000" w:fill="000000"/>
            <w:noWrap/>
            <w:vAlign w:val="bottom"/>
            <w:hideMark/>
          </w:tcPr>
          <w:p w14:paraId="3B152AA4" w14:textId="77777777" w:rsidR="009A356E" w:rsidRPr="00F72CFE" w:rsidRDefault="009A356E" w:rsidP="009A356E">
            <w:pPr>
              <w:rPr>
                <w:rFonts w:ascii="Calibri" w:hAnsi="Calibri"/>
                <w:color w:val="000000"/>
                <w:sz w:val="18"/>
                <w:szCs w:val="18"/>
                <w:lang w:eastAsia="en-AU"/>
              </w:rPr>
            </w:pPr>
            <w:r w:rsidRPr="00F72CFE">
              <w:rPr>
                <w:rFonts w:ascii="Calibri" w:hAnsi="Calibri"/>
                <w:color w:val="000000"/>
                <w:sz w:val="18"/>
                <w:szCs w:val="18"/>
                <w:lang w:eastAsia="en-AU"/>
              </w:rPr>
              <w:t> </w:t>
            </w:r>
          </w:p>
        </w:tc>
        <w:tc>
          <w:tcPr>
            <w:tcW w:w="370" w:type="pct"/>
            <w:tcBorders>
              <w:top w:val="nil"/>
              <w:left w:val="nil"/>
              <w:bottom w:val="single" w:sz="4" w:space="0" w:color="auto"/>
              <w:right w:val="single" w:sz="4" w:space="0" w:color="auto"/>
            </w:tcBorders>
            <w:shd w:val="clear" w:color="000000" w:fill="000000"/>
            <w:noWrap/>
            <w:vAlign w:val="bottom"/>
            <w:hideMark/>
          </w:tcPr>
          <w:p w14:paraId="36119618" w14:textId="77777777" w:rsidR="009A356E" w:rsidRPr="00F72CFE" w:rsidRDefault="009A356E" w:rsidP="009A356E">
            <w:pPr>
              <w:rPr>
                <w:rFonts w:ascii="Calibri" w:hAnsi="Calibri"/>
                <w:color w:val="000000"/>
                <w:sz w:val="18"/>
                <w:szCs w:val="18"/>
                <w:lang w:eastAsia="en-AU"/>
              </w:rPr>
            </w:pPr>
            <w:r w:rsidRPr="00F72CFE">
              <w:rPr>
                <w:rFonts w:ascii="Calibri" w:hAnsi="Calibri"/>
                <w:color w:val="000000"/>
                <w:sz w:val="18"/>
                <w:szCs w:val="18"/>
                <w:lang w:eastAsia="en-AU"/>
              </w:rPr>
              <w:t> </w:t>
            </w:r>
          </w:p>
        </w:tc>
        <w:tc>
          <w:tcPr>
            <w:tcW w:w="370" w:type="pct"/>
            <w:tcBorders>
              <w:top w:val="nil"/>
              <w:left w:val="nil"/>
              <w:bottom w:val="single" w:sz="4" w:space="0" w:color="auto"/>
              <w:right w:val="single" w:sz="8" w:space="0" w:color="auto"/>
            </w:tcBorders>
            <w:shd w:val="clear" w:color="000000" w:fill="000000"/>
            <w:noWrap/>
            <w:vAlign w:val="bottom"/>
            <w:hideMark/>
          </w:tcPr>
          <w:p w14:paraId="5BB7D941" w14:textId="77777777" w:rsidR="009A356E" w:rsidRPr="00F72CFE" w:rsidRDefault="009A356E" w:rsidP="009A356E">
            <w:pPr>
              <w:rPr>
                <w:rFonts w:ascii="Calibri" w:hAnsi="Calibri"/>
                <w:color w:val="000000"/>
                <w:sz w:val="18"/>
                <w:szCs w:val="18"/>
                <w:lang w:eastAsia="en-AU"/>
              </w:rPr>
            </w:pPr>
            <w:r w:rsidRPr="00F72CFE">
              <w:rPr>
                <w:rFonts w:ascii="Calibri" w:hAnsi="Calibri"/>
                <w:color w:val="000000"/>
                <w:sz w:val="18"/>
                <w:szCs w:val="18"/>
                <w:lang w:eastAsia="en-AU"/>
              </w:rPr>
              <w:t> </w:t>
            </w:r>
          </w:p>
        </w:tc>
      </w:tr>
      <w:tr w:rsidR="009A356E" w:rsidRPr="00F72CFE" w14:paraId="1593EA16" w14:textId="77777777" w:rsidTr="009A356E">
        <w:trPr>
          <w:trHeight w:val="240"/>
        </w:trPr>
        <w:tc>
          <w:tcPr>
            <w:tcW w:w="1292" w:type="pct"/>
            <w:tcBorders>
              <w:top w:val="nil"/>
              <w:left w:val="single" w:sz="4" w:space="0" w:color="auto"/>
              <w:bottom w:val="single" w:sz="4" w:space="0" w:color="auto"/>
              <w:right w:val="single" w:sz="4" w:space="0" w:color="auto"/>
            </w:tcBorders>
            <w:shd w:val="clear" w:color="auto" w:fill="auto"/>
            <w:noWrap/>
            <w:vAlign w:val="bottom"/>
            <w:hideMark/>
          </w:tcPr>
          <w:p w14:paraId="74005C27" w14:textId="77777777" w:rsidR="009A356E" w:rsidRPr="00F72CFE" w:rsidRDefault="009A356E" w:rsidP="009A356E">
            <w:pPr>
              <w:rPr>
                <w:rFonts w:ascii="Calibri" w:hAnsi="Calibri"/>
                <w:sz w:val="18"/>
                <w:szCs w:val="18"/>
                <w:lang w:eastAsia="en-AU"/>
              </w:rPr>
            </w:pPr>
            <w:r w:rsidRPr="00F72CFE">
              <w:rPr>
                <w:rFonts w:ascii="Calibri" w:hAnsi="Calibri"/>
                <w:sz w:val="18"/>
                <w:szCs w:val="18"/>
                <w:lang w:eastAsia="en-AU"/>
              </w:rPr>
              <w:t>Inner Metro</w:t>
            </w:r>
          </w:p>
        </w:tc>
        <w:tc>
          <w:tcPr>
            <w:tcW w:w="699" w:type="pct"/>
            <w:tcBorders>
              <w:top w:val="nil"/>
              <w:left w:val="nil"/>
              <w:bottom w:val="single" w:sz="4" w:space="0" w:color="auto"/>
              <w:right w:val="nil"/>
            </w:tcBorders>
            <w:shd w:val="clear" w:color="000000" w:fill="DAEEF3"/>
            <w:noWrap/>
            <w:vAlign w:val="bottom"/>
            <w:hideMark/>
          </w:tcPr>
          <w:p w14:paraId="4CDC3755" w14:textId="77777777" w:rsidR="009A356E" w:rsidRPr="00F72CFE" w:rsidRDefault="009A356E" w:rsidP="009A356E">
            <w:pPr>
              <w:jc w:val="center"/>
              <w:rPr>
                <w:rFonts w:ascii="Calibri" w:hAnsi="Calibri"/>
                <w:color w:val="000000"/>
                <w:sz w:val="18"/>
                <w:szCs w:val="18"/>
                <w:lang w:eastAsia="en-AU"/>
              </w:rPr>
            </w:pPr>
            <w:r w:rsidRPr="00F72CFE">
              <w:rPr>
                <w:rFonts w:ascii="Calibri" w:hAnsi="Calibri"/>
                <w:color w:val="000000"/>
                <w:sz w:val="18"/>
                <w:szCs w:val="18"/>
                <w:lang w:eastAsia="en-AU"/>
              </w:rPr>
              <w:t>5.1%</w:t>
            </w:r>
          </w:p>
        </w:tc>
        <w:tc>
          <w:tcPr>
            <w:tcW w:w="370" w:type="pct"/>
            <w:tcBorders>
              <w:top w:val="nil"/>
              <w:left w:val="single" w:sz="8" w:space="0" w:color="auto"/>
              <w:bottom w:val="single" w:sz="4" w:space="0" w:color="auto"/>
              <w:right w:val="single" w:sz="4" w:space="0" w:color="auto"/>
            </w:tcBorders>
            <w:shd w:val="clear" w:color="000000" w:fill="FDE9D9"/>
            <w:noWrap/>
            <w:vAlign w:val="bottom"/>
            <w:hideMark/>
          </w:tcPr>
          <w:p w14:paraId="374398C3"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16.8%</w:t>
            </w:r>
          </w:p>
        </w:tc>
        <w:tc>
          <w:tcPr>
            <w:tcW w:w="370" w:type="pct"/>
            <w:tcBorders>
              <w:top w:val="nil"/>
              <w:left w:val="nil"/>
              <w:bottom w:val="single" w:sz="4" w:space="0" w:color="auto"/>
              <w:right w:val="single" w:sz="4" w:space="0" w:color="auto"/>
            </w:tcBorders>
            <w:shd w:val="clear" w:color="000000" w:fill="FDE9D9"/>
            <w:noWrap/>
            <w:vAlign w:val="bottom"/>
            <w:hideMark/>
          </w:tcPr>
          <w:p w14:paraId="3748455C"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17.5%</w:t>
            </w:r>
          </w:p>
        </w:tc>
        <w:tc>
          <w:tcPr>
            <w:tcW w:w="370" w:type="pct"/>
            <w:tcBorders>
              <w:top w:val="nil"/>
              <w:left w:val="nil"/>
              <w:bottom w:val="single" w:sz="4" w:space="0" w:color="auto"/>
              <w:right w:val="single" w:sz="4" w:space="0" w:color="auto"/>
            </w:tcBorders>
            <w:shd w:val="clear" w:color="000000" w:fill="FDE9D9"/>
            <w:noWrap/>
            <w:vAlign w:val="bottom"/>
            <w:hideMark/>
          </w:tcPr>
          <w:p w14:paraId="6A99B010"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17.2%</w:t>
            </w:r>
          </w:p>
        </w:tc>
        <w:tc>
          <w:tcPr>
            <w:tcW w:w="370" w:type="pct"/>
            <w:tcBorders>
              <w:top w:val="nil"/>
              <w:left w:val="nil"/>
              <w:bottom w:val="single" w:sz="4" w:space="0" w:color="auto"/>
              <w:right w:val="single" w:sz="4" w:space="0" w:color="auto"/>
            </w:tcBorders>
            <w:shd w:val="clear" w:color="000000" w:fill="FDE9D9"/>
            <w:noWrap/>
            <w:vAlign w:val="bottom"/>
            <w:hideMark/>
          </w:tcPr>
          <w:p w14:paraId="25044742"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16.9%</w:t>
            </w:r>
          </w:p>
        </w:tc>
        <w:tc>
          <w:tcPr>
            <w:tcW w:w="370" w:type="pct"/>
            <w:tcBorders>
              <w:top w:val="nil"/>
              <w:left w:val="nil"/>
              <w:bottom w:val="single" w:sz="4" w:space="0" w:color="auto"/>
              <w:right w:val="single" w:sz="4" w:space="0" w:color="auto"/>
            </w:tcBorders>
            <w:shd w:val="clear" w:color="000000" w:fill="FDE9D9"/>
            <w:noWrap/>
            <w:vAlign w:val="bottom"/>
            <w:hideMark/>
          </w:tcPr>
          <w:p w14:paraId="302E629A"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17.5%</w:t>
            </w:r>
          </w:p>
        </w:tc>
        <w:tc>
          <w:tcPr>
            <w:tcW w:w="421" w:type="pct"/>
            <w:tcBorders>
              <w:top w:val="nil"/>
              <w:left w:val="nil"/>
              <w:bottom w:val="single" w:sz="4" w:space="0" w:color="auto"/>
              <w:right w:val="single" w:sz="4" w:space="0" w:color="auto"/>
            </w:tcBorders>
            <w:shd w:val="clear" w:color="000000" w:fill="FDE9D9"/>
            <w:noWrap/>
            <w:vAlign w:val="bottom"/>
            <w:hideMark/>
          </w:tcPr>
          <w:p w14:paraId="7E898D8D"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17.1%</w:t>
            </w:r>
          </w:p>
        </w:tc>
        <w:tc>
          <w:tcPr>
            <w:tcW w:w="370" w:type="pct"/>
            <w:tcBorders>
              <w:top w:val="nil"/>
              <w:left w:val="nil"/>
              <w:bottom w:val="single" w:sz="4" w:space="0" w:color="auto"/>
              <w:right w:val="single" w:sz="4" w:space="0" w:color="auto"/>
            </w:tcBorders>
            <w:shd w:val="clear" w:color="000000" w:fill="FDE9D9"/>
            <w:noWrap/>
            <w:vAlign w:val="bottom"/>
            <w:hideMark/>
          </w:tcPr>
          <w:p w14:paraId="7E0851BB"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17.1%</w:t>
            </w:r>
          </w:p>
        </w:tc>
        <w:tc>
          <w:tcPr>
            <w:tcW w:w="370" w:type="pct"/>
            <w:tcBorders>
              <w:top w:val="nil"/>
              <w:left w:val="nil"/>
              <w:bottom w:val="single" w:sz="4" w:space="0" w:color="auto"/>
              <w:right w:val="single" w:sz="8" w:space="0" w:color="auto"/>
            </w:tcBorders>
            <w:shd w:val="clear" w:color="000000" w:fill="FDE9D9"/>
            <w:noWrap/>
            <w:vAlign w:val="bottom"/>
            <w:hideMark/>
          </w:tcPr>
          <w:p w14:paraId="20346859"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17.5%</w:t>
            </w:r>
          </w:p>
        </w:tc>
      </w:tr>
      <w:tr w:rsidR="009A356E" w:rsidRPr="00F72CFE" w14:paraId="3DA77E10" w14:textId="77777777" w:rsidTr="009A356E">
        <w:trPr>
          <w:trHeight w:val="240"/>
        </w:trPr>
        <w:tc>
          <w:tcPr>
            <w:tcW w:w="1292" w:type="pct"/>
            <w:tcBorders>
              <w:top w:val="nil"/>
              <w:left w:val="single" w:sz="4" w:space="0" w:color="auto"/>
              <w:bottom w:val="single" w:sz="4" w:space="0" w:color="auto"/>
              <w:right w:val="single" w:sz="4" w:space="0" w:color="auto"/>
            </w:tcBorders>
            <w:shd w:val="clear" w:color="auto" w:fill="auto"/>
            <w:noWrap/>
            <w:vAlign w:val="bottom"/>
            <w:hideMark/>
          </w:tcPr>
          <w:p w14:paraId="668819F8" w14:textId="77777777" w:rsidR="009A356E" w:rsidRPr="00F72CFE" w:rsidRDefault="009A356E" w:rsidP="009A356E">
            <w:pPr>
              <w:rPr>
                <w:rFonts w:ascii="Calibri" w:hAnsi="Calibri"/>
                <w:sz w:val="18"/>
                <w:szCs w:val="18"/>
                <w:lang w:eastAsia="en-AU"/>
              </w:rPr>
            </w:pPr>
            <w:r w:rsidRPr="00F72CFE">
              <w:rPr>
                <w:rFonts w:ascii="Calibri" w:hAnsi="Calibri"/>
                <w:sz w:val="18"/>
                <w:szCs w:val="18"/>
                <w:lang w:eastAsia="en-AU"/>
              </w:rPr>
              <w:t>Large Shires</w:t>
            </w:r>
          </w:p>
        </w:tc>
        <w:tc>
          <w:tcPr>
            <w:tcW w:w="699" w:type="pct"/>
            <w:tcBorders>
              <w:top w:val="nil"/>
              <w:left w:val="nil"/>
              <w:bottom w:val="single" w:sz="4" w:space="0" w:color="auto"/>
              <w:right w:val="nil"/>
            </w:tcBorders>
            <w:shd w:val="clear" w:color="000000" w:fill="DAEEF3"/>
            <w:noWrap/>
            <w:vAlign w:val="bottom"/>
            <w:hideMark/>
          </w:tcPr>
          <w:p w14:paraId="0E591FFB" w14:textId="77777777" w:rsidR="009A356E" w:rsidRPr="00F72CFE" w:rsidRDefault="009A356E" w:rsidP="009A356E">
            <w:pPr>
              <w:jc w:val="center"/>
              <w:rPr>
                <w:rFonts w:ascii="Calibri" w:hAnsi="Calibri"/>
                <w:color w:val="000000"/>
                <w:sz w:val="18"/>
                <w:szCs w:val="18"/>
                <w:lang w:eastAsia="en-AU"/>
              </w:rPr>
            </w:pPr>
            <w:r w:rsidRPr="00F72CFE">
              <w:rPr>
                <w:rFonts w:ascii="Calibri" w:hAnsi="Calibri"/>
                <w:color w:val="000000"/>
                <w:sz w:val="18"/>
                <w:szCs w:val="18"/>
                <w:lang w:eastAsia="en-AU"/>
              </w:rPr>
              <w:t>6.9%</w:t>
            </w:r>
          </w:p>
        </w:tc>
        <w:tc>
          <w:tcPr>
            <w:tcW w:w="370" w:type="pct"/>
            <w:tcBorders>
              <w:top w:val="nil"/>
              <w:left w:val="single" w:sz="8" w:space="0" w:color="auto"/>
              <w:bottom w:val="single" w:sz="4" w:space="0" w:color="auto"/>
              <w:right w:val="single" w:sz="4" w:space="0" w:color="auto"/>
            </w:tcBorders>
            <w:shd w:val="clear" w:color="000000" w:fill="FDE9D9"/>
            <w:noWrap/>
            <w:vAlign w:val="bottom"/>
            <w:hideMark/>
          </w:tcPr>
          <w:p w14:paraId="0C2C8E58"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28.1%</w:t>
            </w:r>
          </w:p>
        </w:tc>
        <w:tc>
          <w:tcPr>
            <w:tcW w:w="370" w:type="pct"/>
            <w:tcBorders>
              <w:top w:val="nil"/>
              <w:left w:val="nil"/>
              <w:bottom w:val="single" w:sz="4" w:space="0" w:color="auto"/>
              <w:right w:val="single" w:sz="4" w:space="0" w:color="auto"/>
            </w:tcBorders>
            <w:shd w:val="clear" w:color="000000" w:fill="FDE9D9"/>
            <w:noWrap/>
            <w:vAlign w:val="bottom"/>
            <w:hideMark/>
          </w:tcPr>
          <w:p w14:paraId="245D7540"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29.5%</w:t>
            </w:r>
          </w:p>
        </w:tc>
        <w:tc>
          <w:tcPr>
            <w:tcW w:w="370" w:type="pct"/>
            <w:tcBorders>
              <w:top w:val="nil"/>
              <w:left w:val="nil"/>
              <w:bottom w:val="single" w:sz="4" w:space="0" w:color="auto"/>
              <w:right w:val="single" w:sz="4" w:space="0" w:color="auto"/>
            </w:tcBorders>
            <w:shd w:val="clear" w:color="000000" w:fill="FDE9D9"/>
            <w:noWrap/>
            <w:vAlign w:val="bottom"/>
            <w:hideMark/>
          </w:tcPr>
          <w:p w14:paraId="3067E354"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28.9%</w:t>
            </w:r>
          </w:p>
        </w:tc>
        <w:tc>
          <w:tcPr>
            <w:tcW w:w="370" w:type="pct"/>
            <w:tcBorders>
              <w:top w:val="nil"/>
              <w:left w:val="nil"/>
              <w:bottom w:val="single" w:sz="4" w:space="0" w:color="auto"/>
              <w:right w:val="single" w:sz="4" w:space="0" w:color="auto"/>
            </w:tcBorders>
            <w:shd w:val="clear" w:color="000000" w:fill="FDE9D9"/>
            <w:noWrap/>
            <w:vAlign w:val="bottom"/>
            <w:hideMark/>
          </w:tcPr>
          <w:p w14:paraId="1C88E782"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28.6%</w:t>
            </w:r>
          </w:p>
        </w:tc>
        <w:tc>
          <w:tcPr>
            <w:tcW w:w="370" w:type="pct"/>
            <w:tcBorders>
              <w:top w:val="nil"/>
              <w:left w:val="nil"/>
              <w:bottom w:val="single" w:sz="4" w:space="0" w:color="auto"/>
              <w:right w:val="single" w:sz="4" w:space="0" w:color="auto"/>
            </w:tcBorders>
            <w:shd w:val="clear" w:color="000000" w:fill="FDE9D9"/>
            <w:noWrap/>
            <w:vAlign w:val="bottom"/>
            <w:hideMark/>
          </w:tcPr>
          <w:p w14:paraId="4B261F79"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29.4%</w:t>
            </w:r>
          </w:p>
        </w:tc>
        <w:tc>
          <w:tcPr>
            <w:tcW w:w="421" w:type="pct"/>
            <w:tcBorders>
              <w:top w:val="nil"/>
              <w:left w:val="nil"/>
              <w:bottom w:val="single" w:sz="4" w:space="0" w:color="auto"/>
              <w:right w:val="single" w:sz="4" w:space="0" w:color="auto"/>
            </w:tcBorders>
            <w:shd w:val="clear" w:color="000000" w:fill="FDE9D9"/>
            <w:noWrap/>
            <w:vAlign w:val="bottom"/>
            <w:hideMark/>
          </w:tcPr>
          <w:p w14:paraId="1092361C"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30.5%</w:t>
            </w:r>
          </w:p>
        </w:tc>
        <w:tc>
          <w:tcPr>
            <w:tcW w:w="370" w:type="pct"/>
            <w:tcBorders>
              <w:top w:val="nil"/>
              <w:left w:val="nil"/>
              <w:bottom w:val="single" w:sz="4" w:space="0" w:color="auto"/>
              <w:right w:val="single" w:sz="4" w:space="0" w:color="auto"/>
            </w:tcBorders>
            <w:shd w:val="clear" w:color="000000" w:fill="FDE9D9"/>
            <w:noWrap/>
            <w:vAlign w:val="bottom"/>
            <w:hideMark/>
          </w:tcPr>
          <w:p w14:paraId="543278C8"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31.4%</w:t>
            </w:r>
          </w:p>
        </w:tc>
        <w:tc>
          <w:tcPr>
            <w:tcW w:w="370" w:type="pct"/>
            <w:tcBorders>
              <w:top w:val="nil"/>
              <w:left w:val="nil"/>
              <w:bottom w:val="single" w:sz="4" w:space="0" w:color="auto"/>
              <w:right w:val="single" w:sz="8" w:space="0" w:color="auto"/>
            </w:tcBorders>
            <w:shd w:val="clear" w:color="000000" w:fill="FDE9D9"/>
            <w:noWrap/>
            <w:vAlign w:val="bottom"/>
            <w:hideMark/>
          </w:tcPr>
          <w:p w14:paraId="2F507BBB"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32.1%</w:t>
            </w:r>
          </w:p>
        </w:tc>
      </w:tr>
      <w:tr w:rsidR="009A356E" w:rsidRPr="00F72CFE" w14:paraId="240C1217" w14:textId="77777777" w:rsidTr="009A356E">
        <w:trPr>
          <w:trHeight w:val="240"/>
        </w:trPr>
        <w:tc>
          <w:tcPr>
            <w:tcW w:w="1292" w:type="pct"/>
            <w:tcBorders>
              <w:top w:val="nil"/>
              <w:left w:val="single" w:sz="4" w:space="0" w:color="auto"/>
              <w:bottom w:val="single" w:sz="4" w:space="0" w:color="auto"/>
              <w:right w:val="single" w:sz="4" w:space="0" w:color="auto"/>
            </w:tcBorders>
            <w:shd w:val="clear" w:color="auto" w:fill="auto"/>
            <w:noWrap/>
            <w:vAlign w:val="bottom"/>
            <w:hideMark/>
          </w:tcPr>
          <w:p w14:paraId="5D9C1071" w14:textId="77777777" w:rsidR="009A356E" w:rsidRPr="00F72CFE" w:rsidRDefault="009A356E" w:rsidP="009A356E">
            <w:pPr>
              <w:rPr>
                <w:rFonts w:ascii="Calibri" w:hAnsi="Calibri"/>
                <w:sz w:val="18"/>
                <w:szCs w:val="18"/>
                <w:lang w:eastAsia="en-AU"/>
              </w:rPr>
            </w:pPr>
            <w:r w:rsidRPr="00F72CFE">
              <w:rPr>
                <w:rFonts w:ascii="Calibri" w:hAnsi="Calibri"/>
                <w:sz w:val="18"/>
                <w:szCs w:val="18"/>
                <w:lang w:eastAsia="en-AU"/>
              </w:rPr>
              <w:t>Outer Metro</w:t>
            </w:r>
          </w:p>
        </w:tc>
        <w:tc>
          <w:tcPr>
            <w:tcW w:w="699" w:type="pct"/>
            <w:tcBorders>
              <w:top w:val="nil"/>
              <w:left w:val="nil"/>
              <w:bottom w:val="single" w:sz="4" w:space="0" w:color="auto"/>
              <w:right w:val="nil"/>
            </w:tcBorders>
            <w:shd w:val="clear" w:color="000000" w:fill="DAEEF3"/>
            <w:noWrap/>
            <w:vAlign w:val="bottom"/>
            <w:hideMark/>
          </w:tcPr>
          <w:p w14:paraId="472F96B7" w14:textId="77777777" w:rsidR="009A356E" w:rsidRPr="00F72CFE" w:rsidRDefault="009A356E" w:rsidP="009A356E">
            <w:pPr>
              <w:jc w:val="center"/>
              <w:rPr>
                <w:rFonts w:ascii="Calibri" w:hAnsi="Calibri"/>
                <w:color w:val="000000"/>
                <w:sz w:val="18"/>
                <w:szCs w:val="18"/>
                <w:lang w:eastAsia="en-AU"/>
              </w:rPr>
            </w:pPr>
            <w:r w:rsidRPr="00F72CFE">
              <w:rPr>
                <w:rFonts w:ascii="Calibri" w:hAnsi="Calibri"/>
                <w:color w:val="000000"/>
                <w:sz w:val="18"/>
                <w:szCs w:val="18"/>
                <w:lang w:eastAsia="en-AU"/>
              </w:rPr>
              <w:t>8.1%</w:t>
            </w:r>
          </w:p>
        </w:tc>
        <w:tc>
          <w:tcPr>
            <w:tcW w:w="370" w:type="pct"/>
            <w:tcBorders>
              <w:top w:val="nil"/>
              <w:left w:val="single" w:sz="8" w:space="0" w:color="auto"/>
              <w:bottom w:val="single" w:sz="4" w:space="0" w:color="auto"/>
              <w:right w:val="single" w:sz="4" w:space="0" w:color="auto"/>
            </w:tcBorders>
            <w:shd w:val="clear" w:color="000000" w:fill="FDE9D9"/>
            <w:noWrap/>
            <w:vAlign w:val="bottom"/>
            <w:hideMark/>
          </w:tcPr>
          <w:p w14:paraId="07B5D841"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10.6%</w:t>
            </w:r>
          </w:p>
        </w:tc>
        <w:tc>
          <w:tcPr>
            <w:tcW w:w="370" w:type="pct"/>
            <w:tcBorders>
              <w:top w:val="nil"/>
              <w:left w:val="nil"/>
              <w:bottom w:val="single" w:sz="4" w:space="0" w:color="auto"/>
              <w:right w:val="single" w:sz="4" w:space="0" w:color="auto"/>
            </w:tcBorders>
            <w:shd w:val="clear" w:color="000000" w:fill="FDE9D9"/>
            <w:noWrap/>
            <w:vAlign w:val="bottom"/>
            <w:hideMark/>
          </w:tcPr>
          <w:p w14:paraId="6635ED0F"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11.9%</w:t>
            </w:r>
          </w:p>
        </w:tc>
        <w:tc>
          <w:tcPr>
            <w:tcW w:w="370" w:type="pct"/>
            <w:tcBorders>
              <w:top w:val="nil"/>
              <w:left w:val="nil"/>
              <w:bottom w:val="single" w:sz="4" w:space="0" w:color="auto"/>
              <w:right w:val="single" w:sz="4" w:space="0" w:color="auto"/>
            </w:tcBorders>
            <w:shd w:val="clear" w:color="000000" w:fill="FDE9D9"/>
            <w:noWrap/>
            <w:vAlign w:val="bottom"/>
            <w:hideMark/>
          </w:tcPr>
          <w:p w14:paraId="3DD4422C"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13.1%</w:t>
            </w:r>
          </w:p>
        </w:tc>
        <w:tc>
          <w:tcPr>
            <w:tcW w:w="370" w:type="pct"/>
            <w:tcBorders>
              <w:top w:val="nil"/>
              <w:left w:val="nil"/>
              <w:bottom w:val="single" w:sz="4" w:space="0" w:color="auto"/>
              <w:right w:val="single" w:sz="4" w:space="0" w:color="auto"/>
            </w:tcBorders>
            <w:shd w:val="clear" w:color="000000" w:fill="FDE9D9"/>
            <w:noWrap/>
            <w:vAlign w:val="bottom"/>
            <w:hideMark/>
          </w:tcPr>
          <w:p w14:paraId="12FB7724"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14.8%</w:t>
            </w:r>
          </w:p>
        </w:tc>
        <w:tc>
          <w:tcPr>
            <w:tcW w:w="370" w:type="pct"/>
            <w:tcBorders>
              <w:top w:val="nil"/>
              <w:left w:val="nil"/>
              <w:bottom w:val="single" w:sz="4" w:space="0" w:color="auto"/>
              <w:right w:val="single" w:sz="4" w:space="0" w:color="auto"/>
            </w:tcBorders>
            <w:shd w:val="clear" w:color="000000" w:fill="FDE9D9"/>
            <w:noWrap/>
            <w:vAlign w:val="bottom"/>
            <w:hideMark/>
          </w:tcPr>
          <w:p w14:paraId="54165BCC"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15.7%</w:t>
            </w:r>
          </w:p>
        </w:tc>
        <w:tc>
          <w:tcPr>
            <w:tcW w:w="421" w:type="pct"/>
            <w:tcBorders>
              <w:top w:val="nil"/>
              <w:left w:val="nil"/>
              <w:bottom w:val="single" w:sz="4" w:space="0" w:color="auto"/>
              <w:right w:val="single" w:sz="4" w:space="0" w:color="auto"/>
            </w:tcBorders>
            <w:shd w:val="clear" w:color="000000" w:fill="FDE9D9"/>
            <w:noWrap/>
            <w:vAlign w:val="bottom"/>
            <w:hideMark/>
          </w:tcPr>
          <w:p w14:paraId="78CC7207"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15.7%</w:t>
            </w:r>
          </w:p>
        </w:tc>
        <w:tc>
          <w:tcPr>
            <w:tcW w:w="370" w:type="pct"/>
            <w:tcBorders>
              <w:top w:val="nil"/>
              <w:left w:val="nil"/>
              <w:bottom w:val="single" w:sz="4" w:space="0" w:color="auto"/>
              <w:right w:val="single" w:sz="4" w:space="0" w:color="auto"/>
            </w:tcBorders>
            <w:shd w:val="clear" w:color="000000" w:fill="FDE9D9"/>
            <w:noWrap/>
            <w:vAlign w:val="bottom"/>
            <w:hideMark/>
          </w:tcPr>
          <w:p w14:paraId="563F7D57"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16.1%</w:t>
            </w:r>
          </w:p>
        </w:tc>
        <w:tc>
          <w:tcPr>
            <w:tcW w:w="370" w:type="pct"/>
            <w:tcBorders>
              <w:top w:val="nil"/>
              <w:left w:val="nil"/>
              <w:bottom w:val="single" w:sz="4" w:space="0" w:color="auto"/>
              <w:right w:val="single" w:sz="8" w:space="0" w:color="auto"/>
            </w:tcBorders>
            <w:shd w:val="clear" w:color="000000" w:fill="FDE9D9"/>
            <w:noWrap/>
            <w:vAlign w:val="bottom"/>
            <w:hideMark/>
          </w:tcPr>
          <w:p w14:paraId="5CB843C0"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15.5%</w:t>
            </w:r>
          </w:p>
        </w:tc>
      </w:tr>
      <w:tr w:rsidR="009A356E" w:rsidRPr="00F72CFE" w14:paraId="5FDEFCB0" w14:textId="77777777" w:rsidTr="009A356E">
        <w:trPr>
          <w:trHeight w:val="240"/>
        </w:trPr>
        <w:tc>
          <w:tcPr>
            <w:tcW w:w="1292" w:type="pct"/>
            <w:tcBorders>
              <w:top w:val="nil"/>
              <w:left w:val="single" w:sz="4" w:space="0" w:color="auto"/>
              <w:bottom w:val="single" w:sz="4" w:space="0" w:color="auto"/>
              <w:right w:val="single" w:sz="4" w:space="0" w:color="auto"/>
            </w:tcBorders>
            <w:shd w:val="clear" w:color="auto" w:fill="auto"/>
            <w:noWrap/>
            <w:vAlign w:val="bottom"/>
            <w:hideMark/>
          </w:tcPr>
          <w:p w14:paraId="7E1EC110" w14:textId="77777777" w:rsidR="009A356E" w:rsidRPr="00F72CFE" w:rsidRDefault="009A356E" w:rsidP="009A356E">
            <w:pPr>
              <w:rPr>
                <w:rFonts w:ascii="Calibri" w:hAnsi="Calibri"/>
                <w:sz w:val="18"/>
                <w:szCs w:val="18"/>
                <w:lang w:eastAsia="en-AU"/>
              </w:rPr>
            </w:pPr>
            <w:r w:rsidRPr="00F72CFE">
              <w:rPr>
                <w:rFonts w:ascii="Calibri" w:hAnsi="Calibri"/>
                <w:sz w:val="18"/>
                <w:szCs w:val="18"/>
                <w:lang w:eastAsia="en-AU"/>
              </w:rPr>
              <w:t xml:space="preserve">Regional Cities </w:t>
            </w:r>
          </w:p>
        </w:tc>
        <w:tc>
          <w:tcPr>
            <w:tcW w:w="699" w:type="pct"/>
            <w:tcBorders>
              <w:top w:val="nil"/>
              <w:left w:val="nil"/>
              <w:bottom w:val="single" w:sz="4" w:space="0" w:color="auto"/>
              <w:right w:val="nil"/>
            </w:tcBorders>
            <w:shd w:val="clear" w:color="000000" w:fill="DAEEF3"/>
            <w:noWrap/>
            <w:vAlign w:val="bottom"/>
            <w:hideMark/>
          </w:tcPr>
          <w:p w14:paraId="7CE1724D" w14:textId="77777777" w:rsidR="009A356E" w:rsidRPr="00F72CFE" w:rsidRDefault="009A356E" w:rsidP="009A356E">
            <w:pPr>
              <w:jc w:val="center"/>
              <w:rPr>
                <w:rFonts w:ascii="Calibri" w:hAnsi="Calibri"/>
                <w:color w:val="000000"/>
                <w:sz w:val="18"/>
                <w:szCs w:val="18"/>
                <w:lang w:eastAsia="en-AU"/>
              </w:rPr>
            </w:pPr>
            <w:r w:rsidRPr="00F72CFE">
              <w:rPr>
                <w:rFonts w:ascii="Calibri" w:hAnsi="Calibri"/>
                <w:color w:val="000000"/>
                <w:sz w:val="18"/>
                <w:szCs w:val="18"/>
                <w:lang w:eastAsia="en-AU"/>
              </w:rPr>
              <w:t>7.6%</w:t>
            </w:r>
          </w:p>
        </w:tc>
        <w:tc>
          <w:tcPr>
            <w:tcW w:w="370" w:type="pct"/>
            <w:tcBorders>
              <w:top w:val="nil"/>
              <w:left w:val="single" w:sz="8" w:space="0" w:color="auto"/>
              <w:bottom w:val="single" w:sz="4" w:space="0" w:color="auto"/>
              <w:right w:val="single" w:sz="4" w:space="0" w:color="auto"/>
            </w:tcBorders>
            <w:shd w:val="clear" w:color="000000" w:fill="FDE9D9"/>
            <w:noWrap/>
            <w:vAlign w:val="bottom"/>
            <w:hideMark/>
          </w:tcPr>
          <w:p w14:paraId="6FEAFEF6"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18.4%</w:t>
            </w:r>
          </w:p>
        </w:tc>
        <w:tc>
          <w:tcPr>
            <w:tcW w:w="370" w:type="pct"/>
            <w:tcBorders>
              <w:top w:val="nil"/>
              <w:left w:val="nil"/>
              <w:bottom w:val="single" w:sz="4" w:space="0" w:color="auto"/>
              <w:right w:val="single" w:sz="4" w:space="0" w:color="auto"/>
            </w:tcBorders>
            <w:shd w:val="clear" w:color="000000" w:fill="FDE9D9"/>
            <w:noWrap/>
            <w:vAlign w:val="bottom"/>
            <w:hideMark/>
          </w:tcPr>
          <w:p w14:paraId="25442179"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20.9%</w:t>
            </w:r>
          </w:p>
        </w:tc>
        <w:tc>
          <w:tcPr>
            <w:tcW w:w="370" w:type="pct"/>
            <w:tcBorders>
              <w:top w:val="nil"/>
              <w:left w:val="nil"/>
              <w:bottom w:val="single" w:sz="4" w:space="0" w:color="auto"/>
              <w:right w:val="single" w:sz="4" w:space="0" w:color="auto"/>
            </w:tcBorders>
            <w:shd w:val="clear" w:color="000000" w:fill="FDE9D9"/>
            <w:noWrap/>
            <w:vAlign w:val="bottom"/>
            <w:hideMark/>
          </w:tcPr>
          <w:p w14:paraId="41C4ED68"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23.1%</w:t>
            </w:r>
          </w:p>
        </w:tc>
        <w:tc>
          <w:tcPr>
            <w:tcW w:w="370" w:type="pct"/>
            <w:tcBorders>
              <w:top w:val="nil"/>
              <w:left w:val="nil"/>
              <w:bottom w:val="single" w:sz="4" w:space="0" w:color="auto"/>
              <w:right w:val="single" w:sz="4" w:space="0" w:color="auto"/>
            </w:tcBorders>
            <w:shd w:val="clear" w:color="000000" w:fill="FDE9D9"/>
            <w:noWrap/>
            <w:vAlign w:val="bottom"/>
            <w:hideMark/>
          </w:tcPr>
          <w:p w14:paraId="3AD48F70"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23.3%</w:t>
            </w:r>
          </w:p>
        </w:tc>
        <w:tc>
          <w:tcPr>
            <w:tcW w:w="370" w:type="pct"/>
            <w:tcBorders>
              <w:top w:val="nil"/>
              <w:left w:val="nil"/>
              <w:bottom w:val="single" w:sz="4" w:space="0" w:color="auto"/>
              <w:right w:val="single" w:sz="4" w:space="0" w:color="auto"/>
            </w:tcBorders>
            <w:shd w:val="clear" w:color="000000" w:fill="FDE9D9"/>
            <w:noWrap/>
            <w:vAlign w:val="bottom"/>
            <w:hideMark/>
          </w:tcPr>
          <w:p w14:paraId="078FA1AB"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24.8%</w:t>
            </w:r>
          </w:p>
        </w:tc>
        <w:tc>
          <w:tcPr>
            <w:tcW w:w="421" w:type="pct"/>
            <w:tcBorders>
              <w:top w:val="nil"/>
              <w:left w:val="nil"/>
              <w:bottom w:val="single" w:sz="4" w:space="0" w:color="auto"/>
              <w:right w:val="single" w:sz="4" w:space="0" w:color="auto"/>
            </w:tcBorders>
            <w:shd w:val="clear" w:color="000000" w:fill="FDE9D9"/>
            <w:noWrap/>
            <w:vAlign w:val="bottom"/>
            <w:hideMark/>
          </w:tcPr>
          <w:p w14:paraId="2C39D8C4"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24.2%</w:t>
            </w:r>
          </w:p>
        </w:tc>
        <w:tc>
          <w:tcPr>
            <w:tcW w:w="370" w:type="pct"/>
            <w:tcBorders>
              <w:top w:val="nil"/>
              <w:left w:val="nil"/>
              <w:bottom w:val="single" w:sz="4" w:space="0" w:color="auto"/>
              <w:right w:val="single" w:sz="4" w:space="0" w:color="auto"/>
            </w:tcBorders>
            <w:shd w:val="clear" w:color="000000" w:fill="FDE9D9"/>
            <w:noWrap/>
            <w:vAlign w:val="bottom"/>
            <w:hideMark/>
          </w:tcPr>
          <w:p w14:paraId="423DA128"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22.7%</w:t>
            </w:r>
          </w:p>
        </w:tc>
        <w:tc>
          <w:tcPr>
            <w:tcW w:w="370" w:type="pct"/>
            <w:tcBorders>
              <w:top w:val="nil"/>
              <w:left w:val="nil"/>
              <w:bottom w:val="single" w:sz="4" w:space="0" w:color="auto"/>
              <w:right w:val="single" w:sz="8" w:space="0" w:color="auto"/>
            </w:tcBorders>
            <w:shd w:val="clear" w:color="000000" w:fill="FDE9D9"/>
            <w:noWrap/>
            <w:vAlign w:val="bottom"/>
            <w:hideMark/>
          </w:tcPr>
          <w:p w14:paraId="515C6016"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21.6%</w:t>
            </w:r>
          </w:p>
        </w:tc>
      </w:tr>
      <w:tr w:rsidR="009A356E" w:rsidRPr="00F72CFE" w14:paraId="28EBC0CD" w14:textId="77777777" w:rsidTr="009A356E">
        <w:trPr>
          <w:trHeight w:val="240"/>
        </w:trPr>
        <w:tc>
          <w:tcPr>
            <w:tcW w:w="1292" w:type="pct"/>
            <w:tcBorders>
              <w:top w:val="nil"/>
              <w:left w:val="single" w:sz="4" w:space="0" w:color="auto"/>
              <w:bottom w:val="single" w:sz="4" w:space="0" w:color="auto"/>
              <w:right w:val="single" w:sz="4" w:space="0" w:color="auto"/>
            </w:tcBorders>
            <w:shd w:val="clear" w:color="auto" w:fill="auto"/>
            <w:noWrap/>
            <w:vAlign w:val="bottom"/>
            <w:hideMark/>
          </w:tcPr>
          <w:p w14:paraId="0890DDD5" w14:textId="77777777" w:rsidR="009A356E" w:rsidRPr="00F72CFE" w:rsidRDefault="009A356E" w:rsidP="009A356E">
            <w:pPr>
              <w:rPr>
                <w:rFonts w:ascii="Calibri" w:hAnsi="Calibri"/>
                <w:sz w:val="18"/>
                <w:szCs w:val="18"/>
                <w:lang w:eastAsia="en-AU"/>
              </w:rPr>
            </w:pPr>
            <w:r w:rsidRPr="00F72CFE">
              <w:rPr>
                <w:rFonts w:ascii="Calibri" w:hAnsi="Calibri"/>
                <w:sz w:val="18"/>
                <w:szCs w:val="18"/>
                <w:lang w:eastAsia="en-AU"/>
              </w:rPr>
              <w:lastRenderedPageBreak/>
              <w:t>Small Shires</w:t>
            </w:r>
          </w:p>
        </w:tc>
        <w:tc>
          <w:tcPr>
            <w:tcW w:w="699" w:type="pct"/>
            <w:tcBorders>
              <w:top w:val="nil"/>
              <w:left w:val="nil"/>
              <w:bottom w:val="single" w:sz="4" w:space="0" w:color="auto"/>
              <w:right w:val="nil"/>
            </w:tcBorders>
            <w:shd w:val="clear" w:color="000000" w:fill="DAEEF3"/>
            <w:noWrap/>
            <w:vAlign w:val="bottom"/>
            <w:hideMark/>
          </w:tcPr>
          <w:p w14:paraId="389AEB74" w14:textId="77777777" w:rsidR="009A356E" w:rsidRPr="00F72CFE" w:rsidRDefault="009A356E" w:rsidP="009A356E">
            <w:pPr>
              <w:jc w:val="center"/>
              <w:rPr>
                <w:rFonts w:ascii="Calibri" w:hAnsi="Calibri"/>
                <w:color w:val="000000"/>
                <w:sz w:val="18"/>
                <w:szCs w:val="18"/>
                <w:lang w:eastAsia="en-AU"/>
              </w:rPr>
            </w:pPr>
            <w:r w:rsidRPr="00F72CFE">
              <w:rPr>
                <w:rFonts w:ascii="Calibri" w:hAnsi="Calibri"/>
                <w:color w:val="000000"/>
                <w:sz w:val="18"/>
                <w:szCs w:val="18"/>
                <w:lang w:eastAsia="en-AU"/>
              </w:rPr>
              <w:t>5.9%</w:t>
            </w:r>
          </w:p>
        </w:tc>
        <w:tc>
          <w:tcPr>
            <w:tcW w:w="370" w:type="pct"/>
            <w:tcBorders>
              <w:top w:val="nil"/>
              <w:left w:val="single" w:sz="8" w:space="0" w:color="auto"/>
              <w:bottom w:val="single" w:sz="4" w:space="0" w:color="auto"/>
              <w:right w:val="single" w:sz="4" w:space="0" w:color="auto"/>
            </w:tcBorders>
            <w:shd w:val="clear" w:color="000000" w:fill="FDE9D9"/>
            <w:noWrap/>
            <w:vAlign w:val="bottom"/>
            <w:hideMark/>
          </w:tcPr>
          <w:p w14:paraId="2A478806"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29.3%</w:t>
            </w:r>
          </w:p>
        </w:tc>
        <w:tc>
          <w:tcPr>
            <w:tcW w:w="370" w:type="pct"/>
            <w:tcBorders>
              <w:top w:val="nil"/>
              <w:left w:val="nil"/>
              <w:bottom w:val="single" w:sz="4" w:space="0" w:color="auto"/>
              <w:right w:val="single" w:sz="4" w:space="0" w:color="auto"/>
            </w:tcBorders>
            <w:shd w:val="clear" w:color="000000" w:fill="FDE9D9"/>
            <w:noWrap/>
            <w:vAlign w:val="bottom"/>
            <w:hideMark/>
          </w:tcPr>
          <w:p w14:paraId="153A2194"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31.2%</w:t>
            </w:r>
          </w:p>
        </w:tc>
        <w:tc>
          <w:tcPr>
            <w:tcW w:w="370" w:type="pct"/>
            <w:tcBorders>
              <w:top w:val="nil"/>
              <w:left w:val="nil"/>
              <w:bottom w:val="single" w:sz="4" w:space="0" w:color="auto"/>
              <w:right w:val="single" w:sz="4" w:space="0" w:color="auto"/>
            </w:tcBorders>
            <w:shd w:val="clear" w:color="000000" w:fill="FDE9D9"/>
            <w:noWrap/>
            <w:vAlign w:val="bottom"/>
            <w:hideMark/>
          </w:tcPr>
          <w:p w14:paraId="7226E49C"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32.8%</w:t>
            </w:r>
          </w:p>
        </w:tc>
        <w:tc>
          <w:tcPr>
            <w:tcW w:w="370" w:type="pct"/>
            <w:tcBorders>
              <w:top w:val="nil"/>
              <w:left w:val="nil"/>
              <w:bottom w:val="single" w:sz="4" w:space="0" w:color="auto"/>
              <w:right w:val="single" w:sz="4" w:space="0" w:color="auto"/>
            </w:tcBorders>
            <w:shd w:val="clear" w:color="000000" w:fill="FDE9D9"/>
            <w:noWrap/>
            <w:vAlign w:val="bottom"/>
            <w:hideMark/>
          </w:tcPr>
          <w:p w14:paraId="591D1734"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33.9%</w:t>
            </w:r>
          </w:p>
        </w:tc>
        <w:tc>
          <w:tcPr>
            <w:tcW w:w="370" w:type="pct"/>
            <w:tcBorders>
              <w:top w:val="nil"/>
              <w:left w:val="nil"/>
              <w:bottom w:val="single" w:sz="4" w:space="0" w:color="auto"/>
              <w:right w:val="single" w:sz="4" w:space="0" w:color="auto"/>
            </w:tcBorders>
            <w:shd w:val="clear" w:color="000000" w:fill="FDE9D9"/>
            <w:noWrap/>
            <w:vAlign w:val="bottom"/>
            <w:hideMark/>
          </w:tcPr>
          <w:p w14:paraId="4C0FFA56"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38.6%</w:t>
            </w:r>
          </w:p>
        </w:tc>
        <w:tc>
          <w:tcPr>
            <w:tcW w:w="421" w:type="pct"/>
            <w:tcBorders>
              <w:top w:val="nil"/>
              <w:left w:val="nil"/>
              <w:bottom w:val="single" w:sz="4" w:space="0" w:color="auto"/>
              <w:right w:val="single" w:sz="4" w:space="0" w:color="auto"/>
            </w:tcBorders>
            <w:shd w:val="clear" w:color="000000" w:fill="FDE9D9"/>
            <w:noWrap/>
            <w:vAlign w:val="bottom"/>
            <w:hideMark/>
          </w:tcPr>
          <w:p w14:paraId="1C0383EB"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43.0%</w:t>
            </w:r>
          </w:p>
        </w:tc>
        <w:tc>
          <w:tcPr>
            <w:tcW w:w="370" w:type="pct"/>
            <w:tcBorders>
              <w:top w:val="nil"/>
              <w:left w:val="nil"/>
              <w:bottom w:val="single" w:sz="4" w:space="0" w:color="auto"/>
              <w:right w:val="single" w:sz="4" w:space="0" w:color="auto"/>
            </w:tcBorders>
            <w:shd w:val="clear" w:color="000000" w:fill="FDE9D9"/>
            <w:noWrap/>
            <w:vAlign w:val="bottom"/>
            <w:hideMark/>
          </w:tcPr>
          <w:p w14:paraId="4DE89D92"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42.7%</w:t>
            </w:r>
          </w:p>
        </w:tc>
        <w:tc>
          <w:tcPr>
            <w:tcW w:w="370" w:type="pct"/>
            <w:tcBorders>
              <w:top w:val="nil"/>
              <w:left w:val="nil"/>
              <w:bottom w:val="single" w:sz="4" w:space="0" w:color="auto"/>
              <w:right w:val="single" w:sz="8" w:space="0" w:color="auto"/>
            </w:tcBorders>
            <w:shd w:val="clear" w:color="000000" w:fill="FDE9D9"/>
            <w:noWrap/>
            <w:vAlign w:val="bottom"/>
            <w:hideMark/>
          </w:tcPr>
          <w:p w14:paraId="6FF1C3A7"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40.6%</w:t>
            </w:r>
          </w:p>
        </w:tc>
      </w:tr>
      <w:tr w:rsidR="009A356E" w:rsidRPr="00F72CFE" w14:paraId="7C02DE64" w14:textId="77777777" w:rsidTr="009A356E">
        <w:trPr>
          <w:trHeight w:val="240"/>
        </w:trPr>
        <w:tc>
          <w:tcPr>
            <w:tcW w:w="1292" w:type="pct"/>
            <w:tcBorders>
              <w:top w:val="nil"/>
              <w:left w:val="single" w:sz="4" w:space="0" w:color="auto"/>
              <w:bottom w:val="single" w:sz="4" w:space="0" w:color="auto"/>
              <w:right w:val="single" w:sz="4" w:space="0" w:color="auto"/>
            </w:tcBorders>
            <w:shd w:val="clear" w:color="auto" w:fill="auto"/>
            <w:noWrap/>
            <w:vAlign w:val="bottom"/>
            <w:hideMark/>
          </w:tcPr>
          <w:p w14:paraId="775037EF" w14:textId="77777777" w:rsidR="009A356E" w:rsidRPr="00F72CFE" w:rsidRDefault="009A356E" w:rsidP="009A356E">
            <w:pPr>
              <w:rPr>
                <w:rFonts w:ascii="Calibri" w:hAnsi="Calibri"/>
                <w:sz w:val="18"/>
                <w:szCs w:val="18"/>
                <w:lang w:eastAsia="en-AU"/>
              </w:rPr>
            </w:pPr>
            <w:r w:rsidRPr="00F72CFE">
              <w:rPr>
                <w:rFonts w:ascii="Calibri" w:hAnsi="Calibri"/>
                <w:sz w:val="18"/>
                <w:szCs w:val="18"/>
                <w:lang w:eastAsia="en-AU"/>
              </w:rPr>
              <w:t>All Councils</w:t>
            </w:r>
          </w:p>
        </w:tc>
        <w:tc>
          <w:tcPr>
            <w:tcW w:w="699" w:type="pct"/>
            <w:tcBorders>
              <w:top w:val="nil"/>
              <w:left w:val="nil"/>
              <w:bottom w:val="single" w:sz="4" w:space="0" w:color="auto"/>
              <w:right w:val="nil"/>
            </w:tcBorders>
            <w:shd w:val="clear" w:color="000000" w:fill="DAEEF3"/>
            <w:noWrap/>
            <w:vAlign w:val="bottom"/>
            <w:hideMark/>
          </w:tcPr>
          <w:p w14:paraId="5B7EC641" w14:textId="77777777" w:rsidR="009A356E" w:rsidRPr="00F72CFE" w:rsidRDefault="009A356E" w:rsidP="009A356E">
            <w:pPr>
              <w:jc w:val="center"/>
              <w:rPr>
                <w:rFonts w:ascii="Calibri" w:hAnsi="Calibri"/>
                <w:color w:val="000000"/>
                <w:sz w:val="18"/>
                <w:szCs w:val="18"/>
                <w:lang w:eastAsia="en-AU"/>
              </w:rPr>
            </w:pPr>
            <w:r w:rsidRPr="00F72CFE">
              <w:rPr>
                <w:rFonts w:ascii="Calibri" w:hAnsi="Calibri"/>
                <w:color w:val="000000"/>
                <w:sz w:val="18"/>
                <w:szCs w:val="18"/>
                <w:lang w:eastAsia="en-AU"/>
              </w:rPr>
              <w:t>6.7%</w:t>
            </w:r>
          </w:p>
        </w:tc>
        <w:tc>
          <w:tcPr>
            <w:tcW w:w="370" w:type="pct"/>
            <w:tcBorders>
              <w:top w:val="nil"/>
              <w:left w:val="single" w:sz="8" w:space="0" w:color="auto"/>
              <w:bottom w:val="single" w:sz="4" w:space="0" w:color="auto"/>
              <w:right w:val="single" w:sz="4" w:space="0" w:color="auto"/>
            </w:tcBorders>
            <w:shd w:val="clear" w:color="000000" w:fill="FDE9D9"/>
            <w:noWrap/>
            <w:vAlign w:val="bottom"/>
            <w:hideMark/>
          </w:tcPr>
          <w:p w14:paraId="2988A42D"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17.2%</w:t>
            </w:r>
          </w:p>
        </w:tc>
        <w:tc>
          <w:tcPr>
            <w:tcW w:w="370" w:type="pct"/>
            <w:tcBorders>
              <w:top w:val="nil"/>
              <w:left w:val="nil"/>
              <w:bottom w:val="single" w:sz="4" w:space="0" w:color="auto"/>
              <w:right w:val="single" w:sz="4" w:space="0" w:color="auto"/>
            </w:tcBorders>
            <w:shd w:val="clear" w:color="000000" w:fill="FDE9D9"/>
            <w:noWrap/>
            <w:vAlign w:val="bottom"/>
            <w:hideMark/>
          </w:tcPr>
          <w:p w14:paraId="7A0F0FC9"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18.5%</w:t>
            </w:r>
          </w:p>
        </w:tc>
        <w:tc>
          <w:tcPr>
            <w:tcW w:w="370" w:type="pct"/>
            <w:tcBorders>
              <w:top w:val="nil"/>
              <w:left w:val="nil"/>
              <w:bottom w:val="single" w:sz="4" w:space="0" w:color="auto"/>
              <w:right w:val="single" w:sz="4" w:space="0" w:color="auto"/>
            </w:tcBorders>
            <w:shd w:val="clear" w:color="000000" w:fill="FDE9D9"/>
            <w:noWrap/>
            <w:vAlign w:val="bottom"/>
            <w:hideMark/>
          </w:tcPr>
          <w:p w14:paraId="2EDD9020"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19.1%</w:t>
            </w:r>
          </w:p>
        </w:tc>
        <w:tc>
          <w:tcPr>
            <w:tcW w:w="370" w:type="pct"/>
            <w:tcBorders>
              <w:top w:val="nil"/>
              <w:left w:val="nil"/>
              <w:bottom w:val="single" w:sz="4" w:space="0" w:color="auto"/>
              <w:right w:val="single" w:sz="4" w:space="0" w:color="auto"/>
            </w:tcBorders>
            <w:shd w:val="clear" w:color="000000" w:fill="FDE9D9"/>
            <w:noWrap/>
            <w:vAlign w:val="bottom"/>
            <w:hideMark/>
          </w:tcPr>
          <w:p w14:paraId="04EEEA14"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19.5%</w:t>
            </w:r>
          </w:p>
        </w:tc>
        <w:tc>
          <w:tcPr>
            <w:tcW w:w="370" w:type="pct"/>
            <w:tcBorders>
              <w:top w:val="nil"/>
              <w:left w:val="nil"/>
              <w:bottom w:val="single" w:sz="4" w:space="0" w:color="auto"/>
              <w:right w:val="single" w:sz="4" w:space="0" w:color="auto"/>
            </w:tcBorders>
            <w:shd w:val="clear" w:color="000000" w:fill="FDE9D9"/>
            <w:noWrap/>
            <w:vAlign w:val="bottom"/>
            <w:hideMark/>
          </w:tcPr>
          <w:p w14:paraId="5C96BB8F"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20.5%</w:t>
            </w:r>
          </w:p>
        </w:tc>
        <w:tc>
          <w:tcPr>
            <w:tcW w:w="421" w:type="pct"/>
            <w:tcBorders>
              <w:top w:val="nil"/>
              <w:left w:val="nil"/>
              <w:bottom w:val="single" w:sz="4" w:space="0" w:color="auto"/>
              <w:right w:val="single" w:sz="4" w:space="0" w:color="auto"/>
            </w:tcBorders>
            <w:shd w:val="clear" w:color="000000" w:fill="FDE9D9"/>
            <w:noWrap/>
            <w:vAlign w:val="bottom"/>
            <w:hideMark/>
          </w:tcPr>
          <w:p w14:paraId="1DA642EE"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20.7%</w:t>
            </w:r>
          </w:p>
        </w:tc>
        <w:tc>
          <w:tcPr>
            <w:tcW w:w="370" w:type="pct"/>
            <w:tcBorders>
              <w:top w:val="nil"/>
              <w:left w:val="nil"/>
              <w:bottom w:val="single" w:sz="4" w:space="0" w:color="auto"/>
              <w:right w:val="single" w:sz="4" w:space="0" w:color="auto"/>
            </w:tcBorders>
            <w:shd w:val="clear" w:color="000000" w:fill="FDE9D9"/>
            <w:noWrap/>
            <w:vAlign w:val="bottom"/>
            <w:hideMark/>
          </w:tcPr>
          <w:p w14:paraId="0E62601B"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20.6%</w:t>
            </w:r>
          </w:p>
        </w:tc>
        <w:tc>
          <w:tcPr>
            <w:tcW w:w="370" w:type="pct"/>
            <w:tcBorders>
              <w:top w:val="nil"/>
              <w:left w:val="nil"/>
              <w:bottom w:val="single" w:sz="4" w:space="0" w:color="auto"/>
              <w:right w:val="single" w:sz="8" w:space="0" w:color="auto"/>
            </w:tcBorders>
            <w:shd w:val="clear" w:color="000000" w:fill="FDE9D9"/>
            <w:noWrap/>
            <w:vAlign w:val="bottom"/>
            <w:hideMark/>
          </w:tcPr>
          <w:p w14:paraId="6F0DB5C3"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20.4%</w:t>
            </w:r>
          </w:p>
        </w:tc>
      </w:tr>
      <w:tr w:rsidR="009A356E" w:rsidRPr="00F72CFE" w14:paraId="795B7EB3" w14:textId="77777777" w:rsidTr="009A356E">
        <w:trPr>
          <w:trHeight w:val="240"/>
        </w:trPr>
        <w:tc>
          <w:tcPr>
            <w:tcW w:w="1292" w:type="pct"/>
            <w:tcBorders>
              <w:top w:val="nil"/>
              <w:left w:val="single" w:sz="4" w:space="0" w:color="auto"/>
              <w:bottom w:val="single" w:sz="4" w:space="0" w:color="auto"/>
              <w:right w:val="single" w:sz="4" w:space="0" w:color="auto"/>
            </w:tcBorders>
            <w:shd w:val="clear" w:color="000000" w:fill="000000"/>
            <w:noWrap/>
            <w:vAlign w:val="bottom"/>
            <w:hideMark/>
          </w:tcPr>
          <w:p w14:paraId="151A9964" w14:textId="77777777" w:rsidR="009A356E" w:rsidRPr="00F72CFE" w:rsidRDefault="009A356E" w:rsidP="009A356E">
            <w:pPr>
              <w:rPr>
                <w:rFonts w:ascii="Calibri" w:hAnsi="Calibri"/>
                <w:sz w:val="18"/>
                <w:szCs w:val="18"/>
                <w:lang w:eastAsia="en-AU"/>
              </w:rPr>
            </w:pPr>
            <w:r w:rsidRPr="00F72CFE">
              <w:rPr>
                <w:rFonts w:ascii="Calibri" w:hAnsi="Calibri"/>
                <w:sz w:val="18"/>
                <w:szCs w:val="18"/>
                <w:lang w:eastAsia="en-AU"/>
              </w:rPr>
              <w:t> </w:t>
            </w:r>
          </w:p>
        </w:tc>
        <w:tc>
          <w:tcPr>
            <w:tcW w:w="699" w:type="pct"/>
            <w:tcBorders>
              <w:top w:val="nil"/>
              <w:left w:val="nil"/>
              <w:bottom w:val="single" w:sz="4" w:space="0" w:color="auto"/>
              <w:right w:val="nil"/>
            </w:tcBorders>
            <w:shd w:val="clear" w:color="000000" w:fill="000000"/>
            <w:noWrap/>
            <w:vAlign w:val="bottom"/>
            <w:hideMark/>
          </w:tcPr>
          <w:p w14:paraId="387B5CEE" w14:textId="77777777" w:rsidR="009A356E" w:rsidRPr="00F72CFE" w:rsidRDefault="009A356E" w:rsidP="009A356E">
            <w:pPr>
              <w:jc w:val="center"/>
              <w:rPr>
                <w:rFonts w:ascii="Calibri" w:hAnsi="Calibri"/>
                <w:color w:val="000000"/>
                <w:sz w:val="18"/>
                <w:szCs w:val="18"/>
                <w:lang w:eastAsia="en-AU"/>
              </w:rPr>
            </w:pPr>
            <w:r w:rsidRPr="00F72CFE">
              <w:rPr>
                <w:rFonts w:ascii="Calibri" w:hAnsi="Calibri"/>
                <w:color w:val="000000"/>
                <w:sz w:val="18"/>
                <w:szCs w:val="18"/>
                <w:lang w:eastAsia="en-AU"/>
              </w:rPr>
              <w:t> </w:t>
            </w:r>
          </w:p>
        </w:tc>
        <w:tc>
          <w:tcPr>
            <w:tcW w:w="370" w:type="pct"/>
            <w:tcBorders>
              <w:top w:val="nil"/>
              <w:left w:val="single" w:sz="8" w:space="0" w:color="auto"/>
              <w:bottom w:val="single" w:sz="4" w:space="0" w:color="auto"/>
              <w:right w:val="single" w:sz="4" w:space="0" w:color="auto"/>
            </w:tcBorders>
            <w:shd w:val="clear" w:color="000000" w:fill="000000"/>
            <w:noWrap/>
            <w:vAlign w:val="bottom"/>
            <w:hideMark/>
          </w:tcPr>
          <w:p w14:paraId="6FA8FADD" w14:textId="77777777" w:rsidR="009A356E" w:rsidRPr="00F72CFE" w:rsidRDefault="009A356E" w:rsidP="009A356E">
            <w:pPr>
              <w:rPr>
                <w:rFonts w:ascii="Calibri" w:hAnsi="Calibri"/>
                <w:color w:val="000000"/>
                <w:sz w:val="18"/>
                <w:szCs w:val="18"/>
                <w:lang w:eastAsia="en-AU"/>
              </w:rPr>
            </w:pPr>
            <w:r w:rsidRPr="00F72CFE">
              <w:rPr>
                <w:rFonts w:ascii="Calibri" w:hAnsi="Calibri"/>
                <w:color w:val="000000"/>
                <w:sz w:val="18"/>
                <w:szCs w:val="18"/>
                <w:lang w:eastAsia="en-AU"/>
              </w:rPr>
              <w:t> </w:t>
            </w:r>
          </w:p>
        </w:tc>
        <w:tc>
          <w:tcPr>
            <w:tcW w:w="370" w:type="pct"/>
            <w:tcBorders>
              <w:top w:val="nil"/>
              <w:left w:val="nil"/>
              <w:bottom w:val="single" w:sz="4" w:space="0" w:color="auto"/>
              <w:right w:val="single" w:sz="4" w:space="0" w:color="auto"/>
            </w:tcBorders>
            <w:shd w:val="clear" w:color="000000" w:fill="000000"/>
            <w:noWrap/>
            <w:vAlign w:val="bottom"/>
            <w:hideMark/>
          </w:tcPr>
          <w:p w14:paraId="40ACD969" w14:textId="77777777" w:rsidR="009A356E" w:rsidRPr="00F72CFE" w:rsidRDefault="009A356E" w:rsidP="009A356E">
            <w:pPr>
              <w:rPr>
                <w:rFonts w:ascii="Calibri" w:hAnsi="Calibri"/>
                <w:color w:val="000000"/>
                <w:sz w:val="18"/>
                <w:szCs w:val="18"/>
                <w:lang w:eastAsia="en-AU"/>
              </w:rPr>
            </w:pPr>
            <w:r w:rsidRPr="00F72CFE">
              <w:rPr>
                <w:rFonts w:ascii="Calibri" w:hAnsi="Calibri"/>
                <w:color w:val="000000"/>
                <w:sz w:val="18"/>
                <w:szCs w:val="18"/>
                <w:lang w:eastAsia="en-AU"/>
              </w:rPr>
              <w:t> </w:t>
            </w:r>
          </w:p>
        </w:tc>
        <w:tc>
          <w:tcPr>
            <w:tcW w:w="370" w:type="pct"/>
            <w:tcBorders>
              <w:top w:val="nil"/>
              <w:left w:val="nil"/>
              <w:bottom w:val="single" w:sz="4" w:space="0" w:color="auto"/>
              <w:right w:val="single" w:sz="4" w:space="0" w:color="auto"/>
            </w:tcBorders>
            <w:shd w:val="clear" w:color="000000" w:fill="000000"/>
            <w:noWrap/>
            <w:vAlign w:val="bottom"/>
            <w:hideMark/>
          </w:tcPr>
          <w:p w14:paraId="421D64FD" w14:textId="77777777" w:rsidR="009A356E" w:rsidRPr="00F72CFE" w:rsidRDefault="009A356E" w:rsidP="009A356E">
            <w:pPr>
              <w:rPr>
                <w:rFonts w:ascii="Calibri" w:hAnsi="Calibri"/>
                <w:color w:val="000000"/>
                <w:sz w:val="18"/>
                <w:szCs w:val="18"/>
                <w:lang w:eastAsia="en-AU"/>
              </w:rPr>
            </w:pPr>
            <w:r w:rsidRPr="00F72CFE">
              <w:rPr>
                <w:rFonts w:ascii="Calibri" w:hAnsi="Calibri"/>
                <w:color w:val="000000"/>
                <w:sz w:val="18"/>
                <w:szCs w:val="18"/>
                <w:lang w:eastAsia="en-AU"/>
              </w:rPr>
              <w:t> </w:t>
            </w:r>
          </w:p>
        </w:tc>
        <w:tc>
          <w:tcPr>
            <w:tcW w:w="370" w:type="pct"/>
            <w:tcBorders>
              <w:top w:val="nil"/>
              <w:left w:val="nil"/>
              <w:bottom w:val="single" w:sz="4" w:space="0" w:color="auto"/>
              <w:right w:val="single" w:sz="4" w:space="0" w:color="auto"/>
            </w:tcBorders>
            <w:shd w:val="clear" w:color="000000" w:fill="000000"/>
            <w:noWrap/>
            <w:vAlign w:val="bottom"/>
            <w:hideMark/>
          </w:tcPr>
          <w:p w14:paraId="7CB82190" w14:textId="77777777" w:rsidR="009A356E" w:rsidRPr="00F72CFE" w:rsidRDefault="009A356E" w:rsidP="009A356E">
            <w:pPr>
              <w:rPr>
                <w:rFonts w:ascii="Calibri" w:hAnsi="Calibri"/>
                <w:color w:val="000000"/>
                <w:sz w:val="18"/>
                <w:szCs w:val="18"/>
                <w:lang w:eastAsia="en-AU"/>
              </w:rPr>
            </w:pPr>
            <w:r w:rsidRPr="00F72CFE">
              <w:rPr>
                <w:rFonts w:ascii="Calibri" w:hAnsi="Calibri"/>
                <w:color w:val="000000"/>
                <w:sz w:val="18"/>
                <w:szCs w:val="18"/>
                <w:lang w:eastAsia="en-AU"/>
              </w:rPr>
              <w:t> </w:t>
            </w:r>
          </w:p>
        </w:tc>
        <w:tc>
          <w:tcPr>
            <w:tcW w:w="370" w:type="pct"/>
            <w:tcBorders>
              <w:top w:val="nil"/>
              <w:left w:val="nil"/>
              <w:bottom w:val="single" w:sz="4" w:space="0" w:color="auto"/>
              <w:right w:val="single" w:sz="4" w:space="0" w:color="auto"/>
            </w:tcBorders>
            <w:shd w:val="clear" w:color="000000" w:fill="000000"/>
            <w:noWrap/>
            <w:vAlign w:val="bottom"/>
            <w:hideMark/>
          </w:tcPr>
          <w:p w14:paraId="3EEC817B" w14:textId="77777777" w:rsidR="009A356E" w:rsidRPr="00F72CFE" w:rsidRDefault="009A356E" w:rsidP="009A356E">
            <w:pPr>
              <w:rPr>
                <w:rFonts w:ascii="Calibri" w:hAnsi="Calibri"/>
                <w:color w:val="000000"/>
                <w:sz w:val="18"/>
                <w:szCs w:val="18"/>
                <w:lang w:eastAsia="en-AU"/>
              </w:rPr>
            </w:pPr>
            <w:r w:rsidRPr="00F72CFE">
              <w:rPr>
                <w:rFonts w:ascii="Calibri" w:hAnsi="Calibri"/>
                <w:color w:val="000000"/>
                <w:sz w:val="18"/>
                <w:szCs w:val="18"/>
                <w:lang w:eastAsia="en-AU"/>
              </w:rPr>
              <w:t> </w:t>
            </w:r>
          </w:p>
        </w:tc>
        <w:tc>
          <w:tcPr>
            <w:tcW w:w="421" w:type="pct"/>
            <w:tcBorders>
              <w:top w:val="nil"/>
              <w:left w:val="nil"/>
              <w:bottom w:val="single" w:sz="4" w:space="0" w:color="auto"/>
              <w:right w:val="single" w:sz="4" w:space="0" w:color="auto"/>
            </w:tcBorders>
            <w:shd w:val="clear" w:color="000000" w:fill="000000"/>
            <w:noWrap/>
            <w:vAlign w:val="bottom"/>
            <w:hideMark/>
          </w:tcPr>
          <w:p w14:paraId="12302261" w14:textId="77777777" w:rsidR="009A356E" w:rsidRPr="00F72CFE" w:rsidRDefault="009A356E" w:rsidP="009A356E">
            <w:pPr>
              <w:rPr>
                <w:rFonts w:ascii="Calibri" w:hAnsi="Calibri"/>
                <w:color w:val="000000"/>
                <w:sz w:val="18"/>
                <w:szCs w:val="18"/>
                <w:lang w:eastAsia="en-AU"/>
              </w:rPr>
            </w:pPr>
            <w:r w:rsidRPr="00F72CFE">
              <w:rPr>
                <w:rFonts w:ascii="Calibri" w:hAnsi="Calibri"/>
                <w:color w:val="000000"/>
                <w:sz w:val="18"/>
                <w:szCs w:val="18"/>
                <w:lang w:eastAsia="en-AU"/>
              </w:rPr>
              <w:t> </w:t>
            </w:r>
          </w:p>
        </w:tc>
        <w:tc>
          <w:tcPr>
            <w:tcW w:w="370" w:type="pct"/>
            <w:tcBorders>
              <w:top w:val="nil"/>
              <w:left w:val="nil"/>
              <w:bottom w:val="single" w:sz="4" w:space="0" w:color="auto"/>
              <w:right w:val="single" w:sz="4" w:space="0" w:color="auto"/>
            </w:tcBorders>
            <w:shd w:val="clear" w:color="000000" w:fill="000000"/>
            <w:noWrap/>
            <w:vAlign w:val="bottom"/>
            <w:hideMark/>
          </w:tcPr>
          <w:p w14:paraId="5BA39CC8" w14:textId="77777777" w:rsidR="009A356E" w:rsidRPr="00F72CFE" w:rsidRDefault="009A356E" w:rsidP="009A356E">
            <w:pPr>
              <w:rPr>
                <w:rFonts w:ascii="Calibri" w:hAnsi="Calibri"/>
                <w:color w:val="000000"/>
                <w:sz w:val="18"/>
                <w:szCs w:val="18"/>
                <w:lang w:eastAsia="en-AU"/>
              </w:rPr>
            </w:pPr>
            <w:r w:rsidRPr="00F72CFE">
              <w:rPr>
                <w:rFonts w:ascii="Calibri" w:hAnsi="Calibri"/>
                <w:color w:val="000000"/>
                <w:sz w:val="18"/>
                <w:szCs w:val="18"/>
                <w:lang w:eastAsia="en-AU"/>
              </w:rPr>
              <w:t> </w:t>
            </w:r>
          </w:p>
        </w:tc>
        <w:tc>
          <w:tcPr>
            <w:tcW w:w="370" w:type="pct"/>
            <w:tcBorders>
              <w:top w:val="nil"/>
              <w:left w:val="nil"/>
              <w:bottom w:val="single" w:sz="4" w:space="0" w:color="auto"/>
              <w:right w:val="single" w:sz="8" w:space="0" w:color="auto"/>
            </w:tcBorders>
            <w:shd w:val="clear" w:color="000000" w:fill="000000"/>
            <w:noWrap/>
            <w:vAlign w:val="bottom"/>
            <w:hideMark/>
          </w:tcPr>
          <w:p w14:paraId="2EC291AE" w14:textId="77777777" w:rsidR="009A356E" w:rsidRPr="00F72CFE" w:rsidRDefault="009A356E" w:rsidP="009A356E">
            <w:pPr>
              <w:rPr>
                <w:rFonts w:ascii="Calibri" w:hAnsi="Calibri"/>
                <w:color w:val="000000"/>
                <w:sz w:val="18"/>
                <w:szCs w:val="18"/>
                <w:lang w:eastAsia="en-AU"/>
              </w:rPr>
            </w:pPr>
            <w:r w:rsidRPr="00F72CFE">
              <w:rPr>
                <w:rFonts w:ascii="Calibri" w:hAnsi="Calibri"/>
                <w:color w:val="000000"/>
                <w:sz w:val="18"/>
                <w:szCs w:val="18"/>
                <w:lang w:eastAsia="en-AU"/>
              </w:rPr>
              <w:t> </w:t>
            </w:r>
          </w:p>
        </w:tc>
      </w:tr>
      <w:tr w:rsidR="009A356E" w:rsidRPr="00F72CFE" w14:paraId="11CD23AB" w14:textId="77777777" w:rsidTr="009A356E">
        <w:trPr>
          <w:trHeight w:val="255"/>
        </w:trPr>
        <w:tc>
          <w:tcPr>
            <w:tcW w:w="1292" w:type="pct"/>
            <w:tcBorders>
              <w:top w:val="nil"/>
              <w:left w:val="single" w:sz="4" w:space="0" w:color="auto"/>
              <w:bottom w:val="single" w:sz="4" w:space="0" w:color="auto"/>
              <w:right w:val="single" w:sz="4" w:space="0" w:color="auto"/>
            </w:tcBorders>
            <w:shd w:val="clear" w:color="auto" w:fill="auto"/>
            <w:noWrap/>
            <w:vAlign w:val="bottom"/>
            <w:hideMark/>
          </w:tcPr>
          <w:p w14:paraId="46188599" w14:textId="77777777" w:rsidR="009A356E" w:rsidRPr="00F72CFE" w:rsidRDefault="009A356E" w:rsidP="009A356E">
            <w:pPr>
              <w:rPr>
                <w:rFonts w:ascii="Calibri" w:hAnsi="Calibri"/>
                <w:sz w:val="18"/>
                <w:szCs w:val="18"/>
                <w:lang w:eastAsia="en-AU"/>
              </w:rPr>
            </w:pPr>
            <w:r w:rsidRPr="00F72CFE">
              <w:rPr>
                <w:rFonts w:ascii="Calibri" w:hAnsi="Calibri"/>
                <w:sz w:val="18"/>
                <w:szCs w:val="18"/>
                <w:lang w:eastAsia="en-AU"/>
              </w:rPr>
              <w:t>Rural &amp; Regional</w:t>
            </w:r>
          </w:p>
        </w:tc>
        <w:tc>
          <w:tcPr>
            <w:tcW w:w="699" w:type="pct"/>
            <w:tcBorders>
              <w:top w:val="nil"/>
              <w:left w:val="nil"/>
              <w:bottom w:val="single" w:sz="4" w:space="0" w:color="auto"/>
              <w:right w:val="nil"/>
            </w:tcBorders>
            <w:shd w:val="clear" w:color="000000" w:fill="DAEEF3"/>
            <w:noWrap/>
            <w:vAlign w:val="bottom"/>
            <w:hideMark/>
          </w:tcPr>
          <w:p w14:paraId="35CA2011" w14:textId="77777777" w:rsidR="009A356E" w:rsidRPr="00F72CFE" w:rsidRDefault="009A356E" w:rsidP="009A356E">
            <w:pPr>
              <w:jc w:val="center"/>
              <w:rPr>
                <w:rFonts w:ascii="Calibri" w:hAnsi="Calibri"/>
                <w:color w:val="000000"/>
                <w:sz w:val="18"/>
                <w:szCs w:val="18"/>
                <w:lang w:eastAsia="en-AU"/>
              </w:rPr>
            </w:pPr>
            <w:r w:rsidRPr="00F72CFE">
              <w:rPr>
                <w:rFonts w:ascii="Calibri" w:hAnsi="Calibri"/>
                <w:color w:val="000000"/>
                <w:sz w:val="18"/>
                <w:szCs w:val="18"/>
                <w:lang w:eastAsia="en-AU"/>
              </w:rPr>
              <w:t>6.9%</w:t>
            </w:r>
          </w:p>
        </w:tc>
        <w:tc>
          <w:tcPr>
            <w:tcW w:w="370" w:type="pct"/>
            <w:tcBorders>
              <w:top w:val="nil"/>
              <w:left w:val="single" w:sz="8" w:space="0" w:color="auto"/>
              <w:bottom w:val="single" w:sz="8" w:space="0" w:color="auto"/>
              <w:right w:val="single" w:sz="4" w:space="0" w:color="auto"/>
            </w:tcBorders>
            <w:shd w:val="clear" w:color="000000" w:fill="FDE9D9"/>
            <w:noWrap/>
            <w:vAlign w:val="bottom"/>
            <w:hideMark/>
          </w:tcPr>
          <w:p w14:paraId="263CEBB8"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23.8%</w:t>
            </w:r>
          </w:p>
        </w:tc>
        <w:tc>
          <w:tcPr>
            <w:tcW w:w="370" w:type="pct"/>
            <w:tcBorders>
              <w:top w:val="nil"/>
              <w:left w:val="nil"/>
              <w:bottom w:val="single" w:sz="8" w:space="0" w:color="auto"/>
              <w:right w:val="single" w:sz="4" w:space="0" w:color="auto"/>
            </w:tcBorders>
            <w:shd w:val="clear" w:color="000000" w:fill="FDE9D9"/>
            <w:noWrap/>
            <w:vAlign w:val="bottom"/>
            <w:hideMark/>
          </w:tcPr>
          <w:p w14:paraId="0A2BA686"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25.8%</w:t>
            </w:r>
          </w:p>
        </w:tc>
        <w:tc>
          <w:tcPr>
            <w:tcW w:w="370" w:type="pct"/>
            <w:tcBorders>
              <w:top w:val="nil"/>
              <w:left w:val="nil"/>
              <w:bottom w:val="single" w:sz="8" w:space="0" w:color="auto"/>
              <w:right w:val="single" w:sz="4" w:space="0" w:color="auto"/>
            </w:tcBorders>
            <w:shd w:val="clear" w:color="000000" w:fill="FDE9D9"/>
            <w:noWrap/>
            <w:vAlign w:val="bottom"/>
            <w:hideMark/>
          </w:tcPr>
          <w:p w14:paraId="47A00A64"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26.9%</w:t>
            </w:r>
          </w:p>
        </w:tc>
        <w:tc>
          <w:tcPr>
            <w:tcW w:w="370" w:type="pct"/>
            <w:tcBorders>
              <w:top w:val="nil"/>
              <w:left w:val="nil"/>
              <w:bottom w:val="single" w:sz="8" w:space="0" w:color="auto"/>
              <w:right w:val="single" w:sz="4" w:space="0" w:color="auto"/>
            </w:tcBorders>
            <w:shd w:val="clear" w:color="000000" w:fill="FDE9D9"/>
            <w:noWrap/>
            <w:vAlign w:val="bottom"/>
            <w:hideMark/>
          </w:tcPr>
          <w:p w14:paraId="61BB8281"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27.2%</w:t>
            </w:r>
          </w:p>
        </w:tc>
        <w:tc>
          <w:tcPr>
            <w:tcW w:w="370" w:type="pct"/>
            <w:tcBorders>
              <w:top w:val="nil"/>
              <w:left w:val="nil"/>
              <w:bottom w:val="single" w:sz="8" w:space="0" w:color="auto"/>
              <w:right w:val="single" w:sz="4" w:space="0" w:color="auto"/>
            </w:tcBorders>
            <w:shd w:val="clear" w:color="000000" w:fill="FDE9D9"/>
            <w:noWrap/>
            <w:vAlign w:val="bottom"/>
            <w:hideMark/>
          </w:tcPr>
          <w:p w14:paraId="718A8971"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29.1%</w:t>
            </w:r>
          </w:p>
        </w:tc>
        <w:tc>
          <w:tcPr>
            <w:tcW w:w="421" w:type="pct"/>
            <w:tcBorders>
              <w:top w:val="nil"/>
              <w:left w:val="nil"/>
              <w:bottom w:val="single" w:sz="8" w:space="0" w:color="auto"/>
              <w:right w:val="single" w:sz="4" w:space="0" w:color="auto"/>
            </w:tcBorders>
            <w:shd w:val="clear" w:color="000000" w:fill="FDE9D9"/>
            <w:noWrap/>
            <w:vAlign w:val="bottom"/>
            <w:hideMark/>
          </w:tcPr>
          <w:p w14:paraId="6AC7BA8B"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30.1%</w:t>
            </w:r>
          </w:p>
        </w:tc>
        <w:tc>
          <w:tcPr>
            <w:tcW w:w="370" w:type="pct"/>
            <w:tcBorders>
              <w:top w:val="nil"/>
              <w:left w:val="nil"/>
              <w:bottom w:val="single" w:sz="8" w:space="0" w:color="auto"/>
              <w:right w:val="single" w:sz="4" w:space="0" w:color="auto"/>
            </w:tcBorders>
            <w:shd w:val="clear" w:color="000000" w:fill="FDE9D9"/>
            <w:noWrap/>
            <w:vAlign w:val="bottom"/>
            <w:hideMark/>
          </w:tcPr>
          <w:p w14:paraId="0B4C6880"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29.6%</w:t>
            </w:r>
          </w:p>
        </w:tc>
        <w:tc>
          <w:tcPr>
            <w:tcW w:w="370" w:type="pct"/>
            <w:tcBorders>
              <w:top w:val="nil"/>
              <w:left w:val="nil"/>
              <w:bottom w:val="single" w:sz="8" w:space="0" w:color="auto"/>
              <w:right w:val="single" w:sz="8" w:space="0" w:color="auto"/>
            </w:tcBorders>
            <w:shd w:val="clear" w:color="000000" w:fill="FDE9D9"/>
            <w:noWrap/>
            <w:vAlign w:val="bottom"/>
            <w:hideMark/>
          </w:tcPr>
          <w:p w14:paraId="0D51AFAC" w14:textId="77777777" w:rsidR="009A356E" w:rsidRPr="00F72CFE" w:rsidRDefault="009A356E" w:rsidP="009A356E">
            <w:pPr>
              <w:jc w:val="right"/>
              <w:rPr>
                <w:rFonts w:ascii="Calibri" w:hAnsi="Calibri"/>
                <w:color w:val="000000"/>
                <w:sz w:val="18"/>
                <w:szCs w:val="18"/>
                <w:lang w:eastAsia="en-AU"/>
              </w:rPr>
            </w:pPr>
            <w:r w:rsidRPr="00F72CFE">
              <w:rPr>
                <w:rFonts w:ascii="Calibri" w:hAnsi="Calibri"/>
                <w:color w:val="000000"/>
                <w:sz w:val="18"/>
                <w:szCs w:val="18"/>
                <w:lang w:eastAsia="en-AU"/>
              </w:rPr>
              <w:t>28.9%</w:t>
            </w:r>
          </w:p>
        </w:tc>
      </w:tr>
    </w:tbl>
    <w:p w14:paraId="05DE03DB" w14:textId="77777777" w:rsidR="009A356E" w:rsidRDefault="009A356E" w:rsidP="009A356E"/>
    <w:p w14:paraId="3146ACE5" w14:textId="6591015D" w:rsidR="009A356E" w:rsidRDefault="009A356E" w:rsidP="009A356E">
      <w:r>
        <w:t>The data show the much higher proportion of rate revenues directed to renewal spending</w:t>
      </w:r>
      <w:r>
        <w:rPr>
          <w:rStyle w:val="FootnoteReference"/>
        </w:rPr>
        <w:footnoteReference w:id="4"/>
      </w:r>
      <w:r>
        <w:t xml:space="preserve"> in rural and regional councils generally, particularly in small and large shires and point to the growth in this indicator for small rural shires. The Table clearly highlights some massive increases for councils known to have extensive local road networks. Several councils “buck the trend” showing renewal spending has declined or increased marginally as a proportion of rates revenue. Possible explanations for these councils may include asset rationalisations, reductions in intervention levels or some need to shift spending to non-capital areas. </w:t>
      </w:r>
    </w:p>
    <w:p w14:paraId="7F6399D7" w14:textId="77777777" w:rsidR="009A356E" w:rsidRDefault="009A356E" w:rsidP="009A356E"/>
    <w:p w14:paraId="2B11C657" w14:textId="336923D1" w:rsidR="009A356E" w:rsidRDefault="009A356E" w:rsidP="00671FD6">
      <w:pPr>
        <w:pStyle w:val="Heading3"/>
      </w:pPr>
      <w:r w:rsidRPr="00E66589">
        <w:t>Shortfall in Renewal Spending</w:t>
      </w:r>
    </w:p>
    <w:p w14:paraId="06EE389C" w14:textId="77777777" w:rsidR="00671FD6" w:rsidRPr="00E66589" w:rsidRDefault="00671FD6" w:rsidP="009A356E">
      <w:pPr>
        <w:rPr>
          <w:b/>
        </w:rPr>
      </w:pPr>
    </w:p>
    <w:p w14:paraId="63F2CD66" w14:textId="638FE888" w:rsidR="009A356E" w:rsidRDefault="009A356E" w:rsidP="009A356E">
      <w:r>
        <w:t xml:space="preserve">Despite increased spending by councils, various studies have pointed to the shortfall in infrastructure renewal spending by councils including the Victorian Auditor-General. The MAV’s STEP Program consistently identifies shortfalls. </w:t>
      </w:r>
    </w:p>
    <w:p w14:paraId="74BE9B11" w14:textId="4077A32C" w:rsidR="009A356E" w:rsidRDefault="009A356E" w:rsidP="009A356E">
      <w:r>
        <w:t xml:space="preserve">It found that while gaps continue to persist there has been a 15% decrease in the renewal gap since 2010/11 in rural and regional councils. The above analysis confirms that this has been funded largely by rate increases and an increasing proportion of rate revenue being devoted to asset renewal. The STEP Program also indicated an expectation of a further reduction in renewal gap between 2016-17 and 2020-21 for rural and regional councils. Some caution however needs to be observed in relation to the latter given that at least in some cases the forward capital program has been based on 2013-14 and 2014-15 data and the impact of rate capping may not have been factored. </w:t>
      </w:r>
    </w:p>
    <w:p w14:paraId="6015D41F" w14:textId="77777777" w:rsidR="00671FD6" w:rsidRDefault="00671FD6" w:rsidP="009A356E"/>
    <w:p w14:paraId="446977F4" w14:textId="598F5462" w:rsidR="009A356E" w:rsidRPr="00EF467E" w:rsidRDefault="009A356E" w:rsidP="009A356E">
      <w:pPr>
        <w:rPr>
          <w:b/>
          <w:sz w:val="18"/>
          <w:szCs w:val="18"/>
        </w:rPr>
      </w:pPr>
      <w:r w:rsidRPr="00EF467E">
        <w:rPr>
          <w:b/>
          <w:sz w:val="18"/>
          <w:szCs w:val="18"/>
        </w:rPr>
        <w:t xml:space="preserve">Table 18:Renewal Gaps – Rural </w:t>
      </w:r>
      <w:r>
        <w:rPr>
          <w:b/>
          <w:sz w:val="18"/>
          <w:szCs w:val="18"/>
        </w:rPr>
        <w:t>&amp; R</w:t>
      </w:r>
      <w:r w:rsidRPr="00EF467E">
        <w:rPr>
          <w:b/>
          <w:sz w:val="18"/>
          <w:szCs w:val="18"/>
        </w:rPr>
        <w:t>egional Councils in STEP Program</w:t>
      </w:r>
    </w:p>
    <w:tbl>
      <w:tblPr>
        <w:tblW w:w="9560" w:type="dxa"/>
        <w:tblInd w:w="93" w:type="dxa"/>
        <w:tblLook w:val="04A0" w:firstRow="1" w:lastRow="0" w:firstColumn="1" w:lastColumn="0" w:noHBand="0" w:noVBand="1"/>
      </w:tblPr>
      <w:tblGrid>
        <w:gridCol w:w="2020"/>
        <w:gridCol w:w="1000"/>
        <w:gridCol w:w="1100"/>
        <w:gridCol w:w="1100"/>
        <w:gridCol w:w="940"/>
        <w:gridCol w:w="940"/>
        <w:gridCol w:w="1120"/>
        <w:gridCol w:w="1340"/>
      </w:tblGrid>
      <w:tr w:rsidR="009A356E" w:rsidRPr="00EF467E" w14:paraId="6B0C6FCD" w14:textId="77777777" w:rsidTr="009A356E">
        <w:trPr>
          <w:trHeight w:val="2115"/>
          <w:tblHeader/>
        </w:trPr>
        <w:tc>
          <w:tcPr>
            <w:tcW w:w="2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2B9CB7" w14:textId="77777777" w:rsidR="009A356E" w:rsidRPr="00EF467E" w:rsidRDefault="009A356E" w:rsidP="009A356E">
            <w:pPr>
              <w:rPr>
                <w:rFonts w:ascii="Calibri" w:hAnsi="Calibri"/>
                <w:b/>
                <w:bCs/>
                <w:sz w:val="18"/>
                <w:szCs w:val="18"/>
                <w:lang w:eastAsia="en-AU"/>
              </w:rPr>
            </w:pPr>
            <w:r w:rsidRPr="00EF467E">
              <w:rPr>
                <w:rFonts w:ascii="Calibri" w:hAnsi="Calibri"/>
                <w:b/>
                <w:bCs/>
                <w:sz w:val="18"/>
                <w:szCs w:val="18"/>
                <w:lang w:eastAsia="en-AU"/>
              </w:rPr>
              <w:t>Council</w:t>
            </w:r>
          </w:p>
        </w:tc>
        <w:tc>
          <w:tcPr>
            <w:tcW w:w="1000" w:type="dxa"/>
            <w:tcBorders>
              <w:top w:val="single" w:sz="4" w:space="0" w:color="auto"/>
              <w:left w:val="nil"/>
              <w:bottom w:val="single" w:sz="4" w:space="0" w:color="auto"/>
              <w:right w:val="single" w:sz="4" w:space="0" w:color="auto"/>
            </w:tcBorders>
            <w:shd w:val="clear" w:color="auto" w:fill="auto"/>
            <w:textDirection w:val="tbRl"/>
            <w:vAlign w:val="center"/>
            <w:hideMark/>
          </w:tcPr>
          <w:p w14:paraId="2D27E07D" w14:textId="77777777" w:rsidR="009A356E" w:rsidRPr="00EF467E" w:rsidRDefault="009A356E" w:rsidP="009A356E">
            <w:pPr>
              <w:jc w:val="center"/>
              <w:rPr>
                <w:rFonts w:ascii="Calibri" w:hAnsi="Calibri"/>
                <w:b/>
                <w:bCs/>
                <w:sz w:val="18"/>
                <w:szCs w:val="18"/>
                <w:lang w:eastAsia="en-AU"/>
              </w:rPr>
            </w:pPr>
            <w:r w:rsidRPr="00EF467E">
              <w:rPr>
                <w:rFonts w:ascii="Calibri" w:hAnsi="Calibri"/>
                <w:b/>
                <w:bCs/>
                <w:sz w:val="18"/>
                <w:szCs w:val="18"/>
                <w:lang w:eastAsia="en-AU"/>
              </w:rPr>
              <w:t>Rates 2014-15 ($m)</w:t>
            </w:r>
          </w:p>
        </w:tc>
        <w:tc>
          <w:tcPr>
            <w:tcW w:w="1100" w:type="dxa"/>
            <w:tcBorders>
              <w:top w:val="single" w:sz="4" w:space="0" w:color="auto"/>
              <w:left w:val="nil"/>
              <w:bottom w:val="single" w:sz="4" w:space="0" w:color="auto"/>
              <w:right w:val="single" w:sz="4" w:space="0" w:color="auto"/>
            </w:tcBorders>
            <w:shd w:val="clear" w:color="auto" w:fill="auto"/>
            <w:textDirection w:val="tbRl"/>
            <w:vAlign w:val="center"/>
            <w:hideMark/>
          </w:tcPr>
          <w:p w14:paraId="6DDBE43D" w14:textId="77777777" w:rsidR="009A356E" w:rsidRPr="00EF467E" w:rsidRDefault="009A356E" w:rsidP="009A356E">
            <w:pPr>
              <w:jc w:val="center"/>
              <w:rPr>
                <w:rFonts w:ascii="Calibri" w:hAnsi="Calibri"/>
                <w:b/>
                <w:bCs/>
                <w:sz w:val="18"/>
                <w:szCs w:val="18"/>
                <w:lang w:eastAsia="en-AU"/>
              </w:rPr>
            </w:pPr>
            <w:r w:rsidRPr="00EF467E">
              <w:rPr>
                <w:rFonts w:ascii="Calibri" w:hAnsi="Calibri"/>
                <w:b/>
                <w:bCs/>
                <w:sz w:val="18"/>
                <w:szCs w:val="18"/>
                <w:lang w:eastAsia="en-AU"/>
              </w:rPr>
              <w:t>Average Renewal Spend from CT Report 2014-15 ($m)</w:t>
            </w:r>
          </w:p>
        </w:tc>
        <w:tc>
          <w:tcPr>
            <w:tcW w:w="1100" w:type="dxa"/>
            <w:tcBorders>
              <w:top w:val="single" w:sz="4" w:space="0" w:color="auto"/>
              <w:left w:val="nil"/>
              <w:bottom w:val="single" w:sz="4" w:space="0" w:color="auto"/>
              <w:right w:val="single" w:sz="4" w:space="0" w:color="auto"/>
            </w:tcBorders>
            <w:shd w:val="clear" w:color="auto" w:fill="auto"/>
            <w:textDirection w:val="tbRl"/>
            <w:vAlign w:val="center"/>
            <w:hideMark/>
          </w:tcPr>
          <w:p w14:paraId="27CFE748" w14:textId="77777777" w:rsidR="009A356E" w:rsidRPr="00EF467E" w:rsidRDefault="009A356E" w:rsidP="009A356E">
            <w:pPr>
              <w:jc w:val="center"/>
              <w:rPr>
                <w:rFonts w:ascii="Calibri" w:hAnsi="Calibri"/>
                <w:b/>
                <w:bCs/>
                <w:sz w:val="18"/>
                <w:szCs w:val="18"/>
                <w:lang w:eastAsia="en-AU"/>
              </w:rPr>
            </w:pPr>
            <w:r w:rsidRPr="00EF467E">
              <w:rPr>
                <w:rFonts w:ascii="Calibri" w:hAnsi="Calibri"/>
                <w:b/>
                <w:bCs/>
                <w:sz w:val="18"/>
                <w:szCs w:val="18"/>
                <w:lang w:eastAsia="en-AU"/>
              </w:rPr>
              <w:t>Average Renewal Demand from CT Report 2014-15 ($m)</w:t>
            </w:r>
          </w:p>
        </w:tc>
        <w:tc>
          <w:tcPr>
            <w:tcW w:w="940" w:type="dxa"/>
            <w:tcBorders>
              <w:top w:val="single" w:sz="4" w:space="0" w:color="auto"/>
              <w:left w:val="nil"/>
              <w:bottom w:val="single" w:sz="4" w:space="0" w:color="auto"/>
              <w:right w:val="single" w:sz="4" w:space="0" w:color="auto"/>
            </w:tcBorders>
            <w:shd w:val="clear" w:color="auto" w:fill="auto"/>
            <w:textDirection w:val="tbRl"/>
            <w:vAlign w:val="center"/>
            <w:hideMark/>
          </w:tcPr>
          <w:p w14:paraId="6DE87704" w14:textId="77777777" w:rsidR="009A356E" w:rsidRPr="00EF467E" w:rsidRDefault="009A356E" w:rsidP="009A356E">
            <w:pPr>
              <w:jc w:val="center"/>
              <w:rPr>
                <w:rFonts w:ascii="Calibri" w:hAnsi="Calibri"/>
                <w:b/>
                <w:bCs/>
                <w:sz w:val="18"/>
                <w:szCs w:val="18"/>
                <w:lang w:eastAsia="en-AU"/>
              </w:rPr>
            </w:pPr>
            <w:r w:rsidRPr="00EF467E">
              <w:rPr>
                <w:rFonts w:ascii="Calibri" w:hAnsi="Calibri"/>
                <w:b/>
                <w:bCs/>
                <w:sz w:val="18"/>
                <w:szCs w:val="18"/>
                <w:lang w:eastAsia="en-AU"/>
              </w:rPr>
              <w:t>Renewal Gap 2014-15 ($m)</w:t>
            </w:r>
          </w:p>
        </w:tc>
        <w:tc>
          <w:tcPr>
            <w:tcW w:w="940" w:type="dxa"/>
            <w:tcBorders>
              <w:top w:val="single" w:sz="4" w:space="0" w:color="auto"/>
              <w:left w:val="nil"/>
              <w:bottom w:val="single" w:sz="4" w:space="0" w:color="auto"/>
              <w:right w:val="single" w:sz="4" w:space="0" w:color="auto"/>
            </w:tcBorders>
            <w:shd w:val="clear" w:color="auto" w:fill="auto"/>
            <w:textDirection w:val="tbRl"/>
            <w:vAlign w:val="center"/>
            <w:hideMark/>
          </w:tcPr>
          <w:p w14:paraId="0A2AC7B2" w14:textId="77777777" w:rsidR="009A356E" w:rsidRPr="00EF467E" w:rsidRDefault="009A356E" w:rsidP="009A356E">
            <w:pPr>
              <w:jc w:val="center"/>
              <w:rPr>
                <w:rFonts w:ascii="Calibri" w:hAnsi="Calibri"/>
                <w:b/>
                <w:bCs/>
                <w:sz w:val="18"/>
                <w:szCs w:val="18"/>
                <w:lang w:eastAsia="en-AU"/>
              </w:rPr>
            </w:pPr>
            <w:r w:rsidRPr="00EF467E">
              <w:rPr>
                <w:rFonts w:ascii="Calibri" w:hAnsi="Calibri"/>
                <w:b/>
                <w:bCs/>
                <w:sz w:val="18"/>
                <w:szCs w:val="18"/>
                <w:lang w:eastAsia="en-AU"/>
              </w:rPr>
              <w:t>Renewal Gap as % Rates 2014-15</w:t>
            </w:r>
          </w:p>
        </w:tc>
        <w:tc>
          <w:tcPr>
            <w:tcW w:w="1120" w:type="dxa"/>
            <w:tcBorders>
              <w:top w:val="single" w:sz="4" w:space="0" w:color="auto"/>
              <w:left w:val="nil"/>
              <w:bottom w:val="single" w:sz="4" w:space="0" w:color="auto"/>
              <w:right w:val="single" w:sz="4" w:space="0" w:color="auto"/>
            </w:tcBorders>
            <w:shd w:val="clear" w:color="auto" w:fill="auto"/>
            <w:textDirection w:val="tbRl"/>
            <w:vAlign w:val="center"/>
            <w:hideMark/>
          </w:tcPr>
          <w:p w14:paraId="263BB914" w14:textId="77777777" w:rsidR="009A356E" w:rsidRPr="00EF467E" w:rsidRDefault="009A356E" w:rsidP="009A356E">
            <w:pPr>
              <w:jc w:val="center"/>
              <w:rPr>
                <w:rFonts w:ascii="Calibri" w:hAnsi="Calibri"/>
                <w:b/>
                <w:bCs/>
                <w:sz w:val="18"/>
                <w:szCs w:val="18"/>
                <w:lang w:eastAsia="en-AU"/>
              </w:rPr>
            </w:pPr>
            <w:r w:rsidRPr="00EF467E">
              <w:rPr>
                <w:rFonts w:ascii="Calibri" w:hAnsi="Calibri"/>
                <w:b/>
                <w:bCs/>
                <w:sz w:val="18"/>
                <w:szCs w:val="18"/>
                <w:lang w:eastAsia="en-AU"/>
              </w:rPr>
              <w:t>Estimated 2015/16 Asset Renewal Gap ($m)</w:t>
            </w:r>
          </w:p>
        </w:tc>
        <w:tc>
          <w:tcPr>
            <w:tcW w:w="1340" w:type="dxa"/>
            <w:tcBorders>
              <w:top w:val="single" w:sz="4" w:space="0" w:color="auto"/>
              <w:left w:val="nil"/>
              <w:bottom w:val="single" w:sz="4" w:space="0" w:color="auto"/>
              <w:right w:val="single" w:sz="4" w:space="0" w:color="auto"/>
            </w:tcBorders>
            <w:shd w:val="clear" w:color="auto" w:fill="auto"/>
            <w:textDirection w:val="tbRl"/>
            <w:vAlign w:val="center"/>
            <w:hideMark/>
          </w:tcPr>
          <w:p w14:paraId="5C37FDB2" w14:textId="77777777" w:rsidR="009A356E" w:rsidRPr="00EF467E" w:rsidRDefault="009A356E" w:rsidP="009A356E">
            <w:pPr>
              <w:jc w:val="center"/>
              <w:rPr>
                <w:rFonts w:ascii="Calibri" w:hAnsi="Calibri"/>
                <w:b/>
                <w:bCs/>
                <w:sz w:val="18"/>
                <w:szCs w:val="18"/>
                <w:lang w:eastAsia="en-AU"/>
              </w:rPr>
            </w:pPr>
            <w:r w:rsidRPr="00EF467E">
              <w:rPr>
                <w:rFonts w:ascii="Calibri" w:hAnsi="Calibri"/>
                <w:b/>
                <w:bCs/>
                <w:sz w:val="18"/>
                <w:szCs w:val="18"/>
                <w:lang w:eastAsia="en-AU"/>
              </w:rPr>
              <w:t>Estimated 5 Year Average Annual Renewal Gap 2016/17</w:t>
            </w:r>
            <w:r w:rsidRPr="00EF467E">
              <w:rPr>
                <w:rFonts w:ascii="Calibri" w:hAnsi="Calibri" w:cs="Calibri"/>
                <w:b/>
                <w:bCs/>
                <w:sz w:val="18"/>
                <w:szCs w:val="18"/>
                <w:lang w:eastAsia="en-AU"/>
              </w:rPr>
              <w:t></w:t>
            </w:r>
            <w:r w:rsidRPr="00EF467E">
              <w:rPr>
                <w:rFonts w:ascii="Calibri" w:hAnsi="Calibri"/>
                <w:b/>
                <w:bCs/>
                <w:sz w:val="18"/>
                <w:szCs w:val="18"/>
                <w:lang w:eastAsia="en-AU"/>
              </w:rPr>
              <w:t xml:space="preserve"> to 2020/21 (($m)</w:t>
            </w:r>
          </w:p>
        </w:tc>
      </w:tr>
      <w:tr w:rsidR="009A356E" w:rsidRPr="00EF467E" w14:paraId="01C1176B" w14:textId="77777777" w:rsidTr="009A356E">
        <w:trPr>
          <w:trHeight w:val="24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729F904" w14:textId="77777777" w:rsidR="009A356E" w:rsidRPr="00EF467E" w:rsidRDefault="009A356E" w:rsidP="009A356E">
            <w:pPr>
              <w:rPr>
                <w:rFonts w:ascii="Calibri" w:hAnsi="Calibri"/>
                <w:sz w:val="18"/>
                <w:szCs w:val="18"/>
                <w:lang w:eastAsia="en-AU"/>
              </w:rPr>
            </w:pPr>
            <w:r w:rsidRPr="00EF467E">
              <w:rPr>
                <w:rFonts w:ascii="Calibri" w:hAnsi="Calibri"/>
                <w:sz w:val="18"/>
                <w:szCs w:val="18"/>
                <w:lang w:eastAsia="en-AU"/>
              </w:rPr>
              <w:lastRenderedPageBreak/>
              <w:t>Alpine</w:t>
            </w:r>
          </w:p>
        </w:tc>
        <w:tc>
          <w:tcPr>
            <w:tcW w:w="1000" w:type="dxa"/>
            <w:tcBorders>
              <w:top w:val="nil"/>
              <w:left w:val="nil"/>
              <w:bottom w:val="single" w:sz="4" w:space="0" w:color="auto"/>
              <w:right w:val="single" w:sz="4" w:space="0" w:color="auto"/>
            </w:tcBorders>
            <w:shd w:val="clear" w:color="auto" w:fill="auto"/>
            <w:noWrap/>
            <w:vAlign w:val="bottom"/>
            <w:hideMark/>
          </w:tcPr>
          <w:p w14:paraId="0042FDBA"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15.88</w:t>
            </w:r>
          </w:p>
        </w:tc>
        <w:tc>
          <w:tcPr>
            <w:tcW w:w="1100" w:type="dxa"/>
            <w:tcBorders>
              <w:top w:val="nil"/>
              <w:left w:val="nil"/>
              <w:bottom w:val="single" w:sz="4" w:space="0" w:color="auto"/>
              <w:right w:val="single" w:sz="4" w:space="0" w:color="auto"/>
            </w:tcBorders>
            <w:shd w:val="clear" w:color="auto" w:fill="auto"/>
            <w:noWrap/>
            <w:vAlign w:val="bottom"/>
            <w:hideMark/>
          </w:tcPr>
          <w:p w14:paraId="250C71EF"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2.01</w:t>
            </w:r>
          </w:p>
        </w:tc>
        <w:tc>
          <w:tcPr>
            <w:tcW w:w="1100" w:type="dxa"/>
            <w:tcBorders>
              <w:top w:val="nil"/>
              <w:left w:val="nil"/>
              <w:bottom w:val="single" w:sz="4" w:space="0" w:color="auto"/>
              <w:right w:val="single" w:sz="4" w:space="0" w:color="auto"/>
            </w:tcBorders>
            <w:shd w:val="clear" w:color="auto" w:fill="auto"/>
            <w:noWrap/>
            <w:vAlign w:val="bottom"/>
            <w:hideMark/>
          </w:tcPr>
          <w:p w14:paraId="697B9B7D"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2.36</w:t>
            </w:r>
          </w:p>
        </w:tc>
        <w:tc>
          <w:tcPr>
            <w:tcW w:w="940" w:type="dxa"/>
            <w:tcBorders>
              <w:top w:val="nil"/>
              <w:left w:val="nil"/>
              <w:bottom w:val="single" w:sz="4" w:space="0" w:color="auto"/>
              <w:right w:val="single" w:sz="4" w:space="0" w:color="auto"/>
            </w:tcBorders>
            <w:shd w:val="clear" w:color="auto" w:fill="auto"/>
            <w:noWrap/>
            <w:vAlign w:val="bottom"/>
            <w:hideMark/>
          </w:tcPr>
          <w:p w14:paraId="46090571"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0.35</w:t>
            </w:r>
          </w:p>
        </w:tc>
        <w:tc>
          <w:tcPr>
            <w:tcW w:w="940" w:type="dxa"/>
            <w:tcBorders>
              <w:top w:val="nil"/>
              <w:left w:val="nil"/>
              <w:bottom w:val="single" w:sz="4" w:space="0" w:color="auto"/>
              <w:right w:val="single" w:sz="4" w:space="0" w:color="auto"/>
            </w:tcBorders>
            <w:shd w:val="clear" w:color="auto" w:fill="auto"/>
            <w:noWrap/>
            <w:vAlign w:val="bottom"/>
            <w:hideMark/>
          </w:tcPr>
          <w:p w14:paraId="6322A3A1"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2.2%</w:t>
            </w:r>
          </w:p>
        </w:tc>
        <w:tc>
          <w:tcPr>
            <w:tcW w:w="1120" w:type="dxa"/>
            <w:tcBorders>
              <w:top w:val="nil"/>
              <w:left w:val="nil"/>
              <w:bottom w:val="single" w:sz="4" w:space="0" w:color="auto"/>
              <w:right w:val="single" w:sz="4" w:space="0" w:color="auto"/>
            </w:tcBorders>
            <w:shd w:val="clear" w:color="auto" w:fill="auto"/>
            <w:noWrap/>
            <w:vAlign w:val="bottom"/>
            <w:hideMark/>
          </w:tcPr>
          <w:p w14:paraId="42EC40B0"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w:t>
            </w:r>
          </w:p>
        </w:tc>
        <w:tc>
          <w:tcPr>
            <w:tcW w:w="1340" w:type="dxa"/>
            <w:tcBorders>
              <w:top w:val="nil"/>
              <w:left w:val="nil"/>
              <w:bottom w:val="single" w:sz="4" w:space="0" w:color="auto"/>
              <w:right w:val="single" w:sz="4" w:space="0" w:color="auto"/>
            </w:tcBorders>
            <w:shd w:val="clear" w:color="auto" w:fill="auto"/>
            <w:noWrap/>
            <w:vAlign w:val="bottom"/>
            <w:hideMark/>
          </w:tcPr>
          <w:p w14:paraId="7C7A7AAC"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0.01</w:t>
            </w:r>
          </w:p>
        </w:tc>
      </w:tr>
      <w:tr w:rsidR="009A356E" w:rsidRPr="00EF467E" w14:paraId="2BE9BDF4" w14:textId="77777777" w:rsidTr="009A356E">
        <w:trPr>
          <w:trHeight w:val="24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7AC0BCE" w14:textId="77777777" w:rsidR="009A356E" w:rsidRPr="00EF467E" w:rsidRDefault="009A356E" w:rsidP="009A356E">
            <w:pPr>
              <w:rPr>
                <w:rFonts w:ascii="Calibri" w:hAnsi="Calibri"/>
                <w:sz w:val="18"/>
                <w:szCs w:val="18"/>
                <w:lang w:eastAsia="en-AU"/>
              </w:rPr>
            </w:pPr>
            <w:r w:rsidRPr="00EF467E">
              <w:rPr>
                <w:rFonts w:ascii="Calibri" w:hAnsi="Calibri"/>
                <w:sz w:val="18"/>
                <w:szCs w:val="18"/>
                <w:lang w:eastAsia="en-AU"/>
              </w:rPr>
              <w:t>Bass Coast</w:t>
            </w:r>
          </w:p>
        </w:tc>
        <w:tc>
          <w:tcPr>
            <w:tcW w:w="1000" w:type="dxa"/>
            <w:tcBorders>
              <w:top w:val="nil"/>
              <w:left w:val="nil"/>
              <w:bottom w:val="single" w:sz="4" w:space="0" w:color="auto"/>
              <w:right w:val="single" w:sz="4" w:space="0" w:color="auto"/>
            </w:tcBorders>
            <w:shd w:val="clear" w:color="auto" w:fill="auto"/>
            <w:noWrap/>
            <w:vAlign w:val="bottom"/>
            <w:hideMark/>
          </w:tcPr>
          <w:p w14:paraId="4E4DD6EC"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46.13</w:t>
            </w:r>
          </w:p>
        </w:tc>
        <w:tc>
          <w:tcPr>
            <w:tcW w:w="1100" w:type="dxa"/>
            <w:tcBorders>
              <w:top w:val="nil"/>
              <w:left w:val="nil"/>
              <w:bottom w:val="single" w:sz="4" w:space="0" w:color="auto"/>
              <w:right w:val="single" w:sz="4" w:space="0" w:color="auto"/>
            </w:tcBorders>
            <w:shd w:val="clear" w:color="auto" w:fill="auto"/>
            <w:noWrap/>
            <w:vAlign w:val="bottom"/>
            <w:hideMark/>
          </w:tcPr>
          <w:p w14:paraId="1B3AFA99"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4.49</w:t>
            </w:r>
          </w:p>
        </w:tc>
        <w:tc>
          <w:tcPr>
            <w:tcW w:w="1100" w:type="dxa"/>
            <w:tcBorders>
              <w:top w:val="nil"/>
              <w:left w:val="nil"/>
              <w:bottom w:val="single" w:sz="4" w:space="0" w:color="auto"/>
              <w:right w:val="single" w:sz="4" w:space="0" w:color="auto"/>
            </w:tcBorders>
            <w:shd w:val="clear" w:color="auto" w:fill="auto"/>
            <w:noWrap/>
            <w:vAlign w:val="bottom"/>
            <w:hideMark/>
          </w:tcPr>
          <w:p w14:paraId="40AC7169"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6.11</w:t>
            </w:r>
          </w:p>
        </w:tc>
        <w:tc>
          <w:tcPr>
            <w:tcW w:w="940" w:type="dxa"/>
            <w:tcBorders>
              <w:top w:val="nil"/>
              <w:left w:val="nil"/>
              <w:bottom w:val="single" w:sz="4" w:space="0" w:color="auto"/>
              <w:right w:val="single" w:sz="4" w:space="0" w:color="auto"/>
            </w:tcBorders>
            <w:shd w:val="clear" w:color="auto" w:fill="auto"/>
            <w:noWrap/>
            <w:vAlign w:val="bottom"/>
            <w:hideMark/>
          </w:tcPr>
          <w:p w14:paraId="32879AF8"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1.62</w:t>
            </w:r>
          </w:p>
        </w:tc>
        <w:tc>
          <w:tcPr>
            <w:tcW w:w="940" w:type="dxa"/>
            <w:tcBorders>
              <w:top w:val="nil"/>
              <w:left w:val="nil"/>
              <w:bottom w:val="single" w:sz="4" w:space="0" w:color="auto"/>
              <w:right w:val="single" w:sz="4" w:space="0" w:color="auto"/>
            </w:tcBorders>
            <w:shd w:val="clear" w:color="auto" w:fill="auto"/>
            <w:noWrap/>
            <w:vAlign w:val="bottom"/>
            <w:hideMark/>
          </w:tcPr>
          <w:p w14:paraId="1750DD0F"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3.5%</w:t>
            </w:r>
          </w:p>
        </w:tc>
        <w:tc>
          <w:tcPr>
            <w:tcW w:w="1120" w:type="dxa"/>
            <w:tcBorders>
              <w:top w:val="nil"/>
              <w:left w:val="nil"/>
              <w:bottom w:val="single" w:sz="4" w:space="0" w:color="auto"/>
              <w:right w:val="single" w:sz="4" w:space="0" w:color="auto"/>
            </w:tcBorders>
            <w:shd w:val="clear" w:color="auto" w:fill="auto"/>
            <w:noWrap/>
            <w:vAlign w:val="bottom"/>
            <w:hideMark/>
          </w:tcPr>
          <w:p w14:paraId="143D4E6F"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w:t>
            </w:r>
          </w:p>
        </w:tc>
        <w:tc>
          <w:tcPr>
            <w:tcW w:w="1340" w:type="dxa"/>
            <w:tcBorders>
              <w:top w:val="nil"/>
              <w:left w:val="nil"/>
              <w:bottom w:val="single" w:sz="4" w:space="0" w:color="auto"/>
              <w:right w:val="single" w:sz="4" w:space="0" w:color="auto"/>
            </w:tcBorders>
            <w:shd w:val="clear" w:color="auto" w:fill="auto"/>
            <w:noWrap/>
            <w:vAlign w:val="bottom"/>
            <w:hideMark/>
          </w:tcPr>
          <w:p w14:paraId="0EF6C4D4"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w:t>
            </w:r>
          </w:p>
        </w:tc>
      </w:tr>
      <w:tr w:rsidR="009A356E" w:rsidRPr="00EF467E" w14:paraId="569978F8" w14:textId="77777777" w:rsidTr="009A356E">
        <w:trPr>
          <w:trHeight w:val="24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4128F150" w14:textId="77777777" w:rsidR="009A356E" w:rsidRPr="00EF467E" w:rsidRDefault="009A356E" w:rsidP="009A356E">
            <w:pPr>
              <w:rPr>
                <w:rFonts w:ascii="Calibri" w:hAnsi="Calibri"/>
                <w:sz w:val="18"/>
                <w:szCs w:val="18"/>
                <w:lang w:eastAsia="en-AU"/>
              </w:rPr>
            </w:pPr>
            <w:r w:rsidRPr="00EF467E">
              <w:rPr>
                <w:rFonts w:ascii="Calibri" w:hAnsi="Calibri"/>
                <w:sz w:val="18"/>
                <w:szCs w:val="18"/>
                <w:lang w:eastAsia="en-AU"/>
              </w:rPr>
              <w:t xml:space="preserve">Baw </w:t>
            </w:r>
            <w:proofErr w:type="spellStart"/>
            <w:r w:rsidRPr="00EF467E">
              <w:rPr>
                <w:rFonts w:ascii="Calibri" w:hAnsi="Calibri"/>
                <w:sz w:val="18"/>
                <w:szCs w:val="18"/>
                <w:lang w:eastAsia="en-AU"/>
              </w:rPr>
              <w:t>Baw</w:t>
            </w:r>
            <w:proofErr w:type="spellEnd"/>
          </w:p>
        </w:tc>
        <w:tc>
          <w:tcPr>
            <w:tcW w:w="1000" w:type="dxa"/>
            <w:tcBorders>
              <w:top w:val="nil"/>
              <w:left w:val="nil"/>
              <w:bottom w:val="single" w:sz="4" w:space="0" w:color="auto"/>
              <w:right w:val="single" w:sz="4" w:space="0" w:color="auto"/>
            </w:tcBorders>
            <w:shd w:val="clear" w:color="auto" w:fill="auto"/>
            <w:noWrap/>
            <w:vAlign w:val="bottom"/>
            <w:hideMark/>
          </w:tcPr>
          <w:p w14:paraId="5ABE6254"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46.85</w:t>
            </w:r>
          </w:p>
        </w:tc>
        <w:tc>
          <w:tcPr>
            <w:tcW w:w="1100" w:type="dxa"/>
            <w:tcBorders>
              <w:top w:val="nil"/>
              <w:left w:val="nil"/>
              <w:bottom w:val="single" w:sz="4" w:space="0" w:color="auto"/>
              <w:right w:val="single" w:sz="4" w:space="0" w:color="auto"/>
            </w:tcBorders>
            <w:shd w:val="clear" w:color="auto" w:fill="auto"/>
            <w:noWrap/>
            <w:vAlign w:val="bottom"/>
            <w:hideMark/>
          </w:tcPr>
          <w:p w14:paraId="54CF094E"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5.36</w:t>
            </w:r>
          </w:p>
        </w:tc>
        <w:tc>
          <w:tcPr>
            <w:tcW w:w="1100" w:type="dxa"/>
            <w:tcBorders>
              <w:top w:val="nil"/>
              <w:left w:val="nil"/>
              <w:bottom w:val="single" w:sz="4" w:space="0" w:color="auto"/>
              <w:right w:val="single" w:sz="4" w:space="0" w:color="auto"/>
            </w:tcBorders>
            <w:shd w:val="clear" w:color="auto" w:fill="auto"/>
            <w:noWrap/>
            <w:vAlign w:val="bottom"/>
            <w:hideMark/>
          </w:tcPr>
          <w:p w14:paraId="25A4D88B"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13.16</w:t>
            </w:r>
          </w:p>
        </w:tc>
        <w:tc>
          <w:tcPr>
            <w:tcW w:w="940" w:type="dxa"/>
            <w:tcBorders>
              <w:top w:val="nil"/>
              <w:left w:val="nil"/>
              <w:bottom w:val="single" w:sz="4" w:space="0" w:color="auto"/>
              <w:right w:val="single" w:sz="4" w:space="0" w:color="auto"/>
            </w:tcBorders>
            <w:shd w:val="clear" w:color="auto" w:fill="auto"/>
            <w:noWrap/>
            <w:vAlign w:val="bottom"/>
            <w:hideMark/>
          </w:tcPr>
          <w:p w14:paraId="401412DB"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7.80</w:t>
            </w:r>
          </w:p>
        </w:tc>
        <w:tc>
          <w:tcPr>
            <w:tcW w:w="940" w:type="dxa"/>
            <w:tcBorders>
              <w:top w:val="nil"/>
              <w:left w:val="nil"/>
              <w:bottom w:val="single" w:sz="4" w:space="0" w:color="auto"/>
              <w:right w:val="single" w:sz="4" w:space="0" w:color="auto"/>
            </w:tcBorders>
            <w:shd w:val="clear" w:color="auto" w:fill="auto"/>
            <w:noWrap/>
            <w:vAlign w:val="bottom"/>
            <w:hideMark/>
          </w:tcPr>
          <w:p w14:paraId="5D24248A"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16.7%</w:t>
            </w:r>
          </w:p>
        </w:tc>
        <w:tc>
          <w:tcPr>
            <w:tcW w:w="1120" w:type="dxa"/>
            <w:tcBorders>
              <w:top w:val="nil"/>
              <w:left w:val="nil"/>
              <w:bottom w:val="single" w:sz="4" w:space="0" w:color="auto"/>
              <w:right w:val="single" w:sz="4" w:space="0" w:color="auto"/>
            </w:tcBorders>
            <w:shd w:val="clear" w:color="auto" w:fill="auto"/>
            <w:noWrap/>
            <w:vAlign w:val="bottom"/>
            <w:hideMark/>
          </w:tcPr>
          <w:p w14:paraId="4E9A98D3"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w:t>
            </w:r>
          </w:p>
        </w:tc>
        <w:tc>
          <w:tcPr>
            <w:tcW w:w="1340" w:type="dxa"/>
            <w:tcBorders>
              <w:top w:val="nil"/>
              <w:left w:val="nil"/>
              <w:bottom w:val="single" w:sz="4" w:space="0" w:color="auto"/>
              <w:right w:val="single" w:sz="4" w:space="0" w:color="auto"/>
            </w:tcBorders>
            <w:shd w:val="clear" w:color="auto" w:fill="auto"/>
            <w:noWrap/>
            <w:vAlign w:val="bottom"/>
            <w:hideMark/>
          </w:tcPr>
          <w:p w14:paraId="1BE5B690"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3.84</w:t>
            </w:r>
          </w:p>
        </w:tc>
      </w:tr>
      <w:tr w:rsidR="009A356E" w:rsidRPr="00EF467E" w14:paraId="186F7204" w14:textId="77777777" w:rsidTr="009A356E">
        <w:trPr>
          <w:trHeight w:val="24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8C2A6F2" w14:textId="77777777" w:rsidR="009A356E" w:rsidRPr="00EF467E" w:rsidRDefault="009A356E" w:rsidP="009A356E">
            <w:pPr>
              <w:rPr>
                <w:rFonts w:ascii="Calibri" w:hAnsi="Calibri"/>
                <w:sz w:val="18"/>
                <w:szCs w:val="18"/>
                <w:lang w:eastAsia="en-AU"/>
              </w:rPr>
            </w:pPr>
            <w:r w:rsidRPr="00EF467E">
              <w:rPr>
                <w:rFonts w:ascii="Calibri" w:hAnsi="Calibri"/>
                <w:sz w:val="18"/>
                <w:szCs w:val="18"/>
                <w:lang w:eastAsia="en-AU"/>
              </w:rPr>
              <w:t>Benalla</w:t>
            </w:r>
          </w:p>
        </w:tc>
        <w:tc>
          <w:tcPr>
            <w:tcW w:w="1000" w:type="dxa"/>
            <w:tcBorders>
              <w:top w:val="nil"/>
              <w:left w:val="nil"/>
              <w:bottom w:val="single" w:sz="4" w:space="0" w:color="auto"/>
              <w:right w:val="single" w:sz="4" w:space="0" w:color="auto"/>
            </w:tcBorders>
            <w:shd w:val="clear" w:color="auto" w:fill="auto"/>
            <w:noWrap/>
            <w:vAlign w:val="bottom"/>
            <w:hideMark/>
          </w:tcPr>
          <w:p w14:paraId="3E8B7E7C"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14.72</w:t>
            </w:r>
          </w:p>
        </w:tc>
        <w:tc>
          <w:tcPr>
            <w:tcW w:w="1100" w:type="dxa"/>
            <w:tcBorders>
              <w:top w:val="nil"/>
              <w:left w:val="nil"/>
              <w:bottom w:val="single" w:sz="4" w:space="0" w:color="auto"/>
              <w:right w:val="single" w:sz="4" w:space="0" w:color="auto"/>
            </w:tcBorders>
            <w:shd w:val="clear" w:color="auto" w:fill="auto"/>
            <w:noWrap/>
            <w:vAlign w:val="bottom"/>
            <w:hideMark/>
          </w:tcPr>
          <w:p w14:paraId="08803C75"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2.68</w:t>
            </w:r>
          </w:p>
        </w:tc>
        <w:tc>
          <w:tcPr>
            <w:tcW w:w="1100" w:type="dxa"/>
            <w:tcBorders>
              <w:top w:val="nil"/>
              <w:left w:val="nil"/>
              <w:bottom w:val="single" w:sz="4" w:space="0" w:color="auto"/>
              <w:right w:val="single" w:sz="4" w:space="0" w:color="auto"/>
            </w:tcBorders>
            <w:shd w:val="clear" w:color="auto" w:fill="auto"/>
            <w:noWrap/>
            <w:vAlign w:val="bottom"/>
            <w:hideMark/>
          </w:tcPr>
          <w:p w14:paraId="3A9C0D13"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3.57</w:t>
            </w:r>
          </w:p>
        </w:tc>
        <w:tc>
          <w:tcPr>
            <w:tcW w:w="940" w:type="dxa"/>
            <w:tcBorders>
              <w:top w:val="nil"/>
              <w:left w:val="nil"/>
              <w:bottom w:val="single" w:sz="4" w:space="0" w:color="auto"/>
              <w:right w:val="single" w:sz="4" w:space="0" w:color="auto"/>
            </w:tcBorders>
            <w:shd w:val="clear" w:color="auto" w:fill="auto"/>
            <w:noWrap/>
            <w:vAlign w:val="bottom"/>
            <w:hideMark/>
          </w:tcPr>
          <w:p w14:paraId="0FAE7111"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0.90</w:t>
            </w:r>
          </w:p>
        </w:tc>
        <w:tc>
          <w:tcPr>
            <w:tcW w:w="940" w:type="dxa"/>
            <w:tcBorders>
              <w:top w:val="nil"/>
              <w:left w:val="nil"/>
              <w:bottom w:val="single" w:sz="4" w:space="0" w:color="auto"/>
              <w:right w:val="single" w:sz="4" w:space="0" w:color="auto"/>
            </w:tcBorders>
            <w:shd w:val="clear" w:color="auto" w:fill="auto"/>
            <w:noWrap/>
            <w:vAlign w:val="bottom"/>
            <w:hideMark/>
          </w:tcPr>
          <w:p w14:paraId="32344084"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6.1%</w:t>
            </w:r>
          </w:p>
        </w:tc>
        <w:tc>
          <w:tcPr>
            <w:tcW w:w="1120" w:type="dxa"/>
            <w:tcBorders>
              <w:top w:val="nil"/>
              <w:left w:val="nil"/>
              <w:bottom w:val="single" w:sz="4" w:space="0" w:color="auto"/>
              <w:right w:val="single" w:sz="4" w:space="0" w:color="auto"/>
            </w:tcBorders>
            <w:shd w:val="clear" w:color="auto" w:fill="auto"/>
            <w:noWrap/>
            <w:vAlign w:val="bottom"/>
            <w:hideMark/>
          </w:tcPr>
          <w:p w14:paraId="199BC94B"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7.97</w:t>
            </w:r>
          </w:p>
        </w:tc>
        <w:tc>
          <w:tcPr>
            <w:tcW w:w="1340" w:type="dxa"/>
            <w:tcBorders>
              <w:top w:val="nil"/>
              <w:left w:val="nil"/>
              <w:bottom w:val="single" w:sz="4" w:space="0" w:color="auto"/>
              <w:right w:val="single" w:sz="4" w:space="0" w:color="auto"/>
            </w:tcBorders>
            <w:shd w:val="clear" w:color="auto" w:fill="auto"/>
            <w:noWrap/>
            <w:vAlign w:val="bottom"/>
            <w:hideMark/>
          </w:tcPr>
          <w:p w14:paraId="088604B6"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4.09</w:t>
            </w:r>
          </w:p>
        </w:tc>
      </w:tr>
      <w:tr w:rsidR="009A356E" w:rsidRPr="00EF467E" w14:paraId="112F7ADA" w14:textId="77777777" w:rsidTr="009A356E">
        <w:trPr>
          <w:trHeight w:val="24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0675CA44" w14:textId="77777777" w:rsidR="009A356E" w:rsidRPr="00EF467E" w:rsidRDefault="009A356E" w:rsidP="009A356E">
            <w:pPr>
              <w:rPr>
                <w:rFonts w:ascii="Calibri" w:hAnsi="Calibri"/>
                <w:sz w:val="18"/>
                <w:szCs w:val="18"/>
                <w:lang w:eastAsia="en-AU"/>
              </w:rPr>
            </w:pPr>
            <w:proofErr w:type="spellStart"/>
            <w:r w:rsidRPr="00EF467E">
              <w:rPr>
                <w:rFonts w:ascii="Calibri" w:hAnsi="Calibri"/>
                <w:sz w:val="18"/>
                <w:szCs w:val="18"/>
                <w:lang w:eastAsia="en-AU"/>
              </w:rPr>
              <w:t>Buloke</w:t>
            </w:r>
            <w:proofErr w:type="spellEnd"/>
          </w:p>
        </w:tc>
        <w:tc>
          <w:tcPr>
            <w:tcW w:w="1000" w:type="dxa"/>
            <w:tcBorders>
              <w:top w:val="nil"/>
              <w:left w:val="nil"/>
              <w:bottom w:val="single" w:sz="4" w:space="0" w:color="auto"/>
              <w:right w:val="single" w:sz="4" w:space="0" w:color="auto"/>
            </w:tcBorders>
            <w:shd w:val="clear" w:color="auto" w:fill="auto"/>
            <w:noWrap/>
            <w:vAlign w:val="bottom"/>
            <w:hideMark/>
          </w:tcPr>
          <w:p w14:paraId="6FDD38C4"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11.44</w:t>
            </w:r>
          </w:p>
        </w:tc>
        <w:tc>
          <w:tcPr>
            <w:tcW w:w="1100" w:type="dxa"/>
            <w:tcBorders>
              <w:top w:val="nil"/>
              <w:left w:val="nil"/>
              <w:bottom w:val="single" w:sz="4" w:space="0" w:color="auto"/>
              <w:right w:val="single" w:sz="4" w:space="0" w:color="auto"/>
            </w:tcBorders>
            <w:shd w:val="clear" w:color="auto" w:fill="auto"/>
            <w:noWrap/>
            <w:vAlign w:val="bottom"/>
            <w:hideMark/>
          </w:tcPr>
          <w:p w14:paraId="14D79B89"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4.64</w:t>
            </w:r>
          </w:p>
        </w:tc>
        <w:tc>
          <w:tcPr>
            <w:tcW w:w="1100" w:type="dxa"/>
            <w:tcBorders>
              <w:top w:val="nil"/>
              <w:left w:val="nil"/>
              <w:bottom w:val="single" w:sz="4" w:space="0" w:color="auto"/>
              <w:right w:val="single" w:sz="4" w:space="0" w:color="auto"/>
            </w:tcBorders>
            <w:shd w:val="clear" w:color="auto" w:fill="auto"/>
            <w:noWrap/>
            <w:vAlign w:val="bottom"/>
            <w:hideMark/>
          </w:tcPr>
          <w:p w14:paraId="2E7692A3"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6.62</w:t>
            </w:r>
          </w:p>
        </w:tc>
        <w:tc>
          <w:tcPr>
            <w:tcW w:w="940" w:type="dxa"/>
            <w:tcBorders>
              <w:top w:val="nil"/>
              <w:left w:val="nil"/>
              <w:bottom w:val="single" w:sz="4" w:space="0" w:color="auto"/>
              <w:right w:val="single" w:sz="4" w:space="0" w:color="auto"/>
            </w:tcBorders>
            <w:shd w:val="clear" w:color="auto" w:fill="auto"/>
            <w:noWrap/>
            <w:vAlign w:val="bottom"/>
            <w:hideMark/>
          </w:tcPr>
          <w:p w14:paraId="15E45614"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1.98</w:t>
            </w:r>
          </w:p>
        </w:tc>
        <w:tc>
          <w:tcPr>
            <w:tcW w:w="940" w:type="dxa"/>
            <w:tcBorders>
              <w:top w:val="nil"/>
              <w:left w:val="nil"/>
              <w:bottom w:val="single" w:sz="4" w:space="0" w:color="auto"/>
              <w:right w:val="single" w:sz="4" w:space="0" w:color="auto"/>
            </w:tcBorders>
            <w:shd w:val="clear" w:color="auto" w:fill="auto"/>
            <w:noWrap/>
            <w:vAlign w:val="bottom"/>
            <w:hideMark/>
          </w:tcPr>
          <w:p w14:paraId="73C6EF17"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17.3%</w:t>
            </w:r>
          </w:p>
        </w:tc>
        <w:tc>
          <w:tcPr>
            <w:tcW w:w="1120" w:type="dxa"/>
            <w:tcBorders>
              <w:top w:val="nil"/>
              <w:left w:val="nil"/>
              <w:bottom w:val="single" w:sz="4" w:space="0" w:color="auto"/>
              <w:right w:val="single" w:sz="4" w:space="0" w:color="auto"/>
            </w:tcBorders>
            <w:shd w:val="clear" w:color="auto" w:fill="auto"/>
            <w:noWrap/>
            <w:vAlign w:val="bottom"/>
            <w:hideMark/>
          </w:tcPr>
          <w:p w14:paraId="31CF3D8B"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13.03</w:t>
            </w:r>
          </w:p>
        </w:tc>
        <w:tc>
          <w:tcPr>
            <w:tcW w:w="1340" w:type="dxa"/>
            <w:tcBorders>
              <w:top w:val="nil"/>
              <w:left w:val="nil"/>
              <w:bottom w:val="single" w:sz="4" w:space="0" w:color="auto"/>
              <w:right w:val="single" w:sz="4" w:space="0" w:color="auto"/>
            </w:tcBorders>
            <w:shd w:val="clear" w:color="auto" w:fill="auto"/>
            <w:noWrap/>
            <w:vAlign w:val="bottom"/>
            <w:hideMark/>
          </w:tcPr>
          <w:p w14:paraId="7678BE75"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8.14</w:t>
            </w:r>
          </w:p>
        </w:tc>
      </w:tr>
      <w:tr w:rsidR="009A356E" w:rsidRPr="00EF467E" w14:paraId="2715B0F2" w14:textId="77777777" w:rsidTr="009A356E">
        <w:trPr>
          <w:trHeight w:val="24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588C9B2" w14:textId="77777777" w:rsidR="009A356E" w:rsidRPr="00EF467E" w:rsidRDefault="009A356E" w:rsidP="009A356E">
            <w:pPr>
              <w:rPr>
                <w:rFonts w:ascii="Calibri" w:hAnsi="Calibri"/>
                <w:sz w:val="18"/>
                <w:szCs w:val="18"/>
                <w:lang w:eastAsia="en-AU"/>
              </w:rPr>
            </w:pPr>
            <w:r w:rsidRPr="00EF467E">
              <w:rPr>
                <w:rFonts w:ascii="Calibri" w:hAnsi="Calibri"/>
                <w:sz w:val="18"/>
                <w:szCs w:val="18"/>
                <w:lang w:eastAsia="en-AU"/>
              </w:rPr>
              <w:t>Campaspe</w:t>
            </w:r>
          </w:p>
        </w:tc>
        <w:tc>
          <w:tcPr>
            <w:tcW w:w="1000" w:type="dxa"/>
            <w:tcBorders>
              <w:top w:val="nil"/>
              <w:left w:val="nil"/>
              <w:bottom w:val="single" w:sz="4" w:space="0" w:color="auto"/>
              <w:right w:val="single" w:sz="4" w:space="0" w:color="auto"/>
            </w:tcBorders>
            <w:shd w:val="clear" w:color="auto" w:fill="auto"/>
            <w:noWrap/>
            <w:vAlign w:val="bottom"/>
            <w:hideMark/>
          </w:tcPr>
          <w:p w14:paraId="4BAE9CF6"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35.91</w:t>
            </w:r>
          </w:p>
        </w:tc>
        <w:tc>
          <w:tcPr>
            <w:tcW w:w="1100" w:type="dxa"/>
            <w:tcBorders>
              <w:top w:val="nil"/>
              <w:left w:val="nil"/>
              <w:bottom w:val="single" w:sz="4" w:space="0" w:color="auto"/>
              <w:right w:val="single" w:sz="4" w:space="0" w:color="auto"/>
            </w:tcBorders>
            <w:shd w:val="clear" w:color="auto" w:fill="auto"/>
            <w:noWrap/>
            <w:vAlign w:val="bottom"/>
            <w:hideMark/>
          </w:tcPr>
          <w:p w14:paraId="04C86768"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10.20</w:t>
            </w:r>
          </w:p>
        </w:tc>
        <w:tc>
          <w:tcPr>
            <w:tcW w:w="1100" w:type="dxa"/>
            <w:tcBorders>
              <w:top w:val="nil"/>
              <w:left w:val="nil"/>
              <w:bottom w:val="single" w:sz="4" w:space="0" w:color="auto"/>
              <w:right w:val="single" w:sz="4" w:space="0" w:color="auto"/>
            </w:tcBorders>
            <w:shd w:val="clear" w:color="auto" w:fill="auto"/>
            <w:noWrap/>
            <w:vAlign w:val="bottom"/>
            <w:hideMark/>
          </w:tcPr>
          <w:p w14:paraId="1733B2B0"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11.01</w:t>
            </w:r>
          </w:p>
        </w:tc>
        <w:tc>
          <w:tcPr>
            <w:tcW w:w="940" w:type="dxa"/>
            <w:tcBorders>
              <w:top w:val="nil"/>
              <w:left w:val="nil"/>
              <w:bottom w:val="single" w:sz="4" w:space="0" w:color="auto"/>
              <w:right w:val="single" w:sz="4" w:space="0" w:color="auto"/>
            </w:tcBorders>
            <w:shd w:val="clear" w:color="auto" w:fill="auto"/>
            <w:noWrap/>
            <w:vAlign w:val="bottom"/>
            <w:hideMark/>
          </w:tcPr>
          <w:p w14:paraId="355ABC5D"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0.82</w:t>
            </w:r>
          </w:p>
        </w:tc>
        <w:tc>
          <w:tcPr>
            <w:tcW w:w="940" w:type="dxa"/>
            <w:tcBorders>
              <w:top w:val="nil"/>
              <w:left w:val="nil"/>
              <w:bottom w:val="single" w:sz="4" w:space="0" w:color="auto"/>
              <w:right w:val="single" w:sz="4" w:space="0" w:color="auto"/>
            </w:tcBorders>
            <w:shd w:val="clear" w:color="auto" w:fill="auto"/>
            <w:noWrap/>
            <w:vAlign w:val="bottom"/>
            <w:hideMark/>
          </w:tcPr>
          <w:p w14:paraId="74F91EFD"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2.3%</w:t>
            </w:r>
          </w:p>
        </w:tc>
        <w:tc>
          <w:tcPr>
            <w:tcW w:w="1120" w:type="dxa"/>
            <w:tcBorders>
              <w:top w:val="nil"/>
              <w:left w:val="nil"/>
              <w:bottom w:val="single" w:sz="4" w:space="0" w:color="auto"/>
              <w:right w:val="single" w:sz="4" w:space="0" w:color="auto"/>
            </w:tcBorders>
            <w:shd w:val="clear" w:color="auto" w:fill="auto"/>
            <w:noWrap/>
            <w:vAlign w:val="bottom"/>
            <w:hideMark/>
          </w:tcPr>
          <w:p w14:paraId="1426BCA2"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14.68</w:t>
            </w:r>
          </w:p>
        </w:tc>
        <w:tc>
          <w:tcPr>
            <w:tcW w:w="1340" w:type="dxa"/>
            <w:tcBorders>
              <w:top w:val="nil"/>
              <w:left w:val="nil"/>
              <w:bottom w:val="single" w:sz="4" w:space="0" w:color="auto"/>
              <w:right w:val="single" w:sz="4" w:space="0" w:color="auto"/>
            </w:tcBorders>
            <w:shd w:val="clear" w:color="auto" w:fill="auto"/>
            <w:noWrap/>
            <w:vAlign w:val="bottom"/>
            <w:hideMark/>
          </w:tcPr>
          <w:p w14:paraId="2D1F5BE8"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7.80</w:t>
            </w:r>
          </w:p>
        </w:tc>
      </w:tr>
      <w:tr w:rsidR="009A356E" w:rsidRPr="00EF467E" w14:paraId="75DD010E" w14:textId="77777777" w:rsidTr="009A356E">
        <w:trPr>
          <w:trHeight w:val="24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0631E957" w14:textId="77777777" w:rsidR="009A356E" w:rsidRPr="00EF467E" w:rsidRDefault="009A356E" w:rsidP="009A356E">
            <w:pPr>
              <w:rPr>
                <w:rFonts w:ascii="Calibri" w:hAnsi="Calibri"/>
                <w:sz w:val="18"/>
                <w:szCs w:val="18"/>
                <w:lang w:eastAsia="en-AU"/>
              </w:rPr>
            </w:pPr>
            <w:r w:rsidRPr="00EF467E">
              <w:rPr>
                <w:rFonts w:ascii="Calibri" w:hAnsi="Calibri"/>
                <w:sz w:val="18"/>
                <w:szCs w:val="18"/>
                <w:lang w:eastAsia="en-AU"/>
              </w:rPr>
              <w:t>Central Goldfields</w:t>
            </w:r>
          </w:p>
        </w:tc>
        <w:tc>
          <w:tcPr>
            <w:tcW w:w="1000" w:type="dxa"/>
            <w:tcBorders>
              <w:top w:val="nil"/>
              <w:left w:val="nil"/>
              <w:bottom w:val="single" w:sz="4" w:space="0" w:color="auto"/>
              <w:right w:val="single" w:sz="4" w:space="0" w:color="auto"/>
            </w:tcBorders>
            <w:shd w:val="clear" w:color="auto" w:fill="auto"/>
            <w:noWrap/>
            <w:vAlign w:val="bottom"/>
            <w:hideMark/>
          </w:tcPr>
          <w:p w14:paraId="43D175A3"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12.24</w:t>
            </w:r>
          </w:p>
        </w:tc>
        <w:tc>
          <w:tcPr>
            <w:tcW w:w="1100" w:type="dxa"/>
            <w:tcBorders>
              <w:top w:val="nil"/>
              <w:left w:val="nil"/>
              <w:bottom w:val="single" w:sz="4" w:space="0" w:color="auto"/>
              <w:right w:val="single" w:sz="4" w:space="0" w:color="auto"/>
            </w:tcBorders>
            <w:shd w:val="clear" w:color="auto" w:fill="auto"/>
            <w:noWrap/>
            <w:vAlign w:val="bottom"/>
            <w:hideMark/>
          </w:tcPr>
          <w:p w14:paraId="559ACF8C"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3.33</w:t>
            </w:r>
          </w:p>
        </w:tc>
        <w:tc>
          <w:tcPr>
            <w:tcW w:w="1100" w:type="dxa"/>
            <w:tcBorders>
              <w:top w:val="nil"/>
              <w:left w:val="nil"/>
              <w:bottom w:val="single" w:sz="4" w:space="0" w:color="auto"/>
              <w:right w:val="single" w:sz="4" w:space="0" w:color="auto"/>
            </w:tcBorders>
            <w:shd w:val="clear" w:color="auto" w:fill="auto"/>
            <w:noWrap/>
            <w:vAlign w:val="bottom"/>
            <w:hideMark/>
          </w:tcPr>
          <w:p w14:paraId="2F1905D4"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4.02</w:t>
            </w:r>
          </w:p>
        </w:tc>
        <w:tc>
          <w:tcPr>
            <w:tcW w:w="940" w:type="dxa"/>
            <w:tcBorders>
              <w:top w:val="nil"/>
              <w:left w:val="nil"/>
              <w:bottom w:val="single" w:sz="4" w:space="0" w:color="auto"/>
              <w:right w:val="single" w:sz="4" w:space="0" w:color="auto"/>
            </w:tcBorders>
            <w:shd w:val="clear" w:color="auto" w:fill="auto"/>
            <w:noWrap/>
            <w:vAlign w:val="bottom"/>
            <w:hideMark/>
          </w:tcPr>
          <w:p w14:paraId="6E0152EE"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0.68</w:t>
            </w:r>
          </w:p>
        </w:tc>
        <w:tc>
          <w:tcPr>
            <w:tcW w:w="940" w:type="dxa"/>
            <w:tcBorders>
              <w:top w:val="nil"/>
              <w:left w:val="nil"/>
              <w:bottom w:val="single" w:sz="4" w:space="0" w:color="auto"/>
              <w:right w:val="single" w:sz="4" w:space="0" w:color="auto"/>
            </w:tcBorders>
            <w:shd w:val="clear" w:color="auto" w:fill="auto"/>
            <w:noWrap/>
            <w:vAlign w:val="bottom"/>
            <w:hideMark/>
          </w:tcPr>
          <w:p w14:paraId="43D76826"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5.6%</w:t>
            </w:r>
          </w:p>
        </w:tc>
        <w:tc>
          <w:tcPr>
            <w:tcW w:w="1120" w:type="dxa"/>
            <w:tcBorders>
              <w:top w:val="nil"/>
              <w:left w:val="nil"/>
              <w:bottom w:val="single" w:sz="4" w:space="0" w:color="auto"/>
              <w:right w:val="single" w:sz="4" w:space="0" w:color="auto"/>
            </w:tcBorders>
            <w:shd w:val="clear" w:color="auto" w:fill="auto"/>
            <w:noWrap/>
            <w:vAlign w:val="bottom"/>
            <w:hideMark/>
          </w:tcPr>
          <w:p w14:paraId="39C36507"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0.41</w:t>
            </w:r>
          </w:p>
        </w:tc>
        <w:tc>
          <w:tcPr>
            <w:tcW w:w="1340" w:type="dxa"/>
            <w:tcBorders>
              <w:top w:val="nil"/>
              <w:left w:val="nil"/>
              <w:bottom w:val="single" w:sz="4" w:space="0" w:color="auto"/>
              <w:right w:val="single" w:sz="4" w:space="0" w:color="auto"/>
            </w:tcBorders>
            <w:shd w:val="clear" w:color="auto" w:fill="auto"/>
            <w:noWrap/>
            <w:vAlign w:val="bottom"/>
            <w:hideMark/>
          </w:tcPr>
          <w:p w14:paraId="1807949D"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0.54</w:t>
            </w:r>
          </w:p>
        </w:tc>
      </w:tr>
      <w:tr w:rsidR="009A356E" w:rsidRPr="00EF467E" w14:paraId="32368AE1" w14:textId="77777777" w:rsidTr="009A356E">
        <w:trPr>
          <w:trHeight w:val="24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3A7E74DE" w14:textId="77777777" w:rsidR="009A356E" w:rsidRPr="00EF467E" w:rsidRDefault="009A356E" w:rsidP="009A356E">
            <w:pPr>
              <w:rPr>
                <w:rFonts w:ascii="Calibri" w:hAnsi="Calibri"/>
                <w:sz w:val="18"/>
                <w:szCs w:val="18"/>
                <w:lang w:eastAsia="en-AU"/>
              </w:rPr>
            </w:pPr>
            <w:r w:rsidRPr="00EF467E">
              <w:rPr>
                <w:rFonts w:ascii="Calibri" w:hAnsi="Calibri"/>
                <w:sz w:val="18"/>
                <w:szCs w:val="18"/>
                <w:lang w:eastAsia="en-AU"/>
              </w:rPr>
              <w:t>Colac-Otway</w:t>
            </w:r>
          </w:p>
        </w:tc>
        <w:tc>
          <w:tcPr>
            <w:tcW w:w="1000" w:type="dxa"/>
            <w:tcBorders>
              <w:top w:val="nil"/>
              <w:left w:val="nil"/>
              <w:bottom w:val="single" w:sz="4" w:space="0" w:color="auto"/>
              <w:right w:val="single" w:sz="4" w:space="0" w:color="auto"/>
            </w:tcBorders>
            <w:shd w:val="clear" w:color="auto" w:fill="auto"/>
            <w:noWrap/>
            <w:vAlign w:val="bottom"/>
            <w:hideMark/>
          </w:tcPr>
          <w:p w14:paraId="20562904"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26.63</w:t>
            </w:r>
          </w:p>
        </w:tc>
        <w:tc>
          <w:tcPr>
            <w:tcW w:w="1100" w:type="dxa"/>
            <w:tcBorders>
              <w:top w:val="nil"/>
              <w:left w:val="nil"/>
              <w:bottom w:val="single" w:sz="4" w:space="0" w:color="auto"/>
              <w:right w:val="single" w:sz="4" w:space="0" w:color="auto"/>
            </w:tcBorders>
            <w:shd w:val="clear" w:color="auto" w:fill="auto"/>
            <w:noWrap/>
            <w:vAlign w:val="bottom"/>
            <w:hideMark/>
          </w:tcPr>
          <w:p w14:paraId="2470330E"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6.33</w:t>
            </w:r>
          </w:p>
        </w:tc>
        <w:tc>
          <w:tcPr>
            <w:tcW w:w="1100" w:type="dxa"/>
            <w:tcBorders>
              <w:top w:val="nil"/>
              <w:left w:val="nil"/>
              <w:bottom w:val="single" w:sz="4" w:space="0" w:color="auto"/>
              <w:right w:val="single" w:sz="4" w:space="0" w:color="auto"/>
            </w:tcBorders>
            <w:shd w:val="clear" w:color="auto" w:fill="auto"/>
            <w:noWrap/>
            <w:vAlign w:val="bottom"/>
            <w:hideMark/>
          </w:tcPr>
          <w:p w14:paraId="7F636730"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7.80</w:t>
            </w:r>
          </w:p>
        </w:tc>
        <w:tc>
          <w:tcPr>
            <w:tcW w:w="940" w:type="dxa"/>
            <w:tcBorders>
              <w:top w:val="nil"/>
              <w:left w:val="nil"/>
              <w:bottom w:val="single" w:sz="4" w:space="0" w:color="auto"/>
              <w:right w:val="single" w:sz="4" w:space="0" w:color="auto"/>
            </w:tcBorders>
            <w:shd w:val="clear" w:color="auto" w:fill="auto"/>
            <w:noWrap/>
            <w:vAlign w:val="bottom"/>
            <w:hideMark/>
          </w:tcPr>
          <w:p w14:paraId="237AAB1A"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1.47</w:t>
            </w:r>
          </w:p>
        </w:tc>
        <w:tc>
          <w:tcPr>
            <w:tcW w:w="940" w:type="dxa"/>
            <w:tcBorders>
              <w:top w:val="nil"/>
              <w:left w:val="nil"/>
              <w:bottom w:val="single" w:sz="4" w:space="0" w:color="auto"/>
              <w:right w:val="single" w:sz="4" w:space="0" w:color="auto"/>
            </w:tcBorders>
            <w:shd w:val="clear" w:color="auto" w:fill="auto"/>
            <w:noWrap/>
            <w:vAlign w:val="bottom"/>
            <w:hideMark/>
          </w:tcPr>
          <w:p w14:paraId="3402D84B"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5.5%</w:t>
            </w:r>
          </w:p>
        </w:tc>
        <w:tc>
          <w:tcPr>
            <w:tcW w:w="1120" w:type="dxa"/>
            <w:tcBorders>
              <w:top w:val="nil"/>
              <w:left w:val="nil"/>
              <w:bottom w:val="single" w:sz="4" w:space="0" w:color="auto"/>
              <w:right w:val="single" w:sz="4" w:space="0" w:color="auto"/>
            </w:tcBorders>
            <w:shd w:val="clear" w:color="auto" w:fill="auto"/>
            <w:noWrap/>
            <w:vAlign w:val="bottom"/>
            <w:hideMark/>
          </w:tcPr>
          <w:p w14:paraId="6C307289"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w:t>
            </w:r>
          </w:p>
        </w:tc>
        <w:tc>
          <w:tcPr>
            <w:tcW w:w="1340" w:type="dxa"/>
            <w:tcBorders>
              <w:top w:val="nil"/>
              <w:left w:val="nil"/>
              <w:bottom w:val="single" w:sz="4" w:space="0" w:color="auto"/>
              <w:right w:val="single" w:sz="4" w:space="0" w:color="auto"/>
            </w:tcBorders>
            <w:shd w:val="clear" w:color="auto" w:fill="auto"/>
            <w:noWrap/>
            <w:vAlign w:val="bottom"/>
            <w:hideMark/>
          </w:tcPr>
          <w:p w14:paraId="19A6E1F1"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0.91</w:t>
            </w:r>
          </w:p>
        </w:tc>
      </w:tr>
      <w:tr w:rsidR="009A356E" w:rsidRPr="00EF467E" w14:paraId="5EA80A48" w14:textId="77777777" w:rsidTr="009A356E">
        <w:trPr>
          <w:trHeight w:val="24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717AB9A5" w14:textId="77777777" w:rsidR="009A356E" w:rsidRPr="00EF467E" w:rsidRDefault="009A356E" w:rsidP="009A356E">
            <w:pPr>
              <w:rPr>
                <w:rFonts w:ascii="Calibri" w:hAnsi="Calibri"/>
                <w:sz w:val="18"/>
                <w:szCs w:val="18"/>
                <w:lang w:eastAsia="en-AU"/>
              </w:rPr>
            </w:pPr>
            <w:r w:rsidRPr="00EF467E">
              <w:rPr>
                <w:rFonts w:ascii="Calibri" w:hAnsi="Calibri"/>
                <w:sz w:val="18"/>
                <w:szCs w:val="18"/>
                <w:lang w:eastAsia="en-AU"/>
              </w:rPr>
              <w:t>East Gippsland</w:t>
            </w:r>
          </w:p>
        </w:tc>
        <w:tc>
          <w:tcPr>
            <w:tcW w:w="1000" w:type="dxa"/>
            <w:tcBorders>
              <w:top w:val="nil"/>
              <w:left w:val="nil"/>
              <w:bottom w:val="single" w:sz="4" w:space="0" w:color="auto"/>
              <w:right w:val="single" w:sz="4" w:space="0" w:color="auto"/>
            </w:tcBorders>
            <w:shd w:val="clear" w:color="auto" w:fill="auto"/>
            <w:noWrap/>
            <w:vAlign w:val="bottom"/>
            <w:hideMark/>
          </w:tcPr>
          <w:p w14:paraId="0C30DBF7"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47.69</w:t>
            </w:r>
          </w:p>
        </w:tc>
        <w:tc>
          <w:tcPr>
            <w:tcW w:w="1100" w:type="dxa"/>
            <w:tcBorders>
              <w:top w:val="nil"/>
              <w:left w:val="nil"/>
              <w:bottom w:val="single" w:sz="4" w:space="0" w:color="auto"/>
              <w:right w:val="single" w:sz="4" w:space="0" w:color="auto"/>
            </w:tcBorders>
            <w:shd w:val="clear" w:color="auto" w:fill="auto"/>
            <w:noWrap/>
            <w:vAlign w:val="bottom"/>
            <w:hideMark/>
          </w:tcPr>
          <w:p w14:paraId="4973514C"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10.97</w:t>
            </w:r>
          </w:p>
        </w:tc>
        <w:tc>
          <w:tcPr>
            <w:tcW w:w="1100" w:type="dxa"/>
            <w:tcBorders>
              <w:top w:val="nil"/>
              <w:left w:val="nil"/>
              <w:bottom w:val="single" w:sz="4" w:space="0" w:color="auto"/>
              <w:right w:val="single" w:sz="4" w:space="0" w:color="auto"/>
            </w:tcBorders>
            <w:shd w:val="clear" w:color="auto" w:fill="auto"/>
            <w:noWrap/>
            <w:vAlign w:val="bottom"/>
            <w:hideMark/>
          </w:tcPr>
          <w:p w14:paraId="68029DC9"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19.40</w:t>
            </w:r>
          </w:p>
        </w:tc>
        <w:tc>
          <w:tcPr>
            <w:tcW w:w="940" w:type="dxa"/>
            <w:tcBorders>
              <w:top w:val="nil"/>
              <w:left w:val="nil"/>
              <w:bottom w:val="single" w:sz="4" w:space="0" w:color="auto"/>
              <w:right w:val="single" w:sz="4" w:space="0" w:color="auto"/>
            </w:tcBorders>
            <w:shd w:val="clear" w:color="auto" w:fill="auto"/>
            <w:noWrap/>
            <w:vAlign w:val="bottom"/>
            <w:hideMark/>
          </w:tcPr>
          <w:p w14:paraId="476C054E"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8.43</w:t>
            </w:r>
          </w:p>
        </w:tc>
        <w:tc>
          <w:tcPr>
            <w:tcW w:w="940" w:type="dxa"/>
            <w:tcBorders>
              <w:top w:val="nil"/>
              <w:left w:val="nil"/>
              <w:bottom w:val="single" w:sz="4" w:space="0" w:color="auto"/>
              <w:right w:val="single" w:sz="4" w:space="0" w:color="auto"/>
            </w:tcBorders>
            <w:shd w:val="clear" w:color="auto" w:fill="auto"/>
            <w:noWrap/>
            <w:vAlign w:val="bottom"/>
            <w:hideMark/>
          </w:tcPr>
          <w:p w14:paraId="161460A6"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17.7%</w:t>
            </w:r>
          </w:p>
        </w:tc>
        <w:tc>
          <w:tcPr>
            <w:tcW w:w="1120" w:type="dxa"/>
            <w:tcBorders>
              <w:top w:val="nil"/>
              <w:left w:val="nil"/>
              <w:bottom w:val="single" w:sz="4" w:space="0" w:color="auto"/>
              <w:right w:val="single" w:sz="4" w:space="0" w:color="auto"/>
            </w:tcBorders>
            <w:shd w:val="clear" w:color="auto" w:fill="auto"/>
            <w:noWrap/>
            <w:vAlign w:val="bottom"/>
            <w:hideMark/>
          </w:tcPr>
          <w:p w14:paraId="26CC7595"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20.83</w:t>
            </w:r>
          </w:p>
        </w:tc>
        <w:tc>
          <w:tcPr>
            <w:tcW w:w="1340" w:type="dxa"/>
            <w:tcBorders>
              <w:top w:val="nil"/>
              <w:left w:val="nil"/>
              <w:bottom w:val="single" w:sz="4" w:space="0" w:color="auto"/>
              <w:right w:val="single" w:sz="4" w:space="0" w:color="auto"/>
            </w:tcBorders>
            <w:shd w:val="clear" w:color="auto" w:fill="auto"/>
            <w:noWrap/>
            <w:vAlign w:val="bottom"/>
            <w:hideMark/>
          </w:tcPr>
          <w:p w14:paraId="0CC78E3A"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10.62</w:t>
            </w:r>
          </w:p>
        </w:tc>
      </w:tr>
      <w:tr w:rsidR="009A356E" w:rsidRPr="00EF467E" w14:paraId="614D4706" w14:textId="77777777" w:rsidTr="009A356E">
        <w:trPr>
          <w:trHeight w:val="24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F9F435F" w14:textId="77777777" w:rsidR="009A356E" w:rsidRPr="00EF467E" w:rsidRDefault="009A356E" w:rsidP="009A356E">
            <w:pPr>
              <w:rPr>
                <w:rFonts w:ascii="Calibri" w:hAnsi="Calibri"/>
                <w:sz w:val="18"/>
                <w:szCs w:val="18"/>
                <w:lang w:eastAsia="en-AU"/>
              </w:rPr>
            </w:pPr>
            <w:proofErr w:type="spellStart"/>
            <w:r w:rsidRPr="00EF467E">
              <w:rPr>
                <w:rFonts w:ascii="Calibri" w:hAnsi="Calibri"/>
                <w:sz w:val="18"/>
                <w:szCs w:val="18"/>
                <w:lang w:eastAsia="en-AU"/>
              </w:rPr>
              <w:t>Gannawarra</w:t>
            </w:r>
            <w:proofErr w:type="spellEnd"/>
          </w:p>
        </w:tc>
        <w:tc>
          <w:tcPr>
            <w:tcW w:w="1000" w:type="dxa"/>
            <w:tcBorders>
              <w:top w:val="nil"/>
              <w:left w:val="nil"/>
              <w:bottom w:val="single" w:sz="4" w:space="0" w:color="auto"/>
              <w:right w:val="single" w:sz="4" w:space="0" w:color="auto"/>
            </w:tcBorders>
            <w:shd w:val="clear" w:color="auto" w:fill="auto"/>
            <w:noWrap/>
            <w:vAlign w:val="bottom"/>
            <w:hideMark/>
          </w:tcPr>
          <w:p w14:paraId="4BE87DD6"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10.99</w:t>
            </w:r>
          </w:p>
        </w:tc>
        <w:tc>
          <w:tcPr>
            <w:tcW w:w="1100" w:type="dxa"/>
            <w:tcBorders>
              <w:top w:val="nil"/>
              <w:left w:val="nil"/>
              <w:bottom w:val="single" w:sz="4" w:space="0" w:color="auto"/>
              <w:right w:val="single" w:sz="4" w:space="0" w:color="auto"/>
            </w:tcBorders>
            <w:shd w:val="clear" w:color="auto" w:fill="auto"/>
            <w:noWrap/>
            <w:vAlign w:val="bottom"/>
            <w:hideMark/>
          </w:tcPr>
          <w:p w14:paraId="31304AFE"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1.45</w:t>
            </w:r>
          </w:p>
        </w:tc>
        <w:tc>
          <w:tcPr>
            <w:tcW w:w="1100" w:type="dxa"/>
            <w:tcBorders>
              <w:top w:val="nil"/>
              <w:left w:val="nil"/>
              <w:bottom w:val="single" w:sz="4" w:space="0" w:color="auto"/>
              <w:right w:val="single" w:sz="4" w:space="0" w:color="auto"/>
            </w:tcBorders>
            <w:shd w:val="clear" w:color="auto" w:fill="auto"/>
            <w:noWrap/>
            <w:vAlign w:val="bottom"/>
            <w:hideMark/>
          </w:tcPr>
          <w:p w14:paraId="24B9BA5B"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0.44</w:t>
            </w:r>
          </w:p>
        </w:tc>
        <w:tc>
          <w:tcPr>
            <w:tcW w:w="940" w:type="dxa"/>
            <w:tcBorders>
              <w:top w:val="nil"/>
              <w:left w:val="nil"/>
              <w:bottom w:val="single" w:sz="4" w:space="0" w:color="auto"/>
              <w:right w:val="single" w:sz="4" w:space="0" w:color="auto"/>
            </w:tcBorders>
            <w:shd w:val="clear" w:color="auto" w:fill="auto"/>
            <w:noWrap/>
            <w:vAlign w:val="bottom"/>
            <w:hideMark/>
          </w:tcPr>
          <w:p w14:paraId="042F04DC"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w:t>
            </w:r>
          </w:p>
        </w:tc>
        <w:tc>
          <w:tcPr>
            <w:tcW w:w="940" w:type="dxa"/>
            <w:tcBorders>
              <w:top w:val="nil"/>
              <w:left w:val="nil"/>
              <w:bottom w:val="single" w:sz="4" w:space="0" w:color="auto"/>
              <w:right w:val="single" w:sz="4" w:space="0" w:color="auto"/>
            </w:tcBorders>
            <w:shd w:val="clear" w:color="auto" w:fill="auto"/>
            <w:noWrap/>
            <w:vAlign w:val="bottom"/>
            <w:hideMark/>
          </w:tcPr>
          <w:p w14:paraId="1ADA308F"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0.0%</w:t>
            </w:r>
          </w:p>
        </w:tc>
        <w:tc>
          <w:tcPr>
            <w:tcW w:w="1120" w:type="dxa"/>
            <w:tcBorders>
              <w:top w:val="nil"/>
              <w:left w:val="nil"/>
              <w:bottom w:val="single" w:sz="4" w:space="0" w:color="auto"/>
              <w:right w:val="single" w:sz="4" w:space="0" w:color="auto"/>
            </w:tcBorders>
            <w:shd w:val="clear" w:color="auto" w:fill="auto"/>
            <w:noWrap/>
            <w:vAlign w:val="bottom"/>
            <w:hideMark/>
          </w:tcPr>
          <w:p w14:paraId="3F85A01C"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1.88</w:t>
            </w:r>
          </w:p>
        </w:tc>
        <w:tc>
          <w:tcPr>
            <w:tcW w:w="1340" w:type="dxa"/>
            <w:tcBorders>
              <w:top w:val="nil"/>
              <w:left w:val="nil"/>
              <w:bottom w:val="single" w:sz="4" w:space="0" w:color="auto"/>
              <w:right w:val="single" w:sz="4" w:space="0" w:color="auto"/>
            </w:tcBorders>
            <w:shd w:val="clear" w:color="auto" w:fill="auto"/>
            <w:noWrap/>
            <w:vAlign w:val="bottom"/>
            <w:hideMark/>
          </w:tcPr>
          <w:p w14:paraId="045C3AED"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0.54</w:t>
            </w:r>
          </w:p>
        </w:tc>
      </w:tr>
      <w:tr w:rsidR="009A356E" w:rsidRPr="00EF467E" w14:paraId="5EFF2F19" w14:textId="77777777" w:rsidTr="009A356E">
        <w:trPr>
          <w:trHeight w:val="24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CAAA278" w14:textId="77777777" w:rsidR="009A356E" w:rsidRPr="00EF467E" w:rsidRDefault="009A356E" w:rsidP="009A356E">
            <w:pPr>
              <w:rPr>
                <w:rFonts w:ascii="Calibri" w:hAnsi="Calibri"/>
                <w:sz w:val="18"/>
                <w:szCs w:val="18"/>
                <w:lang w:eastAsia="en-AU"/>
              </w:rPr>
            </w:pPr>
            <w:r w:rsidRPr="00EF467E">
              <w:rPr>
                <w:rFonts w:ascii="Calibri" w:hAnsi="Calibri"/>
                <w:sz w:val="18"/>
                <w:szCs w:val="18"/>
                <w:lang w:eastAsia="en-AU"/>
              </w:rPr>
              <w:t>Golden Plains</w:t>
            </w:r>
          </w:p>
        </w:tc>
        <w:tc>
          <w:tcPr>
            <w:tcW w:w="1000" w:type="dxa"/>
            <w:tcBorders>
              <w:top w:val="nil"/>
              <w:left w:val="nil"/>
              <w:bottom w:val="single" w:sz="4" w:space="0" w:color="auto"/>
              <w:right w:val="single" w:sz="4" w:space="0" w:color="auto"/>
            </w:tcBorders>
            <w:shd w:val="clear" w:color="auto" w:fill="auto"/>
            <w:noWrap/>
            <w:vAlign w:val="bottom"/>
            <w:hideMark/>
          </w:tcPr>
          <w:p w14:paraId="6927C802"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18.28</w:t>
            </w:r>
          </w:p>
        </w:tc>
        <w:tc>
          <w:tcPr>
            <w:tcW w:w="1100" w:type="dxa"/>
            <w:tcBorders>
              <w:top w:val="nil"/>
              <w:left w:val="nil"/>
              <w:bottom w:val="single" w:sz="4" w:space="0" w:color="auto"/>
              <w:right w:val="single" w:sz="4" w:space="0" w:color="auto"/>
            </w:tcBorders>
            <w:shd w:val="clear" w:color="auto" w:fill="auto"/>
            <w:noWrap/>
            <w:vAlign w:val="bottom"/>
            <w:hideMark/>
          </w:tcPr>
          <w:p w14:paraId="3630DCA7"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0.86</w:t>
            </w:r>
          </w:p>
        </w:tc>
        <w:tc>
          <w:tcPr>
            <w:tcW w:w="1100" w:type="dxa"/>
            <w:tcBorders>
              <w:top w:val="nil"/>
              <w:left w:val="nil"/>
              <w:bottom w:val="single" w:sz="4" w:space="0" w:color="auto"/>
              <w:right w:val="single" w:sz="4" w:space="0" w:color="auto"/>
            </w:tcBorders>
            <w:shd w:val="clear" w:color="auto" w:fill="auto"/>
            <w:noWrap/>
            <w:vAlign w:val="bottom"/>
            <w:hideMark/>
          </w:tcPr>
          <w:p w14:paraId="0B8DCA0A"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0.81</w:t>
            </w:r>
          </w:p>
        </w:tc>
        <w:tc>
          <w:tcPr>
            <w:tcW w:w="940" w:type="dxa"/>
            <w:tcBorders>
              <w:top w:val="nil"/>
              <w:left w:val="nil"/>
              <w:bottom w:val="single" w:sz="4" w:space="0" w:color="auto"/>
              <w:right w:val="single" w:sz="4" w:space="0" w:color="auto"/>
            </w:tcBorders>
            <w:shd w:val="clear" w:color="auto" w:fill="auto"/>
            <w:noWrap/>
            <w:vAlign w:val="bottom"/>
            <w:hideMark/>
          </w:tcPr>
          <w:p w14:paraId="598C8D2A"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w:t>
            </w:r>
          </w:p>
        </w:tc>
        <w:tc>
          <w:tcPr>
            <w:tcW w:w="940" w:type="dxa"/>
            <w:tcBorders>
              <w:top w:val="nil"/>
              <w:left w:val="nil"/>
              <w:bottom w:val="single" w:sz="4" w:space="0" w:color="auto"/>
              <w:right w:val="single" w:sz="4" w:space="0" w:color="auto"/>
            </w:tcBorders>
            <w:shd w:val="clear" w:color="auto" w:fill="auto"/>
            <w:noWrap/>
            <w:vAlign w:val="bottom"/>
            <w:hideMark/>
          </w:tcPr>
          <w:p w14:paraId="0010728E"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0.0%</w:t>
            </w:r>
          </w:p>
        </w:tc>
        <w:tc>
          <w:tcPr>
            <w:tcW w:w="1120" w:type="dxa"/>
            <w:tcBorders>
              <w:top w:val="nil"/>
              <w:left w:val="nil"/>
              <w:bottom w:val="single" w:sz="4" w:space="0" w:color="auto"/>
              <w:right w:val="single" w:sz="4" w:space="0" w:color="auto"/>
            </w:tcBorders>
            <w:shd w:val="clear" w:color="auto" w:fill="auto"/>
            <w:noWrap/>
            <w:vAlign w:val="bottom"/>
            <w:hideMark/>
          </w:tcPr>
          <w:p w14:paraId="12077373"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1.50</w:t>
            </w:r>
          </w:p>
        </w:tc>
        <w:tc>
          <w:tcPr>
            <w:tcW w:w="1340" w:type="dxa"/>
            <w:tcBorders>
              <w:top w:val="nil"/>
              <w:left w:val="nil"/>
              <w:bottom w:val="single" w:sz="4" w:space="0" w:color="auto"/>
              <w:right w:val="single" w:sz="4" w:space="0" w:color="auto"/>
            </w:tcBorders>
            <w:shd w:val="clear" w:color="auto" w:fill="auto"/>
            <w:noWrap/>
            <w:vAlign w:val="bottom"/>
            <w:hideMark/>
          </w:tcPr>
          <w:p w14:paraId="42E4CFA8"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1.00</w:t>
            </w:r>
          </w:p>
        </w:tc>
      </w:tr>
      <w:tr w:rsidR="009A356E" w:rsidRPr="00EF467E" w14:paraId="6591F6AD" w14:textId="77777777" w:rsidTr="009A356E">
        <w:trPr>
          <w:trHeight w:val="24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7EBEBC40" w14:textId="77777777" w:rsidR="009A356E" w:rsidRPr="00EF467E" w:rsidRDefault="009A356E" w:rsidP="009A356E">
            <w:pPr>
              <w:rPr>
                <w:rFonts w:ascii="Calibri" w:hAnsi="Calibri"/>
                <w:sz w:val="18"/>
                <w:szCs w:val="18"/>
                <w:lang w:eastAsia="en-AU"/>
              </w:rPr>
            </w:pPr>
            <w:r w:rsidRPr="00EF467E">
              <w:rPr>
                <w:rFonts w:ascii="Calibri" w:hAnsi="Calibri"/>
                <w:sz w:val="18"/>
                <w:szCs w:val="18"/>
                <w:lang w:eastAsia="en-AU"/>
              </w:rPr>
              <w:t>Greater Bendigo</w:t>
            </w:r>
          </w:p>
        </w:tc>
        <w:tc>
          <w:tcPr>
            <w:tcW w:w="1000" w:type="dxa"/>
            <w:tcBorders>
              <w:top w:val="nil"/>
              <w:left w:val="nil"/>
              <w:bottom w:val="single" w:sz="4" w:space="0" w:color="auto"/>
              <w:right w:val="single" w:sz="4" w:space="0" w:color="auto"/>
            </w:tcBorders>
            <w:shd w:val="clear" w:color="auto" w:fill="auto"/>
            <w:noWrap/>
            <w:vAlign w:val="bottom"/>
            <w:hideMark/>
          </w:tcPr>
          <w:p w14:paraId="7648F236"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93.76</w:t>
            </w:r>
          </w:p>
        </w:tc>
        <w:tc>
          <w:tcPr>
            <w:tcW w:w="1100" w:type="dxa"/>
            <w:tcBorders>
              <w:top w:val="nil"/>
              <w:left w:val="nil"/>
              <w:bottom w:val="single" w:sz="4" w:space="0" w:color="auto"/>
              <w:right w:val="single" w:sz="4" w:space="0" w:color="auto"/>
            </w:tcBorders>
            <w:shd w:val="clear" w:color="auto" w:fill="auto"/>
            <w:noWrap/>
            <w:vAlign w:val="bottom"/>
            <w:hideMark/>
          </w:tcPr>
          <w:p w14:paraId="6780F155"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9.94</w:t>
            </w:r>
          </w:p>
        </w:tc>
        <w:tc>
          <w:tcPr>
            <w:tcW w:w="1100" w:type="dxa"/>
            <w:tcBorders>
              <w:top w:val="nil"/>
              <w:left w:val="nil"/>
              <w:bottom w:val="single" w:sz="4" w:space="0" w:color="auto"/>
              <w:right w:val="single" w:sz="4" w:space="0" w:color="auto"/>
            </w:tcBorders>
            <w:shd w:val="clear" w:color="auto" w:fill="auto"/>
            <w:noWrap/>
            <w:vAlign w:val="bottom"/>
            <w:hideMark/>
          </w:tcPr>
          <w:p w14:paraId="58B7437D"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14.41</w:t>
            </w:r>
          </w:p>
        </w:tc>
        <w:tc>
          <w:tcPr>
            <w:tcW w:w="940" w:type="dxa"/>
            <w:tcBorders>
              <w:top w:val="nil"/>
              <w:left w:val="nil"/>
              <w:bottom w:val="single" w:sz="4" w:space="0" w:color="auto"/>
              <w:right w:val="single" w:sz="4" w:space="0" w:color="auto"/>
            </w:tcBorders>
            <w:shd w:val="clear" w:color="auto" w:fill="auto"/>
            <w:noWrap/>
            <w:vAlign w:val="bottom"/>
            <w:hideMark/>
          </w:tcPr>
          <w:p w14:paraId="09A4E4AF"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4.47</w:t>
            </w:r>
          </w:p>
        </w:tc>
        <w:tc>
          <w:tcPr>
            <w:tcW w:w="940" w:type="dxa"/>
            <w:tcBorders>
              <w:top w:val="nil"/>
              <w:left w:val="nil"/>
              <w:bottom w:val="single" w:sz="4" w:space="0" w:color="auto"/>
              <w:right w:val="single" w:sz="4" w:space="0" w:color="auto"/>
            </w:tcBorders>
            <w:shd w:val="clear" w:color="auto" w:fill="auto"/>
            <w:noWrap/>
            <w:vAlign w:val="bottom"/>
            <w:hideMark/>
          </w:tcPr>
          <w:p w14:paraId="15E5D1FD"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4.8%</w:t>
            </w:r>
          </w:p>
        </w:tc>
        <w:tc>
          <w:tcPr>
            <w:tcW w:w="1120" w:type="dxa"/>
            <w:tcBorders>
              <w:top w:val="nil"/>
              <w:left w:val="nil"/>
              <w:bottom w:val="single" w:sz="4" w:space="0" w:color="auto"/>
              <w:right w:val="single" w:sz="4" w:space="0" w:color="auto"/>
            </w:tcBorders>
            <w:shd w:val="clear" w:color="auto" w:fill="auto"/>
            <w:noWrap/>
            <w:vAlign w:val="bottom"/>
            <w:hideMark/>
          </w:tcPr>
          <w:p w14:paraId="2CB5842B"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17.45</w:t>
            </w:r>
          </w:p>
        </w:tc>
        <w:tc>
          <w:tcPr>
            <w:tcW w:w="1340" w:type="dxa"/>
            <w:tcBorders>
              <w:top w:val="nil"/>
              <w:left w:val="nil"/>
              <w:bottom w:val="single" w:sz="4" w:space="0" w:color="auto"/>
              <w:right w:val="single" w:sz="4" w:space="0" w:color="auto"/>
            </w:tcBorders>
            <w:shd w:val="clear" w:color="auto" w:fill="auto"/>
            <w:noWrap/>
            <w:vAlign w:val="bottom"/>
            <w:hideMark/>
          </w:tcPr>
          <w:p w14:paraId="4A9C345F"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10.24</w:t>
            </w:r>
          </w:p>
        </w:tc>
      </w:tr>
      <w:tr w:rsidR="009A356E" w:rsidRPr="00EF467E" w14:paraId="28A32F9B" w14:textId="77777777" w:rsidTr="009A356E">
        <w:trPr>
          <w:trHeight w:val="24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2BB146B5" w14:textId="77777777" w:rsidR="009A356E" w:rsidRPr="00EF467E" w:rsidRDefault="009A356E" w:rsidP="009A356E">
            <w:pPr>
              <w:rPr>
                <w:rFonts w:ascii="Calibri" w:hAnsi="Calibri"/>
                <w:sz w:val="18"/>
                <w:szCs w:val="18"/>
                <w:lang w:eastAsia="en-AU"/>
              </w:rPr>
            </w:pPr>
            <w:r w:rsidRPr="00EF467E">
              <w:rPr>
                <w:rFonts w:ascii="Calibri" w:hAnsi="Calibri"/>
                <w:sz w:val="18"/>
                <w:szCs w:val="18"/>
                <w:lang w:eastAsia="en-AU"/>
              </w:rPr>
              <w:t>Greater Geelong</w:t>
            </w:r>
          </w:p>
        </w:tc>
        <w:tc>
          <w:tcPr>
            <w:tcW w:w="1000" w:type="dxa"/>
            <w:tcBorders>
              <w:top w:val="nil"/>
              <w:left w:val="nil"/>
              <w:bottom w:val="single" w:sz="4" w:space="0" w:color="auto"/>
              <w:right w:val="single" w:sz="4" w:space="0" w:color="auto"/>
            </w:tcBorders>
            <w:shd w:val="clear" w:color="auto" w:fill="auto"/>
            <w:noWrap/>
            <w:vAlign w:val="bottom"/>
            <w:hideMark/>
          </w:tcPr>
          <w:p w14:paraId="4AF24AE5"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181.90</w:t>
            </w:r>
          </w:p>
        </w:tc>
        <w:tc>
          <w:tcPr>
            <w:tcW w:w="1100" w:type="dxa"/>
            <w:tcBorders>
              <w:top w:val="nil"/>
              <w:left w:val="nil"/>
              <w:bottom w:val="single" w:sz="4" w:space="0" w:color="auto"/>
              <w:right w:val="single" w:sz="4" w:space="0" w:color="auto"/>
            </w:tcBorders>
            <w:shd w:val="clear" w:color="auto" w:fill="auto"/>
            <w:noWrap/>
            <w:vAlign w:val="bottom"/>
            <w:hideMark/>
          </w:tcPr>
          <w:p w14:paraId="4C30156C"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14.64</w:t>
            </w:r>
          </w:p>
        </w:tc>
        <w:tc>
          <w:tcPr>
            <w:tcW w:w="1100" w:type="dxa"/>
            <w:tcBorders>
              <w:top w:val="nil"/>
              <w:left w:val="nil"/>
              <w:bottom w:val="single" w:sz="4" w:space="0" w:color="auto"/>
              <w:right w:val="single" w:sz="4" w:space="0" w:color="auto"/>
            </w:tcBorders>
            <w:shd w:val="clear" w:color="auto" w:fill="auto"/>
            <w:noWrap/>
            <w:vAlign w:val="bottom"/>
            <w:hideMark/>
          </w:tcPr>
          <w:p w14:paraId="6BB2AF17"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28.45</w:t>
            </w:r>
          </w:p>
        </w:tc>
        <w:tc>
          <w:tcPr>
            <w:tcW w:w="940" w:type="dxa"/>
            <w:tcBorders>
              <w:top w:val="nil"/>
              <w:left w:val="nil"/>
              <w:bottom w:val="single" w:sz="4" w:space="0" w:color="auto"/>
              <w:right w:val="single" w:sz="4" w:space="0" w:color="auto"/>
            </w:tcBorders>
            <w:shd w:val="clear" w:color="auto" w:fill="auto"/>
            <w:noWrap/>
            <w:vAlign w:val="bottom"/>
            <w:hideMark/>
          </w:tcPr>
          <w:p w14:paraId="40F403E9"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13.81</w:t>
            </w:r>
          </w:p>
        </w:tc>
        <w:tc>
          <w:tcPr>
            <w:tcW w:w="940" w:type="dxa"/>
            <w:tcBorders>
              <w:top w:val="nil"/>
              <w:left w:val="nil"/>
              <w:bottom w:val="single" w:sz="4" w:space="0" w:color="auto"/>
              <w:right w:val="single" w:sz="4" w:space="0" w:color="auto"/>
            </w:tcBorders>
            <w:shd w:val="clear" w:color="auto" w:fill="auto"/>
            <w:noWrap/>
            <w:vAlign w:val="bottom"/>
            <w:hideMark/>
          </w:tcPr>
          <w:p w14:paraId="6C46D38A"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7.6%</w:t>
            </w:r>
          </w:p>
        </w:tc>
        <w:tc>
          <w:tcPr>
            <w:tcW w:w="1120" w:type="dxa"/>
            <w:tcBorders>
              <w:top w:val="nil"/>
              <w:left w:val="nil"/>
              <w:bottom w:val="single" w:sz="4" w:space="0" w:color="auto"/>
              <w:right w:val="single" w:sz="4" w:space="0" w:color="auto"/>
            </w:tcBorders>
            <w:shd w:val="clear" w:color="auto" w:fill="auto"/>
            <w:noWrap/>
            <w:vAlign w:val="bottom"/>
            <w:hideMark/>
          </w:tcPr>
          <w:p w14:paraId="742E436D"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12.16</w:t>
            </w:r>
          </w:p>
        </w:tc>
        <w:tc>
          <w:tcPr>
            <w:tcW w:w="1340" w:type="dxa"/>
            <w:tcBorders>
              <w:top w:val="nil"/>
              <w:left w:val="nil"/>
              <w:bottom w:val="single" w:sz="4" w:space="0" w:color="auto"/>
              <w:right w:val="single" w:sz="4" w:space="0" w:color="auto"/>
            </w:tcBorders>
            <w:shd w:val="clear" w:color="auto" w:fill="auto"/>
            <w:noWrap/>
            <w:vAlign w:val="bottom"/>
            <w:hideMark/>
          </w:tcPr>
          <w:p w14:paraId="2DDD94D3"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19.87</w:t>
            </w:r>
          </w:p>
        </w:tc>
      </w:tr>
      <w:tr w:rsidR="009A356E" w:rsidRPr="00EF467E" w14:paraId="5FFA4C6D" w14:textId="77777777" w:rsidTr="009A356E">
        <w:trPr>
          <w:trHeight w:val="24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176615B1" w14:textId="77777777" w:rsidR="009A356E" w:rsidRPr="00EF467E" w:rsidRDefault="009A356E" w:rsidP="009A356E">
            <w:pPr>
              <w:rPr>
                <w:rFonts w:ascii="Calibri" w:hAnsi="Calibri"/>
                <w:sz w:val="18"/>
                <w:szCs w:val="18"/>
                <w:lang w:eastAsia="en-AU"/>
              </w:rPr>
            </w:pPr>
            <w:r w:rsidRPr="00EF467E">
              <w:rPr>
                <w:rFonts w:ascii="Calibri" w:hAnsi="Calibri"/>
                <w:sz w:val="18"/>
                <w:szCs w:val="18"/>
                <w:lang w:eastAsia="en-AU"/>
              </w:rPr>
              <w:t>Greater Shepparton</w:t>
            </w:r>
          </w:p>
        </w:tc>
        <w:tc>
          <w:tcPr>
            <w:tcW w:w="1000" w:type="dxa"/>
            <w:tcBorders>
              <w:top w:val="nil"/>
              <w:left w:val="nil"/>
              <w:bottom w:val="single" w:sz="4" w:space="0" w:color="auto"/>
              <w:right w:val="single" w:sz="4" w:space="0" w:color="auto"/>
            </w:tcBorders>
            <w:shd w:val="clear" w:color="auto" w:fill="auto"/>
            <w:noWrap/>
            <w:vAlign w:val="bottom"/>
            <w:hideMark/>
          </w:tcPr>
          <w:p w14:paraId="425AEC9C"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63.78</w:t>
            </w:r>
          </w:p>
        </w:tc>
        <w:tc>
          <w:tcPr>
            <w:tcW w:w="1100" w:type="dxa"/>
            <w:tcBorders>
              <w:top w:val="nil"/>
              <w:left w:val="nil"/>
              <w:bottom w:val="single" w:sz="4" w:space="0" w:color="auto"/>
              <w:right w:val="single" w:sz="4" w:space="0" w:color="auto"/>
            </w:tcBorders>
            <w:shd w:val="clear" w:color="auto" w:fill="auto"/>
            <w:noWrap/>
            <w:vAlign w:val="bottom"/>
            <w:hideMark/>
          </w:tcPr>
          <w:p w14:paraId="3533F730"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12.07</w:t>
            </w:r>
          </w:p>
        </w:tc>
        <w:tc>
          <w:tcPr>
            <w:tcW w:w="1100" w:type="dxa"/>
            <w:tcBorders>
              <w:top w:val="nil"/>
              <w:left w:val="nil"/>
              <w:bottom w:val="single" w:sz="4" w:space="0" w:color="auto"/>
              <w:right w:val="single" w:sz="4" w:space="0" w:color="auto"/>
            </w:tcBorders>
            <w:shd w:val="clear" w:color="auto" w:fill="auto"/>
            <w:noWrap/>
            <w:vAlign w:val="bottom"/>
            <w:hideMark/>
          </w:tcPr>
          <w:p w14:paraId="259EB01A"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17.78</w:t>
            </w:r>
          </w:p>
        </w:tc>
        <w:tc>
          <w:tcPr>
            <w:tcW w:w="940" w:type="dxa"/>
            <w:tcBorders>
              <w:top w:val="nil"/>
              <w:left w:val="nil"/>
              <w:bottom w:val="single" w:sz="4" w:space="0" w:color="auto"/>
              <w:right w:val="single" w:sz="4" w:space="0" w:color="auto"/>
            </w:tcBorders>
            <w:shd w:val="clear" w:color="auto" w:fill="auto"/>
            <w:noWrap/>
            <w:vAlign w:val="bottom"/>
            <w:hideMark/>
          </w:tcPr>
          <w:p w14:paraId="53D689BF"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5.71</w:t>
            </w:r>
          </w:p>
        </w:tc>
        <w:tc>
          <w:tcPr>
            <w:tcW w:w="940" w:type="dxa"/>
            <w:tcBorders>
              <w:top w:val="nil"/>
              <w:left w:val="nil"/>
              <w:bottom w:val="single" w:sz="4" w:space="0" w:color="auto"/>
              <w:right w:val="single" w:sz="4" w:space="0" w:color="auto"/>
            </w:tcBorders>
            <w:shd w:val="clear" w:color="auto" w:fill="auto"/>
            <w:noWrap/>
            <w:vAlign w:val="bottom"/>
            <w:hideMark/>
          </w:tcPr>
          <w:p w14:paraId="686F35FB"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9.0%</w:t>
            </w:r>
          </w:p>
        </w:tc>
        <w:tc>
          <w:tcPr>
            <w:tcW w:w="1120" w:type="dxa"/>
            <w:tcBorders>
              <w:top w:val="nil"/>
              <w:left w:val="nil"/>
              <w:bottom w:val="single" w:sz="4" w:space="0" w:color="auto"/>
              <w:right w:val="single" w:sz="4" w:space="0" w:color="auto"/>
            </w:tcBorders>
            <w:shd w:val="clear" w:color="auto" w:fill="auto"/>
            <w:noWrap/>
            <w:vAlign w:val="bottom"/>
            <w:hideMark/>
          </w:tcPr>
          <w:p w14:paraId="0D76D6F9"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6.94</w:t>
            </w:r>
          </w:p>
        </w:tc>
        <w:tc>
          <w:tcPr>
            <w:tcW w:w="1340" w:type="dxa"/>
            <w:tcBorders>
              <w:top w:val="nil"/>
              <w:left w:val="nil"/>
              <w:bottom w:val="single" w:sz="4" w:space="0" w:color="auto"/>
              <w:right w:val="single" w:sz="4" w:space="0" w:color="auto"/>
            </w:tcBorders>
            <w:shd w:val="clear" w:color="auto" w:fill="auto"/>
            <w:noWrap/>
            <w:vAlign w:val="bottom"/>
            <w:hideMark/>
          </w:tcPr>
          <w:p w14:paraId="2321BA71"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4.05</w:t>
            </w:r>
          </w:p>
        </w:tc>
      </w:tr>
      <w:tr w:rsidR="009A356E" w:rsidRPr="00EF467E" w14:paraId="7F6AEE3F" w14:textId="77777777" w:rsidTr="009A356E">
        <w:trPr>
          <w:trHeight w:val="24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2052E776" w14:textId="77777777" w:rsidR="009A356E" w:rsidRPr="00EF467E" w:rsidRDefault="009A356E" w:rsidP="009A356E">
            <w:pPr>
              <w:rPr>
                <w:rFonts w:ascii="Calibri" w:hAnsi="Calibri"/>
                <w:sz w:val="18"/>
                <w:szCs w:val="18"/>
                <w:lang w:eastAsia="en-AU"/>
              </w:rPr>
            </w:pPr>
            <w:r w:rsidRPr="00EF467E">
              <w:rPr>
                <w:rFonts w:ascii="Calibri" w:hAnsi="Calibri"/>
                <w:sz w:val="18"/>
                <w:szCs w:val="18"/>
                <w:lang w:eastAsia="en-AU"/>
              </w:rPr>
              <w:t>Hindmarsh</w:t>
            </w:r>
          </w:p>
        </w:tc>
        <w:tc>
          <w:tcPr>
            <w:tcW w:w="1000" w:type="dxa"/>
            <w:tcBorders>
              <w:top w:val="nil"/>
              <w:left w:val="nil"/>
              <w:bottom w:val="single" w:sz="4" w:space="0" w:color="auto"/>
              <w:right w:val="single" w:sz="4" w:space="0" w:color="auto"/>
            </w:tcBorders>
            <w:shd w:val="clear" w:color="auto" w:fill="auto"/>
            <w:noWrap/>
            <w:vAlign w:val="bottom"/>
            <w:hideMark/>
          </w:tcPr>
          <w:p w14:paraId="278668FE"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7.28</w:t>
            </w:r>
          </w:p>
        </w:tc>
        <w:tc>
          <w:tcPr>
            <w:tcW w:w="1100" w:type="dxa"/>
            <w:tcBorders>
              <w:top w:val="nil"/>
              <w:left w:val="nil"/>
              <w:bottom w:val="single" w:sz="4" w:space="0" w:color="auto"/>
              <w:right w:val="single" w:sz="4" w:space="0" w:color="auto"/>
            </w:tcBorders>
            <w:shd w:val="clear" w:color="auto" w:fill="auto"/>
            <w:noWrap/>
            <w:vAlign w:val="bottom"/>
            <w:hideMark/>
          </w:tcPr>
          <w:p w14:paraId="6A76AAEB"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3.14</w:t>
            </w:r>
          </w:p>
        </w:tc>
        <w:tc>
          <w:tcPr>
            <w:tcW w:w="1100" w:type="dxa"/>
            <w:tcBorders>
              <w:top w:val="nil"/>
              <w:left w:val="nil"/>
              <w:bottom w:val="single" w:sz="4" w:space="0" w:color="auto"/>
              <w:right w:val="single" w:sz="4" w:space="0" w:color="auto"/>
            </w:tcBorders>
            <w:shd w:val="clear" w:color="auto" w:fill="auto"/>
            <w:noWrap/>
            <w:vAlign w:val="bottom"/>
            <w:hideMark/>
          </w:tcPr>
          <w:p w14:paraId="6587E09F"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3.68</w:t>
            </w:r>
          </w:p>
        </w:tc>
        <w:tc>
          <w:tcPr>
            <w:tcW w:w="940" w:type="dxa"/>
            <w:tcBorders>
              <w:top w:val="nil"/>
              <w:left w:val="nil"/>
              <w:bottom w:val="single" w:sz="4" w:space="0" w:color="auto"/>
              <w:right w:val="single" w:sz="4" w:space="0" w:color="auto"/>
            </w:tcBorders>
            <w:shd w:val="clear" w:color="auto" w:fill="auto"/>
            <w:noWrap/>
            <w:vAlign w:val="bottom"/>
            <w:hideMark/>
          </w:tcPr>
          <w:p w14:paraId="28C11924"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0.54</w:t>
            </w:r>
          </w:p>
        </w:tc>
        <w:tc>
          <w:tcPr>
            <w:tcW w:w="940" w:type="dxa"/>
            <w:tcBorders>
              <w:top w:val="nil"/>
              <w:left w:val="nil"/>
              <w:bottom w:val="single" w:sz="4" w:space="0" w:color="auto"/>
              <w:right w:val="single" w:sz="4" w:space="0" w:color="auto"/>
            </w:tcBorders>
            <w:shd w:val="clear" w:color="auto" w:fill="auto"/>
            <w:noWrap/>
            <w:vAlign w:val="bottom"/>
            <w:hideMark/>
          </w:tcPr>
          <w:p w14:paraId="12EE4AB4"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7.4%</w:t>
            </w:r>
          </w:p>
        </w:tc>
        <w:tc>
          <w:tcPr>
            <w:tcW w:w="1120" w:type="dxa"/>
            <w:tcBorders>
              <w:top w:val="nil"/>
              <w:left w:val="nil"/>
              <w:bottom w:val="single" w:sz="4" w:space="0" w:color="auto"/>
              <w:right w:val="single" w:sz="4" w:space="0" w:color="auto"/>
            </w:tcBorders>
            <w:shd w:val="clear" w:color="auto" w:fill="auto"/>
            <w:noWrap/>
            <w:vAlign w:val="bottom"/>
            <w:hideMark/>
          </w:tcPr>
          <w:p w14:paraId="5AB49FF3"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0.57</w:t>
            </w:r>
          </w:p>
        </w:tc>
        <w:tc>
          <w:tcPr>
            <w:tcW w:w="1340" w:type="dxa"/>
            <w:tcBorders>
              <w:top w:val="nil"/>
              <w:left w:val="nil"/>
              <w:bottom w:val="single" w:sz="4" w:space="0" w:color="auto"/>
              <w:right w:val="single" w:sz="4" w:space="0" w:color="auto"/>
            </w:tcBorders>
            <w:shd w:val="clear" w:color="auto" w:fill="auto"/>
            <w:noWrap/>
            <w:vAlign w:val="bottom"/>
            <w:hideMark/>
          </w:tcPr>
          <w:p w14:paraId="5E690ED5"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0.55</w:t>
            </w:r>
          </w:p>
        </w:tc>
      </w:tr>
      <w:tr w:rsidR="009A356E" w:rsidRPr="00EF467E" w14:paraId="38F17FC6" w14:textId="77777777" w:rsidTr="009A356E">
        <w:trPr>
          <w:trHeight w:val="24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4442E42B" w14:textId="77777777" w:rsidR="009A356E" w:rsidRPr="00EF467E" w:rsidRDefault="009A356E" w:rsidP="009A356E">
            <w:pPr>
              <w:rPr>
                <w:rFonts w:ascii="Calibri" w:hAnsi="Calibri"/>
                <w:sz w:val="18"/>
                <w:szCs w:val="18"/>
                <w:lang w:eastAsia="en-AU"/>
              </w:rPr>
            </w:pPr>
            <w:r w:rsidRPr="00EF467E">
              <w:rPr>
                <w:rFonts w:ascii="Calibri" w:hAnsi="Calibri"/>
                <w:sz w:val="18"/>
                <w:szCs w:val="18"/>
                <w:lang w:eastAsia="en-AU"/>
              </w:rPr>
              <w:t>Horsham</w:t>
            </w:r>
          </w:p>
        </w:tc>
        <w:tc>
          <w:tcPr>
            <w:tcW w:w="1000" w:type="dxa"/>
            <w:tcBorders>
              <w:top w:val="nil"/>
              <w:left w:val="nil"/>
              <w:bottom w:val="single" w:sz="4" w:space="0" w:color="auto"/>
              <w:right w:val="single" w:sz="4" w:space="0" w:color="auto"/>
            </w:tcBorders>
            <w:shd w:val="clear" w:color="auto" w:fill="auto"/>
            <w:noWrap/>
            <w:vAlign w:val="bottom"/>
            <w:hideMark/>
          </w:tcPr>
          <w:p w14:paraId="55381412"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22.31</w:t>
            </w:r>
          </w:p>
        </w:tc>
        <w:tc>
          <w:tcPr>
            <w:tcW w:w="1100" w:type="dxa"/>
            <w:tcBorders>
              <w:top w:val="nil"/>
              <w:left w:val="nil"/>
              <w:bottom w:val="single" w:sz="4" w:space="0" w:color="auto"/>
              <w:right w:val="single" w:sz="4" w:space="0" w:color="auto"/>
            </w:tcBorders>
            <w:shd w:val="clear" w:color="auto" w:fill="auto"/>
            <w:noWrap/>
            <w:vAlign w:val="bottom"/>
            <w:hideMark/>
          </w:tcPr>
          <w:p w14:paraId="6366D732"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7.56</w:t>
            </w:r>
          </w:p>
        </w:tc>
        <w:tc>
          <w:tcPr>
            <w:tcW w:w="1100" w:type="dxa"/>
            <w:tcBorders>
              <w:top w:val="nil"/>
              <w:left w:val="nil"/>
              <w:bottom w:val="single" w:sz="4" w:space="0" w:color="auto"/>
              <w:right w:val="single" w:sz="4" w:space="0" w:color="auto"/>
            </w:tcBorders>
            <w:shd w:val="clear" w:color="auto" w:fill="auto"/>
            <w:noWrap/>
            <w:vAlign w:val="bottom"/>
            <w:hideMark/>
          </w:tcPr>
          <w:p w14:paraId="7B5A7F23"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8.10</w:t>
            </w:r>
          </w:p>
        </w:tc>
        <w:tc>
          <w:tcPr>
            <w:tcW w:w="940" w:type="dxa"/>
            <w:tcBorders>
              <w:top w:val="nil"/>
              <w:left w:val="nil"/>
              <w:bottom w:val="single" w:sz="4" w:space="0" w:color="auto"/>
              <w:right w:val="single" w:sz="4" w:space="0" w:color="auto"/>
            </w:tcBorders>
            <w:shd w:val="clear" w:color="auto" w:fill="auto"/>
            <w:noWrap/>
            <w:vAlign w:val="bottom"/>
            <w:hideMark/>
          </w:tcPr>
          <w:p w14:paraId="59CC6A15"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0.54</w:t>
            </w:r>
          </w:p>
        </w:tc>
        <w:tc>
          <w:tcPr>
            <w:tcW w:w="940" w:type="dxa"/>
            <w:tcBorders>
              <w:top w:val="nil"/>
              <w:left w:val="nil"/>
              <w:bottom w:val="single" w:sz="4" w:space="0" w:color="auto"/>
              <w:right w:val="single" w:sz="4" w:space="0" w:color="auto"/>
            </w:tcBorders>
            <w:shd w:val="clear" w:color="auto" w:fill="auto"/>
            <w:noWrap/>
            <w:vAlign w:val="bottom"/>
            <w:hideMark/>
          </w:tcPr>
          <w:p w14:paraId="120E97F3"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2.4%</w:t>
            </w:r>
          </w:p>
        </w:tc>
        <w:tc>
          <w:tcPr>
            <w:tcW w:w="1120" w:type="dxa"/>
            <w:tcBorders>
              <w:top w:val="nil"/>
              <w:left w:val="nil"/>
              <w:bottom w:val="single" w:sz="4" w:space="0" w:color="auto"/>
              <w:right w:val="single" w:sz="4" w:space="0" w:color="auto"/>
            </w:tcBorders>
            <w:shd w:val="clear" w:color="auto" w:fill="auto"/>
            <w:noWrap/>
            <w:vAlign w:val="bottom"/>
            <w:hideMark/>
          </w:tcPr>
          <w:p w14:paraId="54E80378"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1.21</w:t>
            </w:r>
          </w:p>
        </w:tc>
        <w:tc>
          <w:tcPr>
            <w:tcW w:w="1340" w:type="dxa"/>
            <w:tcBorders>
              <w:top w:val="nil"/>
              <w:left w:val="nil"/>
              <w:bottom w:val="single" w:sz="4" w:space="0" w:color="auto"/>
              <w:right w:val="single" w:sz="4" w:space="0" w:color="auto"/>
            </w:tcBorders>
            <w:shd w:val="clear" w:color="auto" w:fill="auto"/>
            <w:noWrap/>
            <w:vAlign w:val="bottom"/>
            <w:hideMark/>
          </w:tcPr>
          <w:p w14:paraId="63D9E34A"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1.20</w:t>
            </w:r>
          </w:p>
        </w:tc>
      </w:tr>
      <w:tr w:rsidR="009A356E" w:rsidRPr="00EF467E" w14:paraId="38E2369E" w14:textId="77777777" w:rsidTr="009A356E">
        <w:trPr>
          <w:trHeight w:val="24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23BFAC5E" w14:textId="77777777" w:rsidR="009A356E" w:rsidRPr="00EF467E" w:rsidRDefault="009A356E" w:rsidP="009A356E">
            <w:pPr>
              <w:rPr>
                <w:rFonts w:ascii="Calibri" w:hAnsi="Calibri"/>
                <w:sz w:val="18"/>
                <w:szCs w:val="18"/>
                <w:lang w:eastAsia="en-AU"/>
              </w:rPr>
            </w:pPr>
            <w:r w:rsidRPr="00EF467E">
              <w:rPr>
                <w:rFonts w:ascii="Calibri" w:hAnsi="Calibri"/>
                <w:sz w:val="18"/>
                <w:szCs w:val="18"/>
                <w:lang w:eastAsia="en-AU"/>
              </w:rPr>
              <w:t>Indigo</w:t>
            </w:r>
          </w:p>
        </w:tc>
        <w:tc>
          <w:tcPr>
            <w:tcW w:w="1000" w:type="dxa"/>
            <w:tcBorders>
              <w:top w:val="nil"/>
              <w:left w:val="nil"/>
              <w:bottom w:val="single" w:sz="4" w:space="0" w:color="auto"/>
              <w:right w:val="single" w:sz="4" w:space="0" w:color="auto"/>
            </w:tcBorders>
            <w:shd w:val="clear" w:color="auto" w:fill="auto"/>
            <w:noWrap/>
            <w:vAlign w:val="bottom"/>
            <w:hideMark/>
          </w:tcPr>
          <w:p w14:paraId="0B445909"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13.81</w:t>
            </w:r>
          </w:p>
        </w:tc>
        <w:tc>
          <w:tcPr>
            <w:tcW w:w="1100" w:type="dxa"/>
            <w:tcBorders>
              <w:top w:val="nil"/>
              <w:left w:val="nil"/>
              <w:bottom w:val="single" w:sz="4" w:space="0" w:color="auto"/>
              <w:right w:val="single" w:sz="4" w:space="0" w:color="auto"/>
            </w:tcBorders>
            <w:shd w:val="clear" w:color="auto" w:fill="auto"/>
            <w:noWrap/>
            <w:vAlign w:val="bottom"/>
            <w:hideMark/>
          </w:tcPr>
          <w:p w14:paraId="58185B4D"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4.01</w:t>
            </w:r>
          </w:p>
        </w:tc>
        <w:tc>
          <w:tcPr>
            <w:tcW w:w="1100" w:type="dxa"/>
            <w:tcBorders>
              <w:top w:val="nil"/>
              <w:left w:val="nil"/>
              <w:bottom w:val="single" w:sz="4" w:space="0" w:color="auto"/>
              <w:right w:val="single" w:sz="4" w:space="0" w:color="auto"/>
            </w:tcBorders>
            <w:shd w:val="clear" w:color="auto" w:fill="auto"/>
            <w:noWrap/>
            <w:vAlign w:val="bottom"/>
            <w:hideMark/>
          </w:tcPr>
          <w:p w14:paraId="3973792E"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3.84</w:t>
            </w:r>
          </w:p>
        </w:tc>
        <w:tc>
          <w:tcPr>
            <w:tcW w:w="940" w:type="dxa"/>
            <w:tcBorders>
              <w:top w:val="nil"/>
              <w:left w:val="nil"/>
              <w:bottom w:val="single" w:sz="4" w:space="0" w:color="auto"/>
              <w:right w:val="single" w:sz="4" w:space="0" w:color="auto"/>
            </w:tcBorders>
            <w:shd w:val="clear" w:color="auto" w:fill="auto"/>
            <w:noWrap/>
            <w:vAlign w:val="bottom"/>
            <w:hideMark/>
          </w:tcPr>
          <w:p w14:paraId="1DFCBC3E"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w:t>
            </w:r>
          </w:p>
        </w:tc>
        <w:tc>
          <w:tcPr>
            <w:tcW w:w="940" w:type="dxa"/>
            <w:tcBorders>
              <w:top w:val="nil"/>
              <w:left w:val="nil"/>
              <w:bottom w:val="single" w:sz="4" w:space="0" w:color="auto"/>
              <w:right w:val="single" w:sz="4" w:space="0" w:color="auto"/>
            </w:tcBorders>
            <w:shd w:val="clear" w:color="auto" w:fill="auto"/>
            <w:noWrap/>
            <w:vAlign w:val="bottom"/>
            <w:hideMark/>
          </w:tcPr>
          <w:p w14:paraId="03CE6AE6"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0.0%</w:t>
            </w:r>
          </w:p>
        </w:tc>
        <w:tc>
          <w:tcPr>
            <w:tcW w:w="1120" w:type="dxa"/>
            <w:tcBorders>
              <w:top w:val="nil"/>
              <w:left w:val="nil"/>
              <w:bottom w:val="single" w:sz="4" w:space="0" w:color="auto"/>
              <w:right w:val="single" w:sz="4" w:space="0" w:color="auto"/>
            </w:tcBorders>
            <w:shd w:val="clear" w:color="auto" w:fill="auto"/>
            <w:noWrap/>
            <w:vAlign w:val="bottom"/>
            <w:hideMark/>
          </w:tcPr>
          <w:p w14:paraId="20E79AE6"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0.79</w:t>
            </w:r>
          </w:p>
        </w:tc>
        <w:tc>
          <w:tcPr>
            <w:tcW w:w="1340" w:type="dxa"/>
            <w:tcBorders>
              <w:top w:val="nil"/>
              <w:left w:val="nil"/>
              <w:bottom w:val="single" w:sz="4" w:space="0" w:color="auto"/>
              <w:right w:val="single" w:sz="4" w:space="0" w:color="auto"/>
            </w:tcBorders>
            <w:shd w:val="clear" w:color="auto" w:fill="auto"/>
            <w:noWrap/>
            <w:vAlign w:val="bottom"/>
            <w:hideMark/>
          </w:tcPr>
          <w:p w14:paraId="702E3CDF"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1.91</w:t>
            </w:r>
          </w:p>
        </w:tc>
      </w:tr>
      <w:tr w:rsidR="009A356E" w:rsidRPr="00EF467E" w14:paraId="467A5465" w14:textId="77777777" w:rsidTr="009A356E">
        <w:trPr>
          <w:trHeight w:val="24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9560BC3" w14:textId="77777777" w:rsidR="009A356E" w:rsidRPr="00EF467E" w:rsidRDefault="009A356E" w:rsidP="009A356E">
            <w:pPr>
              <w:rPr>
                <w:rFonts w:ascii="Calibri" w:hAnsi="Calibri"/>
                <w:sz w:val="18"/>
                <w:szCs w:val="18"/>
                <w:lang w:eastAsia="en-AU"/>
              </w:rPr>
            </w:pPr>
            <w:r w:rsidRPr="00EF467E">
              <w:rPr>
                <w:rFonts w:ascii="Calibri" w:hAnsi="Calibri"/>
                <w:sz w:val="18"/>
                <w:szCs w:val="18"/>
                <w:lang w:eastAsia="en-AU"/>
              </w:rPr>
              <w:t>Loddon</w:t>
            </w:r>
          </w:p>
        </w:tc>
        <w:tc>
          <w:tcPr>
            <w:tcW w:w="1000" w:type="dxa"/>
            <w:tcBorders>
              <w:top w:val="nil"/>
              <w:left w:val="nil"/>
              <w:bottom w:val="single" w:sz="4" w:space="0" w:color="auto"/>
              <w:right w:val="single" w:sz="4" w:space="0" w:color="auto"/>
            </w:tcBorders>
            <w:shd w:val="clear" w:color="auto" w:fill="auto"/>
            <w:noWrap/>
            <w:vAlign w:val="bottom"/>
            <w:hideMark/>
          </w:tcPr>
          <w:p w14:paraId="550E12CD"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9.17</w:t>
            </w:r>
          </w:p>
        </w:tc>
        <w:tc>
          <w:tcPr>
            <w:tcW w:w="1100" w:type="dxa"/>
            <w:tcBorders>
              <w:top w:val="nil"/>
              <w:left w:val="nil"/>
              <w:bottom w:val="single" w:sz="4" w:space="0" w:color="auto"/>
              <w:right w:val="single" w:sz="4" w:space="0" w:color="auto"/>
            </w:tcBorders>
            <w:shd w:val="clear" w:color="auto" w:fill="auto"/>
            <w:noWrap/>
            <w:vAlign w:val="bottom"/>
            <w:hideMark/>
          </w:tcPr>
          <w:p w14:paraId="17F42FF2"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3.89</w:t>
            </w:r>
          </w:p>
        </w:tc>
        <w:tc>
          <w:tcPr>
            <w:tcW w:w="1100" w:type="dxa"/>
            <w:tcBorders>
              <w:top w:val="nil"/>
              <w:left w:val="nil"/>
              <w:bottom w:val="single" w:sz="4" w:space="0" w:color="auto"/>
              <w:right w:val="single" w:sz="4" w:space="0" w:color="auto"/>
            </w:tcBorders>
            <w:shd w:val="clear" w:color="auto" w:fill="auto"/>
            <w:noWrap/>
            <w:vAlign w:val="bottom"/>
            <w:hideMark/>
          </w:tcPr>
          <w:p w14:paraId="0DE018DB"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4.56</w:t>
            </w:r>
          </w:p>
        </w:tc>
        <w:tc>
          <w:tcPr>
            <w:tcW w:w="940" w:type="dxa"/>
            <w:tcBorders>
              <w:top w:val="nil"/>
              <w:left w:val="nil"/>
              <w:bottom w:val="single" w:sz="4" w:space="0" w:color="auto"/>
              <w:right w:val="single" w:sz="4" w:space="0" w:color="auto"/>
            </w:tcBorders>
            <w:shd w:val="clear" w:color="auto" w:fill="auto"/>
            <w:noWrap/>
            <w:vAlign w:val="bottom"/>
            <w:hideMark/>
          </w:tcPr>
          <w:p w14:paraId="6926370A"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0.68</w:t>
            </w:r>
          </w:p>
        </w:tc>
        <w:tc>
          <w:tcPr>
            <w:tcW w:w="940" w:type="dxa"/>
            <w:tcBorders>
              <w:top w:val="nil"/>
              <w:left w:val="nil"/>
              <w:bottom w:val="single" w:sz="4" w:space="0" w:color="auto"/>
              <w:right w:val="single" w:sz="4" w:space="0" w:color="auto"/>
            </w:tcBorders>
            <w:shd w:val="clear" w:color="auto" w:fill="auto"/>
            <w:noWrap/>
            <w:vAlign w:val="bottom"/>
            <w:hideMark/>
          </w:tcPr>
          <w:p w14:paraId="7A1A5E49"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7.4%</w:t>
            </w:r>
          </w:p>
        </w:tc>
        <w:tc>
          <w:tcPr>
            <w:tcW w:w="1120" w:type="dxa"/>
            <w:tcBorders>
              <w:top w:val="nil"/>
              <w:left w:val="nil"/>
              <w:bottom w:val="single" w:sz="4" w:space="0" w:color="auto"/>
              <w:right w:val="single" w:sz="4" w:space="0" w:color="auto"/>
            </w:tcBorders>
            <w:shd w:val="clear" w:color="auto" w:fill="auto"/>
            <w:noWrap/>
            <w:vAlign w:val="bottom"/>
            <w:hideMark/>
          </w:tcPr>
          <w:p w14:paraId="60A006AF"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3.18</w:t>
            </w:r>
          </w:p>
        </w:tc>
        <w:tc>
          <w:tcPr>
            <w:tcW w:w="1340" w:type="dxa"/>
            <w:tcBorders>
              <w:top w:val="nil"/>
              <w:left w:val="nil"/>
              <w:bottom w:val="single" w:sz="4" w:space="0" w:color="auto"/>
              <w:right w:val="single" w:sz="4" w:space="0" w:color="auto"/>
            </w:tcBorders>
            <w:shd w:val="clear" w:color="auto" w:fill="auto"/>
            <w:noWrap/>
            <w:vAlign w:val="bottom"/>
            <w:hideMark/>
          </w:tcPr>
          <w:p w14:paraId="762D64A0"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0.47</w:t>
            </w:r>
          </w:p>
        </w:tc>
      </w:tr>
      <w:tr w:rsidR="009A356E" w:rsidRPr="00EF467E" w14:paraId="27E6691C" w14:textId="77777777" w:rsidTr="009A356E">
        <w:trPr>
          <w:trHeight w:val="24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E0493B6" w14:textId="77777777" w:rsidR="009A356E" w:rsidRPr="00EF467E" w:rsidRDefault="009A356E" w:rsidP="009A356E">
            <w:pPr>
              <w:rPr>
                <w:rFonts w:ascii="Calibri" w:hAnsi="Calibri"/>
                <w:sz w:val="18"/>
                <w:szCs w:val="18"/>
                <w:lang w:eastAsia="en-AU"/>
              </w:rPr>
            </w:pPr>
            <w:r w:rsidRPr="00EF467E">
              <w:rPr>
                <w:rFonts w:ascii="Calibri" w:hAnsi="Calibri"/>
                <w:sz w:val="18"/>
                <w:szCs w:val="18"/>
                <w:lang w:eastAsia="en-AU"/>
              </w:rPr>
              <w:t>Macedon Ranges</w:t>
            </w:r>
          </w:p>
        </w:tc>
        <w:tc>
          <w:tcPr>
            <w:tcW w:w="1000" w:type="dxa"/>
            <w:tcBorders>
              <w:top w:val="nil"/>
              <w:left w:val="nil"/>
              <w:bottom w:val="single" w:sz="4" w:space="0" w:color="auto"/>
              <w:right w:val="single" w:sz="4" w:space="0" w:color="auto"/>
            </w:tcBorders>
            <w:shd w:val="clear" w:color="auto" w:fill="auto"/>
            <w:noWrap/>
            <w:vAlign w:val="bottom"/>
            <w:hideMark/>
          </w:tcPr>
          <w:p w14:paraId="70A391F8"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39.81</w:t>
            </w:r>
          </w:p>
        </w:tc>
        <w:tc>
          <w:tcPr>
            <w:tcW w:w="1100" w:type="dxa"/>
            <w:tcBorders>
              <w:top w:val="nil"/>
              <w:left w:val="nil"/>
              <w:bottom w:val="single" w:sz="4" w:space="0" w:color="auto"/>
              <w:right w:val="single" w:sz="4" w:space="0" w:color="auto"/>
            </w:tcBorders>
            <w:shd w:val="clear" w:color="auto" w:fill="auto"/>
            <w:noWrap/>
            <w:vAlign w:val="bottom"/>
            <w:hideMark/>
          </w:tcPr>
          <w:p w14:paraId="4E23C3AA"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6.33</w:t>
            </w:r>
          </w:p>
        </w:tc>
        <w:tc>
          <w:tcPr>
            <w:tcW w:w="1100" w:type="dxa"/>
            <w:tcBorders>
              <w:top w:val="nil"/>
              <w:left w:val="nil"/>
              <w:bottom w:val="single" w:sz="4" w:space="0" w:color="auto"/>
              <w:right w:val="single" w:sz="4" w:space="0" w:color="auto"/>
            </w:tcBorders>
            <w:shd w:val="clear" w:color="auto" w:fill="auto"/>
            <w:noWrap/>
            <w:vAlign w:val="bottom"/>
            <w:hideMark/>
          </w:tcPr>
          <w:p w14:paraId="4D16323D"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9.18</w:t>
            </w:r>
          </w:p>
        </w:tc>
        <w:tc>
          <w:tcPr>
            <w:tcW w:w="940" w:type="dxa"/>
            <w:tcBorders>
              <w:top w:val="nil"/>
              <w:left w:val="nil"/>
              <w:bottom w:val="single" w:sz="4" w:space="0" w:color="auto"/>
              <w:right w:val="single" w:sz="4" w:space="0" w:color="auto"/>
            </w:tcBorders>
            <w:shd w:val="clear" w:color="auto" w:fill="auto"/>
            <w:noWrap/>
            <w:vAlign w:val="bottom"/>
            <w:hideMark/>
          </w:tcPr>
          <w:p w14:paraId="6792340F"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2.86</w:t>
            </w:r>
          </w:p>
        </w:tc>
        <w:tc>
          <w:tcPr>
            <w:tcW w:w="940" w:type="dxa"/>
            <w:tcBorders>
              <w:top w:val="nil"/>
              <w:left w:val="nil"/>
              <w:bottom w:val="single" w:sz="4" w:space="0" w:color="auto"/>
              <w:right w:val="single" w:sz="4" w:space="0" w:color="auto"/>
            </w:tcBorders>
            <w:shd w:val="clear" w:color="auto" w:fill="auto"/>
            <w:noWrap/>
            <w:vAlign w:val="bottom"/>
            <w:hideMark/>
          </w:tcPr>
          <w:p w14:paraId="6EE424D9"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7.2%</w:t>
            </w:r>
          </w:p>
        </w:tc>
        <w:tc>
          <w:tcPr>
            <w:tcW w:w="1120" w:type="dxa"/>
            <w:tcBorders>
              <w:top w:val="nil"/>
              <w:left w:val="nil"/>
              <w:bottom w:val="single" w:sz="4" w:space="0" w:color="auto"/>
              <w:right w:val="single" w:sz="4" w:space="0" w:color="auto"/>
            </w:tcBorders>
            <w:shd w:val="clear" w:color="auto" w:fill="auto"/>
            <w:noWrap/>
            <w:vAlign w:val="bottom"/>
            <w:hideMark/>
          </w:tcPr>
          <w:p w14:paraId="41668D45"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5.09</w:t>
            </w:r>
          </w:p>
        </w:tc>
        <w:tc>
          <w:tcPr>
            <w:tcW w:w="1340" w:type="dxa"/>
            <w:tcBorders>
              <w:top w:val="nil"/>
              <w:left w:val="nil"/>
              <w:bottom w:val="single" w:sz="4" w:space="0" w:color="auto"/>
              <w:right w:val="single" w:sz="4" w:space="0" w:color="auto"/>
            </w:tcBorders>
            <w:shd w:val="clear" w:color="auto" w:fill="auto"/>
            <w:noWrap/>
            <w:vAlign w:val="bottom"/>
            <w:hideMark/>
          </w:tcPr>
          <w:p w14:paraId="16467440"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2.66</w:t>
            </w:r>
          </w:p>
        </w:tc>
      </w:tr>
      <w:tr w:rsidR="009A356E" w:rsidRPr="00EF467E" w14:paraId="317CCDB6" w14:textId="77777777" w:rsidTr="009A356E">
        <w:trPr>
          <w:trHeight w:val="24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4D5B10F1" w14:textId="77777777" w:rsidR="009A356E" w:rsidRPr="00EF467E" w:rsidRDefault="009A356E" w:rsidP="009A356E">
            <w:pPr>
              <w:rPr>
                <w:rFonts w:ascii="Calibri" w:hAnsi="Calibri"/>
                <w:sz w:val="18"/>
                <w:szCs w:val="18"/>
                <w:lang w:eastAsia="en-AU"/>
              </w:rPr>
            </w:pPr>
            <w:r w:rsidRPr="00EF467E">
              <w:rPr>
                <w:rFonts w:ascii="Calibri" w:hAnsi="Calibri"/>
                <w:sz w:val="18"/>
                <w:szCs w:val="18"/>
                <w:lang w:eastAsia="en-AU"/>
              </w:rPr>
              <w:t>Mansfield</w:t>
            </w:r>
          </w:p>
        </w:tc>
        <w:tc>
          <w:tcPr>
            <w:tcW w:w="1000" w:type="dxa"/>
            <w:tcBorders>
              <w:top w:val="nil"/>
              <w:left w:val="nil"/>
              <w:bottom w:val="single" w:sz="4" w:space="0" w:color="auto"/>
              <w:right w:val="single" w:sz="4" w:space="0" w:color="auto"/>
            </w:tcBorders>
            <w:shd w:val="clear" w:color="auto" w:fill="auto"/>
            <w:noWrap/>
            <w:vAlign w:val="bottom"/>
            <w:hideMark/>
          </w:tcPr>
          <w:p w14:paraId="39A5C91D"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11.64</w:t>
            </w:r>
          </w:p>
        </w:tc>
        <w:tc>
          <w:tcPr>
            <w:tcW w:w="1100" w:type="dxa"/>
            <w:tcBorders>
              <w:top w:val="nil"/>
              <w:left w:val="nil"/>
              <w:bottom w:val="single" w:sz="4" w:space="0" w:color="auto"/>
              <w:right w:val="single" w:sz="4" w:space="0" w:color="auto"/>
            </w:tcBorders>
            <w:shd w:val="clear" w:color="auto" w:fill="auto"/>
            <w:noWrap/>
            <w:vAlign w:val="bottom"/>
            <w:hideMark/>
          </w:tcPr>
          <w:p w14:paraId="28213607"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1.27</w:t>
            </w:r>
          </w:p>
        </w:tc>
        <w:tc>
          <w:tcPr>
            <w:tcW w:w="1100" w:type="dxa"/>
            <w:tcBorders>
              <w:top w:val="nil"/>
              <w:left w:val="nil"/>
              <w:bottom w:val="single" w:sz="4" w:space="0" w:color="auto"/>
              <w:right w:val="single" w:sz="4" w:space="0" w:color="auto"/>
            </w:tcBorders>
            <w:shd w:val="clear" w:color="auto" w:fill="auto"/>
            <w:noWrap/>
            <w:vAlign w:val="bottom"/>
            <w:hideMark/>
          </w:tcPr>
          <w:p w14:paraId="1D2271E1"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1.82</w:t>
            </w:r>
          </w:p>
        </w:tc>
        <w:tc>
          <w:tcPr>
            <w:tcW w:w="940" w:type="dxa"/>
            <w:tcBorders>
              <w:top w:val="nil"/>
              <w:left w:val="nil"/>
              <w:bottom w:val="single" w:sz="4" w:space="0" w:color="auto"/>
              <w:right w:val="single" w:sz="4" w:space="0" w:color="auto"/>
            </w:tcBorders>
            <w:shd w:val="clear" w:color="auto" w:fill="auto"/>
            <w:noWrap/>
            <w:vAlign w:val="bottom"/>
            <w:hideMark/>
          </w:tcPr>
          <w:p w14:paraId="4D777537"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0.55</w:t>
            </w:r>
          </w:p>
        </w:tc>
        <w:tc>
          <w:tcPr>
            <w:tcW w:w="940" w:type="dxa"/>
            <w:tcBorders>
              <w:top w:val="nil"/>
              <w:left w:val="nil"/>
              <w:bottom w:val="single" w:sz="4" w:space="0" w:color="auto"/>
              <w:right w:val="single" w:sz="4" w:space="0" w:color="auto"/>
            </w:tcBorders>
            <w:shd w:val="clear" w:color="auto" w:fill="auto"/>
            <w:noWrap/>
            <w:vAlign w:val="bottom"/>
            <w:hideMark/>
          </w:tcPr>
          <w:p w14:paraId="7AD8ACD2"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4.7%</w:t>
            </w:r>
          </w:p>
        </w:tc>
        <w:tc>
          <w:tcPr>
            <w:tcW w:w="1120" w:type="dxa"/>
            <w:tcBorders>
              <w:top w:val="nil"/>
              <w:left w:val="nil"/>
              <w:bottom w:val="single" w:sz="4" w:space="0" w:color="auto"/>
              <w:right w:val="single" w:sz="4" w:space="0" w:color="auto"/>
            </w:tcBorders>
            <w:shd w:val="clear" w:color="auto" w:fill="auto"/>
            <w:noWrap/>
            <w:vAlign w:val="bottom"/>
            <w:hideMark/>
          </w:tcPr>
          <w:p w14:paraId="656AFF6E"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1.25</w:t>
            </w:r>
          </w:p>
        </w:tc>
        <w:tc>
          <w:tcPr>
            <w:tcW w:w="1340" w:type="dxa"/>
            <w:tcBorders>
              <w:top w:val="nil"/>
              <w:left w:val="nil"/>
              <w:bottom w:val="single" w:sz="4" w:space="0" w:color="auto"/>
              <w:right w:val="single" w:sz="4" w:space="0" w:color="auto"/>
            </w:tcBorders>
            <w:shd w:val="clear" w:color="auto" w:fill="auto"/>
            <w:noWrap/>
            <w:vAlign w:val="bottom"/>
            <w:hideMark/>
          </w:tcPr>
          <w:p w14:paraId="54D604A3"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1.36</w:t>
            </w:r>
          </w:p>
        </w:tc>
      </w:tr>
      <w:tr w:rsidR="009A356E" w:rsidRPr="00EF467E" w14:paraId="39F9DCE4" w14:textId="77777777" w:rsidTr="009A356E">
        <w:trPr>
          <w:trHeight w:val="24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1BEC998F" w14:textId="77777777" w:rsidR="009A356E" w:rsidRPr="00EF467E" w:rsidRDefault="009A356E" w:rsidP="009A356E">
            <w:pPr>
              <w:rPr>
                <w:rFonts w:ascii="Calibri" w:hAnsi="Calibri"/>
                <w:sz w:val="18"/>
                <w:szCs w:val="18"/>
                <w:lang w:eastAsia="en-AU"/>
              </w:rPr>
            </w:pPr>
            <w:r w:rsidRPr="00EF467E">
              <w:rPr>
                <w:rFonts w:ascii="Calibri" w:hAnsi="Calibri"/>
                <w:sz w:val="18"/>
                <w:szCs w:val="18"/>
                <w:lang w:eastAsia="en-AU"/>
              </w:rPr>
              <w:t>Mildura</w:t>
            </w:r>
          </w:p>
        </w:tc>
        <w:tc>
          <w:tcPr>
            <w:tcW w:w="1000" w:type="dxa"/>
            <w:tcBorders>
              <w:top w:val="nil"/>
              <w:left w:val="nil"/>
              <w:bottom w:val="single" w:sz="4" w:space="0" w:color="auto"/>
              <w:right w:val="single" w:sz="4" w:space="0" w:color="auto"/>
            </w:tcBorders>
            <w:shd w:val="clear" w:color="auto" w:fill="auto"/>
            <w:noWrap/>
            <w:vAlign w:val="bottom"/>
            <w:hideMark/>
          </w:tcPr>
          <w:p w14:paraId="5ECBBFA4"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59.37</w:t>
            </w:r>
          </w:p>
        </w:tc>
        <w:tc>
          <w:tcPr>
            <w:tcW w:w="1100" w:type="dxa"/>
            <w:tcBorders>
              <w:top w:val="nil"/>
              <w:left w:val="nil"/>
              <w:bottom w:val="single" w:sz="4" w:space="0" w:color="auto"/>
              <w:right w:val="single" w:sz="4" w:space="0" w:color="auto"/>
            </w:tcBorders>
            <w:shd w:val="clear" w:color="auto" w:fill="auto"/>
            <w:noWrap/>
            <w:vAlign w:val="bottom"/>
            <w:hideMark/>
          </w:tcPr>
          <w:p w14:paraId="4983D55D"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9.61</w:t>
            </w:r>
          </w:p>
        </w:tc>
        <w:tc>
          <w:tcPr>
            <w:tcW w:w="1100" w:type="dxa"/>
            <w:tcBorders>
              <w:top w:val="nil"/>
              <w:left w:val="nil"/>
              <w:bottom w:val="single" w:sz="4" w:space="0" w:color="auto"/>
              <w:right w:val="single" w:sz="4" w:space="0" w:color="auto"/>
            </w:tcBorders>
            <w:shd w:val="clear" w:color="auto" w:fill="auto"/>
            <w:noWrap/>
            <w:vAlign w:val="bottom"/>
            <w:hideMark/>
          </w:tcPr>
          <w:p w14:paraId="619D2201"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16.03</w:t>
            </w:r>
          </w:p>
        </w:tc>
        <w:tc>
          <w:tcPr>
            <w:tcW w:w="940" w:type="dxa"/>
            <w:tcBorders>
              <w:top w:val="nil"/>
              <w:left w:val="nil"/>
              <w:bottom w:val="single" w:sz="4" w:space="0" w:color="auto"/>
              <w:right w:val="single" w:sz="4" w:space="0" w:color="auto"/>
            </w:tcBorders>
            <w:shd w:val="clear" w:color="auto" w:fill="auto"/>
            <w:noWrap/>
            <w:vAlign w:val="bottom"/>
            <w:hideMark/>
          </w:tcPr>
          <w:p w14:paraId="642E7CAB"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6.41</w:t>
            </w:r>
          </w:p>
        </w:tc>
        <w:tc>
          <w:tcPr>
            <w:tcW w:w="940" w:type="dxa"/>
            <w:tcBorders>
              <w:top w:val="nil"/>
              <w:left w:val="nil"/>
              <w:bottom w:val="single" w:sz="4" w:space="0" w:color="auto"/>
              <w:right w:val="single" w:sz="4" w:space="0" w:color="auto"/>
            </w:tcBorders>
            <w:shd w:val="clear" w:color="auto" w:fill="auto"/>
            <w:noWrap/>
            <w:vAlign w:val="bottom"/>
            <w:hideMark/>
          </w:tcPr>
          <w:p w14:paraId="66719312"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10.8%</w:t>
            </w:r>
          </w:p>
        </w:tc>
        <w:tc>
          <w:tcPr>
            <w:tcW w:w="1120" w:type="dxa"/>
            <w:tcBorders>
              <w:top w:val="nil"/>
              <w:left w:val="nil"/>
              <w:bottom w:val="single" w:sz="4" w:space="0" w:color="auto"/>
              <w:right w:val="single" w:sz="4" w:space="0" w:color="auto"/>
            </w:tcBorders>
            <w:shd w:val="clear" w:color="auto" w:fill="auto"/>
            <w:noWrap/>
            <w:vAlign w:val="bottom"/>
            <w:hideMark/>
          </w:tcPr>
          <w:p w14:paraId="2E240969"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14.95</w:t>
            </w:r>
          </w:p>
        </w:tc>
        <w:tc>
          <w:tcPr>
            <w:tcW w:w="1340" w:type="dxa"/>
            <w:tcBorders>
              <w:top w:val="nil"/>
              <w:left w:val="nil"/>
              <w:bottom w:val="single" w:sz="4" w:space="0" w:color="auto"/>
              <w:right w:val="single" w:sz="4" w:space="0" w:color="auto"/>
            </w:tcBorders>
            <w:shd w:val="clear" w:color="auto" w:fill="auto"/>
            <w:noWrap/>
            <w:vAlign w:val="bottom"/>
            <w:hideMark/>
          </w:tcPr>
          <w:p w14:paraId="3789BBE4"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8.11</w:t>
            </w:r>
          </w:p>
        </w:tc>
      </w:tr>
      <w:tr w:rsidR="009A356E" w:rsidRPr="00EF467E" w14:paraId="1C6E06A6" w14:textId="77777777" w:rsidTr="009A356E">
        <w:trPr>
          <w:trHeight w:val="24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419BE01C" w14:textId="77777777" w:rsidR="009A356E" w:rsidRPr="00EF467E" w:rsidRDefault="009A356E" w:rsidP="009A356E">
            <w:pPr>
              <w:rPr>
                <w:rFonts w:ascii="Calibri" w:hAnsi="Calibri"/>
                <w:sz w:val="18"/>
                <w:szCs w:val="18"/>
                <w:lang w:eastAsia="en-AU"/>
              </w:rPr>
            </w:pPr>
            <w:r w:rsidRPr="00EF467E">
              <w:rPr>
                <w:rFonts w:ascii="Calibri" w:hAnsi="Calibri"/>
                <w:sz w:val="18"/>
                <w:szCs w:val="18"/>
                <w:lang w:eastAsia="en-AU"/>
              </w:rPr>
              <w:t>Mitchell</w:t>
            </w:r>
          </w:p>
        </w:tc>
        <w:tc>
          <w:tcPr>
            <w:tcW w:w="1000" w:type="dxa"/>
            <w:tcBorders>
              <w:top w:val="nil"/>
              <w:left w:val="nil"/>
              <w:bottom w:val="single" w:sz="4" w:space="0" w:color="auto"/>
              <w:right w:val="single" w:sz="4" w:space="0" w:color="auto"/>
            </w:tcBorders>
            <w:shd w:val="clear" w:color="auto" w:fill="auto"/>
            <w:noWrap/>
            <w:vAlign w:val="bottom"/>
            <w:hideMark/>
          </w:tcPr>
          <w:p w14:paraId="13F15E61"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32.92</w:t>
            </w:r>
          </w:p>
        </w:tc>
        <w:tc>
          <w:tcPr>
            <w:tcW w:w="1100" w:type="dxa"/>
            <w:tcBorders>
              <w:top w:val="nil"/>
              <w:left w:val="nil"/>
              <w:bottom w:val="single" w:sz="4" w:space="0" w:color="auto"/>
              <w:right w:val="single" w:sz="4" w:space="0" w:color="auto"/>
            </w:tcBorders>
            <w:shd w:val="clear" w:color="auto" w:fill="auto"/>
            <w:noWrap/>
            <w:vAlign w:val="bottom"/>
            <w:hideMark/>
          </w:tcPr>
          <w:p w14:paraId="2DBE584D"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2.07</w:t>
            </w:r>
          </w:p>
        </w:tc>
        <w:tc>
          <w:tcPr>
            <w:tcW w:w="1100" w:type="dxa"/>
            <w:tcBorders>
              <w:top w:val="nil"/>
              <w:left w:val="nil"/>
              <w:bottom w:val="single" w:sz="4" w:space="0" w:color="auto"/>
              <w:right w:val="single" w:sz="4" w:space="0" w:color="auto"/>
            </w:tcBorders>
            <w:shd w:val="clear" w:color="auto" w:fill="auto"/>
            <w:noWrap/>
            <w:vAlign w:val="bottom"/>
            <w:hideMark/>
          </w:tcPr>
          <w:p w14:paraId="7A4E4A20"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5.81</w:t>
            </w:r>
          </w:p>
        </w:tc>
        <w:tc>
          <w:tcPr>
            <w:tcW w:w="940" w:type="dxa"/>
            <w:tcBorders>
              <w:top w:val="nil"/>
              <w:left w:val="nil"/>
              <w:bottom w:val="single" w:sz="4" w:space="0" w:color="auto"/>
              <w:right w:val="single" w:sz="4" w:space="0" w:color="auto"/>
            </w:tcBorders>
            <w:shd w:val="clear" w:color="auto" w:fill="auto"/>
            <w:noWrap/>
            <w:vAlign w:val="bottom"/>
            <w:hideMark/>
          </w:tcPr>
          <w:p w14:paraId="287EAAC2"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3.75</w:t>
            </w:r>
          </w:p>
        </w:tc>
        <w:tc>
          <w:tcPr>
            <w:tcW w:w="940" w:type="dxa"/>
            <w:tcBorders>
              <w:top w:val="nil"/>
              <w:left w:val="nil"/>
              <w:bottom w:val="single" w:sz="4" w:space="0" w:color="auto"/>
              <w:right w:val="single" w:sz="4" w:space="0" w:color="auto"/>
            </w:tcBorders>
            <w:shd w:val="clear" w:color="auto" w:fill="auto"/>
            <w:noWrap/>
            <w:vAlign w:val="bottom"/>
            <w:hideMark/>
          </w:tcPr>
          <w:p w14:paraId="1E6994FE"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11.4%</w:t>
            </w:r>
          </w:p>
        </w:tc>
        <w:tc>
          <w:tcPr>
            <w:tcW w:w="1120" w:type="dxa"/>
            <w:tcBorders>
              <w:top w:val="nil"/>
              <w:left w:val="nil"/>
              <w:bottom w:val="single" w:sz="4" w:space="0" w:color="auto"/>
              <w:right w:val="single" w:sz="4" w:space="0" w:color="auto"/>
            </w:tcBorders>
            <w:shd w:val="clear" w:color="auto" w:fill="auto"/>
            <w:noWrap/>
            <w:vAlign w:val="bottom"/>
            <w:hideMark/>
          </w:tcPr>
          <w:p w14:paraId="538596CF"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4.33</w:t>
            </w:r>
          </w:p>
        </w:tc>
        <w:tc>
          <w:tcPr>
            <w:tcW w:w="1340" w:type="dxa"/>
            <w:tcBorders>
              <w:top w:val="nil"/>
              <w:left w:val="nil"/>
              <w:bottom w:val="single" w:sz="4" w:space="0" w:color="auto"/>
              <w:right w:val="single" w:sz="4" w:space="0" w:color="auto"/>
            </w:tcBorders>
            <w:shd w:val="clear" w:color="auto" w:fill="auto"/>
            <w:noWrap/>
            <w:vAlign w:val="bottom"/>
            <w:hideMark/>
          </w:tcPr>
          <w:p w14:paraId="46F7686D"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2.36</w:t>
            </w:r>
          </w:p>
        </w:tc>
      </w:tr>
      <w:tr w:rsidR="009A356E" w:rsidRPr="00EF467E" w14:paraId="616884F7" w14:textId="77777777" w:rsidTr="009A356E">
        <w:trPr>
          <w:trHeight w:val="24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4401DB1B" w14:textId="77777777" w:rsidR="009A356E" w:rsidRPr="00EF467E" w:rsidRDefault="009A356E" w:rsidP="009A356E">
            <w:pPr>
              <w:rPr>
                <w:rFonts w:ascii="Calibri" w:hAnsi="Calibri"/>
                <w:sz w:val="18"/>
                <w:szCs w:val="18"/>
                <w:lang w:eastAsia="en-AU"/>
              </w:rPr>
            </w:pPr>
            <w:r w:rsidRPr="00EF467E">
              <w:rPr>
                <w:rFonts w:ascii="Calibri" w:hAnsi="Calibri"/>
                <w:sz w:val="18"/>
                <w:szCs w:val="18"/>
                <w:lang w:eastAsia="en-AU"/>
              </w:rPr>
              <w:t>Moorabool</w:t>
            </w:r>
          </w:p>
        </w:tc>
        <w:tc>
          <w:tcPr>
            <w:tcW w:w="1000" w:type="dxa"/>
            <w:tcBorders>
              <w:top w:val="nil"/>
              <w:left w:val="nil"/>
              <w:bottom w:val="single" w:sz="4" w:space="0" w:color="auto"/>
              <w:right w:val="single" w:sz="4" w:space="0" w:color="auto"/>
            </w:tcBorders>
            <w:shd w:val="clear" w:color="auto" w:fill="auto"/>
            <w:noWrap/>
            <w:vAlign w:val="bottom"/>
            <w:hideMark/>
          </w:tcPr>
          <w:p w14:paraId="163F7B9E"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27.63</w:t>
            </w:r>
          </w:p>
        </w:tc>
        <w:tc>
          <w:tcPr>
            <w:tcW w:w="1100" w:type="dxa"/>
            <w:tcBorders>
              <w:top w:val="nil"/>
              <w:left w:val="nil"/>
              <w:bottom w:val="single" w:sz="4" w:space="0" w:color="auto"/>
              <w:right w:val="single" w:sz="4" w:space="0" w:color="auto"/>
            </w:tcBorders>
            <w:shd w:val="clear" w:color="auto" w:fill="auto"/>
            <w:noWrap/>
            <w:vAlign w:val="bottom"/>
            <w:hideMark/>
          </w:tcPr>
          <w:p w14:paraId="1C7629F4"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2.07</w:t>
            </w:r>
          </w:p>
        </w:tc>
        <w:tc>
          <w:tcPr>
            <w:tcW w:w="1100" w:type="dxa"/>
            <w:tcBorders>
              <w:top w:val="nil"/>
              <w:left w:val="nil"/>
              <w:bottom w:val="single" w:sz="4" w:space="0" w:color="auto"/>
              <w:right w:val="single" w:sz="4" w:space="0" w:color="auto"/>
            </w:tcBorders>
            <w:shd w:val="clear" w:color="auto" w:fill="auto"/>
            <w:noWrap/>
            <w:vAlign w:val="bottom"/>
            <w:hideMark/>
          </w:tcPr>
          <w:p w14:paraId="7C34290A"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5.81</w:t>
            </w:r>
          </w:p>
        </w:tc>
        <w:tc>
          <w:tcPr>
            <w:tcW w:w="940" w:type="dxa"/>
            <w:tcBorders>
              <w:top w:val="nil"/>
              <w:left w:val="nil"/>
              <w:bottom w:val="single" w:sz="4" w:space="0" w:color="auto"/>
              <w:right w:val="single" w:sz="4" w:space="0" w:color="auto"/>
            </w:tcBorders>
            <w:shd w:val="clear" w:color="auto" w:fill="auto"/>
            <w:noWrap/>
            <w:vAlign w:val="bottom"/>
            <w:hideMark/>
          </w:tcPr>
          <w:p w14:paraId="781755B2"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3.75</w:t>
            </w:r>
          </w:p>
        </w:tc>
        <w:tc>
          <w:tcPr>
            <w:tcW w:w="940" w:type="dxa"/>
            <w:tcBorders>
              <w:top w:val="nil"/>
              <w:left w:val="nil"/>
              <w:bottom w:val="single" w:sz="4" w:space="0" w:color="auto"/>
              <w:right w:val="single" w:sz="4" w:space="0" w:color="auto"/>
            </w:tcBorders>
            <w:shd w:val="clear" w:color="auto" w:fill="auto"/>
            <w:noWrap/>
            <w:vAlign w:val="bottom"/>
            <w:hideMark/>
          </w:tcPr>
          <w:p w14:paraId="323F919D"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13.6%</w:t>
            </w:r>
          </w:p>
        </w:tc>
        <w:tc>
          <w:tcPr>
            <w:tcW w:w="1120" w:type="dxa"/>
            <w:tcBorders>
              <w:top w:val="nil"/>
              <w:left w:val="nil"/>
              <w:bottom w:val="single" w:sz="4" w:space="0" w:color="auto"/>
              <w:right w:val="single" w:sz="4" w:space="0" w:color="auto"/>
            </w:tcBorders>
            <w:shd w:val="clear" w:color="auto" w:fill="auto"/>
            <w:noWrap/>
            <w:vAlign w:val="bottom"/>
            <w:hideMark/>
          </w:tcPr>
          <w:p w14:paraId="4BC208EE"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w:t>
            </w:r>
          </w:p>
        </w:tc>
        <w:tc>
          <w:tcPr>
            <w:tcW w:w="1340" w:type="dxa"/>
            <w:tcBorders>
              <w:top w:val="nil"/>
              <w:left w:val="nil"/>
              <w:bottom w:val="single" w:sz="4" w:space="0" w:color="auto"/>
              <w:right w:val="single" w:sz="4" w:space="0" w:color="auto"/>
            </w:tcBorders>
            <w:shd w:val="clear" w:color="auto" w:fill="auto"/>
            <w:noWrap/>
            <w:vAlign w:val="bottom"/>
            <w:hideMark/>
          </w:tcPr>
          <w:p w14:paraId="6DDD6494"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w:t>
            </w:r>
          </w:p>
        </w:tc>
      </w:tr>
      <w:tr w:rsidR="009A356E" w:rsidRPr="00EF467E" w14:paraId="536394F6" w14:textId="77777777" w:rsidTr="009A356E">
        <w:trPr>
          <w:trHeight w:val="24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01C1D3AC" w14:textId="77777777" w:rsidR="009A356E" w:rsidRPr="00EF467E" w:rsidRDefault="009A356E" w:rsidP="009A356E">
            <w:pPr>
              <w:rPr>
                <w:rFonts w:ascii="Calibri" w:hAnsi="Calibri"/>
                <w:sz w:val="18"/>
                <w:szCs w:val="18"/>
                <w:lang w:eastAsia="en-AU"/>
              </w:rPr>
            </w:pPr>
            <w:r w:rsidRPr="00EF467E">
              <w:rPr>
                <w:rFonts w:ascii="Calibri" w:hAnsi="Calibri"/>
                <w:sz w:val="18"/>
                <w:szCs w:val="18"/>
                <w:lang w:eastAsia="en-AU"/>
              </w:rPr>
              <w:t>Moyne</w:t>
            </w:r>
          </w:p>
        </w:tc>
        <w:tc>
          <w:tcPr>
            <w:tcW w:w="1000" w:type="dxa"/>
            <w:tcBorders>
              <w:top w:val="nil"/>
              <w:left w:val="nil"/>
              <w:bottom w:val="single" w:sz="4" w:space="0" w:color="auto"/>
              <w:right w:val="single" w:sz="4" w:space="0" w:color="auto"/>
            </w:tcBorders>
            <w:shd w:val="clear" w:color="auto" w:fill="auto"/>
            <w:noWrap/>
            <w:vAlign w:val="bottom"/>
            <w:hideMark/>
          </w:tcPr>
          <w:p w14:paraId="03E21C18"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18.95</w:t>
            </w:r>
          </w:p>
        </w:tc>
        <w:tc>
          <w:tcPr>
            <w:tcW w:w="1100" w:type="dxa"/>
            <w:tcBorders>
              <w:top w:val="nil"/>
              <w:left w:val="nil"/>
              <w:bottom w:val="single" w:sz="4" w:space="0" w:color="auto"/>
              <w:right w:val="single" w:sz="4" w:space="0" w:color="auto"/>
            </w:tcBorders>
            <w:shd w:val="clear" w:color="auto" w:fill="auto"/>
            <w:noWrap/>
            <w:vAlign w:val="bottom"/>
            <w:hideMark/>
          </w:tcPr>
          <w:p w14:paraId="145C7773"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6.63</w:t>
            </w:r>
          </w:p>
        </w:tc>
        <w:tc>
          <w:tcPr>
            <w:tcW w:w="1100" w:type="dxa"/>
            <w:tcBorders>
              <w:top w:val="nil"/>
              <w:left w:val="nil"/>
              <w:bottom w:val="single" w:sz="4" w:space="0" w:color="auto"/>
              <w:right w:val="single" w:sz="4" w:space="0" w:color="auto"/>
            </w:tcBorders>
            <w:shd w:val="clear" w:color="auto" w:fill="auto"/>
            <w:noWrap/>
            <w:vAlign w:val="bottom"/>
            <w:hideMark/>
          </w:tcPr>
          <w:p w14:paraId="3A5F4021"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6.17</w:t>
            </w:r>
          </w:p>
        </w:tc>
        <w:tc>
          <w:tcPr>
            <w:tcW w:w="940" w:type="dxa"/>
            <w:tcBorders>
              <w:top w:val="nil"/>
              <w:left w:val="nil"/>
              <w:bottom w:val="single" w:sz="4" w:space="0" w:color="auto"/>
              <w:right w:val="single" w:sz="4" w:space="0" w:color="auto"/>
            </w:tcBorders>
            <w:shd w:val="clear" w:color="auto" w:fill="auto"/>
            <w:noWrap/>
            <w:vAlign w:val="bottom"/>
            <w:hideMark/>
          </w:tcPr>
          <w:p w14:paraId="732BFD88"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w:t>
            </w:r>
          </w:p>
        </w:tc>
        <w:tc>
          <w:tcPr>
            <w:tcW w:w="940" w:type="dxa"/>
            <w:tcBorders>
              <w:top w:val="nil"/>
              <w:left w:val="nil"/>
              <w:bottom w:val="single" w:sz="4" w:space="0" w:color="auto"/>
              <w:right w:val="single" w:sz="4" w:space="0" w:color="auto"/>
            </w:tcBorders>
            <w:shd w:val="clear" w:color="auto" w:fill="auto"/>
            <w:noWrap/>
            <w:vAlign w:val="bottom"/>
            <w:hideMark/>
          </w:tcPr>
          <w:p w14:paraId="79AA4656"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0.0%</w:t>
            </w:r>
          </w:p>
        </w:tc>
        <w:tc>
          <w:tcPr>
            <w:tcW w:w="1120" w:type="dxa"/>
            <w:tcBorders>
              <w:top w:val="nil"/>
              <w:left w:val="nil"/>
              <w:bottom w:val="single" w:sz="4" w:space="0" w:color="auto"/>
              <w:right w:val="single" w:sz="4" w:space="0" w:color="auto"/>
            </w:tcBorders>
            <w:shd w:val="clear" w:color="auto" w:fill="auto"/>
            <w:noWrap/>
            <w:vAlign w:val="bottom"/>
            <w:hideMark/>
          </w:tcPr>
          <w:p w14:paraId="14593BB8"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4.72</w:t>
            </w:r>
          </w:p>
        </w:tc>
        <w:tc>
          <w:tcPr>
            <w:tcW w:w="1340" w:type="dxa"/>
            <w:tcBorders>
              <w:top w:val="nil"/>
              <w:left w:val="nil"/>
              <w:bottom w:val="single" w:sz="4" w:space="0" w:color="auto"/>
              <w:right w:val="single" w:sz="4" w:space="0" w:color="auto"/>
            </w:tcBorders>
            <w:shd w:val="clear" w:color="auto" w:fill="auto"/>
            <w:noWrap/>
            <w:vAlign w:val="bottom"/>
            <w:hideMark/>
          </w:tcPr>
          <w:p w14:paraId="3E54B9AA"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2.93</w:t>
            </w:r>
          </w:p>
        </w:tc>
      </w:tr>
      <w:tr w:rsidR="009A356E" w:rsidRPr="00EF467E" w14:paraId="7DD0A9D2" w14:textId="77777777" w:rsidTr="009A356E">
        <w:trPr>
          <w:trHeight w:val="24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2E5671EB" w14:textId="77777777" w:rsidR="009A356E" w:rsidRPr="00EF467E" w:rsidRDefault="009A356E" w:rsidP="009A356E">
            <w:pPr>
              <w:rPr>
                <w:rFonts w:ascii="Calibri" w:hAnsi="Calibri"/>
                <w:sz w:val="18"/>
                <w:szCs w:val="18"/>
                <w:lang w:eastAsia="en-AU"/>
              </w:rPr>
            </w:pPr>
            <w:r w:rsidRPr="00EF467E">
              <w:rPr>
                <w:rFonts w:ascii="Calibri" w:hAnsi="Calibri"/>
                <w:sz w:val="18"/>
                <w:szCs w:val="18"/>
                <w:lang w:eastAsia="en-AU"/>
              </w:rPr>
              <w:t>Murrindindi</w:t>
            </w:r>
          </w:p>
        </w:tc>
        <w:tc>
          <w:tcPr>
            <w:tcW w:w="1000" w:type="dxa"/>
            <w:tcBorders>
              <w:top w:val="nil"/>
              <w:left w:val="nil"/>
              <w:bottom w:val="single" w:sz="4" w:space="0" w:color="auto"/>
              <w:right w:val="single" w:sz="4" w:space="0" w:color="auto"/>
            </w:tcBorders>
            <w:shd w:val="clear" w:color="auto" w:fill="auto"/>
            <w:noWrap/>
            <w:vAlign w:val="bottom"/>
            <w:hideMark/>
          </w:tcPr>
          <w:p w14:paraId="455D01F6"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16.87</w:t>
            </w:r>
          </w:p>
        </w:tc>
        <w:tc>
          <w:tcPr>
            <w:tcW w:w="1100" w:type="dxa"/>
            <w:tcBorders>
              <w:top w:val="nil"/>
              <w:left w:val="nil"/>
              <w:bottom w:val="single" w:sz="4" w:space="0" w:color="auto"/>
              <w:right w:val="single" w:sz="4" w:space="0" w:color="auto"/>
            </w:tcBorders>
            <w:shd w:val="clear" w:color="auto" w:fill="auto"/>
            <w:noWrap/>
            <w:vAlign w:val="bottom"/>
            <w:hideMark/>
          </w:tcPr>
          <w:p w14:paraId="1C21200C"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2.65</w:t>
            </w:r>
          </w:p>
        </w:tc>
        <w:tc>
          <w:tcPr>
            <w:tcW w:w="1100" w:type="dxa"/>
            <w:tcBorders>
              <w:top w:val="nil"/>
              <w:left w:val="nil"/>
              <w:bottom w:val="single" w:sz="4" w:space="0" w:color="auto"/>
              <w:right w:val="single" w:sz="4" w:space="0" w:color="auto"/>
            </w:tcBorders>
            <w:shd w:val="clear" w:color="auto" w:fill="auto"/>
            <w:noWrap/>
            <w:vAlign w:val="bottom"/>
            <w:hideMark/>
          </w:tcPr>
          <w:p w14:paraId="3DD7327E"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3.66</w:t>
            </w:r>
          </w:p>
        </w:tc>
        <w:tc>
          <w:tcPr>
            <w:tcW w:w="940" w:type="dxa"/>
            <w:tcBorders>
              <w:top w:val="nil"/>
              <w:left w:val="nil"/>
              <w:bottom w:val="single" w:sz="4" w:space="0" w:color="auto"/>
              <w:right w:val="single" w:sz="4" w:space="0" w:color="auto"/>
            </w:tcBorders>
            <w:shd w:val="clear" w:color="auto" w:fill="auto"/>
            <w:noWrap/>
            <w:vAlign w:val="bottom"/>
            <w:hideMark/>
          </w:tcPr>
          <w:p w14:paraId="03B8E637"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1.01</w:t>
            </w:r>
          </w:p>
        </w:tc>
        <w:tc>
          <w:tcPr>
            <w:tcW w:w="940" w:type="dxa"/>
            <w:tcBorders>
              <w:top w:val="nil"/>
              <w:left w:val="nil"/>
              <w:bottom w:val="single" w:sz="4" w:space="0" w:color="auto"/>
              <w:right w:val="single" w:sz="4" w:space="0" w:color="auto"/>
            </w:tcBorders>
            <w:shd w:val="clear" w:color="auto" w:fill="auto"/>
            <w:noWrap/>
            <w:vAlign w:val="bottom"/>
            <w:hideMark/>
          </w:tcPr>
          <w:p w14:paraId="676488AC"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6.0%</w:t>
            </w:r>
          </w:p>
        </w:tc>
        <w:tc>
          <w:tcPr>
            <w:tcW w:w="1120" w:type="dxa"/>
            <w:tcBorders>
              <w:top w:val="nil"/>
              <w:left w:val="nil"/>
              <w:bottom w:val="single" w:sz="4" w:space="0" w:color="auto"/>
              <w:right w:val="single" w:sz="4" w:space="0" w:color="auto"/>
            </w:tcBorders>
            <w:shd w:val="clear" w:color="auto" w:fill="auto"/>
            <w:noWrap/>
            <w:vAlign w:val="bottom"/>
            <w:hideMark/>
          </w:tcPr>
          <w:p w14:paraId="16DC0D46"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1.86</w:t>
            </w:r>
          </w:p>
        </w:tc>
        <w:tc>
          <w:tcPr>
            <w:tcW w:w="1340" w:type="dxa"/>
            <w:tcBorders>
              <w:top w:val="nil"/>
              <w:left w:val="nil"/>
              <w:bottom w:val="single" w:sz="4" w:space="0" w:color="auto"/>
              <w:right w:val="single" w:sz="4" w:space="0" w:color="auto"/>
            </w:tcBorders>
            <w:shd w:val="clear" w:color="auto" w:fill="auto"/>
            <w:noWrap/>
            <w:vAlign w:val="bottom"/>
            <w:hideMark/>
          </w:tcPr>
          <w:p w14:paraId="12F5E14B"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w:t>
            </w:r>
          </w:p>
        </w:tc>
      </w:tr>
      <w:tr w:rsidR="009A356E" w:rsidRPr="00EF467E" w14:paraId="38106112" w14:textId="77777777" w:rsidTr="009A356E">
        <w:trPr>
          <w:trHeight w:val="24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490FEA9B" w14:textId="77777777" w:rsidR="009A356E" w:rsidRPr="00EF467E" w:rsidRDefault="009A356E" w:rsidP="009A356E">
            <w:pPr>
              <w:rPr>
                <w:rFonts w:ascii="Calibri" w:hAnsi="Calibri"/>
                <w:sz w:val="18"/>
                <w:szCs w:val="18"/>
                <w:lang w:eastAsia="en-AU"/>
              </w:rPr>
            </w:pPr>
            <w:r w:rsidRPr="00EF467E">
              <w:rPr>
                <w:rFonts w:ascii="Calibri" w:hAnsi="Calibri"/>
                <w:sz w:val="18"/>
                <w:szCs w:val="18"/>
                <w:lang w:eastAsia="en-AU"/>
              </w:rPr>
              <w:t>Northern Grampians</w:t>
            </w:r>
          </w:p>
        </w:tc>
        <w:tc>
          <w:tcPr>
            <w:tcW w:w="1000" w:type="dxa"/>
            <w:tcBorders>
              <w:top w:val="nil"/>
              <w:left w:val="nil"/>
              <w:bottom w:val="single" w:sz="4" w:space="0" w:color="auto"/>
              <w:right w:val="single" w:sz="4" w:space="0" w:color="auto"/>
            </w:tcBorders>
            <w:shd w:val="clear" w:color="auto" w:fill="auto"/>
            <w:noWrap/>
            <w:vAlign w:val="bottom"/>
            <w:hideMark/>
          </w:tcPr>
          <w:p w14:paraId="02A805D1"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15.06</w:t>
            </w:r>
          </w:p>
        </w:tc>
        <w:tc>
          <w:tcPr>
            <w:tcW w:w="1100" w:type="dxa"/>
            <w:tcBorders>
              <w:top w:val="nil"/>
              <w:left w:val="nil"/>
              <w:bottom w:val="single" w:sz="4" w:space="0" w:color="auto"/>
              <w:right w:val="single" w:sz="4" w:space="0" w:color="auto"/>
            </w:tcBorders>
            <w:shd w:val="clear" w:color="auto" w:fill="auto"/>
            <w:noWrap/>
            <w:vAlign w:val="bottom"/>
            <w:hideMark/>
          </w:tcPr>
          <w:p w14:paraId="02F3DDAC"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5.52</w:t>
            </w:r>
          </w:p>
        </w:tc>
        <w:tc>
          <w:tcPr>
            <w:tcW w:w="1100" w:type="dxa"/>
            <w:tcBorders>
              <w:top w:val="nil"/>
              <w:left w:val="nil"/>
              <w:bottom w:val="single" w:sz="4" w:space="0" w:color="auto"/>
              <w:right w:val="single" w:sz="4" w:space="0" w:color="auto"/>
            </w:tcBorders>
            <w:shd w:val="clear" w:color="auto" w:fill="auto"/>
            <w:noWrap/>
            <w:vAlign w:val="bottom"/>
            <w:hideMark/>
          </w:tcPr>
          <w:p w14:paraId="608BD28C"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8.73</w:t>
            </w:r>
          </w:p>
        </w:tc>
        <w:tc>
          <w:tcPr>
            <w:tcW w:w="940" w:type="dxa"/>
            <w:tcBorders>
              <w:top w:val="nil"/>
              <w:left w:val="nil"/>
              <w:bottom w:val="single" w:sz="4" w:space="0" w:color="auto"/>
              <w:right w:val="single" w:sz="4" w:space="0" w:color="auto"/>
            </w:tcBorders>
            <w:shd w:val="clear" w:color="auto" w:fill="auto"/>
            <w:noWrap/>
            <w:vAlign w:val="bottom"/>
            <w:hideMark/>
          </w:tcPr>
          <w:p w14:paraId="6F192523"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3.21</w:t>
            </w:r>
          </w:p>
        </w:tc>
        <w:tc>
          <w:tcPr>
            <w:tcW w:w="940" w:type="dxa"/>
            <w:tcBorders>
              <w:top w:val="nil"/>
              <w:left w:val="nil"/>
              <w:bottom w:val="single" w:sz="4" w:space="0" w:color="auto"/>
              <w:right w:val="single" w:sz="4" w:space="0" w:color="auto"/>
            </w:tcBorders>
            <w:shd w:val="clear" w:color="auto" w:fill="auto"/>
            <w:noWrap/>
            <w:vAlign w:val="bottom"/>
            <w:hideMark/>
          </w:tcPr>
          <w:p w14:paraId="32B29193"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21.3%</w:t>
            </w:r>
          </w:p>
        </w:tc>
        <w:tc>
          <w:tcPr>
            <w:tcW w:w="1120" w:type="dxa"/>
            <w:tcBorders>
              <w:top w:val="nil"/>
              <w:left w:val="nil"/>
              <w:bottom w:val="single" w:sz="4" w:space="0" w:color="auto"/>
              <w:right w:val="single" w:sz="4" w:space="0" w:color="auto"/>
            </w:tcBorders>
            <w:shd w:val="clear" w:color="auto" w:fill="auto"/>
            <w:noWrap/>
            <w:vAlign w:val="bottom"/>
            <w:hideMark/>
          </w:tcPr>
          <w:p w14:paraId="0787706C"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4.82</w:t>
            </w:r>
          </w:p>
        </w:tc>
        <w:tc>
          <w:tcPr>
            <w:tcW w:w="1340" w:type="dxa"/>
            <w:tcBorders>
              <w:top w:val="nil"/>
              <w:left w:val="nil"/>
              <w:bottom w:val="single" w:sz="4" w:space="0" w:color="auto"/>
              <w:right w:val="single" w:sz="4" w:space="0" w:color="auto"/>
            </w:tcBorders>
            <w:shd w:val="clear" w:color="auto" w:fill="auto"/>
            <w:noWrap/>
            <w:vAlign w:val="bottom"/>
            <w:hideMark/>
          </w:tcPr>
          <w:p w14:paraId="71F0A5AA"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1.65</w:t>
            </w:r>
          </w:p>
        </w:tc>
      </w:tr>
      <w:tr w:rsidR="009A356E" w:rsidRPr="00EF467E" w14:paraId="3E2F1245" w14:textId="77777777" w:rsidTr="009A356E">
        <w:trPr>
          <w:trHeight w:val="24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768C22F" w14:textId="77777777" w:rsidR="009A356E" w:rsidRPr="00EF467E" w:rsidRDefault="009A356E" w:rsidP="009A356E">
            <w:pPr>
              <w:rPr>
                <w:rFonts w:ascii="Calibri" w:hAnsi="Calibri"/>
                <w:sz w:val="18"/>
                <w:szCs w:val="18"/>
                <w:lang w:eastAsia="en-AU"/>
              </w:rPr>
            </w:pPr>
            <w:r w:rsidRPr="00EF467E">
              <w:rPr>
                <w:rFonts w:ascii="Calibri" w:hAnsi="Calibri"/>
                <w:sz w:val="18"/>
                <w:szCs w:val="18"/>
                <w:lang w:eastAsia="en-AU"/>
              </w:rPr>
              <w:t>Pyrenees</w:t>
            </w:r>
          </w:p>
        </w:tc>
        <w:tc>
          <w:tcPr>
            <w:tcW w:w="1000" w:type="dxa"/>
            <w:tcBorders>
              <w:top w:val="nil"/>
              <w:left w:val="nil"/>
              <w:bottom w:val="single" w:sz="4" w:space="0" w:color="auto"/>
              <w:right w:val="single" w:sz="4" w:space="0" w:color="auto"/>
            </w:tcBorders>
            <w:shd w:val="clear" w:color="auto" w:fill="auto"/>
            <w:noWrap/>
            <w:vAlign w:val="bottom"/>
            <w:hideMark/>
          </w:tcPr>
          <w:p w14:paraId="38EE6C53"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8.13</w:t>
            </w:r>
          </w:p>
        </w:tc>
        <w:tc>
          <w:tcPr>
            <w:tcW w:w="1100" w:type="dxa"/>
            <w:tcBorders>
              <w:top w:val="nil"/>
              <w:left w:val="nil"/>
              <w:bottom w:val="single" w:sz="4" w:space="0" w:color="auto"/>
              <w:right w:val="single" w:sz="4" w:space="0" w:color="auto"/>
            </w:tcBorders>
            <w:shd w:val="clear" w:color="auto" w:fill="auto"/>
            <w:noWrap/>
            <w:vAlign w:val="bottom"/>
            <w:hideMark/>
          </w:tcPr>
          <w:p w14:paraId="2DBE9188"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4.16</w:t>
            </w:r>
          </w:p>
        </w:tc>
        <w:tc>
          <w:tcPr>
            <w:tcW w:w="1100" w:type="dxa"/>
            <w:tcBorders>
              <w:top w:val="nil"/>
              <w:left w:val="nil"/>
              <w:bottom w:val="single" w:sz="4" w:space="0" w:color="auto"/>
              <w:right w:val="single" w:sz="4" w:space="0" w:color="auto"/>
            </w:tcBorders>
            <w:shd w:val="clear" w:color="auto" w:fill="auto"/>
            <w:noWrap/>
            <w:vAlign w:val="bottom"/>
            <w:hideMark/>
          </w:tcPr>
          <w:p w14:paraId="02E1DF08"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2.71</w:t>
            </w:r>
          </w:p>
        </w:tc>
        <w:tc>
          <w:tcPr>
            <w:tcW w:w="940" w:type="dxa"/>
            <w:tcBorders>
              <w:top w:val="nil"/>
              <w:left w:val="nil"/>
              <w:bottom w:val="single" w:sz="4" w:space="0" w:color="auto"/>
              <w:right w:val="single" w:sz="4" w:space="0" w:color="auto"/>
            </w:tcBorders>
            <w:shd w:val="clear" w:color="auto" w:fill="auto"/>
            <w:noWrap/>
            <w:vAlign w:val="bottom"/>
            <w:hideMark/>
          </w:tcPr>
          <w:p w14:paraId="2E35FA78"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w:t>
            </w:r>
          </w:p>
        </w:tc>
        <w:tc>
          <w:tcPr>
            <w:tcW w:w="940" w:type="dxa"/>
            <w:tcBorders>
              <w:top w:val="nil"/>
              <w:left w:val="nil"/>
              <w:bottom w:val="single" w:sz="4" w:space="0" w:color="auto"/>
              <w:right w:val="single" w:sz="4" w:space="0" w:color="auto"/>
            </w:tcBorders>
            <w:shd w:val="clear" w:color="auto" w:fill="auto"/>
            <w:noWrap/>
            <w:vAlign w:val="bottom"/>
            <w:hideMark/>
          </w:tcPr>
          <w:p w14:paraId="67D688CA"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0.0%</w:t>
            </w:r>
          </w:p>
        </w:tc>
        <w:tc>
          <w:tcPr>
            <w:tcW w:w="1120" w:type="dxa"/>
            <w:tcBorders>
              <w:top w:val="nil"/>
              <w:left w:val="nil"/>
              <w:bottom w:val="single" w:sz="4" w:space="0" w:color="auto"/>
              <w:right w:val="single" w:sz="4" w:space="0" w:color="auto"/>
            </w:tcBorders>
            <w:shd w:val="clear" w:color="auto" w:fill="auto"/>
            <w:noWrap/>
            <w:vAlign w:val="bottom"/>
            <w:hideMark/>
          </w:tcPr>
          <w:p w14:paraId="2C4A8AE5"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1.91</w:t>
            </w:r>
          </w:p>
        </w:tc>
        <w:tc>
          <w:tcPr>
            <w:tcW w:w="1340" w:type="dxa"/>
            <w:tcBorders>
              <w:top w:val="nil"/>
              <w:left w:val="nil"/>
              <w:bottom w:val="single" w:sz="4" w:space="0" w:color="auto"/>
              <w:right w:val="single" w:sz="4" w:space="0" w:color="auto"/>
            </w:tcBorders>
            <w:shd w:val="clear" w:color="auto" w:fill="auto"/>
            <w:noWrap/>
            <w:vAlign w:val="bottom"/>
            <w:hideMark/>
          </w:tcPr>
          <w:p w14:paraId="42BF410B"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0.92</w:t>
            </w:r>
          </w:p>
        </w:tc>
      </w:tr>
      <w:tr w:rsidR="009A356E" w:rsidRPr="00EF467E" w14:paraId="47E0DA23" w14:textId="77777777" w:rsidTr="009A356E">
        <w:trPr>
          <w:trHeight w:val="24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2EDCC1A6" w14:textId="77777777" w:rsidR="009A356E" w:rsidRPr="00EF467E" w:rsidRDefault="009A356E" w:rsidP="009A356E">
            <w:pPr>
              <w:rPr>
                <w:rFonts w:ascii="Calibri" w:hAnsi="Calibri"/>
                <w:sz w:val="18"/>
                <w:szCs w:val="18"/>
                <w:lang w:eastAsia="en-AU"/>
              </w:rPr>
            </w:pPr>
            <w:r w:rsidRPr="00EF467E">
              <w:rPr>
                <w:rFonts w:ascii="Calibri" w:hAnsi="Calibri"/>
                <w:sz w:val="18"/>
                <w:szCs w:val="18"/>
                <w:lang w:eastAsia="en-AU"/>
              </w:rPr>
              <w:t>South Gippsland</w:t>
            </w:r>
          </w:p>
        </w:tc>
        <w:tc>
          <w:tcPr>
            <w:tcW w:w="1000" w:type="dxa"/>
            <w:tcBorders>
              <w:top w:val="nil"/>
              <w:left w:val="nil"/>
              <w:bottom w:val="single" w:sz="4" w:space="0" w:color="auto"/>
              <w:right w:val="single" w:sz="4" w:space="0" w:color="auto"/>
            </w:tcBorders>
            <w:shd w:val="clear" w:color="auto" w:fill="auto"/>
            <w:noWrap/>
            <w:vAlign w:val="bottom"/>
            <w:hideMark/>
          </w:tcPr>
          <w:p w14:paraId="65FDDC50"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35.80</w:t>
            </w:r>
          </w:p>
        </w:tc>
        <w:tc>
          <w:tcPr>
            <w:tcW w:w="1100" w:type="dxa"/>
            <w:tcBorders>
              <w:top w:val="nil"/>
              <w:left w:val="nil"/>
              <w:bottom w:val="single" w:sz="4" w:space="0" w:color="auto"/>
              <w:right w:val="single" w:sz="4" w:space="0" w:color="auto"/>
            </w:tcBorders>
            <w:shd w:val="clear" w:color="auto" w:fill="auto"/>
            <w:noWrap/>
            <w:vAlign w:val="bottom"/>
            <w:hideMark/>
          </w:tcPr>
          <w:p w14:paraId="56F9CF30"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2.95</w:t>
            </w:r>
          </w:p>
        </w:tc>
        <w:tc>
          <w:tcPr>
            <w:tcW w:w="1100" w:type="dxa"/>
            <w:tcBorders>
              <w:top w:val="nil"/>
              <w:left w:val="nil"/>
              <w:bottom w:val="single" w:sz="4" w:space="0" w:color="auto"/>
              <w:right w:val="single" w:sz="4" w:space="0" w:color="auto"/>
            </w:tcBorders>
            <w:shd w:val="clear" w:color="auto" w:fill="auto"/>
            <w:noWrap/>
            <w:vAlign w:val="bottom"/>
            <w:hideMark/>
          </w:tcPr>
          <w:p w14:paraId="488E5461"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10.95</w:t>
            </w:r>
          </w:p>
        </w:tc>
        <w:tc>
          <w:tcPr>
            <w:tcW w:w="940" w:type="dxa"/>
            <w:tcBorders>
              <w:top w:val="nil"/>
              <w:left w:val="nil"/>
              <w:bottom w:val="single" w:sz="4" w:space="0" w:color="auto"/>
              <w:right w:val="single" w:sz="4" w:space="0" w:color="auto"/>
            </w:tcBorders>
            <w:shd w:val="clear" w:color="auto" w:fill="auto"/>
            <w:noWrap/>
            <w:vAlign w:val="bottom"/>
            <w:hideMark/>
          </w:tcPr>
          <w:p w14:paraId="1747F551"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8.00</w:t>
            </w:r>
          </w:p>
        </w:tc>
        <w:tc>
          <w:tcPr>
            <w:tcW w:w="940" w:type="dxa"/>
            <w:tcBorders>
              <w:top w:val="nil"/>
              <w:left w:val="nil"/>
              <w:bottom w:val="single" w:sz="4" w:space="0" w:color="auto"/>
              <w:right w:val="single" w:sz="4" w:space="0" w:color="auto"/>
            </w:tcBorders>
            <w:shd w:val="clear" w:color="auto" w:fill="auto"/>
            <w:noWrap/>
            <w:vAlign w:val="bottom"/>
            <w:hideMark/>
          </w:tcPr>
          <w:p w14:paraId="3E9AE35E"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22.4%</w:t>
            </w:r>
          </w:p>
        </w:tc>
        <w:tc>
          <w:tcPr>
            <w:tcW w:w="1120" w:type="dxa"/>
            <w:tcBorders>
              <w:top w:val="nil"/>
              <w:left w:val="nil"/>
              <w:bottom w:val="single" w:sz="4" w:space="0" w:color="auto"/>
              <w:right w:val="single" w:sz="4" w:space="0" w:color="auto"/>
            </w:tcBorders>
            <w:shd w:val="clear" w:color="auto" w:fill="auto"/>
            <w:noWrap/>
            <w:vAlign w:val="bottom"/>
            <w:hideMark/>
          </w:tcPr>
          <w:p w14:paraId="571156CD"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w:t>
            </w:r>
          </w:p>
        </w:tc>
        <w:tc>
          <w:tcPr>
            <w:tcW w:w="1340" w:type="dxa"/>
            <w:tcBorders>
              <w:top w:val="nil"/>
              <w:left w:val="nil"/>
              <w:bottom w:val="single" w:sz="4" w:space="0" w:color="auto"/>
              <w:right w:val="single" w:sz="4" w:space="0" w:color="auto"/>
            </w:tcBorders>
            <w:shd w:val="clear" w:color="auto" w:fill="auto"/>
            <w:noWrap/>
            <w:vAlign w:val="bottom"/>
            <w:hideMark/>
          </w:tcPr>
          <w:p w14:paraId="4F3BE584"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0.43</w:t>
            </w:r>
          </w:p>
        </w:tc>
      </w:tr>
      <w:tr w:rsidR="009A356E" w:rsidRPr="00EF467E" w14:paraId="582B1063" w14:textId="77777777" w:rsidTr="009A356E">
        <w:trPr>
          <w:trHeight w:val="24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181D3ABF" w14:textId="77777777" w:rsidR="009A356E" w:rsidRPr="00EF467E" w:rsidRDefault="009A356E" w:rsidP="009A356E">
            <w:pPr>
              <w:rPr>
                <w:rFonts w:ascii="Calibri" w:hAnsi="Calibri"/>
                <w:sz w:val="18"/>
                <w:szCs w:val="18"/>
                <w:lang w:eastAsia="en-AU"/>
              </w:rPr>
            </w:pPr>
            <w:r w:rsidRPr="00EF467E">
              <w:rPr>
                <w:rFonts w:ascii="Calibri" w:hAnsi="Calibri"/>
                <w:sz w:val="18"/>
                <w:szCs w:val="18"/>
                <w:lang w:eastAsia="en-AU"/>
              </w:rPr>
              <w:t>Southern Grampians</w:t>
            </w:r>
          </w:p>
        </w:tc>
        <w:tc>
          <w:tcPr>
            <w:tcW w:w="1000" w:type="dxa"/>
            <w:tcBorders>
              <w:top w:val="nil"/>
              <w:left w:val="nil"/>
              <w:bottom w:val="single" w:sz="4" w:space="0" w:color="auto"/>
              <w:right w:val="single" w:sz="4" w:space="0" w:color="auto"/>
            </w:tcBorders>
            <w:shd w:val="clear" w:color="auto" w:fill="auto"/>
            <w:noWrap/>
            <w:vAlign w:val="bottom"/>
            <w:hideMark/>
          </w:tcPr>
          <w:p w14:paraId="3463768C"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17.21</w:t>
            </w:r>
          </w:p>
        </w:tc>
        <w:tc>
          <w:tcPr>
            <w:tcW w:w="1100" w:type="dxa"/>
            <w:tcBorders>
              <w:top w:val="nil"/>
              <w:left w:val="nil"/>
              <w:bottom w:val="single" w:sz="4" w:space="0" w:color="auto"/>
              <w:right w:val="single" w:sz="4" w:space="0" w:color="auto"/>
            </w:tcBorders>
            <w:shd w:val="clear" w:color="auto" w:fill="auto"/>
            <w:noWrap/>
            <w:vAlign w:val="bottom"/>
            <w:hideMark/>
          </w:tcPr>
          <w:p w14:paraId="66C7A56F"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5.79</w:t>
            </w:r>
          </w:p>
        </w:tc>
        <w:tc>
          <w:tcPr>
            <w:tcW w:w="1100" w:type="dxa"/>
            <w:tcBorders>
              <w:top w:val="nil"/>
              <w:left w:val="nil"/>
              <w:bottom w:val="single" w:sz="4" w:space="0" w:color="auto"/>
              <w:right w:val="single" w:sz="4" w:space="0" w:color="auto"/>
            </w:tcBorders>
            <w:shd w:val="clear" w:color="auto" w:fill="auto"/>
            <w:noWrap/>
            <w:vAlign w:val="bottom"/>
            <w:hideMark/>
          </w:tcPr>
          <w:p w14:paraId="14228598"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6.12</w:t>
            </w:r>
          </w:p>
        </w:tc>
        <w:tc>
          <w:tcPr>
            <w:tcW w:w="940" w:type="dxa"/>
            <w:tcBorders>
              <w:top w:val="nil"/>
              <w:left w:val="nil"/>
              <w:bottom w:val="single" w:sz="4" w:space="0" w:color="auto"/>
              <w:right w:val="single" w:sz="4" w:space="0" w:color="auto"/>
            </w:tcBorders>
            <w:shd w:val="clear" w:color="auto" w:fill="auto"/>
            <w:noWrap/>
            <w:vAlign w:val="bottom"/>
            <w:hideMark/>
          </w:tcPr>
          <w:p w14:paraId="0B6BCBC6"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0.33</w:t>
            </w:r>
          </w:p>
        </w:tc>
        <w:tc>
          <w:tcPr>
            <w:tcW w:w="940" w:type="dxa"/>
            <w:tcBorders>
              <w:top w:val="nil"/>
              <w:left w:val="nil"/>
              <w:bottom w:val="single" w:sz="4" w:space="0" w:color="auto"/>
              <w:right w:val="single" w:sz="4" w:space="0" w:color="auto"/>
            </w:tcBorders>
            <w:shd w:val="clear" w:color="auto" w:fill="auto"/>
            <w:noWrap/>
            <w:vAlign w:val="bottom"/>
            <w:hideMark/>
          </w:tcPr>
          <w:p w14:paraId="41751D35"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1.9%</w:t>
            </w:r>
          </w:p>
        </w:tc>
        <w:tc>
          <w:tcPr>
            <w:tcW w:w="1120" w:type="dxa"/>
            <w:tcBorders>
              <w:top w:val="nil"/>
              <w:left w:val="nil"/>
              <w:bottom w:val="single" w:sz="4" w:space="0" w:color="auto"/>
              <w:right w:val="single" w:sz="4" w:space="0" w:color="auto"/>
            </w:tcBorders>
            <w:shd w:val="clear" w:color="auto" w:fill="auto"/>
            <w:noWrap/>
            <w:vAlign w:val="bottom"/>
            <w:hideMark/>
          </w:tcPr>
          <w:p w14:paraId="44EE4F86"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w:t>
            </w:r>
          </w:p>
        </w:tc>
        <w:tc>
          <w:tcPr>
            <w:tcW w:w="1340" w:type="dxa"/>
            <w:tcBorders>
              <w:top w:val="nil"/>
              <w:left w:val="nil"/>
              <w:bottom w:val="single" w:sz="4" w:space="0" w:color="auto"/>
              <w:right w:val="single" w:sz="4" w:space="0" w:color="auto"/>
            </w:tcBorders>
            <w:shd w:val="clear" w:color="auto" w:fill="auto"/>
            <w:noWrap/>
            <w:vAlign w:val="bottom"/>
            <w:hideMark/>
          </w:tcPr>
          <w:p w14:paraId="056D9649"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0.22</w:t>
            </w:r>
          </w:p>
        </w:tc>
      </w:tr>
      <w:tr w:rsidR="009A356E" w:rsidRPr="00EF467E" w14:paraId="28CDA278" w14:textId="77777777" w:rsidTr="009A356E">
        <w:trPr>
          <w:trHeight w:val="24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072083B4" w14:textId="77777777" w:rsidR="009A356E" w:rsidRPr="00EF467E" w:rsidRDefault="009A356E" w:rsidP="009A356E">
            <w:pPr>
              <w:rPr>
                <w:rFonts w:ascii="Calibri" w:hAnsi="Calibri"/>
                <w:sz w:val="18"/>
                <w:szCs w:val="18"/>
                <w:lang w:eastAsia="en-AU"/>
              </w:rPr>
            </w:pPr>
            <w:r w:rsidRPr="00EF467E">
              <w:rPr>
                <w:rFonts w:ascii="Calibri" w:hAnsi="Calibri"/>
                <w:sz w:val="18"/>
                <w:szCs w:val="18"/>
                <w:lang w:eastAsia="en-AU"/>
              </w:rPr>
              <w:t>Strathbogie</w:t>
            </w:r>
          </w:p>
        </w:tc>
        <w:tc>
          <w:tcPr>
            <w:tcW w:w="1000" w:type="dxa"/>
            <w:tcBorders>
              <w:top w:val="nil"/>
              <w:left w:val="nil"/>
              <w:bottom w:val="single" w:sz="4" w:space="0" w:color="auto"/>
              <w:right w:val="single" w:sz="4" w:space="0" w:color="auto"/>
            </w:tcBorders>
            <w:shd w:val="clear" w:color="auto" w:fill="auto"/>
            <w:noWrap/>
            <w:vAlign w:val="bottom"/>
            <w:hideMark/>
          </w:tcPr>
          <w:p w14:paraId="05694CC9"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16.17</w:t>
            </w:r>
          </w:p>
        </w:tc>
        <w:tc>
          <w:tcPr>
            <w:tcW w:w="1100" w:type="dxa"/>
            <w:tcBorders>
              <w:top w:val="nil"/>
              <w:left w:val="nil"/>
              <w:bottom w:val="single" w:sz="4" w:space="0" w:color="auto"/>
              <w:right w:val="single" w:sz="4" w:space="0" w:color="auto"/>
            </w:tcBorders>
            <w:shd w:val="clear" w:color="auto" w:fill="auto"/>
            <w:noWrap/>
            <w:vAlign w:val="bottom"/>
            <w:hideMark/>
          </w:tcPr>
          <w:p w14:paraId="33B37DEE"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4.14</w:t>
            </w:r>
          </w:p>
        </w:tc>
        <w:tc>
          <w:tcPr>
            <w:tcW w:w="1100" w:type="dxa"/>
            <w:tcBorders>
              <w:top w:val="nil"/>
              <w:left w:val="nil"/>
              <w:bottom w:val="single" w:sz="4" w:space="0" w:color="auto"/>
              <w:right w:val="single" w:sz="4" w:space="0" w:color="auto"/>
            </w:tcBorders>
            <w:shd w:val="clear" w:color="auto" w:fill="auto"/>
            <w:noWrap/>
            <w:vAlign w:val="bottom"/>
            <w:hideMark/>
          </w:tcPr>
          <w:p w14:paraId="07F2F52C"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4.30</w:t>
            </w:r>
          </w:p>
        </w:tc>
        <w:tc>
          <w:tcPr>
            <w:tcW w:w="940" w:type="dxa"/>
            <w:tcBorders>
              <w:top w:val="nil"/>
              <w:left w:val="nil"/>
              <w:bottom w:val="single" w:sz="4" w:space="0" w:color="auto"/>
              <w:right w:val="single" w:sz="4" w:space="0" w:color="auto"/>
            </w:tcBorders>
            <w:shd w:val="clear" w:color="auto" w:fill="auto"/>
            <w:noWrap/>
            <w:vAlign w:val="bottom"/>
            <w:hideMark/>
          </w:tcPr>
          <w:p w14:paraId="0EB44712"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0.15</w:t>
            </w:r>
          </w:p>
        </w:tc>
        <w:tc>
          <w:tcPr>
            <w:tcW w:w="940" w:type="dxa"/>
            <w:tcBorders>
              <w:top w:val="nil"/>
              <w:left w:val="nil"/>
              <w:bottom w:val="single" w:sz="4" w:space="0" w:color="auto"/>
              <w:right w:val="single" w:sz="4" w:space="0" w:color="auto"/>
            </w:tcBorders>
            <w:shd w:val="clear" w:color="auto" w:fill="auto"/>
            <w:noWrap/>
            <w:vAlign w:val="bottom"/>
            <w:hideMark/>
          </w:tcPr>
          <w:p w14:paraId="351725DA"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1.0%</w:t>
            </w:r>
          </w:p>
        </w:tc>
        <w:tc>
          <w:tcPr>
            <w:tcW w:w="1120" w:type="dxa"/>
            <w:tcBorders>
              <w:top w:val="nil"/>
              <w:left w:val="nil"/>
              <w:bottom w:val="single" w:sz="4" w:space="0" w:color="auto"/>
              <w:right w:val="single" w:sz="4" w:space="0" w:color="auto"/>
            </w:tcBorders>
            <w:shd w:val="clear" w:color="auto" w:fill="auto"/>
            <w:noWrap/>
            <w:vAlign w:val="bottom"/>
            <w:hideMark/>
          </w:tcPr>
          <w:p w14:paraId="5413EB65"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2.35</w:t>
            </w:r>
          </w:p>
        </w:tc>
        <w:tc>
          <w:tcPr>
            <w:tcW w:w="1340" w:type="dxa"/>
            <w:tcBorders>
              <w:top w:val="nil"/>
              <w:left w:val="nil"/>
              <w:bottom w:val="single" w:sz="4" w:space="0" w:color="auto"/>
              <w:right w:val="single" w:sz="4" w:space="0" w:color="auto"/>
            </w:tcBorders>
            <w:shd w:val="clear" w:color="auto" w:fill="auto"/>
            <w:noWrap/>
            <w:vAlign w:val="bottom"/>
            <w:hideMark/>
          </w:tcPr>
          <w:p w14:paraId="1B3A5B4F"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w:t>
            </w:r>
          </w:p>
        </w:tc>
      </w:tr>
      <w:tr w:rsidR="009A356E" w:rsidRPr="00EF467E" w14:paraId="02AFA2C2" w14:textId="77777777" w:rsidTr="009A356E">
        <w:trPr>
          <w:trHeight w:val="24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73DE94FB" w14:textId="77777777" w:rsidR="009A356E" w:rsidRPr="00EF467E" w:rsidRDefault="009A356E" w:rsidP="009A356E">
            <w:pPr>
              <w:rPr>
                <w:rFonts w:ascii="Calibri" w:hAnsi="Calibri"/>
                <w:sz w:val="18"/>
                <w:szCs w:val="18"/>
                <w:lang w:eastAsia="en-AU"/>
              </w:rPr>
            </w:pPr>
            <w:r w:rsidRPr="00EF467E">
              <w:rPr>
                <w:rFonts w:ascii="Calibri" w:hAnsi="Calibri"/>
                <w:sz w:val="18"/>
                <w:szCs w:val="18"/>
                <w:lang w:eastAsia="en-AU"/>
              </w:rPr>
              <w:t>Surf Coast</w:t>
            </w:r>
          </w:p>
        </w:tc>
        <w:tc>
          <w:tcPr>
            <w:tcW w:w="1000" w:type="dxa"/>
            <w:tcBorders>
              <w:top w:val="nil"/>
              <w:left w:val="nil"/>
              <w:bottom w:val="single" w:sz="4" w:space="0" w:color="auto"/>
              <w:right w:val="single" w:sz="4" w:space="0" w:color="auto"/>
            </w:tcBorders>
            <w:shd w:val="clear" w:color="auto" w:fill="auto"/>
            <w:noWrap/>
            <w:vAlign w:val="bottom"/>
            <w:hideMark/>
          </w:tcPr>
          <w:p w14:paraId="3D0654A6"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42.98</w:t>
            </w:r>
          </w:p>
        </w:tc>
        <w:tc>
          <w:tcPr>
            <w:tcW w:w="1100" w:type="dxa"/>
            <w:tcBorders>
              <w:top w:val="nil"/>
              <w:left w:val="nil"/>
              <w:bottom w:val="single" w:sz="4" w:space="0" w:color="auto"/>
              <w:right w:val="single" w:sz="4" w:space="0" w:color="auto"/>
            </w:tcBorders>
            <w:shd w:val="clear" w:color="auto" w:fill="auto"/>
            <w:noWrap/>
            <w:vAlign w:val="bottom"/>
            <w:hideMark/>
          </w:tcPr>
          <w:p w14:paraId="36EA3AB3"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2.63</w:t>
            </w:r>
          </w:p>
        </w:tc>
        <w:tc>
          <w:tcPr>
            <w:tcW w:w="1100" w:type="dxa"/>
            <w:tcBorders>
              <w:top w:val="nil"/>
              <w:left w:val="nil"/>
              <w:bottom w:val="single" w:sz="4" w:space="0" w:color="auto"/>
              <w:right w:val="single" w:sz="4" w:space="0" w:color="auto"/>
            </w:tcBorders>
            <w:shd w:val="clear" w:color="auto" w:fill="auto"/>
            <w:noWrap/>
            <w:vAlign w:val="bottom"/>
            <w:hideMark/>
          </w:tcPr>
          <w:p w14:paraId="52DAA910"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3.87</w:t>
            </w:r>
          </w:p>
        </w:tc>
        <w:tc>
          <w:tcPr>
            <w:tcW w:w="940" w:type="dxa"/>
            <w:tcBorders>
              <w:top w:val="nil"/>
              <w:left w:val="nil"/>
              <w:bottom w:val="single" w:sz="4" w:space="0" w:color="auto"/>
              <w:right w:val="single" w:sz="4" w:space="0" w:color="auto"/>
            </w:tcBorders>
            <w:shd w:val="clear" w:color="auto" w:fill="auto"/>
            <w:noWrap/>
            <w:vAlign w:val="bottom"/>
            <w:hideMark/>
          </w:tcPr>
          <w:p w14:paraId="2994A1F5"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1.24</w:t>
            </w:r>
          </w:p>
        </w:tc>
        <w:tc>
          <w:tcPr>
            <w:tcW w:w="940" w:type="dxa"/>
            <w:tcBorders>
              <w:top w:val="nil"/>
              <w:left w:val="nil"/>
              <w:bottom w:val="single" w:sz="4" w:space="0" w:color="auto"/>
              <w:right w:val="single" w:sz="4" w:space="0" w:color="auto"/>
            </w:tcBorders>
            <w:shd w:val="clear" w:color="auto" w:fill="auto"/>
            <w:noWrap/>
            <w:vAlign w:val="bottom"/>
            <w:hideMark/>
          </w:tcPr>
          <w:p w14:paraId="4615F0FF"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2.9%</w:t>
            </w:r>
          </w:p>
        </w:tc>
        <w:tc>
          <w:tcPr>
            <w:tcW w:w="1120" w:type="dxa"/>
            <w:tcBorders>
              <w:top w:val="nil"/>
              <w:left w:val="nil"/>
              <w:bottom w:val="single" w:sz="4" w:space="0" w:color="auto"/>
              <w:right w:val="single" w:sz="4" w:space="0" w:color="auto"/>
            </w:tcBorders>
            <w:shd w:val="clear" w:color="auto" w:fill="auto"/>
            <w:noWrap/>
            <w:vAlign w:val="bottom"/>
            <w:hideMark/>
          </w:tcPr>
          <w:p w14:paraId="52CB3AEE"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w:t>
            </w:r>
          </w:p>
        </w:tc>
        <w:tc>
          <w:tcPr>
            <w:tcW w:w="1340" w:type="dxa"/>
            <w:tcBorders>
              <w:top w:val="nil"/>
              <w:left w:val="nil"/>
              <w:bottom w:val="single" w:sz="4" w:space="0" w:color="auto"/>
              <w:right w:val="single" w:sz="4" w:space="0" w:color="auto"/>
            </w:tcBorders>
            <w:shd w:val="clear" w:color="auto" w:fill="auto"/>
            <w:noWrap/>
            <w:vAlign w:val="bottom"/>
            <w:hideMark/>
          </w:tcPr>
          <w:p w14:paraId="59A0A390"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0.70</w:t>
            </w:r>
          </w:p>
        </w:tc>
      </w:tr>
      <w:tr w:rsidR="009A356E" w:rsidRPr="00EF467E" w14:paraId="0B4700ED" w14:textId="77777777" w:rsidTr="009A356E">
        <w:trPr>
          <w:trHeight w:val="24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27039EFB" w14:textId="77777777" w:rsidR="009A356E" w:rsidRPr="00EF467E" w:rsidRDefault="009A356E" w:rsidP="009A356E">
            <w:pPr>
              <w:rPr>
                <w:rFonts w:ascii="Calibri" w:hAnsi="Calibri"/>
                <w:sz w:val="18"/>
                <w:szCs w:val="18"/>
                <w:lang w:eastAsia="en-AU"/>
              </w:rPr>
            </w:pPr>
            <w:r w:rsidRPr="00EF467E">
              <w:rPr>
                <w:rFonts w:ascii="Calibri" w:hAnsi="Calibri"/>
                <w:sz w:val="18"/>
                <w:szCs w:val="18"/>
                <w:lang w:eastAsia="en-AU"/>
              </w:rPr>
              <w:t>Swan Hill</w:t>
            </w:r>
          </w:p>
        </w:tc>
        <w:tc>
          <w:tcPr>
            <w:tcW w:w="1000" w:type="dxa"/>
            <w:tcBorders>
              <w:top w:val="nil"/>
              <w:left w:val="nil"/>
              <w:bottom w:val="single" w:sz="4" w:space="0" w:color="auto"/>
              <w:right w:val="single" w:sz="4" w:space="0" w:color="auto"/>
            </w:tcBorders>
            <w:shd w:val="clear" w:color="auto" w:fill="auto"/>
            <w:noWrap/>
            <w:vAlign w:val="bottom"/>
            <w:hideMark/>
          </w:tcPr>
          <w:p w14:paraId="50F6C6FF"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24.18</w:t>
            </w:r>
          </w:p>
        </w:tc>
        <w:tc>
          <w:tcPr>
            <w:tcW w:w="1100" w:type="dxa"/>
            <w:tcBorders>
              <w:top w:val="nil"/>
              <w:left w:val="nil"/>
              <w:bottom w:val="single" w:sz="4" w:space="0" w:color="auto"/>
              <w:right w:val="single" w:sz="4" w:space="0" w:color="auto"/>
            </w:tcBorders>
            <w:shd w:val="clear" w:color="auto" w:fill="auto"/>
            <w:noWrap/>
            <w:vAlign w:val="bottom"/>
            <w:hideMark/>
          </w:tcPr>
          <w:p w14:paraId="263CFDE1"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3.03</w:t>
            </w:r>
          </w:p>
        </w:tc>
        <w:tc>
          <w:tcPr>
            <w:tcW w:w="1100" w:type="dxa"/>
            <w:tcBorders>
              <w:top w:val="nil"/>
              <w:left w:val="nil"/>
              <w:bottom w:val="single" w:sz="4" w:space="0" w:color="auto"/>
              <w:right w:val="single" w:sz="4" w:space="0" w:color="auto"/>
            </w:tcBorders>
            <w:shd w:val="clear" w:color="auto" w:fill="auto"/>
            <w:noWrap/>
            <w:vAlign w:val="bottom"/>
            <w:hideMark/>
          </w:tcPr>
          <w:p w14:paraId="0CE46108"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6.28</w:t>
            </w:r>
          </w:p>
        </w:tc>
        <w:tc>
          <w:tcPr>
            <w:tcW w:w="940" w:type="dxa"/>
            <w:tcBorders>
              <w:top w:val="nil"/>
              <w:left w:val="nil"/>
              <w:bottom w:val="single" w:sz="4" w:space="0" w:color="auto"/>
              <w:right w:val="single" w:sz="4" w:space="0" w:color="auto"/>
            </w:tcBorders>
            <w:shd w:val="clear" w:color="auto" w:fill="auto"/>
            <w:noWrap/>
            <w:vAlign w:val="bottom"/>
            <w:hideMark/>
          </w:tcPr>
          <w:p w14:paraId="306B1D8A"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3.25</w:t>
            </w:r>
          </w:p>
        </w:tc>
        <w:tc>
          <w:tcPr>
            <w:tcW w:w="940" w:type="dxa"/>
            <w:tcBorders>
              <w:top w:val="nil"/>
              <w:left w:val="nil"/>
              <w:bottom w:val="single" w:sz="4" w:space="0" w:color="auto"/>
              <w:right w:val="single" w:sz="4" w:space="0" w:color="auto"/>
            </w:tcBorders>
            <w:shd w:val="clear" w:color="auto" w:fill="auto"/>
            <w:noWrap/>
            <w:vAlign w:val="bottom"/>
            <w:hideMark/>
          </w:tcPr>
          <w:p w14:paraId="1859025D"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13.4%</w:t>
            </w:r>
          </w:p>
        </w:tc>
        <w:tc>
          <w:tcPr>
            <w:tcW w:w="1120" w:type="dxa"/>
            <w:tcBorders>
              <w:top w:val="nil"/>
              <w:left w:val="nil"/>
              <w:bottom w:val="single" w:sz="4" w:space="0" w:color="auto"/>
              <w:right w:val="single" w:sz="4" w:space="0" w:color="auto"/>
            </w:tcBorders>
            <w:shd w:val="clear" w:color="auto" w:fill="auto"/>
            <w:noWrap/>
            <w:vAlign w:val="bottom"/>
            <w:hideMark/>
          </w:tcPr>
          <w:p w14:paraId="29BC6B59"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2.78</w:t>
            </w:r>
          </w:p>
        </w:tc>
        <w:tc>
          <w:tcPr>
            <w:tcW w:w="1340" w:type="dxa"/>
            <w:tcBorders>
              <w:top w:val="nil"/>
              <w:left w:val="nil"/>
              <w:bottom w:val="single" w:sz="4" w:space="0" w:color="auto"/>
              <w:right w:val="single" w:sz="4" w:space="0" w:color="auto"/>
            </w:tcBorders>
            <w:shd w:val="clear" w:color="auto" w:fill="auto"/>
            <w:noWrap/>
            <w:vAlign w:val="bottom"/>
            <w:hideMark/>
          </w:tcPr>
          <w:p w14:paraId="3C6F0CB3"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w:t>
            </w:r>
          </w:p>
        </w:tc>
      </w:tr>
      <w:tr w:rsidR="009A356E" w:rsidRPr="00EF467E" w14:paraId="7A18CEAD" w14:textId="77777777" w:rsidTr="009A356E">
        <w:trPr>
          <w:trHeight w:val="24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3DFB4C07" w14:textId="77777777" w:rsidR="009A356E" w:rsidRPr="00EF467E" w:rsidRDefault="009A356E" w:rsidP="009A356E">
            <w:pPr>
              <w:rPr>
                <w:rFonts w:ascii="Calibri" w:hAnsi="Calibri"/>
                <w:sz w:val="18"/>
                <w:szCs w:val="18"/>
                <w:lang w:eastAsia="en-AU"/>
              </w:rPr>
            </w:pPr>
            <w:r w:rsidRPr="00EF467E">
              <w:rPr>
                <w:rFonts w:ascii="Calibri" w:hAnsi="Calibri"/>
                <w:sz w:val="18"/>
                <w:szCs w:val="18"/>
                <w:lang w:eastAsia="en-AU"/>
              </w:rPr>
              <w:t>Towong</w:t>
            </w:r>
          </w:p>
        </w:tc>
        <w:tc>
          <w:tcPr>
            <w:tcW w:w="1000" w:type="dxa"/>
            <w:tcBorders>
              <w:top w:val="nil"/>
              <w:left w:val="nil"/>
              <w:bottom w:val="single" w:sz="4" w:space="0" w:color="auto"/>
              <w:right w:val="single" w:sz="4" w:space="0" w:color="auto"/>
            </w:tcBorders>
            <w:shd w:val="clear" w:color="auto" w:fill="auto"/>
            <w:noWrap/>
            <w:vAlign w:val="bottom"/>
            <w:hideMark/>
          </w:tcPr>
          <w:p w14:paraId="6CA090C4"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7.04</w:t>
            </w:r>
          </w:p>
        </w:tc>
        <w:tc>
          <w:tcPr>
            <w:tcW w:w="1100" w:type="dxa"/>
            <w:tcBorders>
              <w:top w:val="nil"/>
              <w:left w:val="nil"/>
              <w:bottom w:val="single" w:sz="4" w:space="0" w:color="auto"/>
              <w:right w:val="single" w:sz="4" w:space="0" w:color="auto"/>
            </w:tcBorders>
            <w:shd w:val="clear" w:color="auto" w:fill="auto"/>
            <w:noWrap/>
            <w:vAlign w:val="bottom"/>
            <w:hideMark/>
          </w:tcPr>
          <w:p w14:paraId="66DEA271"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2.01</w:t>
            </w:r>
          </w:p>
        </w:tc>
        <w:tc>
          <w:tcPr>
            <w:tcW w:w="1100" w:type="dxa"/>
            <w:tcBorders>
              <w:top w:val="nil"/>
              <w:left w:val="nil"/>
              <w:bottom w:val="single" w:sz="4" w:space="0" w:color="auto"/>
              <w:right w:val="single" w:sz="4" w:space="0" w:color="auto"/>
            </w:tcBorders>
            <w:shd w:val="clear" w:color="auto" w:fill="auto"/>
            <w:noWrap/>
            <w:vAlign w:val="bottom"/>
            <w:hideMark/>
          </w:tcPr>
          <w:p w14:paraId="060AB0D5"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1.93</w:t>
            </w:r>
          </w:p>
        </w:tc>
        <w:tc>
          <w:tcPr>
            <w:tcW w:w="940" w:type="dxa"/>
            <w:tcBorders>
              <w:top w:val="nil"/>
              <w:left w:val="nil"/>
              <w:bottom w:val="single" w:sz="4" w:space="0" w:color="auto"/>
              <w:right w:val="single" w:sz="4" w:space="0" w:color="auto"/>
            </w:tcBorders>
            <w:shd w:val="clear" w:color="auto" w:fill="auto"/>
            <w:noWrap/>
            <w:vAlign w:val="bottom"/>
            <w:hideMark/>
          </w:tcPr>
          <w:p w14:paraId="632E7E72"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w:t>
            </w:r>
          </w:p>
        </w:tc>
        <w:tc>
          <w:tcPr>
            <w:tcW w:w="940" w:type="dxa"/>
            <w:tcBorders>
              <w:top w:val="nil"/>
              <w:left w:val="nil"/>
              <w:bottom w:val="single" w:sz="4" w:space="0" w:color="auto"/>
              <w:right w:val="single" w:sz="4" w:space="0" w:color="auto"/>
            </w:tcBorders>
            <w:shd w:val="clear" w:color="auto" w:fill="auto"/>
            <w:noWrap/>
            <w:vAlign w:val="bottom"/>
            <w:hideMark/>
          </w:tcPr>
          <w:p w14:paraId="09B5B58E"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0.0%</w:t>
            </w:r>
          </w:p>
        </w:tc>
        <w:tc>
          <w:tcPr>
            <w:tcW w:w="1120" w:type="dxa"/>
            <w:tcBorders>
              <w:top w:val="nil"/>
              <w:left w:val="nil"/>
              <w:bottom w:val="single" w:sz="4" w:space="0" w:color="auto"/>
              <w:right w:val="single" w:sz="4" w:space="0" w:color="auto"/>
            </w:tcBorders>
            <w:shd w:val="clear" w:color="auto" w:fill="auto"/>
            <w:noWrap/>
            <w:vAlign w:val="bottom"/>
            <w:hideMark/>
          </w:tcPr>
          <w:p w14:paraId="1B02CFC5"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w:t>
            </w:r>
          </w:p>
        </w:tc>
        <w:tc>
          <w:tcPr>
            <w:tcW w:w="1340" w:type="dxa"/>
            <w:tcBorders>
              <w:top w:val="nil"/>
              <w:left w:val="nil"/>
              <w:bottom w:val="single" w:sz="4" w:space="0" w:color="auto"/>
              <w:right w:val="single" w:sz="4" w:space="0" w:color="auto"/>
            </w:tcBorders>
            <w:shd w:val="clear" w:color="auto" w:fill="auto"/>
            <w:noWrap/>
            <w:vAlign w:val="bottom"/>
            <w:hideMark/>
          </w:tcPr>
          <w:p w14:paraId="55E98178"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w:t>
            </w:r>
          </w:p>
        </w:tc>
      </w:tr>
      <w:tr w:rsidR="009A356E" w:rsidRPr="00EF467E" w14:paraId="44E42907" w14:textId="77777777" w:rsidTr="009A356E">
        <w:trPr>
          <w:trHeight w:val="24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24BDCD3E" w14:textId="77777777" w:rsidR="009A356E" w:rsidRPr="00EF467E" w:rsidRDefault="009A356E" w:rsidP="009A356E">
            <w:pPr>
              <w:rPr>
                <w:rFonts w:ascii="Calibri" w:hAnsi="Calibri"/>
                <w:sz w:val="18"/>
                <w:szCs w:val="18"/>
                <w:lang w:eastAsia="en-AU"/>
              </w:rPr>
            </w:pPr>
            <w:r w:rsidRPr="00EF467E">
              <w:rPr>
                <w:rFonts w:ascii="Calibri" w:hAnsi="Calibri"/>
                <w:sz w:val="18"/>
                <w:szCs w:val="18"/>
                <w:lang w:eastAsia="en-AU"/>
              </w:rPr>
              <w:t>Wangaratta</w:t>
            </w:r>
          </w:p>
        </w:tc>
        <w:tc>
          <w:tcPr>
            <w:tcW w:w="1000" w:type="dxa"/>
            <w:tcBorders>
              <w:top w:val="nil"/>
              <w:left w:val="nil"/>
              <w:bottom w:val="single" w:sz="4" w:space="0" w:color="auto"/>
              <w:right w:val="single" w:sz="4" w:space="0" w:color="auto"/>
            </w:tcBorders>
            <w:shd w:val="clear" w:color="auto" w:fill="auto"/>
            <w:noWrap/>
            <w:vAlign w:val="bottom"/>
            <w:hideMark/>
          </w:tcPr>
          <w:p w14:paraId="207789E2"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26.34</w:t>
            </w:r>
          </w:p>
        </w:tc>
        <w:tc>
          <w:tcPr>
            <w:tcW w:w="1100" w:type="dxa"/>
            <w:tcBorders>
              <w:top w:val="nil"/>
              <w:left w:val="nil"/>
              <w:bottom w:val="single" w:sz="4" w:space="0" w:color="auto"/>
              <w:right w:val="single" w:sz="4" w:space="0" w:color="auto"/>
            </w:tcBorders>
            <w:shd w:val="clear" w:color="auto" w:fill="auto"/>
            <w:noWrap/>
            <w:vAlign w:val="bottom"/>
            <w:hideMark/>
          </w:tcPr>
          <w:p w14:paraId="24F16C15"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5.67</w:t>
            </w:r>
          </w:p>
        </w:tc>
        <w:tc>
          <w:tcPr>
            <w:tcW w:w="1100" w:type="dxa"/>
            <w:tcBorders>
              <w:top w:val="nil"/>
              <w:left w:val="nil"/>
              <w:bottom w:val="single" w:sz="4" w:space="0" w:color="auto"/>
              <w:right w:val="single" w:sz="4" w:space="0" w:color="auto"/>
            </w:tcBorders>
            <w:shd w:val="clear" w:color="auto" w:fill="auto"/>
            <w:noWrap/>
            <w:vAlign w:val="bottom"/>
            <w:hideMark/>
          </w:tcPr>
          <w:p w14:paraId="5CCC3852"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5.67</w:t>
            </w:r>
          </w:p>
        </w:tc>
        <w:tc>
          <w:tcPr>
            <w:tcW w:w="940" w:type="dxa"/>
            <w:tcBorders>
              <w:top w:val="nil"/>
              <w:left w:val="nil"/>
              <w:bottom w:val="single" w:sz="4" w:space="0" w:color="auto"/>
              <w:right w:val="single" w:sz="4" w:space="0" w:color="auto"/>
            </w:tcBorders>
            <w:shd w:val="clear" w:color="auto" w:fill="auto"/>
            <w:noWrap/>
            <w:vAlign w:val="bottom"/>
            <w:hideMark/>
          </w:tcPr>
          <w:p w14:paraId="219981B3"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w:t>
            </w:r>
          </w:p>
        </w:tc>
        <w:tc>
          <w:tcPr>
            <w:tcW w:w="940" w:type="dxa"/>
            <w:tcBorders>
              <w:top w:val="nil"/>
              <w:left w:val="nil"/>
              <w:bottom w:val="single" w:sz="4" w:space="0" w:color="auto"/>
              <w:right w:val="single" w:sz="4" w:space="0" w:color="auto"/>
            </w:tcBorders>
            <w:shd w:val="clear" w:color="auto" w:fill="auto"/>
            <w:noWrap/>
            <w:vAlign w:val="bottom"/>
            <w:hideMark/>
          </w:tcPr>
          <w:p w14:paraId="191176B0"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0.0%</w:t>
            </w:r>
          </w:p>
        </w:tc>
        <w:tc>
          <w:tcPr>
            <w:tcW w:w="1120" w:type="dxa"/>
            <w:tcBorders>
              <w:top w:val="nil"/>
              <w:left w:val="nil"/>
              <w:bottom w:val="single" w:sz="4" w:space="0" w:color="auto"/>
              <w:right w:val="single" w:sz="4" w:space="0" w:color="auto"/>
            </w:tcBorders>
            <w:shd w:val="clear" w:color="auto" w:fill="auto"/>
            <w:noWrap/>
            <w:vAlign w:val="bottom"/>
            <w:hideMark/>
          </w:tcPr>
          <w:p w14:paraId="4E02FC6D"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w:t>
            </w:r>
          </w:p>
        </w:tc>
        <w:tc>
          <w:tcPr>
            <w:tcW w:w="1340" w:type="dxa"/>
            <w:tcBorders>
              <w:top w:val="nil"/>
              <w:left w:val="nil"/>
              <w:bottom w:val="single" w:sz="4" w:space="0" w:color="auto"/>
              <w:right w:val="single" w:sz="4" w:space="0" w:color="auto"/>
            </w:tcBorders>
            <w:shd w:val="clear" w:color="auto" w:fill="auto"/>
            <w:noWrap/>
            <w:vAlign w:val="bottom"/>
            <w:hideMark/>
          </w:tcPr>
          <w:p w14:paraId="639ACE2B"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w:t>
            </w:r>
          </w:p>
        </w:tc>
      </w:tr>
      <w:tr w:rsidR="009A356E" w:rsidRPr="00EF467E" w14:paraId="325DF848" w14:textId="77777777" w:rsidTr="009A356E">
        <w:trPr>
          <w:trHeight w:val="24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0006D07B" w14:textId="77777777" w:rsidR="009A356E" w:rsidRPr="00EF467E" w:rsidRDefault="009A356E" w:rsidP="009A356E">
            <w:pPr>
              <w:rPr>
                <w:rFonts w:ascii="Calibri" w:hAnsi="Calibri"/>
                <w:sz w:val="18"/>
                <w:szCs w:val="18"/>
                <w:lang w:eastAsia="en-AU"/>
              </w:rPr>
            </w:pPr>
            <w:r w:rsidRPr="00EF467E">
              <w:rPr>
                <w:rFonts w:ascii="Calibri" w:hAnsi="Calibri"/>
                <w:sz w:val="18"/>
                <w:szCs w:val="18"/>
                <w:lang w:eastAsia="en-AU"/>
              </w:rPr>
              <w:t>Wellington</w:t>
            </w:r>
          </w:p>
        </w:tc>
        <w:tc>
          <w:tcPr>
            <w:tcW w:w="1000" w:type="dxa"/>
            <w:tcBorders>
              <w:top w:val="nil"/>
              <w:left w:val="nil"/>
              <w:bottom w:val="single" w:sz="4" w:space="0" w:color="auto"/>
              <w:right w:val="single" w:sz="4" w:space="0" w:color="auto"/>
            </w:tcBorders>
            <w:shd w:val="clear" w:color="auto" w:fill="auto"/>
            <w:noWrap/>
            <w:vAlign w:val="bottom"/>
            <w:hideMark/>
          </w:tcPr>
          <w:p w14:paraId="2078B77B"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49.39</w:t>
            </w:r>
          </w:p>
        </w:tc>
        <w:tc>
          <w:tcPr>
            <w:tcW w:w="1100" w:type="dxa"/>
            <w:tcBorders>
              <w:top w:val="nil"/>
              <w:left w:val="nil"/>
              <w:bottom w:val="single" w:sz="4" w:space="0" w:color="auto"/>
              <w:right w:val="single" w:sz="4" w:space="0" w:color="auto"/>
            </w:tcBorders>
            <w:shd w:val="clear" w:color="auto" w:fill="auto"/>
            <w:noWrap/>
            <w:vAlign w:val="bottom"/>
            <w:hideMark/>
          </w:tcPr>
          <w:p w14:paraId="5223B763"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19.11</w:t>
            </w:r>
          </w:p>
        </w:tc>
        <w:tc>
          <w:tcPr>
            <w:tcW w:w="1100" w:type="dxa"/>
            <w:tcBorders>
              <w:top w:val="nil"/>
              <w:left w:val="nil"/>
              <w:bottom w:val="single" w:sz="4" w:space="0" w:color="auto"/>
              <w:right w:val="single" w:sz="4" w:space="0" w:color="auto"/>
            </w:tcBorders>
            <w:shd w:val="clear" w:color="auto" w:fill="auto"/>
            <w:noWrap/>
            <w:vAlign w:val="bottom"/>
            <w:hideMark/>
          </w:tcPr>
          <w:p w14:paraId="3F3F1FF1"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13.25</w:t>
            </w:r>
          </w:p>
        </w:tc>
        <w:tc>
          <w:tcPr>
            <w:tcW w:w="940" w:type="dxa"/>
            <w:tcBorders>
              <w:top w:val="nil"/>
              <w:left w:val="nil"/>
              <w:bottom w:val="single" w:sz="4" w:space="0" w:color="auto"/>
              <w:right w:val="single" w:sz="4" w:space="0" w:color="auto"/>
            </w:tcBorders>
            <w:shd w:val="clear" w:color="auto" w:fill="auto"/>
            <w:noWrap/>
            <w:vAlign w:val="bottom"/>
            <w:hideMark/>
          </w:tcPr>
          <w:p w14:paraId="73B92542"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w:t>
            </w:r>
          </w:p>
        </w:tc>
        <w:tc>
          <w:tcPr>
            <w:tcW w:w="940" w:type="dxa"/>
            <w:tcBorders>
              <w:top w:val="nil"/>
              <w:left w:val="nil"/>
              <w:bottom w:val="single" w:sz="4" w:space="0" w:color="auto"/>
              <w:right w:val="single" w:sz="4" w:space="0" w:color="auto"/>
            </w:tcBorders>
            <w:shd w:val="clear" w:color="auto" w:fill="auto"/>
            <w:noWrap/>
            <w:vAlign w:val="bottom"/>
            <w:hideMark/>
          </w:tcPr>
          <w:p w14:paraId="20D74479"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0.0%</w:t>
            </w:r>
          </w:p>
        </w:tc>
        <w:tc>
          <w:tcPr>
            <w:tcW w:w="1120" w:type="dxa"/>
            <w:tcBorders>
              <w:top w:val="nil"/>
              <w:left w:val="nil"/>
              <w:bottom w:val="single" w:sz="4" w:space="0" w:color="auto"/>
              <w:right w:val="single" w:sz="4" w:space="0" w:color="auto"/>
            </w:tcBorders>
            <w:shd w:val="clear" w:color="auto" w:fill="auto"/>
            <w:noWrap/>
            <w:vAlign w:val="bottom"/>
            <w:hideMark/>
          </w:tcPr>
          <w:p w14:paraId="7D6A9438"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w:t>
            </w:r>
          </w:p>
        </w:tc>
        <w:tc>
          <w:tcPr>
            <w:tcW w:w="1340" w:type="dxa"/>
            <w:tcBorders>
              <w:top w:val="nil"/>
              <w:left w:val="nil"/>
              <w:bottom w:val="single" w:sz="4" w:space="0" w:color="auto"/>
              <w:right w:val="single" w:sz="4" w:space="0" w:color="auto"/>
            </w:tcBorders>
            <w:shd w:val="clear" w:color="auto" w:fill="auto"/>
            <w:noWrap/>
            <w:vAlign w:val="bottom"/>
            <w:hideMark/>
          </w:tcPr>
          <w:p w14:paraId="7CC5265F"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0.28</w:t>
            </w:r>
          </w:p>
        </w:tc>
      </w:tr>
      <w:tr w:rsidR="009A356E" w:rsidRPr="00EF467E" w14:paraId="7DA9A0E0" w14:textId="77777777" w:rsidTr="009A356E">
        <w:trPr>
          <w:trHeight w:val="24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A0AC00A" w14:textId="77777777" w:rsidR="009A356E" w:rsidRPr="00EF467E" w:rsidRDefault="009A356E" w:rsidP="009A356E">
            <w:pPr>
              <w:rPr>
                <w:rFonts w:ascii="Calibri" w:hAnsi="Calibri"/>
                <w:sz w:val="18"/>
                <w:szCs w:val="18"/>
                <w:lang w:eastAsia="en-AU"/>
              </w:rPr>
            </w:pPr>
            <w:r w:rsidRPr="00EF467E">
              <w:rPr>
                <w:rFonts w:ascii="Calibri" w:hAnsi="Calibri"/>
                <w:sz w:val="18"/>
                <w:szCs w:val="18"/>
                <w:lang w:eastAsia="en-AU"/>
              </w:rPr>
              <w:t>West Wimmera</w:t>
            </w:r>
          </w:p>
        </w:tc>
        <w:tc>
          <w:tcPr>
            <w:tcW w:w="1000" w:type="dxa"/>
            <w:tcBorders>
              <w:top w:val="nil"/>
              <w:left w:val="nil"/>
              <w:bottom w:val="single" w:sz="4" w:space="0" w:color="auto"/>
              <w:right w:val="single" w:sz="4" w:space="0" w:color="auto"/>
            </w:tcBorders>
            <w:shd w:val="clear" w:color="auto" w:fill="auto"/>
            <w:noWrap/>
            <w:vAlign w:val="bottom"/>
            <w:hideMark/>
          </w:tcPr>
          <w:p w14:paraId="69763053"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6.36</w:t>
            </w:r>
          </w:p>
        </w:tc>
        <w:tc>
          <w:tcPr>
            <w:tcW w:w="1100" w:type="dxa"/>
            <w:tcBorders>
              <w:top w:val="nil"/>
              <w:left w:val="nil"/>
              <w:bottom w:val="single" w:sz="4" w:space="0" w:color="auto"/>
              <w:right w:val="single" w:sz="4" w:space="0" w:color="auto"/>
            </w:tcBorders>
            <w:shd w:val="clear" w:color="auto" w:fill="auto"/>
            <w:noWrap/>
            <w:vAlign w:val="bottom"/>
            <w:hideMark/>
          </w:tcPr>
          <w:p w14:paraId="7628C12E"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4.59</w:t>
            </w:r>
          </w:p>
        </w:tc>
        <w:tc>
          <w:tcPr>
            <w:tcW w:w="1100" w:type="dxa"/>
            <w:tcBorders>
              <w:top w:val="nil"/>
              <w:left w:val="nil"/>
              <w:bottom w:val="single" w:sz="4" w:space="0" w:color="auto"/>
              <w:right w:val="single" w:sz="4" w:space="0" w:color="auto"/>
            </w:tcBorders>
            <w:shd w:val="clear" w:color="auto" w:fill="auto"/>
            <w:noWrap/>
            <w:vAlign w:val="bottom"/>
            <w:hideMark/>
          </w:tcPr>
          <w:p w14:paraId="14880A88"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2.62</w:t>
            </w:r>
          </w:p>
        </w:tc>
        <w:tc>
          <w:tcPr>
            <w:tcW w:w="940" w:type="dxa"/>
            <w:tcBorders>
              <w:top w:val="nil"/>
              <w:left w:val="nil"/>
              <w:bottom w:val="single" w:sz="4" w:space="0" w:color="auto"/>
              <w:right w:val="single" w:sz="4" w:space="0" w:color="auto"/>
            </w:tcBorders>
            <w:shd w:val="clear" w:color="auto" w:fill="auto"/>
            <w:noWrap/>
            <w:vAlign w:val="bottom"/>
            <w:hideMark/>
          </w:tcPr>
          <w:p w14:paraId="4208D0CF"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w:t>
            </w:r>
          </w:p>
        </w:tc>
        <w:tc>
          <w:tcPr>
            <w:tcW w:w="940" w:type="dxa"/>
            <w:tcBorders>
              <w:top w:val="nil"/>
              <w:left w:val="nil"/>
              <w:bottom w:val="single" w:sz="4" w:space="0" w:color="auto"/>
              <w:right w:val="single" w:sz="4" w:space="0" w:color="auto"/>
            </w:tcBorders>
            <w:shd w:val="clear" w:color="auto" w:fill="auto"/>
            <w:noWrap/>
            <w:vAlign w:val="bottom"/>
            <w:hideMark/>
          </w:tcPr>
          <w:p w14:paraId="673F6106"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0.0%</w:t>
            </w:r>
          </w:p>
        </w:tc>
        <w:tc>
          <w:tcPr>
            <w:tcW w:w="1120" w:type="dxa"/>
            <w:tcBorders>
              <w:top w:val="nil"/>
              <w:left w:val="nil"/>
              <w:bottom w:val="single" w:sz="4" w:space="0" w:color="auto"/>
              <w:right w:val="single" w:sz="4" w:space="0" w:color="auto"/>
            </w:tcBorders>
            <w:shd w:val="clear" w:color="auto" w:fill="auto"/>
            <w:noWrap/>
            <w:vAlign w:val="bottom"/>
            <w:hideMark/>
          </w:tcPr>
          <w:p w14:paraId="057A1C7E"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w:t>
            </w:r>
          </w:p>
        </w:tc>
        <w:tc>
          <w:tcPr>
            <w:tcW w:w="1340" w:type="dxa"/>
            <w:tcBorders>
              <w:top w:val="nil"/>
              <w:left w:val="nil"/>
              <w:bottom w:val="single" w:sz="4" w:space="0" w:color="auto"/>
              <w:right w:val="single" w:sz="4" w:space="0" w:color="auto"/>
            </w:tcBorders>
            <w:shd w:val="clear" w:color="auto" w:fill="auto"/>
            <w:noWrap/>
            <w:vAlign w:val="bottom"/>
            <w:hideMark/>
          </w:tcPr>
          <w:p w14:paraId="38A3C42C"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w:t>
            </w:r>
          </w:p>
        </w:tc>
      </w:tr>
      <w:tr w:rsidR="009A356E" w:rsidRPr="00EF467E" w14:paraId="7A249D7A" w14:textId="77777777" w:rsidTr="009A356E">
        <w:trPr>
          <w:trHeight w:val="24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F8DA9DB" w14:textId="77777777" w:rsidR="009A356E" w:rsidRPr="00EF467E" w:rsidRDefault="009A356E" w:rsidP="009A356E">
            <w:pPr>
              <w:rPr>
                <w:rFonts w:ascii="Calibri" w:hAnsi="Calibri"/>
                <w:sz w:val="18"/>
                <w:szCs w:val="18"/>
                <w:lang w:eastAsia="en-AU"/>
              </w:rPr>
            </w:pPr>
            <w:r w:rsidRPr="00EF467E">
              <w:rPr>
                <w:rFonts w:ascii="Calibri" w:hAnsi="Calibri"/>
                <w:sz w:val="18"/>
                <w:szCs w:val="18"/>
                <w:lang w:eastAsia="en-AU"/>
              </w:rPr>
              <w:t>Wodonga</w:t>
            </w:r>
          </w:p>
        </w:tc>
        <w:tc>
          <w:tcPr>
            <w:tcW w:w="1000" w:type="dxa"/>
            <w:tcBorders>
              <w:top w:val="nil"/>
              <w:left w:val="nil"/>
              <w:bottom w:val="single" w:sz="4" w:space="0" w:color="auto"/>
              <w:right w:val="single" w:sz="4" w:space="0" w:color="auto"/>
            </w:tcBorders>
            <w:shd w:val="clear" w:color="auto" w:fill="auto"/>
            <w:noWrap/>
            <w:vAlign w:val="bottom"/>
            <w:hideMark/>
          </w:tcPr>
          <w:p w14:paraId="28BA39C3"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37.97</w:t>
            </w:r>
          </w:p>
        </w:tc>
        <w:tc>
          <w:tcPr>
            <w:tcW w:w="1100" w:type="dxa"/>
            <w:tcBorders>
              <w:top w:val="nil"/>
              <w:left w:val="nil"/>
              <w:bottom w:val="single" w:sz="4" w:space="0" w:color="auto"/>
              <w:right w:val="single" w:sz="4" w:space="0" w:color="auto"/>
            </w:tcBorders>
            <w:shd w:val="clear" w:color="auto" w:fill="auto"/>
            <w:noWrap/>
            <w:vAlign w:val="bottom"/>
            <w:hideMark/>
          </w:tcPr>
          <w:p w14:paraId="0B46A36B"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4.54</w:t>
            </w:r>
          </w:p>
        </w:tc>
        <w:tc>
          <w:tcPr>
            <w:tcW w:w="1100" w:type="dxa"/>
            <w:tcBorders>
              <w:top w:val="nil"/>
              <w:left w:val="nil"/>
              <w:bottom w:val="single" w:sz="4" w:space="0" w:color="auto"/>
              <w:right w:val="single" w:sz="4" w:space="0" w:color="auto"/>
            </w:tcBorders>
            <w:shd w:val="clear" w:color="auto" w:fill="auto"/>
            <w:noWrap/>
            <w:vAlign w:val="bottom"/>
            <w:hideMark/>
          </w:tcPr>
          <w:p w14:paraId="2FF7EE7A"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5.14</w:t>
            </w:r>
          </w:p>
        </w:tc>
        <w:tc>
          <w:tcPr>
            <w:tcW w:w="940" w:type="dxa"/>
            <w:tcBorders>
              <w:top w:val="nil"/>
              <w:left w:val="nil"/>
              <w:bottom w:val="single" w:sz="4" w:space="0" w:color="auto"/>
              <w:right w:val="single" w:sz="4" w:space="0" w:color="auto"/>
            </w:tcBorders>
            <w:shd w:val="clear" w:color="auto" w:fill="auto"/>
            <w:noWrap/>
            <w:vAlign w:val="bottom"/>
            <w:hideMark/>
          </w:tcPr>
          <w:p w14:paraId="55849769"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0.61</w:t>
            </w:r>
          </w:p>
        </w:tc>
        <w:tc>
          <w:tcPr>
            <w:tcW w:w="940" w:type="dxa"/>
            <w:tcBorders>
              <w:top w:val="nil"/>
              <w:left w:val="nil"/>
              <w:bottom w:val="single" w:sz="4" w:space="0" w:color="auto"/>
              <w:right w:val="single" w:sz="4" w:space="0" w:color="auto"/>
            </w:tcBorders>
            <w:shd w:val="clear" w:color="auto" w:fill="auto"/>
            <w:noWrap/>
            <w:vAlign w:val="bottom"/>
            <w:hideMark/>
          </w:tcPr>
          <w:p w14:paraId="5AB16FDC"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1.6%</w:t>
            </w:r>
          </w:p>
        </w:tc>
        <w:tc>
          <w:tcPr>
            <w:tcW w:w="1120" w:type="dxa"/>
            <w:tcBorders>
              <w:top w:val="nil"/>
              <w:left w:val="nil"/>
              <w:bottom w:val="single" w:sz="4" w:space="0" w:color="auto"/>
              <w:right w:val="single" w:sz="4" w:space="0" w:color="auto"/>
            </w:tcBorders>
            <w:shd w:val="clear" w:color="auto" w:fill="auto"/>
            <w:noWrap/>
            <w:vAlign w:val="bottom"/>
            <w:hideMark/>
          </w:tcPr>
          <w:p w14:paraId="641D2728"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0.18</w:t>
            </w:r>
          </w:p>
        </w:tc>
        <w:tc>
          <w:tcPr>
            <w:tcW w:w="1340" w:type="dxa"/>
            <w:tcBorders>
              <w:top w:val="nil"/>
              <w:left w:val="nil"/>
              <w:bottom w:val="single" w:sz="4" w:space="0" w:color="auto"/>
              <w:right w:val="single" w:sz="4" w:space="0" w:color="auto"/>
            </w:tcBorders>
            <w:shd w:val="clear" w:color="auto" w:fill="auto"/>
            <w:noWrap/>
            <w:vAlign w:val="bottom"/>
            <w:hideMark/>
          </w:tcPr>
          <w:p w14:paraId="4D741A5F"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w:t>
            </w:r>
          </w:p>
        </w:tc>
      </w:tr>
      <w:tr w:rsidR="009A356E" w:rsidRPr="00EF467E" w14:paraId="523F7C56" w14:textId="77777777" w:rsidTr="009A356E">
        <w:trPr>
          <w:trHeight w:val="24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9BA51E5" w14:textId="77777777" w:rsidR="009A356E" w:rsidRPr="00EF467E" w:rsidRDefault="009A356E" w:rsidP="009A356E">
            <w:pPr>
              <w:rPr>
                <w:rFonts w:ascii="Calibri" w:hAnsi="Calibri"/>
                <w:sz w:val="18"/>
                <w:szCs w:val="18"/>
                <w:lang w:eastAsia="en-AU"/>
              </w:rPr>
            </w:pPr>
            <w:proofErr w:type="spellStart"/>
            <w:r w:rsidRPr="00EF467E">
              <w:rPr>
                <w:rFonts w:ascii="Calibri" w:hAnsi="Calibri"/>
                <w:sz w:val="18"/>
                <w:szCs w:val="18"/>
                <w:lang w:eastAsia="en-AU"/>
              </w:rPr>
              <w:t>Yarriambiack</w:t>
            </w:r>
            <w:proofErr w:type="spellEnd"/>
          </w:p>
        </w:tc>
        <w:tc>
          <w:tcPr>
            <w:tcW w:w="1000" w:type="dxa"/>
            <w:tcBorders>
              <w:top w:val="nil"/>
              <w:left w:val="nil"/>
              <w:bottom w:val="single" w:sz="4" w:space="0" w:color="auto"/>
              <w:right w:val="single" w:sz="4" w:space="0" w:color="auto"/>
            </w:tcBorders>
            <w:shd w:val="clear" w:color="auto" w:fill="auto"/>
            <w:noWrap/>
            <w:vAlign w:val="bottom"/>
            <w:hideMark/>
          </w:tcPr>
          <w:p w14:paraId="2BE4B2B5"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10.83</w:t>
            </w:r>
          </w:p>
        </w:tc>
        <w:tc>
          <w:tcPr>
            <w:tcW w:w="1100" w:type="dxa"/>
            <w:tcBorders>
              <w:top w:val="nil"/>
              <w:left w:val="nil"/>
              <w:bottom w:val="single" w:sz="4" w:space="0" w:color="auto"/>
              <w:right w:val="single" w:sz="4" w:space="0" w:color="auto"/>
            </w:tcBorders>
            <w:shd w:val="clear" w:color="auto" w:fill="auto"/>
            <w:noWrap/>
            <w:vAlign w:val="bottom"/>
            <w:hideMark/>
          </w:tcPr>
          <w:p w14:paraId="7FA88E89"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3.19</w:t>
            </w:r>
          </w:p>
        </w:tc>
        <w:tc>
          <w:tcPr>
            <w:tcW w:w="1100" w:type="dxa"/>
            <w:tcBorders>
              <w:top w:val="nil"/>
              <w:left w:val="nil"/>
              <w:bottom w:val="single" w:sz="4" w:space="0" w:color="auto"/>
              <w:right w:val="single" w:sz="4" w:space="0" w:color="auto"/>
            </w:tcBorders>
            <w:shd w:val="clear" w:color="auto" w:fill="auto"/>
            <w:noWrap/>
            <w:vAlign w:val="bottom"/>
            <w:hideMark/>
          </w:tcPr>
          <w:p w14:paraId="0071143C"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6.18</w:t>
            </w:r>
          </w:p>
        </w:tc>
        <w:tc>
          <w:tcPr>
            <w:tcW w:w="940" w:type="dxa"/>
            <w:tcBorders>
              <w:top w:val="nil"/>
              <w:left w:val="nil"/>
              <w:bottom w:val="single" w:sz="4" w:space="0" w:color="auto"/>
              <w:right w:val="single" w:sz="4" w:space="0" w:color="auto"/>
            </w:tcBorders>
            <w:shd w:val="clear" w:color="auto" w:fill="auto"/>
            <w:noWrap/>
            <w:vAlign w:val="bottom"/>
            <w:hideMark/>
          </w:tcPr>
          <w:p w14:paraId="0D21FC05"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2.99</w:t>
            </w:r>
          </w:p>
        </w:tc>
        <w:tc>
          <w:tcPr>
            <w:tcW w:w="940" w:type="dxa"/>
            <w:tcBorders>
              <w:top w:val="nil"/>
              <w:left w:val="nil"/>
              <w:bottom w:val="single" w:sz="4" w:space="0" w:color="auto"/>
              <w:right w:val="single" w:sz="4" w:space="0" w:color="auto"/>
            </w:tcBorders>
            <w:shd w:val="clear" w:color="auto" w:fill="auto"/>
            <w:noWrap/>
            <w:vAlign w:val="bottom"/>
            <w:hideMark/>
          </w:tcPr>
          <w:p w14:paraId="6BCE0476"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27.6%</w:t>
            </w:r>
          </w:p>
        </w:tc>
        <w:tc>
          <w:tcPr>
            <w:tcW w:w="1120" w:type="dxa"/>
            <w:tcBorders>
              <w:top w:val="nil"/>
              <w:left w:val="nil"/>
              <w:bottom w:val="single" w:sz="4" w:space="0" w:color="auto"/>
              <w:right w:val="single" w:sz="4" w:space="0" w:color="auto"/>
            </w:tcBorders>
            <w:shd w:val="clear" w:color="auto" w:fill="auto"/>
            <w:noWrap/>
            <w:vAlign w:val="bottom"/>
            <w:hideMark/>
          </w:tcPr>
          <w:p w14:paraId="598E147F"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0.87</w:t>
            </w:r>
          </w:p>
        </w:tc>
        <w:tc>
          <w:tcPr>
            <w:tcW w:w="1340" w:type="dxa"/>
            <w:tcBorders>
              <w:top w:val="nil"/>
              <w:left w:val="nil"/>
              <w:bottom w:val="single" w:sz="4" w:space="0" w:color="auto"/>
              <w:right w:val="single" w:sz="4" w:space="0" w:color="auto"/>
            </w:tcBorders>
            <w:shd w:val="clear" w:color="auto" w:fill="auto"/>
            <w:noWrap/>
            <w:vAlign w:val="bottom"/>
            <w:hideMark/>
          </w:tcPr>
          <w:p w14:paraId="3AB52454"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0.76</w:t>
            </w:r>
          </w:p>
        </w:tc>
      </w:tr>
      <w:tr w:rsidR="009A356E" w:rsidRPr="00EF467E" w14:paraId="4802863E" w14:textId="77777777" w:rsidTr="009A356E">
        <w:trPr>
          <w:trHeight w:val="240"/>
        </w:trPr>
        <w:tc>
          <w:tcPr>
            <w:tcW w:w="2020" w:type="dxa"/>
            <w:tcBorders>
              <w:top w:val="nil"/>
              <w:left w:val="single" w:sz="4" w:space="0" w:color="auto"/>
              <w:bottom w:val="single" w:sz="4" w:space="0" w:color="auto"/>
              <w:right w:val="single" w:sz="4" w:space="0" w:color="auto"/>
            </w:tcBorders>
            <w:shd w:val="clear" w:color="000000" w:fill="000000"/>
            <w:noWrap/>
            <w:vAlign w:val="bottom"/>
            <w:hideMark/>
          </w:tcPr>
          <w:p w14:paraId="6891D691" w14:textId="77777777" w:rsidR="009A356E" w:rsidRPr="00EF467E" w:rsidRDefault="009A356E" w:rsidP="009A356E">
            <w:pPr>
              <w:rPr>
                <w:rFonts w:ascii="Calibri" w:hAnsi="Calibri"/>
                <w:b/>
                <w:bCs/>
                <w:sz w:val="18"/>
                <w:szCs w:val="18"/>
                <w:lang w:eastAsia="en-AU"/>
              </w:rPr>
            </w:pPr>
          </w:p>
        </w:tc>
        <w:tc>
          <w:tcPr>
            <w:tcW w:w="1000" w:type="dxa"/>
            <w:tcBorders>
              <w:top w:val="nil"/>
              <w:left w:val="nil"/>
              <w:bottom w:val="single" w:sz="4" w:space="0" w:color="auto"/>
              <w:right w:val="single" w:sz="4" w:space="0" w:color="auto"/>
            </w:tcBorders>
            <w:shd w:val="clear" w:color="000000" w:fill="000000"/>
            <w:noWrap/>
            <w:vAlign w:val="bottom"/>
            <w:hideMark/>
          </w:tcPr>
          <w:p w14:paraId="3DE16506" w14:textId="77777777" w:rsidR="009A356E" w:rsidRPr="00EF467E" w:rsidRDefault="009A356E" w:rsidP="009A356E">
            <w:pPr>
              <w:jc w:val="center"/>
              <w:rPr>
                <w:rFonts w:ascii="Calibri" w:hAnsi="Calibri"/>
                <w:color w:val="000000"/>
                <w:sz w:val="18"/>
                <w:szCs w:val="18"/>
                <w:lang w:eastAsia="en-AU"/>
              </w:rPr>
            </w:pPr>
          </w:p>
        </w:tc>
        <w:tc>
          <w:tcPr>
            <w:tcW w:w="1100" w:type="dxa"/>
            <w:tcBorders>
              <w:top w:val="nil"/>
              <w:left w:val="nil"/>
              <w:bottom w:val="single" w:sz="4" w:space="0" w:color="auto"/>
              <w:right w:val="single" w:sz="4" w:space="0" w:color="auto"/>
            </w:tcBorders>
            <w:shd w:val="clear" w:color="000000" w:fill="000000"/>
            <w:noWrap/>
            <w:vAlign w:val="bottom"/>
            <w:hideMark/>
          </w:tcPr>
          <w:p w14:paraId="0AED63AF" w14:textId="77777777" w:rsidR="009A356E" w:rsidRPr="00EF467E" w:rsidRDefault="009A356E" w:rsidP="009A356E">
            <w:pPr>
              <w:jc w:val="center"/>
              <w:rPr>
                <w:rFonts w:ascii="Calibri" w:hAnsi="Calibri"/>
                <w:color w:val="000000"/>
                <w:sz w:val="18"/>
                <w:szCs w:val="18"/>
                <w:lang w:eastAsia="en-AU"/>
              </w:rPr>
            </w:pPr>
          </w:p>
        </w:tc>
        <w:tc>
          <w:tcPr>
            <w:tcW w:w="1100" w:type="dxa"/>
            <w:tcBorders>
              <w:top w:val="nil"/>
              <w:left w:val="nil"/>
              <w:bottom w:val="single" w:sz="4" w:space="0" w:color="auto"/>
              <w:right w:val="single" w:sz="4" w:space="0" w:color="auto"/>
            </w:tcBorders>
            <w:shd w:val="clear" w:color="000000" w:fill="000000"/>
            <w:noWrap/>
            <w:vAlign w:val="bottom"/>
            <w:hideMark/>
          </w:tcPr>
          <w:p w14:paraId="5015F582" w14:textId="77777777" w:rsidR="009A356E" w:rsidRPr="00EF467E" w:rsidRDefault="009A356E" w:rsidP="009A356E">
            <w:pPr>
              <w:jc w:val="center"/>
              <w:rPr>
                <w:rFonts w:ascii="Calibri" w:hAnsi="Calibri"/>
                <w:color w:val="000000"/>
                <w:sz w:val="18"/>
                <w:szCs w:val="18"/>
                <w:lang w:eastAsia="en-AU"/>
              </w:rPr>
            </w:pPr>
          </w:p>
        </w:tc>
        <w:tc>
          <w:tcPr>
            <w:tcW w:w="940" w:type="dxa"/>
            <w:tcBorders>
              <w:top w:val="nil"/>
              <w:left w:val="nil"/>
              <w:bottom w:val="single" w:sz="4" w:space="0" w:color="auto"/>
              <w:right w:val="single" w:sz="4" w:space="0" w:color="auto"/>
            </w:tcBorders>
            <w:shd w:val="clear" w:color="000000" w:fill="000000"/>
            <w:noWrap/>
            <w:vAlign w:val="bottom"/>
            <w:hideMark/>
          </w:tcPr>
          <w:p w14:paraId="75785A42" w14:textId="77777777" w:rsidR="009A356E" w:rsidRPr="00EF467E" w:rsidRDefault="009A356E" w:rsidP="009A356E">
            <w:pPr>
              <w:jc w:val="center"/>
              <w:rPr>
                <w:rFonts w:ascii="Calibri" w:hAnsi="Calibri"/>
                <w:color w:val="000000"/>
                <w:sz w:val="18"/>
                <w:szCs w:val="18"/>
                <w:lang w:eastAsia="en-AU"/>
              </w:rPr>
            </w:pPr>
          </w:p>
        </w:tc>
        <w:tc>
          <w:tcPr>
            <w:tcW w:w="940" w:type="dxa"/>
            <w:tcBorders>
              <w:top w:val="nil"/>
              <w:left w:val="nil"/>
              <w:bottom w:val="single" w:sz="4" w:space="0" w:color="auto"/>
              <w:right w:val="single" w:sz="4" w:space="0" w:color="auto"/>
            </w:tcBorders>
            <w:shd w:val="clear" w:color="000000" w:fill="000000"/>
            <w:noWrap/>
            <w:vAlign w:val="bottom"/>
            <w:hideMark/>
          </w:tcPr>
          <w:p w14:paraId="252B949B" w14:textId="77777777" w:rsidR="009A356E" w:rsidRPr="00EF467E" w:rsidRDefault="009A356E" w:rsidP="009A356E">
            <w:pPr>
              <w:jc w:val="center"/>
              <w:rPr>
                <w:rFonts w:ascii="Calibri" w:hAnsi="Calibri"/>
                <w:color w:val="000000"/>
                <w:sz w:val="18"/>
                <w:szCs w:val="18"/>
                <w:lang w:eastAsia="en-AU"/>
              </w:rPr>
            </w:pPr>
          </w:p>
        </w:tc>
        <w:tc>
          <w:tcPr>
            <w:tcW w:w="1120" w:type="dxa"/>
            <w:tcBorders>
              <w:top w:val="nil"/>
              <w:left w:val="nil"/>
              <w:bottom w:val="single" w:sz="4" w:space="0" w:color="auto"/>
              <w:right w:val="single" w:sz="4" w:space="0" w:color="auto"/>
            </w:tcBorders>
            <w:shd w:val="clear" w:color="000000" w:fill="000000"/>
            <w:noWrap/>
            <w:vAlign w:val="bottom"/>
            <w:hideMark/>
          </w:tcPr>
          <w:p w14:paraId="13F0D71A" w14:textId="77777777" w:rsidR="009A356E" w:rsidRPr="00EF467E" w:rsidRDefault="009A356E" w:rsidP="009A356E">
            <w:pPr>
              <w:jc w:val="center"/>
              <w:rPr>
                <w:rFonts w:ascii="Calibri" w:hAnsi="Calibri"/>
                <w:color w:val="000000"/>
                <w:sz w:val="18"/>
                <w:szCs w:val="18"/>
                <w:lang w:eastAsia="en-AU"/>
              </w:rPr>
            </w:pPr>
          </w:p>
        </w:tc>
        <w:tc>
          <w:tcPr>
            <w:tcW w:w="1340" w:type="dxa"/>
            <w:tcBorders>
              <w:top w:val="nil"/>
              <w:left w:val="nil"/>
              <w:bottom w:val="single" w:sz="4" w:space="0" w:color="auto"/>
              <w:right w:val="single" w:sz="4" w:space="0" w:color="auto"/>
            </w:tcBorders>
            <w:shd w:val="clear" w:color="000000" w:fill="000000"/>
            <w:noWrap/>
            <w:vAlign w:val="bottom"/>
            <w:hideMark/>
          </w:tcPr>
          <w:p w14:paraId="1978BD4A" w14:textId="77777777" w:rsidR="009A356E" w:rsidRPr="00EF467E" w:rsidRDefault="009A356E" w:rsidP="009A356E">
            <w:pPr>
              <w:jc w:val="center"/>
              <w:rPr>
                <w:rFonts w:ascii="Calibri" w:hAnsi="Calibri"/>
                <w:color w:val="000000"/>
                <w:sz w:val="18"/>
                <w:szCs w:val="18"/>
                <w:lang w:eastAsia="en-AU"/>
              </w:rPr>
            </w:pPr>
          </w:p>
        </w:tc>
      </w:tr>
      <w:tr w:rsidR="009A356E" w:rsidRPr="00EF467E" w14:paraId="0E209068" w14:textId="77777777" w:rsidTr="009A356E">
        <w:trPr>
          <w:trHeight w:val="24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23E4C181" w14:textId="77777777" w:rsidR="009A356E" w:rsidRPr="00EF467E" w:rsidRDefault="009A356E" w:rsidP="009A356E">
            <w:pPr>
              <w:rPr>
                <w:rFonts w:ascii="Calibri" w:hAnsi="Calibri"/>
                <w:b/>
                <w:bCs/>
                <w:sz w:val="18"/>
                <w:szCs w:val="18"/>
                <w:lang w:eastAsia="en-AU"/>
              </w:rPr>
            </w:pPr>
            <w:r w:rsidRPr="00EF467E">
              <w:rPr>
                <w:rFonts w:ascii="Calibri" w:hAnsi="Calibri"/>
                <w:b/>
                <w:bCs/>
                <w:sz w:val="18"/>
                <w:szCs w:val="18"/>
                <w:lang w:eastAsia="en-AU"/>
              </w:rPr>
              <w:t>Councils with Gap</w:t>
            </w:r>
          </w:p>
        </w:tc>
        <w:tc>
          <w:tcPr>
            <w:tcW w:w="1000" w:type="dxa"/>
            <w:tcBorders>
              <w:top w:val="nil"/>
              <w:left w:val="nil"/>
              <w:bottom w:val="single" w:sz="4" w:space="0" w:color="auto"/>
              <w:right w:val="single" w:sz="4" w:space="0" w:color="auto"/>
            </w:tcBorders>
            <w:shd w:val="clear" w:color="auto" w:fill="auto"/>
            <w:noWrap/>
            <w:vAlign w:val="bottom"/>
            <w:hideMark/>
          </w:tcPr>
          <w:p w14:paraId="19E0488F" w14:textId="77777777" w:rsidR="009A356E" w:rsidRPr="00EF467E" w:rsidRDefault="009A356E" w:rsidP="009A356E">
            <w:pPr>
              <w:jc w:val="center"/>
              <w:rPr>
                <w:rFonts w:ascii="Calibri" w:hAnsi="Calibri"/>
                <w:color w:val="000000"/>
                <w:sz w:val="18"/>
                <w:szCs w:val="18"/>
                <w:lang w:eastAsia="en-AU"/>
              </w:rPr>
            </w:pPr>
          </w:p>
        </w:tc>
        <w:tc>
          <w:tcPr>
            <w:tcW w:w="1100" w:type="dxa"/>
            <w:tcBorders>
              <w:top w:val="nil"/>
              <w:left w:val="nil"/>
              <w:bottom w:val="single" w:sz="4" w:space="0" w:color="auto"/>
              <w:right w:val="single" w:sz="4" w:space="0" w:color="auto"/>
            </w:tcBorders>
            <w:shd w:val="clear" w:color="auto" w:fill="auto"/>
            <w:noWrap/>
            <w:vAlign w:val="bottom"/>
            <w:hideMark/>
          </w:tcPr>
          <w:p w14:paraId="4C4C4F7E" w14:textId="77777777" w:rsidR="009A356E" w:rsidRPr="00EF467E" w:rsidRDefault="009A356E" w:rsidP="009A356E">
            <w:pPr>
              <w:jc w:val="center"/>
              <w:rPr>
                <w:rFonts w:ascii="Calibri" w:hAnsi="Calibri"/>
                <w:color w:val="000000"/>
                <w:sz w:val="18"/>
                <w:szCs w:val="18"/>
                <w:lang w:eastAsia="en-AU"/>
              </w:rPr>
            </w:pPr>
          </w:p>
        </w:tc>
        <w:tc>
          <w:tcPr>
            <w:tcW w:w="1100" w:type="dxa"/>
            <w:tcBorders>
              <w:top w:val="nil"/>
              <w:left w:val="nil"/>
              <w:bottom w:val="single" w:sz="4" w:space="0" w:color="auto"/>
              <w:right w:val="single" w:sz="4" w:space="0" w:color="auto"/>
            </w:tcBorders>
            <w:shd w:val="clear" w:color="auto" w:fill="auto"/>
            <w:noWrap/>
            <w:vAlign w:val="bottom"/>
            <w:hideMark/>
          </w:tcPr>
          <w:p w14:paraId="269281CC" w14:textId="77777777" w:rsidR="009A356E" w:rsidRPr="00EF467E" w:rsidRDefault="009A356E" w:rsidP="009A356E">
            <w:pPr>
              <w:jc w:val="center"/>
              <w:rPr>
                <w:rFonts w:ascii="Calibri" w:hAnsi="Calibri"/>
                <w:color w:val="000000"/>
                <w:sz w:val="18"/>
                <w:szCs w:val="18"/>
                <w:lang w:eastAsia="en-AU"/>
              </w:rPr>
            </w:pPr>
          </w:p>
        </w:tc>
        <w:tc>
          <w:tcPr>
            <w:tcW w:w="940" w:type="dxa"/>
            <w:tcBorders>
              <w:top w:val="nil"/>
              <w:left w:val="nil"/>
              <w:bottom w:val="single" w:sz="4" w:space="0" w:color="auto"/>
              <w:right w:val="single" w:sz="4" w:space="0" w:color="auto"/>
            </w:tcBorders>
            <w:shd w:val="clear" w:color="auto" w:fill="auto"/>
            <w:noWrap/>
            <w:vAlign w:val="bottom"/>
            <w:hideMark/>
          </w:tcPr>
          <w:p w14:paraId="5D8A2D99" w14:textId="77777777" w:rsidR="009A356E" w:rsidRPr="00EF467E" w:rsidRDefault="009A356E" w:rsidP="009A356E">
            <w:pPr>
              <w:jc w:val="center"/>
              <w:rPr>
                <w:rFonts w:ascii="Calibri" w:hAnsi="Calibri"/>
                <w:color w:val="000000"/>
                <w:sz w:val="18"/>
                <w:szCs w:val="18"/>
                <w:lang w:eastAsia="en-AU"/>
              </w:rPr>
            </w:pPr>
          </w:p>
        </w:tc>
        <w:tc>
          <w:tcPr>
            <w:tcW w:w="940" w:type="dxa"/>
            <w:tcBorders>
              <w:top w:val="nil"/>
              <w:left w:val="nil"/>
              <w:bottom w:val="single" w:sz="4" w:space="0" w:color="auto"/>
              <w:right w:val="single" w:sz="4" w:space="0" w:color="auto"/>
            </w:tcBorders>
            <w:shd w:val="clear" w:color="auto" w:fill="auto"/>
            <w:noWrap/>
            <w:vAlign w:val="bottom"/>
            <w:hideMark/>
          </w:tcPr>
          <w:p w14:paraId="19043328" w14:textId="77777777" w:rsidR="009A356E" w:rsidRPr="00EF467E" w:rsidRDefault="009A356E" w:rsidP="009A356E">
            <w:pPr>
              <w:jc w:val="center"/>
              <w:rPr>
                <w:rFonts w:ascii="Calibri" w:hAnsi="Calibri"/>
                <w:color w:val="000000"/>
                <w:sz w:val="18"/>
                <w:szCs w:val="18"/>
                <w:lang w:eastAsia="en-AU"/>
              </w:rPr>
            </w:pPr>
          </w:p>
        </w:tc>
        <w:tc>
          <w:tcPr>
            <w:tcW w:w="1120" w:type="dxa"/>
            <w:tcBorders>
              <w:top w:val="nil"/>
              <w:left w:val="nil"/>
              <w:bottom w:val="single" w:sz="4" w:space="0" w:color="auto"/>
              <w:right w:val="single" w:sz="4" w:space="0" w:color="auto"/>
            </w:tcBorders>
            <w:shd w:val="clear" w:color="auto" w:fill="auto"/>
            <w:noWrap/>
            <w:vAlign w:val="bottom"/>
            <w:hideMark/>
          </w:tcPr>
          <w:p w14:paraId="512B4093" w14:textId="77777777" w:rsidR="009A356E" w:rsidRPr="00EF467E" w:rsidRDefault="009A356E" w:rsidP="009A356E">
            <w:pPr>
              <w:jc w:val="center"/>
              <w:rPr>
                <w:rFonts w:ascii="Calibri" w:hAnsi="Calibri"/>
                <w:color w:val="000000"/>
                <w:sz w:val="18"/>
                <w:szCs w:val="18"/>
                <w:lang w:eastAsia="en-AU"/>
              </w:rPr>
            </w:pPr>
          </w:p>
        </w:tc>
        <w:tc>
          <w:tcPr>
            <w:tcW w:w="1340" w:type="dxa"/>
            <w:tcBorders>
              <w:top w:val="nil"/>
              <w:left w:val="nil"/>
              <w:bottom w:val="single" w:sz="4" w:space="0" w:color="auto"/>
              <w:right w:val="single" w:sz="4" w:space="0" w:color="auto"/>
            </w:tcBorders>
            <w:shd w:val="clear" w:color="auto" w:fill="auto"/>
            <w:noWrap/>
            <w:vAlign w:val="bottom"/>
            <w:hideMark/>
          </w:tcPr>
          <w:p w14:paraId="03592657" w14:textId="77777777" w:rsidR="009A356E" w:rsidRPr="00EF467E" w:rsidRDefault="009A356E" w:rsidP="009A356E">
            <w:pPr>
              <w:jc w:val="center"/>
              <w:rPr>
                <w:rFonts w:ascii="Calibri" w:hAnsi="Calibri"/>
                <w:color w:val="000000"/>
                <w:sz w:val="18"/>
                <w:szCs w:val="18"/>
                <w:lang w:eastAsia="en-AU"/>
              </w:rPr>
            </w:pPr>
          </w:p>
        </w:tc>
      </w:tr>
      <w:tr w:rsidR="009A356E" w:rsidRPr="00EF467E" w14:paraId="527FBBE3" w14:textId="77777777" w:rsidTr="009A356E">
        <w:trPr>
          <w:trHeight w:val="24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12508D1F" w14:textId="77777777" w:rsidR="009A356E" w:rsidRPr="00EF467E" w:rsidRDefault="009A356E" w:rsidP="009A356E">
            <w:pPr>
              <w:rPr>
                <w:rFonts w:ascii="Calibri" w:hAnsi="Calibri"/>
                <w:sz w:val="18"/>
                <w:szCs w:val="18"/>
                <w:lang w:eastAsia="en-AU"/>
              </w:rPr>
            </w:pPr>
            <w:r w:rsidRPr="00EF467E">
              <w:rPr>
                <w:rFonts w:ascii="Calibri" w:hAnsi="Calibri"/>
                <w:sz w:val="18"/>
                <w:szCs w:val="18"/>
                <w:lang w:eastAsia="en-AU"/>
              </w:rPr>
              <w:t>Inner Metro</w:t>
            </w:r>
          </w:p>
        </w:tc>
        <w:tc>
          <w:tcPr>
            <w:tcW w:w="1000" w:type="dxa"/>
            <w:tcBorders>
              <w:top w:val="nil"/>
              <w:left w:val="nil"/>
              <w:bottom w:val="single" w:sz="4" w:space="0" w:color="auto"/>
              <w:right w:val="single" w:sz="4" w:space="0" w:color="auto"/>
            </w:tcBorders>
            <w:shd w:val="clear" w:color="auto" w:fill="auto"/>
            <w:noWrap/>
            <w:vAlign w:val="bottom"/>
            <w:hideMark/>
          </w:tcPr>
          <w:p w14:paraId="37429F9A"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849.04</w:t>
            </w:r>
          </w:p>
        </w:tc>
        <w:tc>
          <w:tcPr>
            <w:tcW w:w="1100" w:type="dxa"/>
            <w:tcBorders>
              <w:top w:val="nil"/>
              <w:left w:val="nil"/>
              <w:bottom w:val="single" w:sz="4" w:space="0" w:color="auto"/>
              <w:right w:val="single" w:sz="4" w:space="0" w:color="auto"/>
            </w:tcBorders>
            <w:shd w:val="clear" w:color="auto" w:fill="auto"/>
            <w:noWrap/>
            <w:vAlign w:val="bottom"/>
            <w:hideMark/>
          </w:tcPr>
          <w:p w14:paraId="11F19969"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97.19</w:t>
            </w:r>
          </w:p>
        </w:tc>
        <w:tc>
          <w:tcPr>
            <w:tcW w:w="1100" w:type="dxa"/>
            <w:tcBorders>
              <w:top w:val="nil"/>
              <w:left w:val="nil"/>
              <w:bottom w:val="single" w:sz="4" w:space="0" w:color="auto"/>
              <w:right w:val="single" w:sz="4" w:space="0" w:color="auto"/>
            </w:tcBorders>
            <w:shd w:val="clear" w:color="auto" w:fill="auto"/>
            <w:noWrap/>
            <w:vAlign w:val="bottom"/>
            <w:hideMark/>
          </w:tcPr>
          <w:p w14:paraId="7C97090A"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137.54</w:t>
            </w:r>
          </w:p>
        </w:tc>
        <w:tc>
          <w:tcPr>
            <w:tcW w:w="940" w:type="dxa"/>
            <w:tcBorders>
              <w:top w:val="nil"/>
              <w:left w:val="nil"/>
              <w:bottom w:val="single" w:sz="4" w:space="0" w:color="auto"/>
              <w:right w:val="single" w:sz="4" w:space="0" w:color="auto"/>
            </w:tcBorders>
            <w:shd w:val="clear" w:color="auto" w:fill="auto"/>
            <w:noWrap/>
            <w:vAlign w:val="bottom"/>
            <w:hideMark/>
          </w:tcPr>
          <w:p w14:paraId="4942B1CE"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40.35</w:t>
            </w:r>
          </w:p>
        </w:tc>
        <w:tc>
          <w:tcPr>
            <w:tcW w:w="940" w:type="dxa"/>
            <w:tcBorders>
              <w:top w:val="nil"/>
              <w:left w:val="nil"/>
              <w:bottom w:val="single" w:sz="4" w:space="0" w:color="auto"/>
              <w:right w:val="single" w:sz="4" w:space="0" w:color="auto"/>
            </w:tcBorders>
            <w:shd w:val="clear" w:color="auto" w:fill="auto"/>
            <w:noWrap/>
            <w:vAlign w:val="bottom"/>
            <w:hideMark/>
          </w:tcPr>
          <w:p w14:paraId="1EABF857"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4.8%</w:t>
            </w:r>
          </w:p>
        </w:tc>
        <w:tc>
          <w:tcPr>
            <w:tcW w:w="1120" w:type="dxa"/>
            <w:tcBorders>
              <w:top w:val="nil"/>
              <w:left w:val="nil"/>
              <w:bottom w:val="single" w:sz="4" w:space="0" w:color="auto"/>
              <w:right w:val="single" w:sz="4" w:space="0" w:color="auto"/>
            </w:tcBorders>
            <w:shd w:val="clear" w:color="auto" w:fill="auto"/>
            <w:noWrap/>
            <w:vAlign w:val="bottom"/>
            <w:hideMark/>
          </w:tcPr>
          <w:p w14:paraId="4662E68A"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31.87</w:t>
            </w:r>
          </w:p>
        </w:tc>
        <w:tc>
          <w:tcPr>
            <w:tcW w:w="1340" w:type="dxa"/>
            <w:tcBorders>
              <w:top w:val="nil"/>
              <w:left w:val="nil"/>
              <w:bottom w:val="single" w:sz="4" w:space="0" w:color="auto"/>
              <w:right w:val="single" w:sz="4" w:space="0" w:color="auto"/>
            </w:tcBorders>
            <w:shd w:val="clear" w:color="auto" w:fill="auto"/>
            <w:noWrap/>
            <w:vAlign w:val="bottom"/>
            <w:hideMark/>
          </w:tcPr>
          <w:p w14:paraId="5B331A2B"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27.31</w:t>
            </w:r>
          </w:p>
        </w:tc>
      </w:tr>
      <w:tr w:rsidR="009A356E" w:rsidRPr="00EF467E" w14:paraId="6086214F" w14:textId="77777777" w:rsidTr="009A356E">
        <w:trPr>
          <w:trHeight w:val="24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0957CC42" w14:textId="77777777" w:rsidR="009A356E" w:rsidRPr="00EF467E" w:rsidRDefault="009A356E" w:rsidP="009A356E">
            <w:pPr>
              <w:rPr>
                <w:rFonts w:ascii="Calibri" w:hAnsi="Calibri"/>
                <w:sz w:val="18"/>
                <w:szCs w:val="18"/>
                <w:lang w:eastAsia="en-AU"/>
              </w:rPr>
            </w:pPr>
            <w:r w:rsidRPr="00EF467E">
              <w:rPr>
                <w:rFonts w:ascii="Calibri" w:hAnsi="Calibri"/>
                <w:sz w:val="18"/>
                <w:szCs w:val="18"/>
                <w:lang w:eastAsia="en-AU"/>
              </w:rPr>
              <w:t>Large Shires</w:t>
            </w:r>
          </w:p>
        </w:tc>
        <w:tc>
          <w:tcPr>
            <w:tcW w:w="1000" w:type="dxa"/>
            <w:tcBorders>
              <w:top w:val="nil"/>
              <w:left w:val="nil"/>
              <w:bottom w:val="single" w:sz="4" w:space="0" w:color="auto"/>
              <w:right w:val="single" w:sz="4" w:space="0" w:color="auto"/>
            </w:tcBorders>
            <w:shd w:val="clear" w:color="auto" w:fill="auto"/>
            <w:noWrap/>
            <w:vAlign w:val="bottom"/>
            <w:hideMark/>
          </w:tcPr>
          <w:p w14:paraId="0843BCD2"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385.02</w:t>
            </w:r>
          </w:p>
        </w:tc>
        <w:tc>
          <w:tcPr>
            <w:tcW w:w="1100" w:type="dxa"/>
            <w:tcBorders>
              <w:top w:val="nil"/>
              <w:left w:val="nil"/>
              <w:bottom w:val="single" w:sz="4" w:space="0" w:color="auto"/>
              <w:right w:val="single" w:sz="4" w:space="0" w:color="auto"/>
            </w:tcBorders>
            <w:shd w:val="clear" w:color="auto" w:fill="auto"/>
            <w:noWrap/>
            <w:vAlign w:val="bottom"/>
            <w:hideMark/>
          </w:tcPr>
          <w:p w14:paraId="29AF8AA6"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60.01</w:t>
            </w:r>
          </w:p>
        </w:tc>
        <w:tc>
          <w:tcPr>
            <w:tcW w:w="1100" w:type="dxa"/>
            <w:tcBorders>
              <w:top w:val="nil"/>
              <w:left w:val="nil"/>
              <w:bottom w:val="single" w:sz="4" w:space="0" w:color="auto"/>
              <w:right w:val="single" w:sz="4" w:space="0" w:color="auto"/>
            </w:tcBorders>
            <w:shd w:val="clear" w:color="auto" w:fill="auto"/>
            <w:noWrap/>
            <w:vAlign w:val="bottom"/>
            <w:hideMark/>
          </w:tcPr>
          <w:p w14:paraId="4E66CB49"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100.37</w:t>
            </w:r>
          </w:p>
        </w:tc>
        <w:tc>
          <w:tcPr>
            <w:tcW w:w="940" w:type="dxa"/>
            <w:tcBorders>
              <w:top w:val="nil"/>
              <w:left w:val="nil"/>
              <w:bottom w:val="single" w:sz="4" w:space="0" w:color="auto"/>
              <w:right w:val="single" w:sz="4" w:space="0" w:color="auto"/>
            </w:tcBorders>
            <w:shd w:val="clear" w:color="auto" w:fill="auto"/>
            <w:noWrap/>
            <w:vAlign w:val="bottom"/>
            <w:hideMark/>
          </w:tcPr>
          <w:p w14:paraId="58918636"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40.36</w:t>
            </w:r>
          </w:p>
        </w:tc>
        <w:tc>
          <w:tcPr>
            <w:tcW w:w="940" w:type="dxa"/>
            <w:tcBorders>
              <w:top w:val="nil"/>
              <w:left w:val="nil"/>
              <w:bottom w:val="single" w:sz="4" w:space="0" w:color="auto"/>
              <w:right w:val="single" w:sz="4" w:space="0" w:color="auto"/>
            </w:tcBorders>
            <w:shd w:val="clear" w:color="auto" w:fill="auto"/>
            <w:noWrap/>
            <w:vAlign w:val="bottom"/>
            <w:hideMark/>
          </w:tcPr>
          <w:p w14:paraId="61D6A586"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10.5%</w:t>
            </w:r>
          </w:p>
        </w:tc>
        <w:tc>
          <w:tcPr>
            <w:tcW w:w="1120" w:type="dxa"/>
            <w:tcBorders>
              <w:top w:val="nil"/>
              <w:left w:val="nil"/>
              <w:bottom w:val="single" w:sz="4" w:space="0" w:color="auto"/>
              <w:right w:val="single" w:sz="4" w:space="0" w:color="auto"/>
            </w:tcBorders>
            <w:shd w:val="clear" w:color="auto" w:fill="auto"/>
            <w:noWrap/>
            <w:vAlign w:val="bottom"/>
            <w:hideMark/>
          </w:tcPr>
          <w:p w14:paraId="0298F2B4"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59.47</w:t>
            </w:r>
          </w:p>
        </w:tc>
        <w:tc>
          <w:tcPr>
            <w:tcW w:w="1340" w:type="dxa"/>
            <w:tcBorders>
              <w:top w:val="nil"/>
              <w:left w:val="nil"/>
              <w:bottom w:val="single" w:sz="4" w:space="0" w:color="auto"/>
              <w:right w:val="single" w:sz="4" w:space="0" w:color="auto"/>
            </w:tcBorders>
            <w:shd w:val="clear" w:color="auto" w:fill="auto"/>
            <w:noWrap/>
            <w:vAlign w:val="bottom"/>
            <w:hideMark/>
          </w:tcPr>
          <w:p w14:paraId="40A3A1E2"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36.83</w:t>
            </w:r>
          </w:p>
        </w:tc>
      </w:tr>
      <w:tr w:rsidR="009A356E" w:rsidRPr="00EF467E" w14:paraId="27A495BB" w14:textId="77777777" w:rsidTr="009A356E">
        <w:trPr>
          <w:trHeight w:val="24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14B8CC1D" w14:textId="77777777" w:rsidR="009A356E" w:rsidRPr="00EF467E" w:rsidRDefault="009A356E" w:rsidP="009A356E">
            <w:pPr>
              <w:rPr>
                <w:rFonts w:ascii="Calibri" w:hAnsi="Calibri"/>
                <w:sz w:val="18"/>
                <w:szCs w:val="18"/>
                <w:lang w:eastAsia="en-AU"/>
              </w:rPr>
            </w:pPr>
            <w:r w:rsidRPr="00EF467E">
              <w:rPr>
                <w:rFonts w:ascii="Calibri" w:hAnsi="Calibri"/>
                <w:sz w:val="18"/>
                <w:szCs w:val="18"/>
                <w:lang w:eastAsia="en-AU"/>
              </w:rPr>
              <w:t>Outer Metro</w:t>
            </w:r>
          </w:p>
        </w:tc>
        <w:tc>
          <w:tcPr>
            <w:tcW w:w="1000" w:type="dxa"/>
            <w:tcBorders>
              <w:top w:val="nil"/>
              <w:left w:val="nil"/>
              <w:bottom w:val="single" w:sz="4" w:space="0" w:color="auto"/>
              <w:right w:val="single" w:sz="4" w:space="0" w:color="auto"/>
            </w:tcBorders>
            <w:shd w:val="clear" w:color="auto" w:fill="auto"/>
            <w:noWrap/>
            <w:vAlign w:val="bottom"/>
            <w:hideMark/>
          </w:tcPr>
          <w:p w14:paraId="107B240B"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666.97</w:t>
            </w:r>
          </w:p>
        </w:tc>
        <w:tc>
          <w:tcPr>
            <w:tcW w:w="1100" w:type="dxa"/>
            <w:tcBorders>
              <w:top w:val="nil"/>
              <w:left w:val="nil"/>
              <w:bottom w:val="single" w:sz="4" w:space="0" w:color="auto"/>
              <w:right w:val="single" w:sz="4" w:space="0" w:color="auto"/>
            </w:tcBorders>
            <w:shd w:val="clear" w:color="auto" w:fill="auto"/>
            <w:noWrap/>
            <w:vAlign w:val="bottom"/>
            <w:hideMark/>
          </w:tcPr>
          <w:p w14:paraId="5F22739D"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56.67</w:t>
            </w:r>
          </w:p>
        </w:tc>
        <w:tc>
          <w:tcPr>
            <w:tcW w:w="1100" w:type="dxa"/>
            <w:tcBorders>
              <w:top w:val="nil"/>
              <w:left w:val="nil"/>
              <w:bottom w:val="single" w:sz="4" w:space="0" w:color="auto"/>
              <w:right w:val="single" w:sz="4" w:space="0" w:color="auto"/>
            </w:tcBorders>
            <w:shd w:val="clear" w:color="auto" w:fill="auto"/>
            <w:noWrap/>
            <w:vAlign w:val="bottom"/>
            <w:hideMark/>
          </w:tcPr>
          <w:p w14:paraId="47BA4206"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78.09</w:t>
            </w:r>
          </w:p>
        </w:tc>
        <w:tc>
          <w:tcPr>
            <w:tcW w:w="940" w:type="dxa"/>
            <w:tcBorders>
              <w:top w:val="nil"/>
              <w:left w:val="nil"/>
              <w:bottom w:val="single" w:sz="4" w:space="0" w:color="auto"/>
              <w:right w:val="single" w:sz="4" w:space="0" w:color="auto"/>
            </w:tcBorders>
            <w:shd w:val="clear" w:color="auto" w:fill="auto"/>
            <w:noWrap/>
            <w:vAlign w:val="bottom"/>
            <w:hideMark/>
          </w:tcPr>
          <w:p w14:paraId="4F83C0E9"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21.41</w:t>
            </w:r>
          </w:p>
        </w:tc>
        <w:tc>
          <w:tcPr>
            <w:tcW w:w="940" w:type="dxa"/>
            <w:tcBorders>
              <w:top w:val="nil"/>
              <w:left w:val="nil"/>
              <w:bottom w:val="single" w:sz="4" w:space="0" w:color="auto"/>
              <w:right w:val="single" w:sz="4" w:space="0" w:color="auto"/>
            </w:tcBorders>
            <w:shd w:val="clear" w:color="auto" w:fill="auto"/>
            <w:noWrap/>
            <w:vAlign w:val="bottom"/>
            <w:hideMark/>
          </w:tcPr>
          <w:p w14:paraId="0C8C9798"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3.2%</w:t>
            </w:r>
          </w:p>
        </w:tc>
        <w:tc>
          <w:tcPr>
            <w:tcW w:w="1120" w:type="dxa"/>
            <w:tcBorders>
              <w:top w:val="nil"/>
              <w:left w:val="nil"/>
              <w:bottom w:val="single" w:sz="4" w:space="0" w:color="auto"/>
              <w:right w:val="single" w:sz="4" w:space="0" w:color="auto"/>
            </w:tcBorders>
            <w:shd w:val="clear" w:color="auto" w:fill="auto"/>
            <w:noWrap/>
            <w:vAlign w:val="bottom"/>
            <w:hideMark/>
          </w:tcPr>
          <w:p w14:paraId="08A059BF"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36.39</w:t>
            </w:r>
          </w:p>
        </w:tc>
        <w:tc>
          <w:tcPr>
            <w:tcW w:w="1340" w:type="dxa"/>
            <w:tcBorders>
              <w:top w:val="nil"/>
              <w:left w:val="nil"/>
              <w:bottom w:val="single" w:sz="4" w:space="0" w:color="auto"/>
              <w:right w:val="single" w:sz="4" w:space="0" w:color="auto"/>
            </w:tcBorders>
            <w:shd w:val="clear" w:color="auto" w:fill="auto"/>
            <w:noWrap/>
            <w:vAlign w:val="bottom"/>
            <w:hideMark/>
          </w:tcPr>
          <w:p w14:paraId="0A9F985B"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1.35</w:t>
            </w:r>
          </w:p>
        </w:tc>
      </w:tr>
      <w:tr w:rsidR="009A356E" w:rsidRPr="00EF467E" w14:paraId="333DB35E" w14:textId="77777777" w:rsidTr="009A356E">
        <w:trPr>
          <w:trHeight w:val="24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7010E306" w14:textId="77777777" w:rsidR="009A356E" w:rsidRPr="00EF467E" w:rsidRDefault="009A356E" w:rsidP="009A356E">
            <w:pPr>
              <w:rPr>
                <w:rFonts w:ascii="Calibri" w:hAnsi="Calibri"/>
                <w:sz w:val="18"/>
                <w:szCs w:val="18"/>
                <w:lang w:eastAsia="en-AU"/>
              </w:rPr>
            </w:pPr>
            <w:r w:rsidRPr="00EF467E">
              <w:rPr>
                <w:rFonts w:ascii="Calibri" w:hAnsi="Calibri"/>
                <w:sz w:val="18"/>
                <w:szCs w:val="18"/>
                <w:lang w:eastAsia="en-AU"/>
              </w:rPr>
              <w:t>Regional Cities</w:t>
            </w:r>
          </w:p>
        </w:tc>
        <w:tc>
          <w:tcPr>
            <w:tcW w:w="1000" w:type="dxa"/>
            <w:tcBorders>
              <w:top w:val="nil"/>
              <w:left w:val="nil"/>
              <w:bottom w:val="single" w:sz="4" w:space="0" w:color="auto"/>
              <w:right w:val="single" w:sz="4" w:space="0" w:color="auto"/>
            </w:tcBorders>
            <w:shd w:val="clear" w:color="auto" w:fill="auto"/>
            <w:noWrap/>
            <w:vAlign w:val="bottom"/>
            <w:hideMark/>
          </w:tcPr>
          <w:p w14:paraId="52E250F1"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445.31</w:t>
            </w:r>
          </w:p>
        </w:tc>
        <w:tc>
          <w:tcPr>
            <w:tcW w:w="1100" w:type="dxa"/>
            <w:tcBorders>
              <w:top w:val="nil"/>
              <w:left w:val="nil"/>
              <w:bottom w:val="single" w:sz="4" w:space="0" w:color="auto"/>
              <w:right w:val="single" w:sz="4" w:space="0" w:color="auto"/>
            </w:tcBorders>
            <w:shd w:val="clear" w:color="auto" w:fill="auto"/>
            <w:noWrap/>
            <w:vAlign w:val="bottom"/>
            <w:hideMark/>
          </w:tcPr>
          <w:p w14:paraId="4F481FD1"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56.85</w:t>
            </w:r>
          </w:p>
        </w:tc>
        <w:tc>
          <w:tcPr>
            <w:tcW w:w="1100" w:type="dxa"/>
            <w:tcBorders>
              <w:top w:val="nil"/>
              <w:left w:val="nil"/>
              <w:bottom w:val="single" w:sz="4" w:space="0" w:color="auto"/>
              <w:right w:val="single" w:sz="4" w:space="0" w:color="auto"/>
            </w:tcBorders>
            <w:shd w:val="clear" w:color="auto" w:fill="auto"/>
            <w:noWrap/>
            <w:vAlign w:val="bottom"/>
            <w:hideMark/>
          </w:tcPr>
          <w:p w14:paraId="1CF96ED8"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91.05</w:t>
            </w:r>
          </w:p>
        </w:tc>
        <w:tc>
          <w:tcPr>
            <w:tcW w:w="940" w:type="dxa"/>
            <w:tcBorders>
              <w:top w:val="nil"/>
              <w:left w:val="nil"/>
              <w:bottom w:val="single" w:sz="4" w:space="0" w:color="auto"/>
              <w:right w:val="single" w:sz="4" w:space="0" w:color="auto"/>
            </w:tcBorders>
            <w:shd w:val="clear" w:color="auto" w:fill="auto"/>
            <w:noWrap/>
            <w:vAlign w:val="bottom"/>
            <w:hideMark/>
          </w:tcPr>
          <w:p w14:paraId="281E06BF"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34.21</w:t>
            </w:r>
          </w:p>
        </w:tc>
        <w:tc>
          <w:tcPr>
            <w:tcW w:w="940" w:type="dxa"/>
            <w:tcBorders>
              <w:top w:val="nil"/>
              <w:left w:val="nil"/>
              <w:bottom w:val="single" w:sz="4" w:space="0" w:color="auto"/>
              <w:right w:val="single" w:sz="4" w:space="0" w:color="auto"/>
            </w:tcBorders>
            <w:shd w:val="clear" w:color="auto" w:fill="auto"/>
            <w:noWrap/>
            <w:vAlign w:val="bottom"/>
            <w:hideMark/>
          </w:tcPr>
          <w:p w14:paraId="22F5A2A8"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7.7%</w:t>
            </w:r>
          </w:p>
        </w:tc>
        <w:tc>
          <w:tcPr>
            <w:tcW w:w="1120" w:type="dxa"/>
            <w:tcBorders>
              <w:top w:val="nil"/>
              <w:left w:val="nil"/>
              <w:bottom w:val="single" w:sz="4" w:space="0" w:color="auto"/>
              <w:right w:val="single" w:sz="4" w:space="0" w:color="auto"/>
            </w:tcBorders>
            <w:shd w:val="clear" w:color="auto" w:fill="auto"/>
            <w:noWrap/>
            <w:vAlign w:val="bottom"/>
            <w:hideMark/>
          </w:tcPr>
          <w:p w14:paraId="446DD5A2"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55.66</w:t>
            </w:r>
          </w:p>
        </w:tc>
        <w:tc>
          <w:tcPr>
            <w:tcW w:w="1340" w:type="dxa"/>
            <w:tcBorders>
              <w:top w:val="nil"/>
              <w:left w:val="nil"/>
              <w:bottom w:val="single" w:sz="4" w:space="0" w:color="auto"/>
              <w:right w:val="single" w:sz="4" w:space="0" w:color="auto"/>
            </w:tcBorders>
            <w:shd w:val="clear" w:color="auto" w:fill="auto"/>
            <w:noWrap/>
            <w:vAlign w:val="bottom"/>
            <w:hideMark/>
          </w:tcPr>
          <w:p w14:paraId="44A97015"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43.47</w:t>
            </w:r>
          </w:p>
        </w:tc>
      </w:tr>
      <w:tr w:rsidR="009A356E" w:rsidRPr="00EF467E" w14:paraId="7EDAA25B" w14:textId="77777777" w:rsidTr="009A356E">
        <w:trPr>
          <w:trHeight w:val="24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116D98A" w14:textId="77777777" w:rsidR="009A356E" w:rsidRPr="00EF467E" w:rsidRDefault="009A356E" w:rsidP="009A356E">
            <w:pPr>
              <w:rPr>
                <w:rFonts w:ascii="Calibri" w:hAnsi="Calibri"/>
                <w:sz w:val="18"/>
                <w:szCs w:val="18"/>
                <w:lang w:eastAsia="en-AU"/>
              </w:rPr>
            </w:pPr>
            <w:r w:rsidRPr="00EF467E">
              <w:rPr>
                <w:rFonts w:ascii="Calibri" w:hAnsi="Calibri"/>
                <w:sz w:val="18"/>
                <w:szCs w:val="18"/>
                <w:lang w:eastAsia="en-AU"/>
              </w:rPr>
              <w:t>Small Shires</w:t>
            </w:r>
          </w:p>
        </w:tc>
        <w:tc>
          <w:tcPr>
            <w:tcW w:w="1000" w:type="dxa"/>
            <w:tcBorders>
              <w:top w:val="nil"/>
              <w:left w:val="nil"/>
              <w:bottom w:val="single" w:sz="4" w:space="0" w:color="auto"/>
              <w:right w:val="single" w:sz="4" w:space="0" w:color="auto"/>
            </w:tcBorders>
            <w:shd w:val="clear" w:color="auto" w:fill="auto"/>
            <w:noWrap/>
            <w:vAlign w:val="bottom"/>
            <w:hideMark/>
          </w:tcPr>
          <w:p w14:paraId="44A46C68"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155.85</w:t>
            </w:r>
          </w:p>
        </w:tc>
        <w:tc>
          <w:tcPr>
            <w:tcW w:w="1100" w:type="dxa"/>
            <w:tcBorders>
              <w:top w:val="nil"/>
              <w:left w:val="nil"/>
              <w:bottom w:val="single" w:sz="4" w:space="0" w:color="auto"/>
              <w:right w:val="single" w:sz="4" w:space="0" w:color="auto"/>
            </w:tcBorders>
            <w:shd w:val="clear" w:color="auto" w:fill="auto"/>
            <w:noWrap/>
            <w:vAlign w:val="bottom"/>
            <w:hideMark/>
          </w:tcPr>
          <w:p w14:paraId="72DFB37C"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35.62</w:t>
            </w:r>
          </w:p>
        </w:tc>
        <w:tc>
          <w:tcPr>
            <w:tcW w:w="1100" w:type="dxa"/>
            <w:tcBorders>
              <w:top w:val="nil"/>
              <w:left w:val="nil"/>
              <w:bottom w:val="single" w:sz="4" w:space="0" w:color="auto"/>
              <w:right w:val="single" w:sz="4" w:space="0" w:color="auto"/>
            </w:tcBorders>
            <w:shd w:val="clear" w:color="auto" w:fill="auto"/>
            <w:noWrap/>
            <w:vAlign w:val="bottom"/>
            <w:hideMark/>
          </w:tcPr>
          <w:p w14:paraId="0AF596DC"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48.37</w:t>
            </w:r>
          </w:p>
        </w:tc>
        <w:tc>
          <w:tcPr>
            <w:tcW w:w="940" w:type="dxa"/>
            <w:tcBorders>
              <w:top w:val="nil"/>
              <w:left w:val="nil"/>
              <w:bottom w:val="single" w:sz="4" w:space="0" w:color="auto"/>
              <w:right w:val="single" w:sz="4" w:space="0" w:color="auto"/>
            </w:tcBorders>
            <w:shd w:val="clear" w:color="auto" w:fill="auto"/>
            <w:noWrap/>
            <w:vAlign w:val="bottom"/>
            <w:hideMark/>
          </w:tcPr>
          <w:p w14:paraId="0AA91E50"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12.74</w:t>
            </w:r>
          </w:p>
        </w:tc>
        <w:tc>
          <w:tcPr>
            <w:tcW w:w="940" w:type="dxa"/>
            <w:tcBorders>
              <w:top w:val="nil"/>
              <w:left w:val="nil"/>
              <w:bottom w:val="single" w:sz="4" w:space="0" w:color="auto"/>
              <w:right w:val="single" w:sz="4" w:space="0" w:color="auto"/>
            </w:tcBorders>
            <w:shd w:val="clear" w:color="auto" w:fill="auto"/>
            <w:noWrap/>
            <w:vAlign w:val="bottom"/>
            <w:hideMark/>
          </w:tcPr>
          <w:p w14:paraId="14FC92DF"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8.2%</w:t>
            </w:r>
          </w:p>
        </w:tc>
        <w:tc>
          <w:tcPr>
            <w:tcW w:w="1120" w:type="dxa"/>
            <w:tcBorders>
              <w:top w:val="nil"/>
              <w:left w:val="nil"/>
              <w:bottom w:val="single" w:sz="4" w:space="0" w:color="auto"/>
              <w:right w:val="single" w:sz="4" w:space="0" w:color="auto"/>
            </w:tcBorders>
            <w:shd w:val="clear" w:color="auto" w:fill="auto"/>
            <w:noWrap/>
            <w:vAlign w:val="bottom"/>
            <w:hideMark/>
          </w:tcPr>
          <w:p w14:paraId="389B2424"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32.54</w:t>
            </w:r>
          </w:p>
        </w:tc>
        <w:tc>
          <w:tcPr>
            <w:tcW w:w="1340" w:type="dxa"/>
            <w:tcBorders>
              <w:top w:val="nil"/>
              <w:left w:val="nil"/>
              <w:bottom w:val="single" w:sz="4" w:space="0" w:color="auto"/>
              <w:right w:val="single" w:sz="4" w:space="0" w:color="auto"/>
            </w:tcBorders>
            <w:shd w:val="clear" w:color="auto" w:fill="auto"/>
            <w:noWrap/>
            <w:vAlign w:val="bottom"/>
            <w:hideMark/>
          </w:tcPr>
          <w:p w14:paraId="32C65C96"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17.85</w:t>
            </w:r>
          </w:p>
        </w:tc>
      </w:tr>
      <w:tr w:rsidR="009A356E" w:rsidRPr="00EF467E" w14:paraId="6A183803" w14:textId="77777777" w:rsidTr="009A356E">
        <w:trPr>
          <w:trHeight w:val="24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24938248" w14:textId="77777777" w:rsidR="009A356E" w:rsidRPr="00EF467E" w:rsidRDefault="009A356E" w:rsidP="009A356E">
            <w:pPr>
              <w:rPr>
                <w:rFonts w:ascii="Calibri" w:hAnsi="Calibri"/>
                <w:sz w:val="18"/>
                <w:szCs w:val="18"/>
                <w:lang w:eastAsia="en-AU"/>
              </w:rPr>
            </w:pPr>
            <w:r w:rsidRPr="00EF467E">
              <w:rPr>
                <w:rFonts w:ascii="Calibri" w:hAnsi="Calibri"/>
                <w:sz w:val="18"/>
                <w:szCs w:val="18"/>
                <w:lang w:eastAsia="en-AU"/>
              </w:rPr>
              <w:t>All Councils</w:t>
            </w:r>
          </w:p>
        </w:tc>
        <w:tc>
          <w:tcPr>
            <w:tcW w:w="1000" w:type="dxa"/>
            <w:tcBorders>
              <w:top w:val="nil"/>
              <w:left w:val="nil"/>
              <w:bottom w:val="single" w:sz="4" w:space="0" w:color="auto"/>
              <w:right w:val="single" w:sz="4" w:space="0" w:color="auto"/>
            </w:tcBorders>
            <w:shd w:val="clear" w:color="auto" w:fill="auto"/>
            <w:noWrap/>
            <w:vAlign w:val="bottom"/>
            <w:hideMark/>
          </w:tcPr>
          <w:p w14:paraId="49F9DC59"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2,502.19</w:t>
            </w:r>
          </w:p>
        </w:tc>
        <w:tc>
          <w:tcPr>
            <w:tcW w:w="1100" w:type="dxa"/>
            <w:tcBorders>
              <w:top w:val="nil"/>
              <w:left w:val="nil"/>
              <w:bottom w:val="single" w:sz="4" w:space="0" w:color="auto"/>
              <w:right w:val="single" w:sz="4" w:space="0" w:color="auto"/>
            </w:tcBorders>
            <w:shd w:val="clear" w:color="auto" w:fill="auto"/>
            <w:noWrap/>
            <w:vAlign w:val="bottom"/>
            <w:hideMark/>
          </w:tcPr>
          <w:p w14:paraId="11871428"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306.34</w:t>
            </w:r>
          </w:p>
        </w:tc>
        <w:tc>
          <w:tcPr>
            <w:tcW w:w="1100" w:type="dxa"/>
            <w:tcBorders>
              <w:top w:val="nil"/>
              <w:left w:val="nil"/>
              <w:bottom w:val="single" w:sz="4" w:space="0" w:color="auto"/>
              <w:right w:val="single" w:sz="4" w:space="0" w:color="auto"/>
            </w:tcBorders>
            <w:shd w:val="clear" w:color="auto" w:fill="auto"/>
            <w:noWrap/>
            <w:vAlign w:val="bottom"/>
            <w:hideMark/>
          </w:tcPr>
          <w:p w14:paraId="061D037F"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455.42</w:t>
            </w:r>
          </w:p>
        </w:tc>
        <w:tc>
          <w:tcPr>
            <w:tcW w:w="940" w:type="dxa"/>
            <w:tcBorders>
              <w:top w:val="nil"/>
              <w:left w:val="nil"/>
              <w:bottom w:val="single" w:sz="4" w:space="0" w:color="auto"/>
              <w:right w:val="single" w:sz="4" w:space="0" w:color="auto"/>
            </w:tcBorders>
            <w:shd w:val="clear" w:color="auto" w:fill="auto"/>
            <w:noWrap/>
            <w:vAlign w:val="bottom"/>
            <w:hideMark/>
          </w:tcPr>
          <w:p w14:paraId="221BE51F"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149.07</w:t>
            </w:r>
          </w:p>
        </w:tc>
        <w:tc>
          <w:tcPr>
            <w:tcW w:w="940" w:type="dxa"/>
            <w:tcBorders>
              <w:top w:val="nil"/>
              <w:left w:val="nil"/>
              <w:bottom w:val="single" w:sz="4" w:space="0" w:color="auto"/>
              <w:right w:val="single" w:sz="4" w:space="0" w:color="auto"/>
            </w:tcBorders>
            <w:shd w:val="clear" w:color="auto" w:fill="auto"/>
            <w:noWrap/>
            <w:vAlign w:val="bottom"/>
            <w:hideMark/>
          </w:tcPr>
          <w:p w14:paraId="2331A2C4"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6.0%</w:t>
            </w:r>
          </w:p>
        </w:tc>
        <w:tc>
          <w:tcPr>
            <w:tcW w:w="1120" w:type="dxa"/>
            <w:tcBorders>
              <w:top w:val="nil"/>
              <w:left w:val="nil"/>
              <w:bottom w:val="single" w:sz="4" w:space="0" w:color="auto"/>
              <w:right w:val="single" w:sz="4" w:space="0" w:color="auto"/>
            </w:tcBorders>
            <w:shd w:val="clear" w:color="auto" w:fill="auto"/>
            <w:noWrap/>
            <w:vAlign w:val="bottom"/>
            <w:hideMark/>
          </w:tcPr>
          <w:p w14:paraId="423DFE23"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215.92</w:t>
            </w:r>
          </w:p>
        </w:tc>
        <w:tc>
          <w:tcPr>
            <w:tcW w:w="1340" w:type="dxa"/>
            <w:tcBorders>
              <w:top w:val="nil"/>
              <w:left w:val="nil"/>
              <w:bottom w:val="single" w:sz="4" w:space="0" w:color="auto"/>
              <w:right w:val="single" w:sz="4" w:space="0" w:color="auto"/>
            </w:tcBorders>
            <w:shd w:val="clear" w:color="auto" w:fill="auto"/>
            <w:noWrap/>
            <w:vAlign w:val="bottom"/>
            <w:hideMark/>
          </w:tcPr>
          <w:p w14:paraId="5F4B62C0"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126.81</w:t>
            </w:r>
          </w:p>
        </w:tc>
      </w:tr>
      <w:tr w:rsidR="009A356E" w:rsidRPr="00EF467E" w14:paraId="36D9556C" w14:textId="77777777" w:rsidTr="009A356E">
        <w:trPr>
          <w:trHeight w:val="240"/>
        </w:trPr>
        <w:tc>
          <w:tcPr>
            <w:tcW w:w="2020" w:type="dxa"/>
            <w:tcBorders>
              <w:top w:val="nil"/>
              <w:left w:val="single" w:sz="4" w:space="0" w:color="auto"/>
              <w:bottom w:val="single" w:sz="4" w:space="0" w:color="auto"/>
              <w:right w:val="single" w:sz="4" w:space="0" w:color="auto"/>
            </w:tcBorders>
            <w:shd w:val="clear" w:color="auto" w:fill="000000" w:themeFill="text1"/>
            <w:noWrap/>
            <w:vAlign w:val="bottom"/>
            <w:hideMark/>
          </w:tcPr>
          <w:p w14:paraId="3E29CA3E" w14:textId="77777777" w:rsidR="009A356E" w:rsidRPr="00EF467E" w:rsidRDefault="009A356E" w:rsidP="009A356E">
            <w:pPr>
              <w:rPr>
                <w:rFonts w:ascii="Calibri" w:hAnsi="Calibri"/>
                <w:sz w:val="18"/>
                <w:szCs w:val="18"/>
                <w:lang w:eastAsia="en-AU"/>
              </w:rPr>
            </w:pPr>
          </w:p>
        </w:tc>
        <w:tc>
          <w:tcPr>
            <w:tcW w:w="1000" w:type="dxa"/>
            <w:tcBorders>
              <w:top w:val="nil"/>
              <w:left w:val="nil"/>
              <w:bottom w:val="single" w:sz="4" w:space="0" w:color="auto"/>
              <w:right w:val="single" w:sz="4" w:space="0" w:color="auto"/>
            </w:tcBorders>
            <w:shd w:val="clear" w:color="auto" w:fill="000000" w:themeFill="text1"/>
            <w:noWrap/>
            <w:vAlign w:val="bottom"/>
            <w:hideMark/>
          </w:tcPr>
          <w:p w14:paraId="64408FBA" w14:textId="77777777" w:rsidR="009A356E" w:rsidRPr="00EF467E" w:rsidRDefault="009A356E" w:rsidP="009A356E">
            <w:pPr>
              <w:jc w:val="center"/>
              <w:rPr>
                <w:rFonts w:ascii="Calibri" w:hAnsi="Calibri"/>
                <w:color w:val="000000"/>
                <w:sz w:val="18"/>
                <w:szCs w:val="18"/>
                <w:lang w:eastAsia="en-AU"/>
              </w:rPr>
            </w:pPr>
          </w:p>
        </w:tc>
        <w:tc>
          <w:tcPr>
            <w:tcW w:w="1100" w:type="dxa"/>
            <w:tcBorders>
              <w:top w:val="nil"/>
              <w:left w:val="nil"/>
              <w:bottom w:val="single" w:sz="4" w:space="0" w:color="auto"/>
              <w:right w:val="single" w:sz="4" w:space="0" w:color="auto"/>
            </w:tcBorders>
            <w:shd w:val="clear" w:color="auto" w:fill="000000" w:themeFill="text1"/>
            <w:noWrap/>
            <w:vAlign w:val="bottom"/>
            <w:hideMark/>
          </w:tcPr>
          <w:p w14:paraId="1BD6BF4B" w14:textId="77777777" w:rsidR="009A356E" w:rsidRPr="00EF467E" w:rsidRDefault="009A356E" w:rsidP="009A356E">
            <w:pPr>
              <w:jc w:val="center"/>
              <w:rPr>
                <w:rFonts w:ascii="Calibri" w:hAnsi="Calibri"/>
                <w:color w:val="000000"/>
                <w:sz w:val="18"/>
                <w:szCs w:val="18"/>
                <w:lang w:eastAsia="en-AU"/>
              </w:rPr>
            </w:pPr>
          </w:p>
        </w:tc>
        <w:tc>
          <w:tcPr>
            <w:tcW w:w="1100" w:type="dxa"/>
            <w:tcBorders>
              <w:top w:val="nil"/>
              <w:left w:val="nil"/>
              <w:bottom w:val="single" w:sz="4" w:space="0" w:color="auto"/>
              <w:right w:val="single" w:sz="4" w:space="0" w:color="auto"/>
            </w:tcBorders>
            <w:shd w:val="clear" w:color="auto" w:fill="000000" w:themeFill="text1"/>
            <w:noWrap/>
            <w:vAlign w:val="bottom"/>
            <w:hideMark/>
          </w:tcPr>
          <w:p w14:paraId="1875693B" w14:textId="77777777" w:rsidR="009A356E" w:rsidRPr="00EF467E" w:rsidRDefault="009A356E" w:rsidP="009A356E">
            <w:pPr>
              <w:jc w:val="center"/>
              <w:rPr>
                <w:rFonts w:ascii="Calibri" w:hAnsi="Calibri"/>
                <w:color w:val="000000"/>
                <w:sz w:val="18"/>
                <w:szCs w:val="18"/>
                <w:lang w:eastAsia="en-AU"/>
              </w:rPr>
            </w:pPr>
          </w:p>
        </w:tc>
        <w:tc>
          <w:tcPr>
            <w:tcW w:w="940" w:type="dxa"/>
            <w:tcBorders>
              <w:top w:val="nil"/>
              <w:left w:val="nil"/>
              <w:bottom w:val="single" w:sz="4" w:space="0" w:color="auto"/>
              <w:right w:val="single" w:sz="4" w:space="0" w:color="auto"/>
            </w:tcBorders>
            <w:shd w:val="clear" w:color="auto" w:fill="000000" w:themeFill="text1"/>
            <w:noWrap/>
            <w:vAlign w:val="bottom"/>
            <w:hideMark/>
          </w:tcPr>
          <w:p w14:paraId="6B52ACC3" w14:textId="77777777" w:rsidR="009A356E" w:rsidRPr="00EF467E" w:rsidRDefault="009A356E" w:rsidP="009A356E">
            <w:pPr>
              <w:jc w:val="center"/>
              <w:rPr>
                <w:rFonts w:ascii="Calibri" w:hAnsi="Calibri"/>
                <w:color w:val="000000"/>
                <w:sz w:val="18"/>
                <w:szCs w:val="18"/>
                <w:lang w:eastAsia="en-AU"/>
              </w:rPr>
            </w:pPr>
          </w:p>
        </w:tc>
        <w:tc>
          <w:tcPr>
            <w:tcW w:w="940" w:type="dxa"/>
            <w:tcBorders>
              <w:top w:val="nil"/>
              <w:left w:val="nil"/>
              <w:bottom w:val="single" w:sz="4" w:space="0" w:color="auto"/>
              <w:right w:val="single" w:sz="4" w:space="0" w:color="auto"/>
            </w:tcBorders>
            <w:shd w:val="clear" w:color="auto" w:fill="000000" w:themeFill="text1"/>
            <w:noWrap/>
            <w:vAlign w:val="bottom"/>
            <w:hideMark/>
          </w:tcPr>
          <w:p w14:paraId="5DBA94BF" w14:textId="77777777" w:rsidR="009A356E" w:rsidRPr="00EF467E" w:rsidRDefault="009A356E" w:rsidP="009A356E">
            <w:pPr>
              <w:jc w:val="center"/>
              <w:rPr>
                <w:rFonts w:ascii="Calibri" w:hAnsi="Calibri"/>
                <w:color w:val="000000"/>
                <w:sz w:val="18"/>
                <w:szCs w:val="18"/>
                <w:lang w:eastAsia="en-AU"/>
              </w:rPr>
            </w:pPr>
          </w:p>
        </w:tc>
        <w:tc>
          <w:tcPr>
            <w:tcW w:w="1120" w:type="dxa"/>
            <w:tcBorders>
              <w:top w:val="nil"/>
              <w:left w:val="nil"/>
              <w:bottom w:val="single" w:sz="4" w:space="0" w:color="auto"/>
              <w:right w:val="single" w:sz="4" w:space="0" w:color="auto"/>
            </w:tcBorders>
            <w:shd w:val="clear" w:color="auto" w:fill="000000" w:themeFill="text1"/>
            <w:noWrap/>
            <w:vAlign w:val="bottom"/>
            <w:hideMark/>
          </w:tcPr>
          <w:p w14:paraId="59E95068" w14:textId="77777777" w:rsidR="009A356E" w:rsidRPr="00EF467E" w:rsidRDefault="009A356E" w:rsidP="009A356E">
            <w:pPr>
              <w:jc w:val="center"/>
              <w:rPr>
                <w:rFonts w:ascii="Calibri" w:hAnsi="Calibri"/>
                <w:color w:val="000000"/>
                <w:sz w:val="18"/>
                <w:szCs w:val="18"/>
                <w:lang w:eastAsia="en-AU"/>
              </w:rPr>
            </w:pPr>
          </w:p>
        </w:tc>
        <w:tc>
          <w:tcPr>
            <w:tcW w:w="1340" w:type="dxa"/>
            <w:tcBorders>
              <w:top w:val="nil"/>
              <w:left w:val="nil"/>
              <w:bottom w:val="single" w:sz="4" w:space="0" w:color="auto"/>
              <w:right w:val="single" w:sz="4" w:space="0" w:color="auto"/>
            </w:tcBorders>
            <w:shd w:val="clear" w:color="auto" w:fill="000000" w:themeFill="text1"/>
            <w:noWrap/>
            <w:vAlign w:val="bottom"/>
            <w:hideMark/>
          </w:tcPr>
          <w:p w14:paraId="66BE8AA2" w14:textId="77777777" w:rsidR="009A356E" w:rsidRPr="00EF467E" w:rsidRDefault="009A356E" w:rsidP="009A356E">
            <w:pPr>
              <w:jc w:val="center"/>
              <w:rPr>
                <w:rFonts w:ascii="Calibri" w:hAnsi="Calibri"/>
                <w:color w:val="000000"/>
                <w:sz w:val="18"/>
                <w:szCs w:val="18"/>
                <w:lang w:eastAsia="en-AU"/>
              </w:rPr>
            </w:pPr>
          </w:p>
        </w:tc>
      </w:tr>
      <w:tr w:rsidR="009A356E" w:rsidRPr="00EF467E" w14:paraId="45CDABF4" w14:textId="77777777" w:rsidTr="009A356E">
        <w:trPr>
          <w:trHeight w:val="24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4AAEF1A4" w14:textId="77777777" w:rsidR="009A356E" w:rsidRPr="00EF467E" w:rsidRDefault="009A356E" w:rsidP="009A356E">
            <w:pPr>
              <w:rPr>
                <w:rFonts w:ascii="Calibri" w:hAnsi="Calibri"/>
                <w:sz w:val="18"/>
                <w:szCs w:val="18"/>
                <w:lang w:eastAsia="en-AU"/>
              </w:rPr>
            </w:pPr>
            <w:r w:rsidRPr="00EF467E">
              <w:rPr>
                <w:rFonts w:ascii="Calibri" w:hAnsi="Calibri"/>
                <w:sz w:val="18"/>
                <w:szCs w:val="18"/>
                <w:lang w:eastAsia="en-AU"/>
              </w:rPr>
              <w:t>Rural &amp; Regional</w:t>
            </w:r>
          </w:p>
        </w:tc>
        <w:tc>
          <w:tcPr>
            <w:tcW w:w="1000" w:type="dxa"/>
            <w:tcBorders>
              <w:top w:val="nil"/>
              <w:left w:val="nil"/>
              <w:bottom w:val="single" w:sz="4" w:space="0" w:color="auto"/>
              <w:right w:val="single" w:sz="4" w:space="0" w:color="auto"/>
            </w:tcBorders>
            <w:shd w:val="clear" w:color="auto" w:fill="auto"/>
            <w:noWrap/>
            <w:vAlign w:val="bottom"/>
            <w:hideMark/>
          </w:tcPr>
          <w:p w14:paraId="3478FF83"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986.18</w:t>
            </w:r>
          </w:p>
        </w:tc>
        <w:tc>
          <w:tcPr>
            <w:tcW w:w="1100" w:type="dxa"/>
            <w:tcBorders>
              <w:top w:val="nil"/>
              <w:left w:val="nil"/>
              <w:bottom w:val="single" w:sz="4" w:space="0" w:color="auto"/>
              <w:right w:val="single" w:sz="4" w:space="0" w:color="auto"/>
            </w:tcBorders>
            <w:shd w:val="clear" w:color="auto" w:fill="auto"/>
            <w:noWrap/>
            <w:vAlign w:val="bottom"/>
            <w:hideMark/>
          </w:tcPr>
          <w:p w14:paraId="20EF23C0"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152.48</w:t>
            </w:r>
          </w:p>
        </w:tc>
        <w:tc>
          <w:tcPr>
            <w:tcW w:w="1100" w:type="dxa"/>
            <w:tcBorders>
              <w:top w:val="nil"/>
              <w:left w:val="nil"/>
              <w:bottom w:val="single" w:sz="4" w:space="0" w:color="auto"/>
              <w:right w:val="single" w:sz="4" w:space="0" w:color="auto"/>
            </w:tcBorders>
            <w:shd w:val="clear" w:color="auto" w:fill="auto"/>
            <w:noWrap/>
            <w:vAlign w:val="bottom"/>
            <w:hideMark/>
          </w:tcPr>
          <w:p w14:paraId="113B4A74"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239.79</w:t>
            </w:r>
          </w:p>
        </w:tc>
        <w:tc>
          <w:tcPr>
            <w:tcW w:w="940" w:type="dxa"/>
            <w:tcBorders>
              <w:top w:val="nil"/>
              <w:left w:val="nil"/>
              <w:bottom w:val="single" w:sz="4" w:space="0" w:color="auto"/>
              <w:right w:val="single" w:sz="4" w:space="0" w:color="auto"/>
            </w:tcBorders>
            <w:shd w:val="clear" w:color="auto" w:fill="auto"/>
            <w:noWrap/>
            <w:vAlign w:val="bottom"/>
            <w:hideMark/>
          </w:tcPr>
          <w:p w14:paraId="2AA4057B"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87.31</w:t>
            </w:r>
          </w:p>
        </w:tc>
        <w:tc>
          <w:tcPr>
            <w:tcW w:w="940" w:type="dxa"/>
            <w:tcBorders>
              <w:top w:val="nil"/>
              <w:left w:val="nil"/>
              <w:bottom w:val="single" w:sz="4" w:space="0" w:color="auto"/>
              <w:right w:val="single" w:sz="4" w:space="0" w:color="auto"/>
            </w:tcBorders>
            <w:shd w:val="clear" w:color="auto" w:fill="auto"/>
            <w:noWrap/>
            <w:vAlign w:val="bottom"/>
            <w:hideMark/>
          </w:tcPr>
          <w:p w14:paraId="71730224"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8.9%</w:t>
            </w:r>
          </w:p>
        </w:tc>
        <w:tc>
          <w:tcPr>
            <w:tcW w:w="1120" w:type="dxa"/>
            <w:tcBorders>
              <w:top w:val="nil"/>
              <w:left w:val="nil"/>
              <w:bottom w:val="single" w:sz="4" w:space="0" w:color="auto"/>
              <w:right w:val="single" w:sz="4" w:space="0" w:color="auto"/>
            </w:tcBorders>
            <w:shd w:val="clear" w:color="auto" w:fill="auto"/>
            <w:noWrap/>
            <w:vAlign w:val="bottom"/>
            <w:hideMark/>
          </w:tcPr>
          <w:p w14:paraId="642623B3"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147.67</w:t>
            </w:r>
          </w:p>
        </w:tc>
        <w:tc>
          <w:tcPr>
            <w:tcW w:w="1340" w:type="dxa"/>
            <w:tcBorders>
              <w:top w:val="nil"/>
              <w:left w:val="nil"/>
              <w:bottom w:val="single" w:sz="4" w:space="0" w:color="auto"/>
              <w:right w:val="single" w:sz="4" w:space="0" w:color="auto"/>
            </w:tcBorders>
            <w:shd w:val="clear" w:color="auto" w:fill="auto"/>
            <w:noWrap/>
            <w:vAlign w:val="bottom"/>
            <w:hideMark/>
          </w:tcPr>
          <w:p w14:paraId="26347733" w14:textId="77777777" w:rsidR="009A356E" w:rsidRPr="00EF467E" w:rsidRDefault="009A356E" w:rsidP="009A356E">
            <w:pPr>
              <w:jc w:val="center"/>
              <w:rPr>
                <w:rFonts w:ascii="Calibri" w:hAnsi="Calibri"/>
                <w:color w:val="000000"/>
                <w:sz w:val="18"/>
                <w:szCs w:val="18"/>
                <w:lang w:eastAsia="en-AU"/>
              </w:rPr>
            </w:pPr>
            <w:r w:rsidRPr="00EF467E">
              <w:rPr>
                <w:rFonts w:ascii="Calibri" w:hAnsi="Calibri"/>
                <w:color w:val="000000"/>
                <w:sz w:val="18"/>
                <w:szCs w:val="18"/>
                <w:lang w:eastAsia="en-AU"/>
              </w:rPr>
              <w:t>98.15</w:t>
            </w:r>
          </w:p>
        </w:tc>
      </w:tr>
    </w:tbl>
    <w:p w14:paraId="7E4A93F7" w14:textId="77777777" w:rsidR="009A356E" w:rsidRPr="0051004D" w:rsidRDefault="009A356E" w:rsidP="009A356E">
      <w:pPr>
        <w:rPr>
          <w:sz w:val="16"/>
          <w:szCs w:val="16"/>
        </w:rPr>
      </w:pPr>
      <w:r w:rsidRPr="0051004D">
        <w:rPr>
          <w:sz w:val="16"/>
          <w:szCs w:val="16"/>
        </w:rPr>
        <w:t>Note: only councils participating in STEP used in analysis</w:t>
      </w:r>
    </w:p>
    <w:p w14:paraId="0E1B7341" w14:textId="4CCDDEDB" w:rsidR="009A356E" w:rsidRDefault="009A356E" w:rsidP="009A356E">
      <w:r>
        <w:t>Notwithstanding some concern that future shortfall figures are understated the data show that the gap accounts for a significant proportion of rates revenue and the practical impossibility of addressing the gap without substantially higher-than-cost- of- living/wages increases in rates or increased grant funding. The data also show that the revenue issue is greater in rural and regional councils reflecting the level of renewal demand associated with roads infrastructure.</w:t>
      </w:r>
    </w:p>
    <w:p w14:paraId="2A31F5B4" w14:textId="77777777" w:rsidR="00E46A2B" w:rsidRDefault="00E46A2B" w:rsidP="00C05912">
      <w:pPr>
        <w:rPr>
          <w:rFonts w:cs="Arial"/>
          <w:szCs w:val="22"/>
        </w:rPr>
      </w:pPr>
    </w:p>
    <w:p w14:paraId="08A52949" w14:textId="5BAC1A0C" w:rsidR="0099636F" w:rsidRDefault="00380D46" w:rsidP="00A0067D">
      <w:pPr>
        <w:pStyle w:val="Heading2"/>
      </w:pPr>
      <w:bookmarkStart w:id="21" w:name="_Toc462060570"/>
      <w:bookmarkStart w:id="22" w:name="_Toc462066809"/>
      <w:r>
        <w:t>Cumulative Effect of State Decisions</w:t>
      </w:r>
      <w:bookmarkEnd w:id="21"/>
      <w:bookmarkEnd w:id="22"/>
    </w:p>
    <w:p w14:paraId="77020E1D" w14:textId="228C85F0" w:rsidR="00A0067D" w:rsidRDefault="00A0067D" w:rsidP="00C05912">
      <w:pPr>
        <w:rPr>
          <w:rFonts w:cs="Arial"/>
          <w:szCs w:val="22"/>
        </w:rPr>
      </w:pPr>
    </w:p>
    <w:p w14:paraId="4BA937E1" w14:textId="451C4190" w:rsidR="00380D46" w:rsidRDefault="00380D46" w:rsidP="00C05912">
      <w:pPr>
        <w:rPr>
          <w:rFonts w:cs="Arial"/>
          <w:szCs w:val="22"/>
        </w:rPr>
      </w:pPr>
      <w:r>
        <w:rPr>
          <w:rFonts w:cs="Arial"/>
          <w:szCs w:val="22"/>
        </w:rPr>
        <w:t>The cumulative effect of a number of state decisions that influence the resources and costs of rural councils is significant. These decisions include inadequ</w:t>
      </w:r>
      <w:r w:rsidR="00614A75">
        <w:rPr>
          <w:rFonts w:cs="Arial"/>
          <w:szCs w:val="22"/>
        </w:rPr>
        <w:t xml:space="preserve">ate funding, increasing reporting requirements </w:t>
      </w:r>
      <w:r w:rsidR="007C1073">
        <w:rPr>
          <w:rFonts w:cs="Arial"/>
          <w:szCs w:val="22"/>
        </w:rPr>
        <w:t>and</w:t>
      </w:r>
      <w:r w:rsidR="00614A75">
        <w:rPr>
          <w:rFonts w:cs="Arial"/>
          <w:szCs w:val="22"/>
        </w:rPr>
        <w:t xml:space="preserve"> shifting additional responsibilities on to councils.</w:t>
      </w:r>
    </w:p>
    <w:p w14:paraId="3A4E99DA" w14:textId="77777777" w:rsidR="00380D46" w:rsidRDefault="00380D46" w:rsidP="00C05912">
      <w:pPr>
        <w:rPr>
          <w:rFonts w:cs="Arial"/>
          <w:szCs w:val="22"/>
        </w:rPr>
      </w:pPr>
    </w:p>
    <w:p w14:paraId="4D88A41C" w14:textId="35D17E58" w:rsidR="007E7AFE" w:rsidRDefault="00A0067D" w:rsidP="00C05912">
      <w:pPr>
        <w:rPr>
          <w:rFonts w:cs="Arial"/>
          <w:szCs w:val="22"/>
        </w:rPr>
      </w:pPr>
      <w:r>
        <w:rPr>
          <w:rFonts w:cs="Arial"/>
          <w:szCs w:val="22"/>
        </w:rPr>
        <w:t xml:space="preserve">The MAV has advocated </w:t>
      </w:r>
      <w:r w:rsidR="007E7AFE">
        <w:rPr>
          <w:rFonts w:cs="Arial"/>
          <w:szCs w:val="22"/>
        </w:rPr>
        <w:t>improving</w:t>
      </w:r>
      <w:r>
        <w:rPr>
          <w:rFonts w:cs="Arial"/>
          <w:szCs w:val="22"/>
        </w:rPr>
        <w:t xml:space="preserve"> the funding directed to Victorian councils in a range or programs delivered by the sector on behalf of the Victorian Government</w:t>
      </w:r>
      <w:r w:rsidR="007E7AFE">
        <w:rPr>
          <w:rFonts w:cs="Arial"/>
          <w:szCs w:val="22"/>
        </w:rPr>
        <w:t xml:space="preserve"> and the Commonwealth Government</w:t>
      </w:r>
      <w:r>
        <w:rPr>
          <w:rFonts w:cs="Arial"/>
          <w:szCs w:val="22"/>
        </w:rPr>
        <w:t>.</w:t>
      </w:r>
      <w:r w:rsidR="00B42361">
        <w:rPr>
          <w:rFonts w:cs="Arial"/>
          <w:szCs w:val="22"/>
        </w:rPr>
        <w:t xml:space="preserve"> Inadequate funding for a range of council services delivered on behalf of these governments has led to financial stresses being felt by councils. In a time of rate capping, these challenges have become particularly critical. </w:t>
      </w:r>
    </w:p>
    <w:p w14:paraId="1860025D" w14:textId="77777777" w:rsidR="007E7AFE" w:rsidRDefault="007E7AFE" w:rsidP="00C05912">
      <w:pPr>
        <w:rPr>
          <w:rFonts w:cs="Arial"/>
          <w:szCs w:val="22"/>
        </w:rPr>
      </w:pPr>
    </w:p>
    <w:p w14:paraId="29DD1C1E" w14:textId="7869338A" w:rsidR="00A0067D" w:rsidRDefault="007E7AFE" w:rsidP="00C05912">
      <w:pPr>
        <w:rPr>
          <w:rFonts w:cs="Arial"/>
          <w:szCs w:val="22"/>
        </w:rPr>
      </w:pPr>
      <w:r>
        <w:rPr>
          <w:rFonts w:cs="Arial"/>
          <w:szCs w:val="22"/>
        </w:rPr>
        <w:t xml:space="preserve">Key challenges for local </w:t>
      </w:r>
      <w:r w:rsidR="004247B0">
        <w:rPr>
          <w:rFonts w:cs="Arial"/>
          <w:szCs w:val="22"/>
        </w:rPr>
        <w:t>government</w:t>
      </w:r>
      <w:r w:rsidR="00B42361">
        <w:rPr>
          <w:rFonts w:cs="Arial"/>
          <w:szCs w:val="22"/>
        </w:rPr>
        <w:t xml:space="preserve"> (not otherwise discussed further </w:t>
      </w:r>
      <w:r w:rsidR="00671FD6">
        <w:rPr>
          <w:rFonts w:cs="Arial"/>
          <w:szCs w:val="22"/>
        </w:rPr>
        <w:t>above</w:t>
      </w:r>
      <w:r w:rsidR="00B42361">
        <w:rPr>
          <w:rFonts w:cs="Arial"/>
          <w:szCs w:val="22"/>
        </w:rPr>
        <w:t>)</w:t>
      </w:r>
      <w:r>
        <w:rPr>
          <w:rFonts w:cs="Arial"/>
          <w:szCs w:val="22"/>
        </w:rPr>
        <w:t xml:space="preserve"> include the following:</w:t>
      </w:r>
    </w:p>
    <w:p w14:paraId="1A91BB56" w14:textId="77777777" w:rsidR="007E7AFE" w:rsidRDefault="007E7AFE" w:rsidP="00C05912">
      <w:pPr>
        <w:rPr>
          <w:rFonts w:cs="Arial"/>
          <w:szCs w:val="22"/>
        </w:rPr>
      </w:pPr>
    </w:p>
    <w:p w14:paraId="0C930A6E" w14:textId="56180D44" w:rsidR="007E7AFE" w:rsidRDefault="004247B0" w:rsidP="007E7AFE">
      <w:pPr>
        <w:pStyle w:val="ListParagraph"/>
        <w:numPr>
          <w:ilvl w:val="0"/>
          <w:numId w:val="9"/>
        </w:numPr>
        <w:rPr>
          <w:rFonts w:cs="Arial"/>
          <w:szCs w:val="22"/>
        </w:rPr>
      </w:pPr>
      <w:r>
        <w:rPr>
          <w:rFonts w:cs="Arial"/>
          <w:szCs w:val="22"/>
        </w:rPr>
        <w:t>School</w:t>
      </w:r>
      <w:r w:rsidR="007E7AFE">
        <w:rPr>
          <w:rFonts w:cs="Arial"/>
          <w:szCs w:val="22"/>
        </w:rPr>
        <w:t xml:space="preserve"> crossing supervisors</w:t>
      </w:r>
    </w:p>
    <w:p w14:paraId="78362C49" w14:textId="57FD2B51" w:rsidR="007E7AFE" w:rsidRDefault="007E7AFE" w:rsidP="007E7AFE">
      <w:pPr>
        <w:pStyle w:val="ListParagraph"/>
        <w:numPr>
          <w:ilvl w:val="0"/>
          <w:numId w:val="9"/>
        </w:numPr>
        <w:rPr>
          <w:rFonts w:cs="Arial"/>
          <w:szCs w:val="22"/>
        </w:rPr>
      </w:pPr>
      <w:r>
        <w:rPr>
          <w:rFonts w:cs="Arial"/>
          <w:szCs w:val="22"/>
        </w:rPr>
        <w:t>SES unit funding</w:t>
      </w:r>
    </w:p>
    <w:p w14:paraId="76A22DE6" w14:textId="77777777" w:rsidR="00A0067D" w:rsidRDefault="00A0067D" w:rsidP="00C05912">
      <w:pPr>
        <w:rPr>
          <w:rFonts w:cs="Arial"/>
          <w:szCs w:val="22"/>
        </w:rPr>
      </w:pPr>
    </w:p>
    <w:p w14:paraId="10272492" w14:textId="3CEF6D9F" w:rsidR="00A0067D" w:rsidRDefault="00067A5A" w:rsidP="00C05912">
      <w:pPr>
        <w:rPr>
          <w:rFonts w:cs="Arial"/>
          <w:szCs w:val="22"/>
        </w:rPr>
      </w:pPr>
      <w:r>
        <w:rPr>
          <w:rFonts w:cs="Arial"/>
          <w:szCs w:val="22"/>
        </w:rPr>
        <w:t xml:space="preserve">These program funding challenges have common attributes – funding arrangements from the State Government has failed to keep pace with the core costs of the program resulting in councils becoming responsible for an ever greater share of the </w:t>
      </w:r>
      <w:r w:rsidR="00B42361">
        <w:rPr>
          <w:rFonts w:cs="Arial"/>
          <w:szCs w:val="22"/>
        </w:rPr>
        <w:t>costs of delivering the service to the community</w:t>
      </w:r>
      <w:r>
        <w:rPr>
          <w:rFonts w:cs="Arial"/>
          <w:szCs w:val="22"/>
        </w:rPr>
        <w:t xml:space="preserve">. </w:t>
      </w:r>
    </w:p>
    <w:p w14:paraId="7D4F0BD7" w14:textId="77777777" w:rsidR="00067A5A" w:rsidRDefault="00067A5A" w:rsidP="00C05912">
      <w:pPr>
        <w:rPr>
          <w:rFonts w:cs="Arial"/>
          <w:szCs w:val="22"/>
        </w:rPr>
      </w:pPr>
    </w:p>
    <w:p w14:paraId="432D9C07" w14:textId="354DB9BD" w:rsidR="001435AC" w:rsidRDefault="00067A5A" w:rsidP="00C05912">
      <w:pPr>
        <w:rPr>
          <w:rFonts w:cs="Arial"/>
          <w:szCs w:val="22"/>
        </w:rPr>
      </w:pPr>
      <w:r>
        <w:rPr>
          <w:rFonts w:cs="Arial"/>
          <w:szCs w:val="22"/>
        </w:rPr>
        <w:t xml:space="preserve">Each of these programs had either equal funding responsibilities (such as school crossing supervisors) or </w:t>
      </w:r>
      <w:r w:rsidR="00A15B3E">
        <w:rPr>
          <w:rFonts w:cs="Arial"/>
          <w:szCs w:val="22"/>
        </w:rPr>
        <w:t>has</w:t>
      </w:r>
      <w:r>
        <w:rPr>
          <w:rFonts w:cs="Arial"/>
          <w:szCs w:val="22"/>
        </w:rPr>
        <w:t xml:space="preserve"> dramatically changed from their original state (</w:t>
      </w:r>
      <w:r w:rsidR="00A15B3E">
        <w:rPr>
          <w:rFonts w:cs="Arial"/>
          <w:szCs w:val="22"/>
        </w:rPr>
        <w:t>such as</w:t>
      </w:r>
      <w:r>
        <w:rPr>
          <w:rFonts w:cs="Arial"/>
          <w:szCs w:val="22"/>
        </w:rPr>
        <w:t xml:space="preserve"> SES unit funding)</w:t>
      </w:r>
      <w:r w:rsidR="00A15B3E">
        <w:rPr>
          <w:rFonts w:cs="Arial"/>
          <w:szCs w:val="22"/>
        </w:rPr>
        <w:t xml:space="preserve"> with the State now assuming overall responsibility</w:t>
      </w:r>
      <w:r>
        <w:rPr>
          <w:rFonts w:cs="Arial"/>
          <w:szCs w:val="22"/>
        </w:rPr>
        <w:t xml:space="preserve">. </w:t>
      </w:r>
      <w:r w:rsidR="00A15B3E">
        <w:rPr>
          <w:rFonts w:cs="Arial"/>
          <w:szCs w:val="22"/>
        </w:rPr>
        <w:t>All of these programs have significant costs that are borne by rural communities</w:t>
      </w:r>
      <w:r w:rsidR="007C1073">
        <w:rPr>
          <w:rFonts w:cs="Arial"/>
          <w:szCs w:val="22"/>
        </w:rPr>
        <w:t xml:space="preserve"> despite powerful arguments in favour of greater state support</w:t>
      </w:r>
      <w:r w:rsidR="00A15B3E">
        <w:rPr>
          <w:rFonts w:cs="Arial"/>
          <w:szCs w:val="22"/>
        </w:rPr>
        <w:t xml:space="preserve">. </w:t>
      </w:r>
    </w:p>
    <w:bookmarkEnd w:id="13"/>
    <w:bookmarkEnd w:id="14"/>
    <w:p w14:paraId="5CFCB415" w14:textId="77777777" w:rsidR="00C05912" w:rsidRDefault="00C05912" w:rsidP="00C05912"/>
    <w:p w14:paraId="48C1A8C6" w14:textId="0FD43403" w:rsidR="004247B0" w:rsidRDefault="00614A75" w:rsidP="004247B0">
      <w:pPr>
        <w:rPr>
          <w:rFonts w:cs="Arial"/>
        </w:rPr>
      </w:pPr>
      <w:r>
        <w:rPr>
          <w:rFonts w:cs="Arial"/>
        </w:rPr>
        <w:t>In addition, t</w:t>
      </w:r>
      <w:r w:rsidR="004247B0">
        <w:rPr>
          <w:rFonts w:cs="Arial"/>
        </w:rPr>
        <w:t xml:space="preserve">here are a number of current examples where activities which some councils undertake are then being proposed for all councils to undertake. For example, maintenance of fire services plugs has been allocated to councils as a responsibility under the Water Act 1989, even though there are many councils which </w:t>
      </w:r>
      <w:r w:rsidR="007C1073">
        <w:rPr>
          <w:rFonts w:cs="Arial"/>
        </w:rPr>
        <w:t>argue</w:t>
      </w:r>
      <w:r w:rsidR="004247B0">
        <w:rPr>
          <w:rFonts w:cs="Arial"/>
        </w:rPr>
        <w:t xml:space="preserve"> they do not have the capacity to fulfil this role, and that this role is more within </w:t>
      </w:r>
      <w:r w:rsidR="004247B0">
        <w:rPr>
          <w:rFonts w:cs="Arial"/>
        </w:rPr>
        <w:lastRenderedPageBreak/>
        <w:t>the remit of water corporations, who have a legislated role to supply water. Similar outcomes may also arise in the current discussions about improvements to metering and maintenance of emergency water supply points. While some councils will be comfortable with this role, many councils believe that these are more appropriately the remit of water corporations as they have the expertise and capacity to charge for the service.</w:t>
      </w:r>
    </w:p>
    <w:p w14:paraId="487499C2" w14:textId="77777777" w:rsidR="004247B0" w:rsidRDefault="004247B0" w:rsidP="004247B0">
      <w:pPr>
        <w:rPr>
          <w:rFonts w:cs="Arial"/>
        </w:rPr>
      </w:pPr>
    </w:p>
    <w:p w14:paraId="09CF90B8" w14:textId="5B33AE62" w:rsidR="00D81848" w:rsidRDefault="003C7794" w:rsidP="004247B0">
      <w:pPr>
        <w:rPr>
          <w:rFonts w:cs="Arial"/>
        </w:rPr>
      </w:pPr>
      <w:r>
        <w:rPr>
          <w:rFonts w:cs="Arial"/>
        </w:rPr>
        <w:t>Rural drainage is another example, with the Victorian Government announcing in its response to the Parliamentary Committee’s inquiry into rural drainage that councils will have overarching responsibility for rural drainage in Victoria</w:t>
      </w:r>
      <w:r w:rsidR="009369A4">
        <w:rPr>
          <w:rFonts w:cs="Arial"/>
        </w:rPr>
        <w:t>, i</w:t>
      </w:r>
      <w:r>
        <w:rPr>
          <w:rFonts w:cs="Arial"/>
        </w:rPr>
        <w:t xml:space="preserve">n particular, that they will be responsible for supporting existing community drainage management groups under a beneficiary pays model. </w:t>
      </w:r>
      <w:r w:rsidR="00D81848">
        <w:rPr>
          <w:rFonts w:cs="Arial"/>
        </w:rPr>
        <w:t xml:space="preserve">While councils’ role is still being clarified in the development of the Victorian Rural Drainage Strategy, it is clear that councils will be a main conduit to enabling the State </w:t>
      </w:r>
      <w:r w:rsidR="00337032">
        <w:rPr>
          <w:rFonts w:cs="Arial"/>
        </w:rPr>
        <w:t xml:space="preserve">achieve reform of the </w:t>
      </w:r>
      <w:r w:rsidR="00D81848">
        <w:rPr>
          <w:rFonts w:cs="Arial"/>
        </w:rPr>
        <w:t xml:space="preserve">many legacy issues </w:t>
      </w:r>
      <w:r w:rsidR="00337032">
        <w:rPr>
          <w:rFonts w:cs="Arial"/>
        </w:rPr>
        <w:t xml:space="preserve">that have resulted from the </w:t>
      </w:r>
      <w:r w:rsidR="00D81848">
        <w:rPr>
          <w:rFonts w:cs="Arial"/>
        </w:rPr>
        <w:t>multiple state</w:t>
      </w:r>
      <w:r w:rsidR="00337032">
        <w:rPr>
          <w:rFonts w:cs="Arial"/>
        </w:rPr>
        <w:t xml:space="preserve">, local and private-sector agencies </w:t>
      </w:r>
      <w:r w:rsidR="00D81848">
        <w:rPr>
          <w:rFonts w:cs="Arial"/>
        </w:rPr>
        <w:t xml:space="preserve">involved in </w:t>
      </w:r>
      <w:r w:rsidR="00337032">
        <w:rPr>
          <w:rFonts w:cs="Arial"/>
        </w:rPr>
        <w:t xml:space="preserve">creating and/or management of drainage </w:t>
      </w:r>
      <w:r w:rsidR="00D81848">
        <w:rPr>
          <w:rFonts w:cs="Arial"/>
        </w:rPr>
        <w:t>on private land</w:t>
      </w:r>
      <w:r w:rsidR="00CC6507">
        <w:rPr>
          <w:rFonts w:cs="Arial"/>
        </w:rPr>
        <w:t xml:space="preserve"> in the past</w:t>
      </w:r>
      <w:r w:rsidR="00D81848">
        <w:rPr>
          <w:rFonts w:cs="Arial"/>
        </w:rPr>
        <w:t>.</w:t>
      </w:r>
    </w:p>
    <w:p w14:paraId="5238F28D" w14:textId="77777777" w:rsidR="00D81848" w:rsidRDefault="00D81848" w:rsidP="004247B0">
      <w:pPr>
        <w:rPr>
          <w:rFonts w:cs="Arial"/>
        </w:rPr>
      </w:pPr>
    </w:p>
    <w:p w14:paraId="1EF86568" w14:textId="45CC77B0" w:rsidR="009369A4" w:rsidRDefault="009369A4" w:rsidP="004247B0">
      <w:pPr>
        <w:rPr>
          <w:rFonts w:cs="Arial"/>
        </w:rPr>
      </w:pPr>
      <w:r>
        <w:rPr>
          <w:rFonts w:cs="Arial"/>
        </w:rPr>
        <w:t xml:space="preserve">While discussions are still underway with the Department of Environment, Land Water and Planning (DELWP) about these issues, we alert the Inquiry </w:t>
      </w:r>
      <w:r w:rsidR="00797440">
        <w:rPr>
          <w:rFonts w:cs="Arial"/>
        </w:rPr>
        <w:t>to them to highlight the myriad of examples where the State is requiring all councils to take on more responsibilities</w:t>
      </w:r>
      <w:r>
        <w:rPr>
          <w:rFonts w:cs="Arial"/>
        </w:rPr>
        <w:t>.</w:t>
      </w:r>
    </w:p>
    <w:p w14:paraId="433F38D2" w14:textId="77777777" w:rsidR="009369A4" w:rsidRDefault="009369A4" w:rsidP="004247B0">
      <w:pPr>
        <w:rPr>
          <w:rFonts w:cs="Arial"/>
        </w:rPr>
      </w:pPr>
    </w:p>
    <w:p w14:paraId="3C3B7B8C" w14:textId="23B998CE" w:rsidR="004247B0" w:rsidRDefault="004247B0" w:rsidP="004247B0">
      <w:pPr>
        <w:rPr>
          <w:rFonts w:cs="Arial"/>
        </w:rPr>
      </w:pPr>
      <w:r>
        <w:rPr>
          <w:rFonts w:cs="Arial"/>
        </w:rPr>
        <w:t>The level of administration required of councils by various Victorian Government departments is often onerous with unclear benefits for the amount of work involved for councils. For example, in the area of food safety regulation councils have to report a considerable level of information to the Department of Health and Human Services (DHHS) on a quarterly basis, then they have to report separately with additional data to Local Government Victoria (LGV) for inclusion on the Know Your Council website. The data in the public arena often conflicts, as they are for different reporting periods. An improvement would be for DHHS to provide councils’ data to LGV, so councils only report to one entity.</w:t>
      </w:r>
    </w:p>
    <w:p w14:paraId="50FF7C0E" w14:textId="77777777" w:rsidR="004247B0" w:rsidRDefault="004247B0" w:rsidP="004247B0">
      <w:pPr>
        <w:rPr>
          <w:rFonts w:cs="Arial"/>
        </w:rPr>
      </w:pPr>
    </w:p>
    <w:p w14:paraId="744708E3" w14:textId="3068D2A8" w:rsidR="004247B0" w:rsidRDefault="004247B0" w:rsidP="004247B0">
      <w:pPr>
        <w:rPr>
          <w:rFonts w:cs="Arial"/>
        </w:rPr>
      </w:pPr>
      <w:r>
        <w:rPr>
          <w:rFonts w:cs="Arial"/>
        </w:rPr>
        <w:t xml:space="preserve">The EPA’s withdrawal of advice to councils about the sorts of conditions that would be appropriate to consider when they issue permits for on-site domestic wastewater systems is an example of a state agency narrowing the resources it applies to an activity with consequent additional burden and increased legal liability for councils. Prior to 1 July 2016, the EPA provided certificates of approval for particular systems and recommendations about </w:t>
      </w:r>
      <w:r w:rsidR="00BE1D43">
        <w:rPr>
          <w:rFonts w:cs="Arial"/>
        </w:rPr>
        <w:t xml:space="preserve">the </w:t>
      </w:r>
      <w:r>
        <w:rPr>
          <w:rFonts w:cs="Arial"/>
        </w:rPr>
        <w:t xml:space="preserve">conditions councils </w:t>
      </w:r>
      <w:r w:rsidR="00BE1D43">
        <w:rPr>
          <w:rFonts w:cs="Arial"/>
        </w:rPr>
        <w:t>could consider imposing</w:t>
      </w:r>
      <w:r>
        <w:rPr>
          <w:rFonts w:cs="Arial"/>
        </w:rPr>
        <w:t xml:space="preserve"> as part of their approval processes in issuing permits. Since 1 July, however, the EPA has withdrawn this activity, instead requiring councils to only issue permits for </w:t>
      </w:r>
      <w:r w:rsidR="00BE1D43">
        <w:rPr>
          <w:rFonts w:cs="Arial"/>
        </w:rPr>
        <w:t>broad</w:t>
      </w:r>
      <w:r>
        <w:rPr>
          <w:rFonts w:cs="Arial"/>
        </w:rPr>
        <w:t xml:space="preserve"> types of systems that are included </w:t>
      </w:r>
      <w:r w:rsidR="00BE1D43">
        <w:rPr>
          <w:rFonts w:cs="Arial"/>
        </w:rPr>
        <w:t>on its website, rather than individual systems</w:t>
      </w:r>
      <w:r>
        <w:rPr>
          <w:rFonts w:cs="Arial"/>
        </w:rPr>
        <w:t xml:space="preserve">, and for each council to check manufacturers’ instructions to consider what conditions should be applied for particular systems. This is despite the </w:t>
      </w:r>
      <w:r w:rsidR="00BE1D43">
        <w:rPr>
          <w:rFonts w:cs="Arial"/>
        </w:rPr>
        <w:t xml:space="preserve">national </w:t>
      </w:r>
      <w:r>
        <w:rPr>
          <w:rFonts w:cs="Arial"/>
        </w:rPr>
        <w:t>standards still being in draft form, and that there are no regulatory standards for instruction manuals</w:t>
      </w:r>
      <w:r w:rsidR="00FE4BC9">
        <w:rPr>
          <w:rFonts w:cs="Arial"/>
        </w:rPr>
        <w:t xml:space="preserve"> prepared by manufacturers</w:t>
      </w:r>
      <w:r>
        <w:rPr>
          <w:rFonts w:cs="Arial"/>
        </w:rPr>
        <w:t xml:space="preserve">. </w:t>
      </w:r>
      <w:r w:rsidR="00BE1D43">
        <w:rPr>
          <w:rFonts w:cs="Arial"/>
        </w:rPr>
        <w:t>Having less information and guidance from the EPA increases the liabilities</w:t>
      </w:r>
      <w:r>
        <w:rPr>
          <w:rFonts w:cs="Arial"/>
        </w:rPr>
        <w:t xml:space="preserve"> for </w:t>
      </w:r>
      <w:r w:rsidR="00BE1D43">
        <w:rPr>
          <w:rFonts w:cs="Arial"/>
        </w:rPr>
        <w:t xml:space="preserve">councils in issuing permits and </w:t>
      </w:r>
      <w:r>
        <w:rPr>
          <w:rFonts w:cs="Arial"/>
        </w:rPr>
        <w:t>potentially build</w:t>
      </w:r>
      <w:r w:rsidR="00BE1D43">
        <w:rPr>
          <w:rFonts w:cs="Arial"/>
        </w:rPr>
        <w:t>s</w:t>
      </w:r>
      <w:r>
        <w:rPr>
          <w:rFonts w:cs="Arial"/>
        </w:rPr>
        <w:t xml:space="preserve"> in legacy issues for the future</w:t>
      </w:r>
      <w:r w:rsidR="00BE1D43">
        <w:rPr>
          <w:rFonts w:cs="Arial"/>
        </w:rPr>
        <w:t>. T</w:t>
      </w:r>
      <w:r>
        <w:rPr>
          <w:rFonts w:cs="Arial"/>
        </w:rPr>
        <w:t>here is a need for centralised technical advice to be available from the EPA, which has technical expert</w:t>
      </w:r>
      <w:r w:rsidR="00FE4BC9">
        <w:rPr>
          <w:rFonts w:cs="Arial"/>
        </w:rPr>
        <w:t>ise about pollution</w:t>
      </w:r>
      <w:r>
        <w:rPr>
          <w:rFonts w:cs="Arial"/>
        </w:rPr>
        <w:t xml:space="preserve"> and is actively involved in the forums where national standards are developed and agreed.</w:t>
      </w:r>
    </w:p>
    <w:p w14:paraId="10F2A8E4" w14:textId="7E20DE20" w:rsidR="009E36C3" w:rsidRPr="009E36C3" w:rsidRDefault="009E36C3" w:rsidP="009E36C3">
      <w:pPr>
        <w:rPr>
          <w:rFonts w:cs="Arial"/>
        </w:rPr>
      </w:pPr>
    </w:p>
    <w:p w14:paraId="028F45E6" w14:textId="40665631" w:rsidR="009E36C3" w:rsidRPr="009E36C3" w:rsidRDefault="004C5818" w:rsidP="009E36C3">
      <w:pPr>
        <w:rPr>
          <w:rFonts w:cs="Arial"/>
          <w:szCs w:val="22"/>
        </w:rPr>
      </w:pPr>
      <w:r>
        <w:rPr>
          <w:rFonts w:cs="Arial"/>
          <w:szCs w:val="22"/>
        </w:rPr>
        <w:t xml:space="preserve">Another example is the management of closed landfills. </w:t>
      </w:r>
      <w:r w:rsidR="009E36C3" w:rsidRPr="009E36C3">
        <w:rPr>
          <w:rFonts w:cs="Arial"/>
          <w:szCs w:val="22"/>
        </w:rPr>
        <w:t xml:space="preserve">The costs of design, construction, operation and rehabilitation of landfills have escalated to meet the requirements of EPA’s </w:t>
      </w:r>
      <w:r w:rsidR="009E36C3" w:rsidRPr="009E36C3">
        <w:rPr>
          <w:rFonts w:cs="Arial"/>
          <w:i/>
          <w:iCs/>
          <w:szCs w:val="22"/>
        </w:rPr>
        <w:t xml:space="preserve">Best Practice Environmental Management for Landfills </w:t>
      </w:r>
      <w:r w:rsidR="009E36C3" w:rsidRPr="009E36C3">
        <w:rPr>
          <w:rFonts w:cs="Arial"/>
          <w:szCs w:val="22"/>
        </w:rPr>
        <w:lastRenderedPageBreak/>
        <w:t>(BPEM). For rural and regional councils that have multiple legacy closed landfills within their boundaries, the EPA’s increased activity and standards are a pressing concern. There are a number of rural municipalities that have well in excess of 15 closed landfills scattered among small towns where there is potentially limited environmental protections in place and limited resources to rectify this. Many councils do not have the resources or capacity to keep up with the knowledge and practice advances made in the waste industry. Furthermore, due to the geography and demographics of a number of rural shires, it’s not possible to charge the real costs of waste disposal without then having to deal with the very strong likelihood of increased illegal dumping. The reduction of EPA resourcing in regional areas means that councils no longer have ready access to expert guidance and advice that is cognizant of local operations and conditions. While EPA has almost certainly reduced its own risk exposure by requiring external auditors to be involved in the various stages of landfill construction, this has only exacerbated the cost burden for councils.</w:t>
      </w:r>
    </w:p>
    <w:p w14:paraId="4D794176" w14:textId="77777777" w:rsidR="009E36C3" w:rsidRPr="009E36C3" w:rsidRDefault="009E36C3" w:rsidP="009E36C3">
      <w:pPr>
        <w:rPr>
          <w:rFonts w:cs="Arial"/>
          <w:szCs w:val="22"/>
        </w:rPr>
      </w:pPr>
    </w:p>
    <w:p w14:paraId="3FD12035" w14:textId="77777777" w:rsidR="009E36C3" w:rsidRDefault="009E36C3" w:rsidP="009E36C3">
      <w:pPr>
        <w:rPr>
          <w:rFonts w:cs="Arial"/>
          <w:szCs w:val="22"/>
        </w:rPr>
      </w:pPr>
      <w:r w:rsidRPr="009E36C3">
        <w:rPr>
          <w:rFonts w:cs="Arial"/>
          <w:szCs w:val="22"/>
        </w:rPr>
        <w:t>One of the sector’s greatest disappointments is that the State has not used landfill levy revenue to better support councils to achieve positive environmental outcomes in relation to management and rehabilitation of landfills. The MAV has long advocated for the funds to be expended on measures to help make a step-change in how Victoria manages its waste and captures resources, as well as assisting with the very costly task of rehabilitating landfills to EPA standards. We note the Victorian Auditor-General’s 2014 recommendation that the EPA work with the DELWP (formerly DEPI) and waste portfolio partners to develop options for the landfill levy to be used for the timely rehabilitation of high-risk landfills.</w:t>
      </w:r>
    </w:p>
    <w:p w14:paraId="7E0F5F70" w14:textId="629CF01A" w:rsidR="00542559" w:rsidRDefault="00542559" w:rsidP="009E36C3">
      <w:pPr>
        <w:rPr>
          <w:rFonts w:cs="Arial"/>
          <w:szCs w:val="22"/>
        </w:rPr>
      </w:pPr>
    </w:p>
    <w:p w14:paraId="08319A50" w14:textId="26B6E3B6" w:rsidR="00542559" w:rsidRDefault="00542559" w:rsidP="00542559">
      <w:pPr>
        <w:pStyle w:val="PlainText"/>
      </w:pPr>
      <w:r>
        <w:t>Councils play a vital role in assisting the state maintain its high immunisation coverage in preschool and school-age cohorts, through its provision of a universal state-wide service. Currently councils provide over 40 per cent of preschool immunisations, and over 90 per cent</w:t>
      </w:r>
      <w:r w:rsidR="00283BBB">
        <w:t xml:space="preserve"> of school-age immunisations. </w:t>
      </w:r>
      <w:r>
        <w:t xml:space="preserve">However delivering immunisation services is increasingly costly to councils. In the last 12 months there have been new federal and state initiatives which have required greater levels of administration by councils with no commensurate increases in funding. Implementation of the Federal Government's initiative of "No Jab, No Pay" and the Victorian Government's "No Jab, No Play" policy </w:t>
      </w:r>
      <w:r w:rsidR="00125D13">
        <w:t>have</w:t>
      </w:r>
      <w:r>
        <w:t xml:space="preserve"> required considerable additional effort by councils to assist affected families with information and assistance to ensure the Aust</w:t>
      </w:r>
      <w:r w:rsidR="00283BBB">
        <w:t>ralian I</w:t>
      </w:r>
      <w:r>
        <w:t xml:space="preserve">mmunisation records </w:t>
      </w:r>
      <w:r w:rsidR="00125D13">
        <w:t>detail</w:t>
      </w:r>
      <w:r>
        <w:t xml:space="preserve"> their immunisation status</w:t>
      </w:r>
      <w:r w:rsidR="00125D13">
        <w:t xml:space="preserve"> so they can continue to receive Centrelink and Family Tax Benefit payments and rebates</w:t>
      </w:r>
      <w:r>
        <w:t xml:space="preserve">. Additional work is being required to transition to the "whole of life" immunisation register being developed. </w:t>
      </w:r>
      <w:r w:rsidR="00125D13">
        <w:t xml:space="preserve">Labour rates are the main </w:t>
      </w:r>
      <w:r>
        <w:t>driver of cost increases</w:t>
      </w:r>
      <w:r w:rsidR="00125D13">
        <w:t xml:space="preserve"> for councils, however these are not factored in to the state’s calculations of the amounts it contributes to immunisation delivery</w:t>
      </w:r>
      <w:r>
        <w:t xml:space="preserve">. </w:t>
      </w:r>
    </w:p>
    <w:p w14:paraId="71F9A3BC" w14:textId="77777777" w:rsidR="00542559" w:rsidRDefault="00542559" w:rsidP="00542559">
      <w:pPr>
        <w:pStyle w:val="PlainText"/>
      </w:pPr>
    </w:p>
    <w:p w14:paraId="110B57BD" w14:textId="371A310F" w:rsidR="00542559" w:rsidRDefault="00542559" w:rsidP="00542559">
      <w:pPr>
        <w:pStyle w:val="PlainText"/>
      </w:pPr>
      <w:r>
        <w:t xml:space="preserve">As it is over 10 years since the state's immunisation subsidies to councils have been reviewed, it is timely for the Victorian Government to invest in a partnership study with the MAV to review the costs councils incur in delivering immunisation services. This will enable future decisions relating to immunisation to be evidence-based. It will also contribute to highlighting innovative and efficient practices councils have undertaken to reach </w:t>
      </w:r>
      <w:r w:rsidR="0048076B">
        <w:t xml:space="preserve">vulnerable </w:t>
      </w:r>
      <w:r>
        <w:t>target populations.</w:t>
      </w:r>
    </w:p>
    <w:p w14:paraId="7C9E5E84" w14:textId="77777777" w:rsidR="00542559" w:rsidRDefault="00542559" w:rsidP="009E36C3">
      <w:pPr>
        <w:rPr>
          <w:rFonts w:cs="Arial"/>
          <w:szCs w:val="22"/>
        </w:rPr>
      </w:pPr>
    </w:p>
    <w:p w14:paraId="708EBC5C" w14:textId="18AEA901" w:rsidR="00283BBB" w:rsidRPr="009E36C3" w:rsidRDefault="00283BBB" w:rsidP="009E36C3">
      <w:pPr>
        <w:rPr>
          <w:rFonts w:cs="Arial"/>
          <w:szCs w:val="22"/>
        </w:rPr>
      </w:pPr>
      <w:r>
        <w:rPr>
          <w:rFonts w:cs="Arial"/>
          <w:szCs w:val="22"/>
        </w:rPr>
        <w:t xml:space="preserve">As can be seen, the financial pressures placed on rural and regional councils by the Victorian Government are significant. Minor or moderate financial pressures have aggregated and cause substantial issues for many councils. It is essential that the </w:t>
      </w:r>
      <w:r>
        <w:rPr>
          <w:rFonts w:cs="Arial"/>
          <w:szCs w:val="22"/>
        </w:rPr>
        <w:lastRenderedPageBreak/>
        <w:t xml:space="preserve">Committee consider the cumulative effect of the full scope of financial pressures being placed on councils, rather than looking at some of the decisions in isolation. </w:t>
      </w:r>
    </w:p>
    <w:p w14:paraId="7AACFE56" w14:textId="77777777" w:rsidR="003B6397" w:rsidRPr="009E36C3" w:rsidRDefault="003B6397" w:rsidP="009E36C3">
      <w:pPr>
        <w:rPr>
          <w:rFonts w:cs="Arial"/>
          <w:szCs w:val="22"/>
        </w:rPr>
      </w:pPr>
    </w:p>
    <w:p w14:paraId="4A1CB0E7" w14:textId="77777777" w:rsidR="003B6397" w:rsidRDefault="003B6397" w:rsidP="003B6397">
      <w:pPr>
        <w:pStyle w:val="Heading2"/>
      </w:pPr>
      <w:bookmarkStart w:id="23" w:name="_Toc462060571"/>
      <w:bookmarkStart w:id="24" w:name="_Toc462066810"/>
      <w:r w:rsidRPr="0051004D">
        <w:t>Implications for Rates</w:t>
      </w:r>
      <w:bookmarkEnd w:id="23"/>
      <w:bookmarkEnd w:id="24"/>
    </w:p>
    <w:p w14:paraId="49BB6CC7" w14:textId="77777777" w:rsidR="003B6397" w:rsidRDefault="003B6397" w:rsidP="003B6397"/>
    <w:p w14:paraId="3648E67C" w14:textId="77777777" w:rsidR="003B6397" w:rsidRDefault="003B6397" w:rsidP="003B6397">
      <w:r w:rsidRPr="0051004D">
        <w:t xml:space="preserve">The major factors </w:t>
      </w:r>
      <w:r>
        <w:t>of concern discussed above lead directly to the issue of rate revenue – it seems unlikely in the current political climate that other governments will be disposed to providing a more equitable or reasonable level of future grant funding. Councils’ potential to increase revenue from other sources is particularly constrained because of statutory and regulatory limits on fees and funding agreements that limit what can be charged. This is particularly the case for rural and regional councils .Their abilities, at least in the case of large and small shires, to reduce costs without reducing service levels are also influenced by scale economies and size.</w:t>
      </w:r>
    </w:p>
    <w:p w14:paraId="25BEF4DF" w14:textId="77777777" w:rsidR="003B6397" w:rsidRPr="0051004D" w:rsidRDefault="003B6397" w:rsidP="003B6397">
      <w:r>
        <w:t>But councils now face the issue of rate-capping and arithmetically the figures just don’t add up. The new rate-capping regime could reasonably be expected to provide for rate increases (unless a variation is approved) in the range of 1.5% to 3.0%. Excluding cost-shifting and (amortised) additional calls on defined benefits contributions, asset renewal gaps together with real losses in FAGs would in many cases by themselves require levels of increase in this range.</w:t>
      </w:r>
    </w:p>
    <w:p w14:paraId="09C4D1B0" w14:textId="77777777" w:rsidR="00380D46" w:rsidRDefault="00380D46" w:rsidP="00380D46"/>
    <w:p w14:paraId="25E8E58D" w14:textId="77777777" w:rsidR="00380D46" w:rsidRDefault="00380D46" w:rsidP="00380D46">
      <w:pPr>
        <w:pStyle w:val="Heading1"/>
      </w:pPr>
      <w:bookmarkStart w:id="25" w:name="_Toc462060572"/>
      <w:bookmarkStart w:id="26" w:name="_Toc462066811"/>
      <w:r>
        <w:t>Proposed Changes to the Local Government Act</w:t>
      </w:r>
      <w:bookmarkEnd w:id="25"/>
      <w:bookmarkEnd w:id="26"/>
    </w:p>
    <w:p w14:paraId="72BB09AB" w14:textId="77777777" w:rsidR="00380D46" w:rsidRDefault="00380D46" w:rsidP="00380D46">
      <w:pPr>
        <w:rPr>
          <w:rFonts w:cs="Arial"/>
          <w:szCs w:val="22"/>
        </w:rPr>
      </w:pPr>
    </w:p>
    <w:p w14:paraId="0C6ECED9" w14:textId="77777777" w:rsidR="00380D46" w:rsidRDefault="00380D46" w:rsidP="00380D46">
      <w:pPr>
        <w:rPr>
          <w:rFonts w:cs="Arial"/>
          <w:szCs w:val="22"/>
        </w:rPr>
      </w:pPr>
      <w:r>
        <w:rPr>
          <w:rFonts w:cs="Arial"/>
          <w:szCs w:val="22"/>
        </w:rPr>
        <w:t>As the Committee would be aware, the Victorian Government has commenced a process to introduce a revised Local Government Act. The State has recently released its directions paper which identifies several worrying elements that could negatively affect rural and regional councils.</w:t>
      </w:r>
    </w:p>
    <w:p w14:paraId="120219B3" w14:textId="77777777" w:rsidR="00380D46" w:rsidRDefault="00380D46" w:rsidP="00380D46">
      <w:pPr>
        <w:rPr>
          <w:rFonts w:cs="Arial"/>
          <w:szCs w:val="22"/>
        </w:rPr>
      </w:pPr>
    </w:p>
    <w:p w14:paraId="75A0AAB6" w14:textId="24099ABB" w:rsidR="00380D46" w:rsidRDefault="00380D46" w:rsidP="00380D46">
      <w:pPr>
        <w:rPr>
          <w:rFonts w:cs="Arial"/>
        </w:rPr>
      </w:pPr>
      <w:r>
        <w:rPr>
          <w:rFonts w:cs="Arial"/>
        </w:rPr>
        <w:t>The review was presented as an opportunity to establish an Act with broad enabling powers, greater autonomy for councils and less prescription. The directions paper has fallen well short of providing a solid base for this result. Although the apparent direction of the Act review removes some provisions that are redundant or of little value, these provisions are generally of low impact in terms of council resources. On the other side of the ledger, the directions paper now proposes a significant increase in statutory requirements and greater prescription in a number of areas. And these requirements and prescription are, in some cases, high impact in terms of resources and of questionable value to councils and the communities they serve.</w:t>
      </w:r>
    </w:p>
    <w:p w14:paraId="2FC1FB49" w14:textId="77777777" w:rsidR="00380D46" w:rsidRDefault="00380D46" w:rsidP="00380D46">
      <w:pPr>
        <w:rPr>
          <w:rFonts w:cs="Arial"/>
        </w:rPr>
      </w:pPr>
    </w:p>
    <w:p w14:paraId="3FD1DA0A" w14:textId="1F81CFFA" w:rsidR="00380D46" w:rsidRDefault="00380D46" w:rsidP="00380D46">
      <w:pPr>
        <w:rPr>
          <w:rFonts w:cs="Arial"/>
        </w:rPr>
      </w:pPr>
      <w:r>
        <w:rPr>
          <w:rFonts w:cs="Arial"/>
        </w:rPr>
        <w:t>The MAV is very concerned that in an extremely tight fiscal environment underpinned by rate capping, further requirements and prescription proposed in the directions paper will add substantially to council costs without any increase in the efficiency of council operations. The cost of compliance should be a practical consideration wherever additional requirements and prescription is proposed. The development of the new Act should be of great interest to the Committee in the conduct of the inquiry.</w:t>
      </w:r>
    </w:p>
    <w:p w14:paraId="3BB82DF0" w14:textId="77777777" w:rsidR="00A0067D" w:rsidRDefault="00A0067D" w:rsidP="00C05912">
      <w:pPr>
        <w:rPr>
          <w:rFonts w:cs="Arial"/>
          <w:szCs w:val="22"/>
        </w:rPr>
      </w:pPr>
    </w:p>
    <w:p w14:paraId="504C9150" w14:textId="5DDA716E" w:rsidR="00A15B3E" w:rsidRDefault="00A15B3E" w:rsidP="00A0067D">
      <w:pPr>
        <w:pStyle w:val="Heading1"/>
      </w:pPr>
      <w:bookmarkStart w:id="27" w:name="_Toc462060573"/>
      <w:bookmarkStart w:id="28" w:name="_Toc462066812"/>
      <w:r>
        <w:t>Rating Fairness</w:t>
      </w:r>
      <w:bookmarkEnd w:id="27"/>
      <w:bookmarkEnd w:id="28"/>
    </w:p>
    <w:p w14:paraId="7121CF5F" w14:textId="77777777" w:rsidR="00CF6D72" w:rsidRDefault="00CF6D72" w:rsidP="00CF6D72"/>
    <w:p w14:paraId="391D75A2" w14:textId="28D87774" w:rsidR="00CF6D72" w:rsidRDefault="00CF6D72" w:rsidP="00CF6D72">
      <w:r>
        <w:t>The theoretical basis for council</w:t>
      </w:r>
      <w:r w:rsidR="004C5818">
        <w:t>s raising revenue through</w:t>
      </w:r>
      <w:r>
        <w:t xml:space="preserve"> rates </w:t>
      </w:r>
      <w:r w:rsidR="009261D9">
        <w:t>is strong. They are</w:t>
      </w:r>
      <w:r>
        <w:t xml:space="preserve"> an extremely efficient source of taxation, with little deadweight loss associated with this form of revenue. Key reviews have suggested that rates are a ‘good’ tax – there is little distortion in economic activity through their application, it is simple and relatively cheap to collect</w:t>
      </w:r>
      <w:r w:rsidR="004C5818">
        <w:t>,</w:t>
      </w:r>
      <w:r>
        <w:t xml:space="preserve"> </w:t>
      </w:r>
      <w:r w:rsidR="009261D9">
        <w:t>tax avoidance is difficult</w:t>
      </w:r>
      <w:r w:rsidR="004C5818">
        <w:t xml:space="preserve"> and it is spatially constrained</w:t>
      </w:r>
      <w:r w:rsidR="00542559">
        <w:t xml:space="preserve">, which makes it suitable for </w:t>
      </w:r>
      <w:r w:rsidR="00283BBB">
        <w:t>use by</w:t>
      </w:r>
      <w:r w:rsidR="00542559">
        <w:t xml:space="preserve"> smaller governmental units, such as councils</w:t>
      </w:r>
      <w:r>
        <w:t xml:space="preserve">. Rates are one of the few taxes that apply to wealth in Australia and as such, the </w:t>
      </w:r>
      <w:r>
        <w:lastRenderedPageBreak/>
        <w:t xml:space="preserve">‘fairness’ of rating also needs to consider its place within the broader taxation system. </w:t>
      </w:r>
    </w:p>
    <w:p w14:paraId="3DA5E00B" w14:textId="77777777" w:rsidR="00A15B3E" w:rsidRDefault="00A15B3E" w:rsidP="00A15B3E"/>
    <w:p w14:paraId="3955BE5E" w14:textId="778F9BE2" w:rsidR="00A15B3E" w:rsidRDefault="00A868E1" w:rsidP="00A15B3E">
      <w:r>
        <w:t>Appendix 1</w:t>
      </w:r>
      <w:r w:rsidR="00A15B3E">
        <w:t xml:space="preserve"> provides a comprehensive overview of the rating system and how conce</w:t>
      </w:r>
      <w:r w:rsidR="00CF6D72">
        <w:t>pts of fairness are addressed through the rating strategy development and implementation</w:t>
      </w:r>
      <w:r w:rsidR="00736C83">
        <w:t xml:space="preserve">. </w:t>
      </w:r>
      <w:r w:rsidR="000246F3">
        <w:t xml:space="preserve">This appendix provides a comprehensive discussion on concepts of rating fairness with particular relevance to rural and regional issues. </w:t>
      </w:r>
    </w:p>
    <w:p w14:paraId="42A6E0BE" w14:textId="77777777" w:rsidR="00CF6D72" w:rsidRDefault="00CF6D72" w:rsidP="00A15B3E"/>
    <w:p w14:paraId="1B6FFBFD" w14:textId="77777777" w:rsidR="00283BBB" w:rsidRDefault="00283BBB" w:rsidP="00A15B3E"/>
    <w:p w14:paraId="1708B989" w14:textId="50D3E18E" w:rsidR="00CF6D72" w:rsidRDefault="00283BBB" w:rsidP="00A15B3E">
      <w:r>
        <w:t xml:space="preserve">The </w:t>
      </w:r>
      <w:r w:rsidR="00CF6D72">
        <w:t>MAV believes that rating fairness is an inherently political question that involves the political entity – elected councillors – making decisions about their community’s concepts of fairness</w:t>
      </w:r>
      <w:r w:rsidR="000246F3">
        <w:t xml:space="preserve"> and how this can be </w:t>
      </w:r>
      <w:r>
        <w:t>applied through the rating strategy</w:t>
      </w:r>
      <w:r w:rsidR="00CF6D72">
        <w:t xml:space="preserve">. </w:t>
      </w:r>
    </w:p>
    <w:p w14:paraId="28FDA03D" w14:textId="77777777" w:rsidR="00A15B3E" w:rsidRDefault="00A15B3E" w:rsidP="00A15B3E"/>
    <w:p w14:paraId="7F468E1D" w14:textId="07137F3B" w:rsidR="00A15B3E" w:rsidRDefault="00A15B3E" w:rsidP="00736C83">
      <w:r>
        <w:t>The concepts underpinning the concept of fairness for a rating system</w:t>
      </w:r>
      <w:r w:rsidR="00CF6D72">
        <w:t xml:space="preserve"> are well understood and include</w:t>
      </w:r>
      <w:r>
        <w:t xml:space="preserve"> </w:t>
      </w:r>
      <w:r w:rsidR="004C5818">
        <w:t xml:space="preserve">three main approaches to equity - </w:t>
      </w:r>
      <w:r w:rsidR="000246F3">
        <w:t>benefit</w:t>
      </w:r>
      <w:r>
        <w:t xml:space="preserve"> pays</w:t>
      </w:r>
      <w:r w:rsidR="00736C83">
        <w:t>, c</w:t>
      </w:r>
      <w:r w:rsidR="00CF6D72">
        <w:t>apacity to pay, or a wealth tax.</w:t>
      </w:r>
      <w:r w:rsidR="00736C83">
        <w:t xml:space="preserve"> Each of these notions of fairness could be appropriate</w:t>
      </w:r>
      <w:r w:rsidR="000246F3">
        <w:t xml:space="preserve"> depending on the views of the relevant community. It should be noted that</w:t>
      </w:r>
      <w:r w:rsidR="00736C83">
        <w:t xml:space="preserve"> there are complicating factors when applying them to a rating system</w:t>
      </w:r>
      <w:r w:rsidR="00542559">
        <w:t>, which means the implementation of a particular concept of fairness is not necessarily straight forward</w:t>
      </w:r>
      <w:r w:rsidR="00736C83">
        <w:t>. For example, assessing benefits derived by individual ratepayers is difficult as failing to access services is no</w:t>
      </w:r>
      <w:r w:rsidR="00CF6D72">
        <w:t>t</w:t>
      </w:r>
      <w:r w:rsidR="00736C83">
        <w:t xml:space="preserve"> synonymous with not having access to the services, the unit cost of services may differ </w:t>
      </w:r>
      <w:r w:rsidR="004C5818">
        <w:t xml:space="preserve">significantly </w:t>
      </w:r>
      <w:r w:rsidR="00736C83">
        <w:t xml:space="preserve">by geographic location and </w:t>
      </w:r>
      <w:r w:rsidR="00CF6D72">
        <w:t>the usage of</w:t>
      </w:r>
      <w:r w:rsidR="00736C83">
        <w:t xml:space="preserve"> services will differ over people’s lives. As such, assessing benefits is complex and would necessarily be crude</w:t>
      </w:r>
      <w:r w:rsidR="00CF6D72">
        <w:t xml:space="preserve"> if </w:t>
      </w:r>
      <w:r w:rsidR="000246F3">
        <w:t xml:space="preserve">the goal of councils is to apply this concept </w:t>
      </w:r>
      <w:r w:rsidR="00CF6D72">
        <w:t>precisely</w:t>
      </w:r>
      <w:r w:rsidR="00736C83">
        <w:t xml:space="preserve">. </w:t>
      </w:r>
    </w:p>
    <w:p w14:paraId="30506BD7" w14:textId="77777777" w:rsidR="00736C83" w:rsidRDefault="00736C83" w:rsidP="00736C83"/>
    <w:p w14:paraId="4CBDD6A8" w14:textId="576A43C0" w:rsidR="00736C83" w:rsidRDefault="00CF6D72" w:rsidP="00736C83">
      <w:r>
        <w:t>Councils have various tools available to apply their chosen definition of rating equity into an operational system, namely:</w:t>
      </w:r>
    </w:p>
    <w:p w14:paraId="348E6FF8" w14:textId="77777777" w:rsidR="00CF6D72" w:rsidRDefault="00CF6D72" w:rsidP="00736C83"/>
    <w:p w14:paraId="22B6019B" w14:textId="30F77F86" w:rsidR="00CF6D72" w:rsidRDefault="00CF6D72" w:rsidP="00CF6D72">
      <w:pPr>
        <w:pStyle w:val="ListParagraph"/>
        <w:numPr>
          <w:ilvl w:val="0"/>
          <w:numId w:val="13"/>
        </w:numPr>
      </w:pPr>
      <w:r>
        <w:t>Choice of valuation basis (site value, capital improved value, or net annual value)</w:t>
      </w:r>
    </w:p>
    <w:p w14:paraId="17E3ADD1" w14:textId="15C3AED3" w:rsidR="00CF6D72" w:rsidRDefault="00CF6D72" w:rsidP="00CF6D72">
      <w:pPr>
        <w:pStyle w:val="ListParagraph"/>
        <w:numPr>
          <w:ilvl w:val="0"/>
          <w:numId w:val="13"/>
        </w:numPr>
      </w:pPr>
      <w:r>
        <w:t>Whether to apply a municipal charge or not</w:t>
      </w:r>
      <w:r w:rsidR="000246F3">
        <w:t>, and if so, at what level</w:t>
      </w:r>
    </w:p>
    <w:p w14:paraId="6F92F8BB" w14:textId="160990DE" w:rsidR="00CF6D72" w:rsidRDefault="004C5818" w:rsidP="00CF6D72">
      <w:pPr>
        <w:pStyle w:val="ListParagraph"/>
        <w:numPr>
          <w:ilvl w:val="0"/>
          <w:numId w:val="13"/>
        </w:numPr>
      </w:pPr>
      <w:r>
        <w:t xml:space="preserve">Whether to apply </w:t>
      </w:r>
      <w:r w:rsidR="00CF6D72">
        <w:t>differential rate</w:t>
      </w:r>
      <w:r w:rsidR="000246F3">
        <w:t>s</w:t>
      </w:r>
      <w:r w:rsidR="00CF6D72">
        <w:t xml:space="preserve"> and if so, to which categories of land</w:t>
      </w:r>
      <w:r w:rsidR="000246F3">
        <w:t xml:space="preserve"> and at what penalty or discount</w:t>
      </w:r>
    </w:p>
    <w:p w14:paraId="33B8D21F" w14:textId="05E9544C" w:rsidR="00CF6D72" w:rsidRDefault="00CF6D72" w:rsidP="00CF6D72">
      <w:pPr>
        <w:pStyle w:val="ListParagraph"/>
        <w:numPr>
          <w:ilvl w:val="0"/>
          <w:numId w:val="13"/>
        </w:numPr>
      </w:pPr>
      <w:r>
        <w:t>Whether to apply a service charge (e.g. for waste collection)</w:t>
      </w:r>
      <w:r w:rsidR="000246F3">
        <w:t xml:space="preserve"> and if so, whether to set this at full cost recovery</w:t>
      </w:r>
    </w:p>
    <w:p w14:paraId="21E40622" w14:textId="43CC00A5" w:rsidR="00CF6D72" w:rsidRDefault="00CF6D72" w:rsidP="00CF6D72">
      <w:pPr>
        <w:pStyle w:val="ListParagraph"/>
        <w:numPr>
          <w:ilvl w:val="0"/>
          <w:numId w:val="13"/>
        </w:numPr>
      </w:pPr>
      <w:r>
        <w:t>The balance between user charges and taxation (to the extent this is possible) including the application of special rates and charges schemes</w:t>
      </w:r>
    </w:p>
    <w:p w14:paraId="63E0319B" w14:textId="77777777" w:rsidR="00736C83" w:rsidRDefault="00736C83" w:rsidP="00736C83"/>
    <w:p w14:paraId="39095C46" w14:textId="66DDDD31" w:rsidR="00736C83" w:rsidRDefault="00CF6D72" w:rsidP="00CF6D72">
      <w:r>
        <w:t xml:space="preserve">The MAV believes that </w:t>
      </w:r>
      <w:r w:rsidR="00542559">
        <w:t>the concept of fairness adopted by a council</w:t>
      </w:r>
      <w:r>
        <w:t xml:space="preserve"> should be </w:t>
      </w:r>
      <w:r w:rsidR="00045984">
        <w:t>internally and logically</w:t>
      </w:r>
      <w:r>
        <w:t xml:space="preserve"> consistent in </w:t>
      </w:r>
      <w:r w:rsidR="00045984">
        <w:t>its</w:t>
      </w:r>
      <w:r>
        <w:t xml:space="preserve"> rating strategy</w:t>
      </w:r>
      <w:r w:rsidR="00EA1089">
        <w:t>, which should be developed in consultation with the community. The appended report also discusses some of the argument generally put forward by specific groups of ratepayers within the community</w:t>
      </w:r>
      <w:r w:rsidR="000246F3">
        <w:t xml:space="preserve"> around rating fairness to outline some of the complexities facing councils when they are required to respond to multiple stakeholders with differing views around the objectives and attributes of a </w:t>
      </w:r>
      <w:r w:rsidR="00071A5B">
        <w:t xml:space="preserve">fair </w:t>
      </w:r>
      <w:r w:rsidR="000246F3">
        <w:t>rating structure</w:t>
      </w:r>
      <w:r w:rsidR="00EA1089">
        <w:t xml:space="preserve">. </w:t>
      </w:r>
    </w:p>
    <w:p w14:paraId="0E5A34EC" w14:textId="77777777" w:rsidR="00EA1089" w:rsidRDefault="00EA1089" w:rsidP="00CF6D72"/>
    <w:p w14:paraId="35ACEBFF" w14:textId="45E65A32" w:rsidR="00EA1089" w:rsidRDefault="00EA1089" w:rsidP="00CF6D72">
      <w:r>
        <w:t xml:space="preserve">The MAV would be pleased to provide greater detail on rating issues should the inquiry desire this. </w:t>
      </w:r>
    </w:p>
    <w:p w14:paraId="7F9742FA" w14:textId="77777777" w:rsidR="00A15B3E" w:rsidRPr="00A15B3E" w:rsidRDefault="00A15B3E" w:rsidP="00A15B3E"/>
    <w:p w14:paraId="13C6DDE9" w14:textId="706C75D4" w:rsidR="00071A5B" w:rsidRDefault="00071A5B" w:rsidP="00A0067D">
      <w:pPr>
        <w:pStyle w:val="Heading1"/>
      </w:pPr>
      <w:bookmarkStart w:id="29" w:name="_Toc462060574"/>
      <w:bookmarkStart w:id="30" w:name="_Toc462066813"/>
      <w:r>
        <w:t>Rate capping</w:t>
      </w:r>
      <w:bookmarkEnd w:id="29"/>
      <w:bookmarkEnd w:id="30"/>
    </w:p>
    <w:p w14:paraId="6C436451" w14:textId="77777777" w:rsidR="00071A5B" w:rsidRDefault="00071A5B" w:rsidP="00071A5B"/>
    <w:p w14:paraId="735B942C" w14:textId="77777777" w:rsidR="00542559" w:rsidRDefault="00071A5B" w:rsidP="00071A5B">
      <w:r>
        <w:t xml:space="preserve">The MAV has provided three submissions to the Environment and Planning Committee’s inquiry into rate capping. These are attached and outline the MAV’s </w:t>
      </w:r>
      <w:r>
        <w:lastRenderedPageBreak/>
        <w:t>concerns relating to the rate capping policy. In addition, the MAV CEO has also presented before the Committee on multiple occasions and has outlined our concerns relating to the potential effects of this policy on councils</w:t>
      </w:r>
      <w:r w:rsidR="00542559">
        <w:t xml:space="preserve"> in the transcripts. We would be pleased to expand on the positions put through these documents if it is considered valuable by the Committee</w:t>
      </w:r>
      <w:r>
        <w:t>.</w:t>
      </w:r>
    </w:p>
    <w:p w14:paraId="739FFE2F" w14:textId="77777777" w:rsidR="00542559" w:rsidRDefault="00542559" w:rsidP="00071A5B"/>
    <w:p w14:paraId="0BF13058" w14:textId="48BB3DD3" w:rsidR="00071A5B" w:rsidRDefault="00542559" w:rsidP="00071A5B">
      <w:r>
        <w:t xml:space="preserve">The MAV has expressed concerns that rural councils in particular will be adversely affected by the application of a rate capping regime on the sector. This is due in the first instance by their higher reliance on external revenue sources (such as FAGs), which do not move in line with council input costs and their limited ability to raise revenue through fees, fines and charges, which places greater emphasis on rate revenue. These councils also have a proportionately larger infrastructure </w:t>
      </w:r>
      <w:r w:rsidR="004C0DA0">
        <w:t xml:space="preserve">responsibilities and the lack of scale economies influence their expenditures. We believe that the rate capping framework will ultimately result in a degradation of council assets, a greater risk of financial stress for these organisations, a narrowing of responsibilities over time in response to constrained revenue and less innovation in service delivery. </w:t>
      </w:r>
    </w:p>
    <w:p w14:paraId="6871DEB2" w14:textId="607BFCC7" w:rsidR="00E4247A" w:rsidRDefault="00E4247A" w:rsidP="00EA1089">
      <w:bookmarkStart w:id="31" w:name="_Toc8718451"/>
      <w:bookmarkStart w:id="32" w:name="_Toc8718614"/>
      <w:bookmarkStart w:id="33" w:name="_Toc176668098"/>
    </w:p>
    <w:p w14:paraId="55187B6D" w14:textId="7D260B57" w:rsidR="004247B0" w:rsidRDefault="004247B0" w:rsidP="00AA21C8">
      <w:pPr>
        <w:pStyle w:val="Heading1"/>
        <w:rPr>
          <w:lang w:val="en-GB"/>
        </w:rPr>
      </w:pPr>
      <w:bookmarkStart w:id="34" w:name="_Toc462060575"/>
      <w:bookmarkStart w:id="35" w:name="_Toc462066814"/>
      <w:r>
        <w:rPr>
          <w:lang w:val="en-GB"/>
        </w:rPr>
        <w:t>Flood planning and preparation</w:t>
      </w:r>
      <w:bookmarkEnd w:id="34"/>
      <w:bookmarkEnd w:id="35"/>
    </w:p>
    <w:p w14:paraId="639C4593" w14:textId="77777777" w:rsidR="004247B0" w:rsidRDefault="004247B0" w:rsidP="004247B0">
      <w:pPr>
        <w:rPr>
          <w:lang w:val="en-GB"/>
        </w:rPr>
      </w:pPr>
    </w:p>
    <w:p w14:paraId="232E31C3" w14:textId="35898AEA" w:rsidR="007A3DDF" w:rsidRPr="007658EB" w:rsidRDefault="007A3DDF" w:rsidP="007A3DDF">
      <w:pPr>
        <w:pStyle w:val="Heading2"/>
      </w:pPr>
      <w:bookmarkStart w:id="36" w:name="_Toc462060576"/>
      <w:bookmarkStart w:id="37" w:name="_Toc462066815"/>
      <w:r w:rsidRPr="007658EB">
        <w:t>Statuto</w:t>
      </w:r>
      <w:r>
        <w:t xml:space="preserve">ry land use planning system, </w:t>
      </w:r>
      <w:r w:rsidRPr="007658EB">
        <w:t>local government</w:t>
      </w:r>
      <w:r>
        <w:t xml:space="preserve"> and catchment management authorities</w:t>
      </w:r>
      <w:bookmarkEnd w:id="36"/>
      <w:bookmarkEnd w:id="37"/>
    </w:p>
    <w:p w14:paraId="0E20BAB0" w14:textId="77777777" w:rsidR="007A3DDF" w:rsidRDefault="007A3DDF" w:rsidP="007A3DDF"/>
    <w:p w14:paraId="3E37D4D1" w14:textId="77777777" w:rsidR="007A3DDF" w:rsidRDefault="007A3DDF" w:rsidP="007A3DDF">
      <w:r w:rsidRPr="007658EB">
        <w:t>Victoria’s statutory land use planning system op</w:t>
      </w:r>
      <w:r>
        <w:t>erates through Planning Schemes</w:t>
      </w:r>
      <w:r w:rsidRPr="007658EB">
        <w:t>. Planning Schemes set out policies and provisions for the use, development and protection of land. They are legal d</w:t>
      </w:r>
      <w:r>
        <w:t>ocuments administered by the council</w:t>
      </w:r>
      <w:r w:rsidRPr="007658EB">
        <w:t xml:space="preserve"> or other planning authority specified in the Planning Schemes.</w:t>
      </w:r>
    </w:p>
    <w:p w14:paraId="523FA72F" w14:textId="77777777" w:rsidR="004C0DA0" w:rsidRPr="007658EB" w:rsidRDefault="004C0DA0" w:rsidP="007A3DDF"/>
    <w:p w14:paraId="7EEC1AA2" w14:textId="1C0B0B84" w:rsidR="007A3DDF" w:rsidRDefault="007A3DDF" w:rsidP="007A3DDF">
      <w:r>
        <w:t>Council</w:t>
      </w:r>
      <w:r w:rsidR="00072AD7">
        <w:t>’</w:t>
      </w:r>
      <w:r>
        <w:t xml:space="preserve">s </w:t>
      </w:r>
      <w:r w:rsidRPr="007658EB">
        <w:t xml:space="preserve">Planning Schemes must be prepared using the Victoria Planning Provisions (VPPs). The VPPs contain a comprehensive set of planning provisions for Victoria, including compulsory state and local policies and strategies, and zones and overlays used locally. </w:t>
      </w:r>
    </w:p>
    <w:p w14:paraId="4C2DA506" w14:textId="77777777" w:rsidR="007A3DDF" w:rsidRPr="007658EB" w:rsidRDefault="007A3DDF" w:rsidP="007A3DDF"/>
    <w:p w14:paraId="42C6A858" w14:textId="552BCCAF" w:rsidR="007A3DDF" w:rsidRDefault="007A3DDF" w:rsidP="007A3DDF">
      <w:r w:rsidRPr="007658EB">
        <w:t xml:space="preserve">Melbourne Water and the CMAs are referral authorities under the Planning and Environment Act 1987. Under changes to the nature of referral authorities in August 2013, the CMAs became ‘recommending authorities’ while Melbourne Water </w:t>
      </w:r>
      <w:r w:rsidR="00072AD7" w:rsidRPr="007658EB">
        <w:t>remain</w:t>
      </w:r>
      <w:r w:rsidR="00072AD7">
        <w:t>s</w:t>
      </w:r>
      <w:r w:rsidR="00072AD7" w:rsidRPr="007658EB">
        <w:t xml:space="preserve"> </w:t>
      </w:r>
      <w:r w:rsidRPr="007658EB">
        <w:t xml:space="preserve">a ‘determining authority’. Referral advice from a ‘determining </w:t>
      </w:r>
      <w:r>
        <w:t>authority’ is binding on the council</w:t>
      </w:r>
      <w:r w:rsidRPr="007658EB">
        <w:t xml:space="preserve"> as a responsible authority under the Planning and Environment Act 1987. Referral advice from a ‘recommending autho</w:t>
      </w:r>
      <w:r>
        <w:t>rity’ is not binding on the council.</w:t>
      </w:r>
    </w:p>
    <w:p w14:paraId="56170528" w14:textId="77777777" w:rsidR="007A3DDF" w:rsidRDefault="007A3DDF" w:rsidP="007A3DDF"/>
    <w:p w14:paraId="5A351C99" w14:textId="377B8A24" w:rsidR="007A3DDF" w:rsidRPr="007658EB" w:rsidRDefault="007A3DDF" w:rsidP="007A3DDF">
      <w:r>
        <w:t>While the Victorian Floodplain Management St</w:t>
      </w:r>
      <w:r w:rsidR="001716C3">
        <w:t xml:space="preserve">rategy </w:t>
      </w:r>
      <w:r w:rsidR="00072AD7">
        <w:t>(VFMS)</w:t>
      </w:r>
      <w:r w:rsidR="007376A2">
        <w:t>,</w:t>
      </w:r>
      <w:r w:rsidR="007376A2" w:rsidRPr="007376A2">
        <w:t xml:space="preserve"> </w:t>
      </w:r>
      <w:r w:rsidR="007376A2" w:rsidRPr="0024148B">
        <w:t xml:space="preserve">released in April 2016, </w:t>
      </w:r>
      <w:r w:rsidR="00072AD7">
        <w:t xml:space="preserve"> </w:t>
      </w:r>
      <w:r w:rsidR="001716C3">
        <w:t>identifies a total of 96 per cent</w:t>
      </w:r>
      <w:r>
        <w:t xml:space="preserve"> of councils followed CMA advice provided as a recommending referral authority, we see value in CMA being reinstated as determining authorities to ensure their technical expertise is considered as part of the planning permit process and the management of development in the flood plain is not undermined.</w:t>
      </w:r>
    </w:p>
    <w:p w14:paraId="3CCA74CA" w14:textId="77777777" w:rsidR="00F56663" w:rsidRPr="004B2711" w:rsidRDefault="00F56663" w:rsidP="009261D9"/>
    <w:p w14:paraId="4DE0F07B" w14:textId="3BDC756B" w:rsidR="009261D9" w:rsidRDefault="009261D9" w:rsidP="00F56663">
      <w:pPr>
        <w:pStyle w:val="Heading2"/>
        <w:rPr>
          <w:lang w:eastAsia="en-AU"/>
        </w:rPr>
      </w:pPr>
      <w:bookmarkStart w:id="38" w:name="_Toc462060577"/>
      <w:bookmarkStart w:id="39" w:name="_Toc462066816"/>
      <w:r w:rsidRPr="00525A00">
        <w:t>Flood</w:t>
      </w:r>
      <w:r w:rsidRPr="00525A00">
        <w:rPr>
          <w:lang w:eastAsia="en-AU"/>
        </w:rPr>
        <w:t xml:space="preserve"> studies and the role of Catchment Management</w:t>
      </w:r>
      <w:r>
        <w:rPr>
          <w:lang w:eastAsia="en-AU"/>
        </w:rPr>
        <w:t xml:space="preserve"> </w:t>
      </w:r>
      <w:r w:rsidR="003C7794">
        <w:rPr>
          <w:lang w:eastAsia="en-AU"/>
        </w:rPr>
        <w:t>Authorities</w:t>
      </w:r>
      <w:bookmarkEnd w:id="38"/>
      <w:bookmarkEnd w:id="39"/>
    </w:p>
    <w:p w14:paraId="3DEF4C70" w14:textId="77777777" w:rsidR="00F56663" w:rsidRDefault="00F56663" w:rsidP="00F56663"/>
    <w:p w14:paraId="1FE90E97" w14:textId="77777777" w:rsidR="007A3DDF" w:rsidRDefault="007A3DDF" w:rsidP="007A3DDF">
      <w:pPr>
        <w:rPr>
          <w:lang w:eastAsia="en-AU"/>
        </w:rPr>
      </w:pPr>
      <w:r>
        <w:rPr>
          <w:lang w:eastAsia="en-AU"/>
        </w:rPr>
        <w:t>CMAs under their</w:t>
      </w:r>
      <w:r w:rsidRPr="008A6D1B">
        <w:rPr>
          <w:lang w:eastAsia="en-AU"/>
        </w:rPr>
        <w:t xml:space="preserve"> Statement of Obligations </w:t>
      </w:r>
      <w:r>
        <w:rPr>
          <w:lang w:eastAsia="en-AU"/>
        </w:rPr>
        <w:t>are</w:t>
      </w:r>
      <w:r w:rsidRPr="008A6D1B">
        <w:rPr>
          <w:lang w:eastAsia="en-AU"/>
        </w:rPr>
        <w:t xml:space="preserve"> responsible for preparing flood studies, unless alternative arrangements are brokered with the council</w:t>
      </w:r>
      <w:r>
        <w:rPr>
          <w:lang w:eastAsia="en-AU"/>
        </w:rPr>
        <w:t>.</w:t>
      </w:r>
      <w:r w:rsidRPr="006E0C4A">
        <w:rPr>
          <w:lang w:eastAsia="en-AU"/>
        </w:rPr>
        <w:t xml:space="preserve"> Councils are neither floodplain managers nor flood experts</w:t>
      </w:r>
      <w:r>
        <w:rPr>
          <w:lang w:eastAsia="en-AU"/>
        </w:rPr>
        <w:t xml:space="preserve"> and rely heavily on CMAs to prepare flood studies to inform the application of the flood controls within their planning </w:t>
      </w:r>
      <w:r>
        <w:rPr>
          <w:lang w:eastAsia="en-AU"/>
        </w:rPr>
        <w:lastRenderedPageBreak/>
        <w:t>scheme. Flood studies are usually part funded by the Commonwealth, State and Local Government.</w:t>
      </w:r>
    </w:p>
    <w:p w14:paraId="540C27CC" w14:textId="77777777" w:rsidR="007A3DDF" w:rsidRPr="00D92B31" w:rsidRDefault="007A3DDF" w:rsidP="007A3DDF">
      <w:pPr>
        <w:rPr>
          <w:lang w:eastAsia="en-AU"/>
        </w:rPr>
      </w:pPr>
    </w:p>
    <w:p w14:paraId="4AE16AA1" w14:textId="77777777" w:rsidR="007A3DDF" w:rsidRDefault="007A3DDF" w:rsidP="007A3DDF">
      <w:r>
        <w:rPr>
          <w:lang w:eastAsia="en-AU"/>
        </w:rPr>
        <w:t xml:space="preserve">As identified by the Productivity Commission report on </w:t>
      </w:r>
      <w:r>
        <w:rPr>
          <w:i/>
          <w:lang w:eastAsia="en-AU"/>
        </w:rPr>
        <w:t xml:space="preserve">Barriers into Effective Climate Change Adaptation, </w:t>
      </w:r>
      <w:r>
        <w:rPr>
          <w:lang w:eastAsia="en-AU"/>
        </w:rPr>
        <w:t xml:space="preserve">the financial and technical capacity of councils is a major barrier preventing the planning system from reaching its full potential. With the preparation of flood studies and associated planning scheme amendments costing upward of $70,000, </w:t>
      </w:r>
      <w:r w:rsidRPr="006E0C4A">
        <w:t>the availability of external fundin</w:t>
      </w:r>
      <w:r>
        <w:t>g sources needs to be addressed.</w:t>
      </w:r>
    </w:p>
    <w:p w14:paraId="44C49009" w14:textId="77777777" w:rsidR="007A3DDF" w:rsidRDefault="007A3DDF" w:rsidP="007A3DDF"/>
    <w:p w14:paraId="43D6722D" w14:textId="31951F59" w:rsidR="007A3DDF" w:rsidRPr="00E814BD" w:rsidRDefault="007376A2" w:rsidP="007A3DDF">
      <w:pPr>
        <w:rPr>
          <w:lang w:eastAsia="en-AU"/>
        </w:rPr>
      </w:pPr>
      <w:r>
        <w:rPr>
          <w:lang w:eastAsia="en-AU"/>
        </w:rPr>
        <w:t>The $21.5 million announced with the release of the VFMS is expected to go some way to supporting councils.  The MAV has previously advocated for a</w:t>
      </w:r>
      <w:r w:rsidR="007A3DDF" w:rsidRPr="009A58EA">
        <w:rPr>
          <w:lang w:eastAsia="en-AU"/>
        </w:rPr>
        <w:t xml:space="preserve"> rolling flood planning assistance fund </w:t>
      </w:r>
      <w:r>
        <w:rPr>
          <w:lang w:eastAsia="en-AU"/>
        </w:rPr>
        <w:t xml:space="preserve">to </w:t>
      </w:r>
      <w:r w:rsidR="007A3DDF">
        <w:rPr>
          <w:lang w:eastAsia="en-AU"/>
        </w:rPr>
        <w:t>assist both the CMA</w:t>
      </w:r>
      <w:r w:rsidR="003C7794">
        <w:rPr>
          <w:lang w:eastAsia="en-AU"/>
        </w:rPr>
        <w:t>s</w:t>
      </w:r>
      <w:r w:rsidR="007A3DDF">
        <w:rPr>
          <w:lang w:eastAsia="en-AU"/>
        </w:rPr>
        <w:t xml:space="preserve"> and councils to provide access for CMAs</w:t>
      </w:r>
      <w:r w:rsidR="007A3DDF" w:rsidRPr="009A58EA">
        <w:rPr>
          <w:lang w:eastAsia="en-AU"/>
        </w:rPr>
        <w:t xml:space="preserve"> to fund the expedited preparation of flood studies and associated planning scheme amendments for flood prone land that is not within an appropriate planning scheme overlay. </w:t>
      </w:r>
    </w:p>
    <w:p w14:paraId="20B9A84E" w14:textId="77777777" w:rsidR="009261D9" w:rsidRDefault="009261D9" w:rsidP="00F56663">
      <w:pPr>
        <w:rPr>
          <w:lang w:eastAsia="en-AU"/>
        </w:rPr>
      </w:pPr>
    </w:p>
    <w:p w14:paraId="0D7A6A3E" w14:textId="77777777" w:rsidR="009261D9" w:rsidRDefault="009261D9" w:rsidP="00F56663">
      <w:pPr>
        <w:pStyle w:val="Heading2"/>
        <w:rPr>
          <w:lang w:eastAsia="en-AU"/>
        </w:rPr>
      </w:pPr>
      <w:bookmarkStart w:id="40" w:name="_Toc462060578"/>
      <w:bookmarkStart w:id="41" w:name="_Toc462066817"/>
      <w:r>
        <w:rPr>
          <w:lang w:eastAsia="en-AU"/>
        </w:rPr>
        <w:t>C</w:t>
      </w:r>
      <w:r w:rsidRPr="007007C1">
        <w:rPr>
          <w:lang w:eastAsia="en-AU"/>
        </w:rPr>
        <w:t xml:space="preserve">oastal </w:t>
      </w:r>
      <w:r>
        <w:rPr>
          <w:lang w:eastAsia="en-AU"/>
        </w:rPr>
        <w:t>flooding, coastal hazard assessments and mitigation responses</w:t>
      </w:r>
      <w:bookmarkEnd w:id="40"/>
      <w:bookmarkEnd w:id="41"/>
    </w:p>
    <w:p w14:paraId="3670AC72" w14:textId="77777777" w:rsidR="007A3DDF" w:rsidRDefault="007A3DDF" w:rsidP="007A3DDF">
      <w:pPr>
        <w:rPr>
          <w:lang w:eastAsia="en-AU"/>
        </w:rPr>
      </w:pPr>
    </w:p>
    <w:p w14:paraId="687A8C77" w14:textId="61D8F5C7" w:rsidR="007A3DDF" w:rsidRDefault="007A3DDF" w:rsidP="007A3DDF">
      <w:pPr>
        <w:rPr>
          <w:lang w:eastAsia="en-AU"/>
        </w:rPr>
      </w:pPr>
      <w:r w:rsidRPr="0028715D">
        <w:rPr>
          <w:lang w:eastAsia="en-AU"/>
        </w:rPr>
        <w:t xml:space="preserve">The Coastal Climate Change Advisory Committee (CCCAC) identified the need for a single </w:t>
      </w:r>
      <w:proofErr w:type="spellStart"/>
      <w:r w:rsidRPr="0028715D">
        <w:rPr>
          <w:lang w:eastAsia="en-AU"/>
        </w:rPr>
        <w:t>statewide</w:t>
      </w:r>
      <w:proofErr w:type="spellEnd"/>
      <w:r w:rsidRPr="0028715D">
        <w:rPr>
          <w:lang w:eastAsia="en-AU"/>
        </w:rPr>
        <w:t xml:space="preserve"> lead agency to be responsible for coordinating coastal hazard assessments along the coast and preparing and coordinating a mitigation response.</w:t>
      </w:r>
    </w:p>
    <w:p w14:paraId="406BA3F2" w14:textId="77777777" w:rsidR="007A3DDF" w:rsidRPr="0028715D" w:rsidRDefault="007A3DDF" w:rsidP="007A3DDF">
      <w:pPr>
        <w:rPr>
          <w:lang w:eastAsia="en-AU"/>
        </w:rPr>
      </w:pPr>
    </w:p>
    <w:p w14:paraId="7C7D5845" w14:textId="7D1F771E" w:rsidR="007A3DDF" w:rsidRDefault="007A3DDF" w:rsidP="007A3DDF">
      <w:pPr>
        <w:rPr>
          <w:lang w:eastAsia="en-AU"/>
        </w:rPr>
      </w:pPr>
      <w:r w:rsidRPr="0028715D">
        <w:rPr>
          <w:lang w:eastAsia="en-AU"/>
        </w:rPr>
        <w:t xml:space="preserve">The current Victorian Government has made some progress in this area, with the </w:t>
      </w:r>
      <w:r w:rsidR="007376A2">
        <w:rPr>
          <w:lang w:eastAsia="en-AU"/>
        </w:rPr>
        <w:t>VFMS</w:t>
      </w:r>
      <w:r w:rsidRPr="0028715D">
        <w:rPr>
          <w:lang w:eastAsia="en-AU"/>
        </w:rPr>
        <w:t xml:space="preserve"> and the Region</w:t>
      </w:r>
      <w:r>
        <w:rPr>
          <w:lang w:eastAsia="en-AU"/>
        </w:rPr>
        <w:t>al Coastal Plans identifying that</w:t>
      </w:r>
      <w:r w:rsidRPr="0028715D">
        <w:rPr>
          <w:lang w:eastAsia="en-AU"/>
        </w:rPr>
        <w:t xml:space="preserve"> DELWP will prepare Coastal Hazard Vulnerability Assessment for priority locations along the coast.</w:t>
      </w:r>
      <w:r>
        <w:rPr>
          <w:lang w:eastAsia="en-AU"/>
        </w:rPr>
        <w:t xml:space="preserve"> It also identifies that CMAs will act as referral authorities for recommendations on land use planning where a council amends their Planning Scheme to show land subject to inundation caused by seawater.</w:t>
      </w:r>
    </w:p>
    <w:p w14:paraId="6FB05BB4" w14:textId="77777777" w:rsidR="007A3DDF" w:rsidRPr="0028715D" w:rsidRDefault="007A3DDF" w:rsidP="007A3DDF">
      <w:pPr>
        <w:rPr>
          <w:lang w:eastAsia="en-AU"/>
        </w:rPr>
      </w:pPr>
    </w:p>
    <w:p w14:paraId="5BBB0658" w14:textId="3B29C7E3" w:rsidR="007A3DDF" w:rsidRDefault="007A3DDF" w:rsidP="007A3DDF">
      <w:pPr>
        <w:rPr>
          <w:lang w:eastAsia="en-AU"/>
        </w:rPr>
      </w:pPr>
      <w:r w:rsidRPr="0028715D">
        <w:rPr>
          <w:lang w:eastAsia="en-AU"/>
        </w:rPr>
        <w:t xml:space="preserve">What remains unknown is once the extent of the hazard is understood, </w:t>
      </w:r>
      <w:r w:rsidR="001716C3">
        <w:rPr>
          <w:lang w:eastAsia="en-AU"/>
        </w:rPr>
        <w:t>which agency</w:t>
      </w:r>
      <w:r w:rsidRPr="0028715D">
        <w:rPr>
          <w:lang w:eastAsia="en-AU"/>
        </w:rPr>
        <w:t xml:space="preserve"> is responsible for funding and coordinating a mitigation </w:t>
      </w:r>
      <w:r>
        <w:rPr>
          <w:lang w:eastAsia="en-AU"/>
        </w:rPr>
        <w:t>response along Victoria’s coast</w:t>
      </w:r>
      <w:r w:rsidRPr="0028715D">
        <w:rPr>
          <w:lang w:eastAsia="en-AU"/>
        </w:rPr>
        <w:t xml:space="preserve">line. The MAV believes that a single central agency is required to deliver a coordinated and multi – disciplinary </w:t>
      </w:r>
      <w:r>
        <w:rPr>
          <w:lang w:eastAsia="en-AU"/>
        </w:rPr>
        <w:t xml:space="preserve">and regional </w:t>
      </w:r>
      <w:r w:rsidRPr="0028715D">
        <w:rPr>
          <w:lang w:eastAsia="en-AU"/>
        </w:rPr>
        <w:t>approach to mitigation and adaptation.</w:t>
      </w:r>
      <w:r>
        <w:rPr>
          <w:lang w:eastAsia="en-AU"/>
        </w:rPr>
        <w:t xml:space="preserve"> This would provide </w:t>
      </w:r>
      <w:r w:rsidRPr="00D92B31">
        <w:rPr>
          <w:lang w:eastAsia="en-AU"/>
        </w:rPr>
        <w:t>holistic understanding o</w:t>
      </w:r>
      <w:r w:rsidR="007376A2">
        <w:rPr>
          <w:lang w:eastAsia="en-AU"/>
        </w:rPr>
        <w:t>f</w:t>
      </w:r>
      <w:r w:rsidRPr="00D92B31">
        <w:rPr>
          <w:lang w:eastAsia="en-AU"/>
        </w:rPr>
        <w:t xml:space="preserve"> the implications of implementing flood mitigation measures further downstream or further along the coast. This may in turn identify cost saving opportunities and better resource allocation. </w:t>
      </w:r>
    </w:p>
    <w:p w14:paraId="1AFFB34C" w14:textId="77777777" w:rsidR="007A3DDF" w:rsidRPr="00D92B31" w:rsidRDefault="007A3DDF" w:rsidP="007A3DDF">
      <w:pPr>
        <w:rPr>
          <w:lang w:eastAsia="en-AU"/>
        </w:rPr>
      </w:pPr>
    </w:p>
    <w:p w14:paraId="1ECCB273" w14:textId="602A0CA5" w:rsidR="009261D9" w:rsidRPr="00545825" w:rsidRDefault="009261D9" w:rsidP="00F56663">
      <w:pPr>
        <w:pStyle w:val="Heading2"/>
        <w:rPr>
          <w:lang w:val="en-GB"/>
        </w:rPr>
      </w:pPr>
      <w:bookmarkStart w:id="42" w:name="_Toc462060579"/>
      <w:bookmarkStart w:id="43" w:name="_Toc462066818"/>
      <w:r w:rsidRPr="00545825">
        <w:rPr>
          <w:lang w:val="en-GB"/>
        </w:rPr>
        <w:t>Capacity for rural and regional councils to meet responsibilities for flood planning and preparation, and maintenance of flood mitigation infrastructure</w:t>
      </w:r>
      <w:bookmarkEnd w:id="42"/>
      <w:bookmarkEnd w:id="43"/>
    </w:p>
    <w:p w14:paraId="76738152" w14:textId="77777777" w:rsidR="00F56663" w:rsidRDefault="00F56663" w:rsidP="00F56663"/>
    <w:p w14:paraId="2DE6B7FA" w14:textId="7FF03D4E" w:rsidR="009261D9" w:rsidRDefault="009261D9" w:rsidP="00F56663">
      <w:pPr>
        <w:rPr>
          <w:color w:val="000000"/>
          <w:lang w:val="en-GB"/>
        </w:rPr>
      </w:pPr>
      <w:r w:rsidRPr="0024148B">
        <w:t>The VFMS,</w:t>
      </w:r>
      <w:r w:rsidR="007376A2">
        <w:t xml:space="preserve"> </w:t>
      </w:r>
      <w:r>
        <w:t xml:space="preserve">outlines </w:t>
      </w:r>
      <w:r w:rsidRPr="0024148B">
        <w:t>roles and responsibilities relating to</w:t>
      </w:r>
      <w:r>
        <w:t xml:space="preserve"> floodplain management, including </w:t>
      </w:r>
      <w:r w:rsidRPr="0024148B">
        <w:rPr>
          <w:color w:val="000000"/>
          <w:lang w:val="en-GB"/>
        </w:rPr>
        <w:t xml:space="preserve">planning and preparation, and </w:t>
      </w:r>
      <w:r>
        <w:rPr>
          <w:color w:val="000000"/>
          <w:lang w:val="en-GB"/>
        </w:rPr>
        <w:t>the management arrangements for</w:t>
      </w:r>
      <w:r w:rsidRPr="0024148B">
        <w:rPr>
          <w:color w:val="000000"/>
          <w:lang w:val="en-GB"/>
        </w:rPr>
        <w:t xml:space="preserve"> flood mitigation infrastructure.</w:t>
      </w:r>
    </w:p>
    <w:p w14:paraId="61215663" w14:textId="77777777" w:rsidR="00F56663" w:rsidRPr="0024148B" w:rsidRDefault="00F56663" w:rsidP="00F56663">
      <w:pPr>
        <w:rPr>
          <w:color w:val="000000"/>
          <w:lang w:val="en-GB"/>
        </w:rPr>
      </w:pPr>
    </w:p>
    <w:p w14:paraId="072CAF44" w14:textId="77777777" w:rsidR="009261D9" w:rsidRDefault="009261D9" w:rsidP="00F56663">
      <w:pPr>
        <w:rPr>
          <w:color w:val="000000"/>
          <w:lang w:val="en-GB"/>
        </w:rPr>
      </w:pPr>
      <w:r w:rsidRPr="0024148B">
        <w:rPr>
          <w:color w:val="000000"/>
          <w:lang w:val="en-GB"/>
        </w:rPr>
        <w:t xml:space="preserve">The MAV was a member of the VFMS Interdepartmental Stakeholder Reference Group and, in consultation with our members, made two submissions </w:t>
      </w:r>
      <w:r>
        <w:rPr>
          <w:color w:val="000000"/>
          <w:lang w:val="en-GB"/>
        </w:rPr>
        <w:t>during the VFMS consultation rounds</w:t>
      </w:r>
      <w:r w:rsidRPr="0024148B">
        <w:rPr>
          <w:color w:val="000000"/>
          <w:lang w:val="en-GB"/>
        </w:rPr>
        <w:t xml:space="preserve">. The MAV also reviewed all council submissions. </w:t>
      </w:r>
    </w:p>
    <w:p w14:paraId="703CD902" w14:textId="77777777" w:rsidR="00F56663" w:rsidRDefault="00F56663" w:rsidP="00F56663">
      <w:pPr>
        <w:rPr>
          <w:color w:val="000000"/>
          <w:lang w:val="en-GB"/>
        </w:rPr>
      </w:pPr>
    </w:p>
    <w:p w14:paraId="584C7514" w14:textId="77777777" w:rsidR="009261D9" w:rsidRDefault="009261D9" w:rsidP="00F56663">
      <w:r w:rsidRPr="004B2711">
        <w:t xml:space="preserve">The primary concerns of councils </w:t>
      </w:r>
      <w:r>
        <w:t xml:space="preserve">of relevance to this Inquiry </w:t>
      </w:r>
      <w:r w:rsidRPr="004B2711">
        <w:t>were:</w:t>
      </w:r>
    </w:p>
    <w:p w14:paraId="695E0FCB" w14:textId="77777777" w:rsidR="00F56663" w:rsidRPr="004B2711" w:rsidRDefault="00F56663" w:rsidP="00F56663"/>
    <w:p w14:paraId="08347502" w14:textId="77777777" w:rsidR="009261D9" w:rsidRPr="004B2711" w:rsidRDefault="009261D9" w:rsidP="00F56663">
      <w:pPr>
        <w:pStyle w:val="ListParagraph"/>
        <w:numPr>
          <w:ilvl w:val="0"/>
          <w:numId w:val="29"/>
        </w:numPr>
      </w:pPr>
      <w:r w:rsidRPr="004B2711">
        <w:lastRenderedPageBreak/>
        <w:t>the formal handover of decision-making around flood mitigation infrastructure (including levees) to councils and the associated liability, capital, maintenance and management costs;</w:t>
      </w:r>
    </w:p>
    <w:p w14:paraId="5F79810D" w14:textId="605EBD40" w:rsidR="009261D9" w:rsidRDefault="009261D9" w:rsidP="00F56663">
      <w:pPr>
        <w:pStyle w:val="ListParagraph"/>
        <w:numPr>
          <w:ilvl w:val="0"/>
          <w:numId w:val="29"/>
        </w:numPr>
      </w:pPr>
      <w:r w:rsidRPr="004B2711">
        <w:t>the responsibility of councils to pay for the cost of maintenance</w:t>
      </w:r>
      <w:r w:rsidR="007376A2">
        <w:t xml:space="preserve"> for</w:t>
      </w:r>
      <w:r w:rsidRPr="004B2711">
        <w:t xml:space="preserve"> </w:t>
      </w:r>
      <w:r>
        <w:t xml:space="preserve">river </w:t>
      </w:r>
      <w:r w:rsidRPr="004B2711">
        <w:t>gauges</w:t>
      </w:r>
      <w:r w:rsidRPr="00C06DA2">
        <w:t xml:space="preserve"> </w:t>
      </w:r>
      <w:r>
        <w:t>used for</w:t>
      </w:r>
      <w:r w:rsidRPr="004B2711">
        <w:t xml:space="preserve"> flood warning;</w:t>
      </w:r>
      <w:r>
        <w:t xml:space="preserve"> and</w:t>
      </w:r>
    </w:p>
    <w:p w14:paraId="5358B9D2" w14:textId="5983BFDB" w:rsidR="009261D9" w:rsidRPr="006236D9" w:rsidRDefault="009261D9" w:rsidP="00F56663">
      <w:pPr>
        <w:pStyle w:val="ListParagraph"/>
        <w:numPr>
          <w:ilvl w:val="0"/>
          <w:numId w:val="29"/>
        </w:numPr>
      </w:pPr>
      <w:r w:rsidRPr="00C06DA2">
        <w:t>the need to address barriers to planning scheme amendments</w:t>
      </w:r>
      <w:r w:rsidR="007376A2">
        <w:t xml:space="preserve"> (as outlined in the previous section)</w:t>
      </w:r>
      <w:r w:rsidRPr="00C06DA2">
        <w:t xml:space="preserve">. </w:t>
      </w:r>
    </w:p>
    <w:p w14:paraId="0DDD8EED" w14:textId="77777777" w:rsidR="009261D9" w:rsidRPr="006236D9" w:rsidRDefault="009261D9" w:rsidP="00F56663"/>
    <w:p w14:paraId="07C0C137" w14:textId="73DD60DF" w:rsidR="009261D9" w:rsidRDefault="009261D9" w:rsidP="00F56663">
      <w:pPr>
        <w:rPr>
          <w:bCs/>
        </w:rPr>
      </w:pPr>
      <w:r>
        <w:rPr>
          <w:bCs/>
        </w:rPr>
        <w:t xml:space="preserve">Implementation of many of the policies outlined in the VFMS is in the very early stages. The VFMS identifies regional strategies as the means for identifying investment priorities, including gauges for flood warning, flood studies and new or existing flood mitigation infrastructure. In most cases the regional strategies are still in the inception stage. Until these strategies have been finalised it is likely to be too early to undertake a full analysis of the challenges for councils. </w:t>
      </w:r>
    </w:p>
    <w:p w14:paraId="48352D5C" w14:textId="77777777" w:rsidR="00F56663" w:rsidRPr="00C06DA2" w:rsidRDefault="00F56663" w:rsidP="00F56663">
      <w:pPr>
        <w:rPr>
          <w:bCs/>
        </w:rPr>
      </w:pPr>
    </w:p>
    <w:p w14:paraId="08C1076B" w14:textId="77777777" w:rsidR="009261D9" w:rsidRDefault="009261D9" w:rsidP="00F56663">
      <w:r>
        <w:t>There are, however, some general comments that can be made about the shift in responsibility and likely consequences.</w:t>
      </w:r>
    </w:p>
    <w:p w14:paraId="3B1A04F4" w14:textId="77777777" w:rsidR="00F56663" w:rsidRDefault="00F56663" w:rsidP="00F56663"/>
    <w:p w14:paraId="70463C54" w14:textId="77777777" w:rsidR="009261D9" w:rsidRPr="005315AD" w:rsidRDefault="009261D9" w:rsidP="00F56663">
      <w:pPr>
        <w:pStyle w:val="Heading2"/>
      </w:pPr>
      <w:bookmarkStart w:id="44" w:name="_Toc462060580"/>
      <w:bookmarkStart w:id="45" w:name="_Toc462066819"/>
      <w:r w:rsidRPr="005315AD">
        <w:t>Flood mitigation infrastructure</w:t>
      </w:r>
      <w:bookmarkEnd w:id="44"/>
      <w:bookmarkEnd w:id="45"/>
    </w:p>
    <w:p w14:paraId="51856604" w14:textId="77777777" w:rsidR="009261D9" w:rsidRDefault="009261D9" w:rsidP="009261D9">
      <w:pPr>
        <w:autoSpaceDE w:val="0"/>
        <w:autoSpaceDN w:val="0"/>
        <w:adjustRightInd w:val="0"/>
      </w:pPr>
    </w:p>
    <w:p w14:paraId="05A778E7" w14:textId="77777777" w:rsidR="009261D9" w:rsidRDefault="009261D9" w:rsidP="009261D9">
      <w:pPr>
        <w:autoSpaceDE w:val="0"/>
        <w:autoSpaceDN w:val="0"/>
        <w:adjustRightInd w:val="0"/>
      </w:pPr>
      <w:r w:rsidRPr="00281BEB">
        <w:t xml:space="preserve">Chapter 17 of the VFMS </w:t>
      </w:r>
      <w:r>
        <w:t xml:space="preserve">outlines a new management and investment framework for large-scale flood mitigation infrastructure in regional Victoria. </w:t>
      </w:r>
    </w:p>
    <w:p w14:paraId="04D5FA68" w14:textId="77777777" w:rsidR="009261D9" w:rsidRDefault="009261D9" w:rsidP="009261D9">
      <w:pPr>
        <w:autoSpaceDE w:val="0"/>
        <w:autoSpaceDN w:val="0"/>
        <w:adjustRightInd w:val="0"/>
      </w:pPr>
    </w:p>
    <w:p w14:paraId="1FF41C02" w14:textId="77777777" w:rsidR="009261D9" w:rsidRDefault="009261D9" w:rsidP="009261D9">
      <w:pPr>
        <w:autoSpaceDE w:val="0"/>
        <w:autoSpaceDN w:val="0"/>
        <w:adjustRightInd w:val="0"/>
      </w:pPr>
      <w:r>
        <w:t xml:space="preserve">The new policy </w:t>
      </w:r>
      <w:r w:rsidRPr="006318A8">
        <w:t>for</w:t>
      </w:r>
      <w:r w:rsidRPr="006236D9">
        <w:rPr>
          <w:u w:val="single"/>
        </w:rPr>
        <w:t xml:space="preserve"> </w:t>
      </w:r>
      <w:r w:rsidRPr="006236D9">
        <w:rPr>
          <w:rFonts w:cs="Arial"/>
          <w:u w:val="single"/>
        </w:rPr>
        <w:t>new</w:t>
      </w:r>
      <w:r w:rsidRPr="006318A8">
        <w:rPr>
          <w:rFonts w:cs="Arial"/>
        </w:rPr>
        <w:t xml:space="preserve"> large-scale flood mitigation infrastructure </w:t>
      </w:r>
      <w:r>
        <w:rPr>
          <w:rFonts w:cs="Arial"/>
        </w:rPr>
        <w:t>i</w:t>
      </w:r>
      <w:r w:rsidRPr="006318A8">
        <w:rPr>
          <w:rFonts w:cs="Arial"/>
        </w:rPr>
        <w:t>s as follows:</w:t>
      </w:r>
      <w:r w:rsidRPr="006318A8">
        <w:t xml:space="preserve"> </w:t>
      </w:r>
    </w:p>
    <w:p w14:paraId="4A04C751" w14:textId="77777777" w:rsidR="009F6F52" w:rsidRPr="006318A8" w:rsidRDefault="009F6F52" w:rsidP="009261D9">
      <w:pPr>
        <w:autoSpaceDE w:val="0"/>
        <w:autoSpaceDN w:val="0"/>
        <w:adjustRightInd w:val="0"/>
      </w:pPr>
    </w:p>
    <w:p w14:paraId="72E3435A" w14:textId="77777777" w:rsidR="009261D9" w:rsidRPr="00491C6A" w:rsidRDefault="009261D9" w:rsidP="009261D9">
      <w:pPr>
        <w:pStyle w:val="ListParagraph"/>
        <w:numPr>
          <w:ilvl w:val="0"/>
          <w:numId w:val="26"/>
        </w:numPr>
        <w:autoSpaceDE w:val="0"/>
        <w:autoSpaceDN w:val="0"/>
        <w:adjustRightInd w:val="0"/>
        <w:spacing w:after="200" w:line="276" w:lineRule="auto"/>
        <w:rPr>
          <w:rFonts w:cs="Arial"/>
          <w:i/>
        </w:rPr>
      </w:pPr>
      <w:r w:rsidRPr="00491C6A">
        <w:rPr>
          <w:rFonts w:cs="Arial"/>
          <w:i/>
        </w:rPr>
        <w:t xml:space="preserve">All new large-scale flood mitigation infrastructure outside Melbourne Water’s region will be implemented as Water Management Schemes under the </w:t>
      </w:r>
      <w:r w:rsidRPr="00491C6A">
        <w:rPr>
          <w:rFonts w:cs="Arial"/>
          <w:i/>
          <w:iCs/>
        </w:rPr>
        <w:t>Water Act 1989</w:t>
      </w:r>
      <w:r w:rsidRPr="00491C6A">
        <w:rPr>
          <w:rFonts w:cs="Arial"/>
          <w:i/>
        </w:rPr>
        <w:t>.</w:t>
      </w:r>
    </w:p>
    <w:p w14:paraId="139BD09B" w14:textId="77777777" w:rsidR="009261D9" w:rsidRPr="006236D9" w:rsidRDefault="009261D9" w:rsidP="009261D9">
      <w:pPr>
        <w:pStyle w:val="ListParagraph"/>
        <w:numPr>
          <w:ilvl w:val="0"/>
          <w:numId w:val="26"/>
        </w:numPr>
        <w:autoSpaceDE w:val="0"/>
        <w:autoSpaceDN w:val="0"/>
        <w:adjustRightInd w:val="0"/>
        <w:spacing w:after="200" w:line="276" w:lineRule="auto"/>
        <w:rPr>
          <w:rFonts w:cs="Arial"/>
          <w:i/>
        </w:rPr>
      </w:pPr>
      <w:r w:rsidRPr="00491C6A">
        <w:rPr>
          <w:rFonts w:cs="Arial"/>
          <w:i/>
        </w:rPr>
        <w:t xml:space="preserve">The costs of designing and constructing new large-scale flood mitigation infrastructure that meets the government investment criteria will be shared equally between the Australian and Victorian Governments and the relevant LGAs. </w:t>
      </w:r>
    </w:p>
    <w:p w14:paraId="5B9E75FE" w14:textId="77777777" w:rsidR="009261D9" w:rsidRPr="006236D9" w:rsidRDefault="009261D9" w:rsidP="009261D9">
      <w:pPr>
        <w:pStyle w:val="ListParagraph"/>
        <w:numPr>
          <w:ilvl w:val="0"/>
          <w:numId w:val="26"/>
        </w:numPr>
        <w:autoSpaceDE w:val="0"/>
        <w:autoSpaceDN w:val="0"/>
        <w:adjustRightInd w:val="0"/>
        <w:spacing w:after="200" w:line="276" w:lineRule="auto"/>
        <w:rPr>
          <w:rFonts w:cs="Arial"/>
          <w:i/>
        </w:rPr>
      </w:pPr>
      <w:r w:rsidRPr="00491C6A">
        <w:rPr>
          <w:rFonts w:cs="Arial"/>
          <w:i/>
        </w:rPr>
        <w:t>The maintenance and management of new flood mitigation infrastructure under formal arrangements will be funded by beneficiaries (through relevant LGAs) and will be subject to third-party auditing arrangements to ensure it continues to be maintained.</w:t>
      </w:r>
      <w:r>
        <w:rPr>
          <w:rFonts w:cs="Arial"/>
          <w:i/>
        </w:rPr>
        <w:t xml:space="preserve"> (Policy 17a)</w:t>
      </w:r>
    </w:p>
    <w:p w14:paraId="69216724" w14:textId="77777777" w:rsidR="009261D9" w:rsidRPr="00E067F7" w:rsidRDefault="009261D9" w:rsidP="009261D9">
      <w:pPr>
        <w:pStyle w:val="ListParagraph"/>
        <w:rPr>
          <w:rFonts w:cs="Arial"/>
          <w:i/>
        </w:rPr>
      </w:pPr>
    </w:p>
    <w:p w14:paraId="417EB010" w14:textId="77777777" w:rsidR="009261D9" w:rsidRPr="00E067F7" w:rsidRDefault="009261D9" w:rsidP="009261D9">
      <w:pPr>
        <w:pStyle w:val="ListParagraph"/>
        <w:numPr>
          <w:ilvl w:val="0"/>
          <w:numId w:val="26"/>
        </w:numPr>
        <w:autoSpaceDE w:val="0"/>
        <w:autoSpaceDN w:val="0"/>
        <w:adjustRightInd w:val="0"/>
        <w:spacing w:after="200" w:line="276" w:lineRule="auto"/>
        <w:rPr>
          <w:rFonts w:cs="Arial"/>
          <w:i/>
        </w:rPr>
      </w:pPr>
      <w:r w:rsidRPr="00E067F7">
        <w:rPr>
          <w:rFonts w:cs="Arial"/>
          <w:i/>
        </w:rPr>
        <w:t>New, large-scale rural flood mitigation infrastructure will only attract government funding if it satisfies the investment criteria outlined in the Strategy (Policy 17b)</w:t>
      </w:r>
    </w:p>
    <w:p w14:paraId="34352370" w14:textId="77777777" w:rsidR="009261D9" w:rsidRDefault="009261D9" w:rsidP="009261D9">
      <w:pPr>
        <w:autoSpaceDE w:val="0"/>
        <w:autoSpaceDN w:val="0"/>
        <w:adjustRightInd w:val="0"/>
      </w:pPr>
    </w:p>
    <w:p w14:paraId="759D606B" w14:textId="77777777" w:rsidR="009261D9" w:rsidRDefault="009261D9" w:rsidP="009261D9">
      <w:pPr>
        <w:autoSpaceDE w:val="0"/>
        <w:autoSpaceDN w:val="0"/>
        <w:adjustRightInd w:val="0"/>
        <w:rPr>
          <w:rFonts w:cs="Arial"/>
        </w:rPr>
      </w:pPr>
      <w:r w:rsidRPr="00E067F7">
        <w:rPr>
          <w:rFonts w:cs="Arial"/>
        </w:rPr>
        <w:t>Councils (outside Melbourne Water’s region) are accountable for:</w:t>
      </w:r>
    </w:p>
    <w:p w14:paraId="345F559A" w14:textId="77777777" w:rsidR="009F6F52" w:rsidRPr="00E067F7" w:rsidRDefault="009F6F52" w:rsidP="009261D9">
      <w:pPr>
        <w:autoSpaceDE w:val="0"/>
        <w:autoSpaceDN w:val="0"/>
        <w:adjustRightInd w:val="0"/>
        <w:rPr>
          <w:rFonts w:cs="Arial"/>
        </w:rPr>
      </w:pPr>
    </w:p>
    <w:p w14:paraId="3188D5D1" w14:textId="77777777" w:rsidR="009261D9" w:rsidRPr="00E067F7" w:rsidRDefault="009261D9" w:rsidP="009261D9">
      <w:pPr>
        <w:pStyle w:val="ListParagraph"/>
        <w:numPr>
          <w:ilvl w:val="0"/>
          <w:numId w:val="27"/>
        </w:numPr>
        <w:autoSpaceDE w:val="0"/>
        <w:autoSpaceDN w:val="0"/>
        <w:adjustRightInd w:val="0"/>
        <w:spacing w:after="200" w:line="276" w:lineRule="auto"/>
        <w:rPr>
          <w:rFonts w:cs="Arial"/>
          <w:i/>
        </w:rPr>
      </w:pPr>
      <w:r w:rsidRPr="00E067F7">
        <w:rPr>
          <w:rFonts w:cs="Arial"/>
          <w:i/>
        </w:rPr>
        <w:t>leading the processes to determine and implement new flood mitigation infrastructure, through flood studies and Water Management</w:t>
      </w:r>
    </w:p>
    <w:p w14:paraId="697F90CF" w14:textId="77777777" w:rsidR="009261D9" w:rsidRDefault="009261D9" w:rsidP="009261D9">
      <w:pPr>
        <w:pStyle w:val="ListParagraph"/>
        <w:autoSpaceDE w:val="0"/>
        <w:autoSpaceDN w:val="0"/>
        <w:adjustRightInd w:val="0"/>
        <w:rPr>
          <w:rFonts w:cs="Arial"/>
          <w:i/>
        </w:rPr>
      </w:pPr>
      <w:r>
        <w:rPr>
          <w:rFonts w:cs="Arial"/>
          <w:i/>
        </w:rPr>
        <w:t>Schemes</w:t>
      </w:r>
    </w:p>
    <w:p w14:paraId="5DE345E4" w14:textId="77777777" w:rsidR="009261D9" w:rsidRPr="00E067F7" w:rsidRDefault="009261D9" w:rsidP="009261D9">
      <w:pPr>
        <w:pStyle w:val="ListParagraph"/>
        <w:numPr>
          <w:ilvl w:val="0"/>
          <w:numId w:val="27"/>
        </w:numPr>
        <w:autoSpaceDE w:val="0"/>
        <w:autoSpaceDN w:val="0"/>
        <w:adjustRightInd w:val="0"/>
        <w:spacing w:after="200" w:line="276" w:lineRule="auto"/>
        <w:rPr>
          <w:rFonts w:cs="Arial"/>
          <w:i/>
        </w:rPr>
      </w:pPr>
      <w:r w:rsidRPr="00E067F7">
        <w:rPr>
          <w:rFonts w:cs="Arial"/>
          <w:i/>
        </w:rPr>
        <w:t xml:space="preserve">the ongoing maintenance and management of new infrastructure through flood studies and </w:t>
      </w:r>
      <w:r>
        <w:rPr>
          <w:rFonts w:cs="Arial"/>
          <w:i/>
        </w:rPr>
        <w:t>Water Management Schemes (Accountability 17a)</w:t>
      </w:r>
    </w:p>
    <w:p w14:paraId="72FD1CDC" w14:textId="77777777" w:rsidR="009261D9" w:rsidRDefault="009261D9" w:rsidP="009261D9">
      <w:pPr>
        <w:autoSpaceDE w:val="0"/>
        <w:autoSpaceDN w:val="0"/>
        <w:adjustRightInd w:val="0"/>
        <w:rPr>
          <w:rFonts w:ascii="Calibri" w:hAnsi="Calibri" w:cs="Calibri"/>
        </w:rPr>
      </w:pPr>
      <w:r>
        <w:t xml:space="preserve">The new policy </w:t>
      </w:r>
      <w:r w:rsidRPr="006318A8">
        <w:t xml:space="preserve">for </w:t>
      </w:r>
      <w:r w:rsidRPr="006236D9">
        <w:rPr>
          <w:rFonts w:cs="Arial"/>
          <w:u w:val="single"/>
        </w:rPr>
        <w:t>existing</w:t>
      </w:r>
      <w:r w:rsidRPr="006318A8">
        <w:rPr>
          <w:rFonts w:cs="Arial"/>
        </w:rPr>
        <w:t xml:space="preserve"> large-scale flood mitigation infrastructure </w:t>
      </w:r>
      <w:r>
        <w:rPr>
          <w:rFonts w:cs="Arial"/>
        </w:rPr>
        <w:t>i</w:t>
      </w:r>
      <w:r w:rsidRPr="006318A8">
        <w:rPr>
          <w:rFonts w:cs="Arial"/>
        </w:rPr>
        <w:t>s as follows:</w:t>
      </w:r>
    </w:p>
    <w:p w14:paraId="73490660" w14:textId="77777777" w:rsidR="009261D9" w:rsidRDefault="009261D9" w:rsidP="009261D9">
      <w:pPr>
        <w:autoSpaceDE w:val="0"/>
        <w:autoSpaceDN w:val="0"/>
        <w:adjustRightInd w:val="0"/>
        <w:rPr>
          <w:rFonts w:ascii="Calibri-Bold" w:hAnsi="Calibri-Bold" w:cs="Calibri-Bold"/>
          <w:b/>
          <w:bCs/>
          <w:color w:val="FFFFFF"/>
          <w:sz w:val="26"/>
          <w:szCs w:val="26"/>
        </w:rPr>
      </w:pPr>
      <w:r>
        <w:rPr>
          <w:rFonts w:ascii="Calibri-Bold" w:hAnsi="Calibri-Bold" w:cs="Calibri-Bold"/>
          <w:b/>
          <w:bCs/>
          <w:color w:val="FFFFFF"/>
          <w:sz w:val="26"/>
          <w:szCs w:val="26"/>
        </w:rPr>
        <w:lastRenderedPageBreak/>
        <w:t>Policy 17c</w:t>
      </w:r>
    </w:p>
    <w:p w14:paraId="538684A3" w14:textId="77777777" w:rsidR="009261D9" w:rsidRDefault="009261D9" w:rsidP="009261D9">
      <w:pPr>
        <w:pStyle w:val="ListParagraph"/>
        <w:numPr>
          <w:ilvl w:val="0"/>
          <w:numId w:val="27"/>
        </w:numPr>
        <w:autoSpaceDE w:val="0"/>
        <w:autoSpaceDN w:val="0"/>
        <w:adjustRightInd w:val="0"/>
        <w:spacing w:after="200" w:line="276" w:lineRule="auto"/>
        <w:rPr>
          <w:rFonts w:cs="Arial"/>
          <w:i/>
        </w:rPr>
      </w:pPr>
      <w:r w:rsidRPr="00E067F7">
        <w:rPr>
          <w:rFonts w:cs="Arial"/>
          <w:i/>
        </w:rPr>
        <w:t>Flood mitigation infrastructure outside Melbourne Water’s region that is not currently subject to formal management arrangements will remain that way unless the relevant LGA (through a Regional Floodplain Management Strategy or local assessment) determines that the infrastructure should be brought into formal management arrangements through a Water Management Scheme or other appropriate arrangements.</w:t>
      </w:r>
    </w:p>
    <w:p w14:paraId="6A9B537A" w14:textId="77777777" w:rsidR="009261D9" w:rsidRDefault="009261D9" w:rsidP="009261D9">
      <w:pPr>
        <w:pStyle w:val="ListParagraph"/>
        <w:autoSpaceDE w:val="0"/>
        <w:autoSpaceDN w:val="0"/>
        <w:adjustRightInd w:val="0"/>
        <w:ind w:left="786"/>
        <w:rPr>
          <w:rFonts w:cs="Arial"/>
          <w:i/>
        </w:rPr>
      </w:pPr>
    </w:p>
    <w:p w14:paraId="63DE6F98" w14:textId="77777777" w:rsidR="009261D9" w:rsidRDefault="009261D9" w:rsidP="009261D9">
      <w:pPr>
        <w:pStyle w:val="ListParagraph"/>
        <w:numPr>
          <w:ilvl w:val="0"/>
          <w:numId w:val="27"/>
        </w:numPr>
        <w:autoSpaceDE w:val="0"/>
        <w:autoSpaceDN w:val="0"/>
        <w:adjustRightInd w:val="0"/>
        <w:spacing w:after="200" w:line="276" w:lineRule="auto"/>
        <w:rPr>
          <w:rFonts w:cs="Arial"/>
          <w:i/>
        </w:rPr>
      </w:pPr>
      <w:r w:rsidRPr="00E067F7">
        <w:rPr>
          <w:rFonts w:cs="Arial"/>
          <w:i/>
        </w:rPr>
        <w:t>The costs of restoring or upgrading existing flood mitigation infrastructure to bring it into formal management arrangements will, if it meets the government investment criteria (Section 17.2),</w:t>
      </w:r>
      <w:r>
        <w:rPr>
          <w:rFonts w:cs="Arial"/>
          <w:i/>
        </w:rPr>
        <w:t xml:space="preserve"> </w:t>
      </w:r>
      <w:r w:rsidRPr="00E067F7">
        <w:rPr>
          <w:rFonts w:cs="Arial"/>
          <w:i/>
        </w:rPr>
        <w:t>be shared equally between the Australian and Victorian Governments, and the relevant LGAs.</w:t>
      </w:r>
    </w:p>
    <w:p w14:paraId="676C1938" w14:textId="77777777" w:rsidR="009261D9" w:rsidRPr="00E067F7" w:rsidRDefault="009261D9" w:rsidP="009261D9">
      <w:pPr>
        <w:pStyle w:val="ListParagraph"/>
        <w:rPr>
          <w:rFonts w:cs="Arial"/>
          <w:i/>
        </w:rPr>
      </w:pPr>
    </w:p>
    <w:p w14:paraId="391074FA" w14:textId="77777777" w:rsidR="009261D9" w:rsidRDefault="009261D9" w:rsidP="009261D9">
      <w:pPr>
        <w:pStyle w:val="ListParagraph"/>
        <w:numPr>
          <w:ilvl w:val="0"/>
          <w:numId w:val="27"/>
        </w:numPr>
        <w:autoSpaceDE w:val="0"/>
        <w:autoSpaceDN w:val="0"/>
        <w:adjustRightInd w:val="0"/>
        <w:spacing w:after="200" w:line="276" w:lineRule="auto"/>
        <w:rPr>
          <w:rFonts w:cs="Arial"/>
          <w:i/>
        </w:rPr>
      </w:pPr>
      <w:r w:rsidRPr="00E067F7">
        <w:rPr>
          <w:rFonts w:cs="Arial"/>
          <w:i/>
        </w:rPr>
        <w:t xml:space="preserve">The maintenance and management of existing flood mitigation infrastructure under formal arrangements will be funded by beneficiaries (through relevant LGAs) and will be subject to third-party auditing arrangements to ensure it </w:t>
      </w:r>
      <w:r>
        <w:rPr>
          <w:rFonts w:cs="Arial"/>
          <w:i/>
        </w:rPr>
        <w:t xml:space="preserve">continues to be </w:t>
      </w:r>
      <w:r w:rsidRPr="00E067F7">
        <w:rPr>
          <w:rFonts w:cs="Arial"/>
          <w:i/>
        </w:rPr>
        <w:t>maintained.</w:t>
      </w:r>
    </w:p>
    <w:p w14:paraId="4764696C" w14:textId="77777777" w:rsidR="009261D9" w:rsidRPr="00E067F7" w:rsidRDefault="009261D9" w:rsidP="009261D9">
      <w:pPr>
        <w:pStyle w:val="ListParagraph"/>
        <w:rPr>
          <w:rFonts w:cs="Arial"/>
          <w:i/>
        </w:rPr>
      </w:pPr>
    </w:p>
    <w:p w14:paraId="722D1C76" w14:textId="77777777" w:rsidR="009261D9" w:rsidRPr="00E067F7" w:rsidRDefault="009261D9" w:rsidP="009261D9">
      <w:pPr>
        <w:pStyle w:val="ListParagraph"/>
        <w:numPr>
          <w:ilvl w:val="0"/>
          <w:numId w:val="27"/>
        </w:numPr>
        <w:autoSpaceDE w:val="0"/>
        <w:autoSpaceDN w:val="0"/>
        <w:adjustRightInd w:val="0"/>
        <w:spacing w:after="200" w:line="276" w:lineRule="auto"/>
        <w:rPr>
          <w:rFonts w:cs="Arial"/>
          <w:i/>
        </w:rPr>
      </w:pPr>
      <w:r w:rsidRPr="00E067F7">
        <w:rPr>
          <w:rFonts w:cs="Arial"/>
          <w:i/>
        </w:rPr>
        <w:t>Where there is flood mitigation infrastructure that is not being formally managed:</w:t>
      </w:r>
    </w:p>
    <w:p w14:paraId="47A9DEF7" w14:textId="77777777" w:rsidR="009261D9" w:rsidRDefault="009261D9" w:rsidP="009261D9">
      <w:pPr>
        <w:pStyle w:val="ListParagraph"/>
        <w:numPr>
          <w:ilvl w:val="1"/>
          <w:numId w:val="27"/>
        </w:numPr>
        <w:autoSpaceDE w:val="0"/>
        <w:autoSpaceDN w:val="0"/>
        <w:adjustRightInd w:val="0"/>
        <w:spacing w:after="200" w:line="276" w:lineRule="auto"/>
        <w:rPr>
          <w:rFonts w:cs="Arial"/>
          <w:i/>
        </w:rPr>
      </w:pPr>
      <w:r w:rsidRPr="00E067F7">
        <w:rPr>
          <w:rFonts w:cs="Arial"/>
          <w:i/>
        </w:rPr>
        <w:t>the relevant Municipal Planning Scheme must not assume that the infrastructure will provide flood protection</w:t>
      </w:r>
    </w:p>
    <w:p w14:paraId="5ADB8C8F" w14:textId="77777777" w:rsidR="009261D9" w:rsidRPr="00E067F7" w:rsidRDefault="009261D9" w:rsidP="009261D9">
      <w:pPr>
        <w:pStyle w:val="ListParagraph"/>
        <w:numPr>
          <w:ilvl w:val="1"/>
          <w:numId w:val="27"/>
        </w:numPr>
        <w:autoSpaceDE w:val="0"/>
        <w:autoSpaceDN w:val="0"/>
        <w:adjustRightInd w:val="0"/>
        <w:spacing w:after="200" w:line="276" w:lineRule="auto"/>
        <w:rPr>
          <w:rFonts w:ascii="Calibri" w:hAnsi="Calibri" w:cs="Calibri"/>
        </w:rPr>
      </w:pPr>
      <w:r w:rsidRPr="00E067F7">
        <w:rPr>
          <w:rFonts w:cs="Arial"/>
          <w:i/>
        </w:rPr>
        <w:t>the relevant Municipal Flood Emergency Plan must provide for the potential for sudden and complete failure of that infrastructure.</w:t>
      </w:r>
      <w:r>
        <w:rPr>
          <w:rFonts w:cs="Arial"/>
          <w:i/>
        </w:rPr>
        <w:t xml:space="preserve"> (Policy 17c)</w:t>
      </w:r>
    </w:p>
    <w:p w14:paraId="33AC3A31" w14:textId="77777777" w:rsidR="009261D9" w:rsidRDefault="009261D9" w:rsidP="009261D9">
      <w:pPr>
        <w:pStyle w:val="ListParagraph"/>
        <w:autoSpaceDE w:val="0"/>
        <w:autoSpaceDN w:val="0"/>
        <w:adjustRightInd w:val="0"/>
        <w:ind w:left="1506"/>
        <w:rPr>
          <w:rFonts w:ascii="Calibri" w:hAnsi="Calibri" w:cs="Calibri"/>
        </w:rPr>
      </w:pPr>
    </w:p>
    <w:p w14:paraId="71414762" w14:textId="77777777" w:rsidR="009261D9" w:rsidRDefault="009261D9" w:rsidP="009261D9">
      <w:pPr>
        <w:autoSpaceDE w:val="0"/>
        <w:autoSpaceDN w:val="0"/>
        <w:adjustRightInd w:val="0"/>
        <w:rPr>
          <w:rFonts w:cs="Arial"/>
        </w:rPr>
      </w:pPr>
      <w:r w:rsidRPr="00E067F7">
        <w:rPr>
          <w:rFonts w:cs="Arial"/>
        </w:rPr>
        <w:t>Councils (outside Melbourne Water’s region) are accountable for:</w:t>
      </w:r>
    </w:p>
    <w:p w14:paraId="4863D35B" w14:textId="77777777" w:rsidR="009F6F52" w:rsidRPr="00E067F7" w:rsidRDefault="009F6F52" w:rsidP="009261D9">
      <w:pPr>
        <w:autoSpaceDE w:val="0"/>
        <w:autoSpaceDN w:val="0"/>
        <w:adjustRightInd w:val="0"/>
        <w:rPr>
          <w:rFonts w:cs="Arial"/>
        </w:rPr>
      </w:pPr>
    </w:p>
    <w:p w14:paraId="705C75C8" w14:textId="77777777" w:rsidR="009261D9" w:rsidRPr="006236D9" w:rsidRDefault="009261D9" w:rsidP="009261D9">
      <w:pPr>
        <w:pStyle w:val="ListParagraph"/>
        <w:numPr>
          <w:ilvl w:val="0"/>
          <w:numId w:val="27"/>
        </w:numPr>
        <w:autoSpaceDE w:val="0"/>
        <w:autoSpaceDN w:val="0"/>
        <w:adjustRightInd w:val="0"/>
        <w:spacing w:after="200" w:line="276" w:lineRule="auto"/>
        <w:rPr>
          <w:rFonts w:cs="Arial"/>
          <w:i/>
        </w:rPr>
      </w:pPr>
      <w:r w:rsidRPr="006318A8">
        <w:rPr>
          <w:rFonts w:cs="Arial"/>
          <w:i/>
        </w:rPr>
        <w:t>leading the processes to determine and implement, through flood studies and Water</w:t>
      </w:r>
      <w:r>
        <w:rPr>
          <w:rFonts w:cs="Arial"/>
          <w:i/>
        </w:rPr>
        <w:t xml:space="preserve"> </w:t>
      </w:r>
      <w:r w:rsidRPr="006236D9">
        <w:rPr>
          <w:rFonts w:cs="Arial"/>
          <w:i/>
        </w:rPr>
        <w:t xml:space="preserve">Management Schemes (where appropriate), the assessment of existing flood mitigation infrastructure necessary to meet the needs of their communities, taking into account economic, social, cultural and environmental issues; and </w:t>
      </w:r>
    </w:p>
    <w:p w14:paraId="261F6B2D" w14:textId="77777777" w:rsidR="009261D9" w:rsidRPr="006318A8" w:rsidRDefault="009261D9" w:rsidP="009261D9">
      <w:pPr>
        <w:pStyle w:val="ListParagraph"/>
        <w:numPr>
          <w:ilvl w:val="0"/>
          <w:numId w:val="27"/>
        </w:numPr>
        <w:autoSpaceDE w:val="0"/>
        <w:autoSpaceDN w:val="0"/>
        <w:adjustRightInd w:val="0"/>
        <w:spacing w:after="200" w:line="276" w:lineRule="auto"/>
        <w:rPr>
          <w:rFonts w:cs="Arial"/>
          <w:i/>
        </w:rPr>
      </w:pPr>
      <w:r w:rsidRPr="006318A8">
        <w:rPr>
          <w:rFonts w:cs="Arial"/>
          <w:i/>
        </w:rPr>
        <w:t>the ongoing maintenance and management of existing infrastructure under formal management arrangements.</w:t>
      </w:r>
      <w:r>
        <w:rPr>
          <w:rFonts w:cs="Arial"/>
          <w:i/>
        </w:rPr>
        <w:t xml:space="preserve"> (Accountability 17b)</w:t>
      </w:r>
    </w:p>
    <w:p w14:paraId="56FBF2D3" w14:textId="77777777" w:rsidR="00F56663" w:rsidRDefault="00F56663" w:rsidP="009261D9">
      <w:pPr>
        <w:autoSpaceDE w:val="0"/>
        <w:autoSpaceDN w:val="0"/>
        <w:adjustRightInd w:val="0"/>
      </w:pPr>
    </w:p>
    <w:p w14:paraId="542B7F0B" w14:textId="77777777" w:rsidR="009261D9" w:rsidRDefault="009261D9" w:rsidP="009261D9">
      <w:pPr>
        <w:autoSpaceDE w:val="0"/>
        <w:autoSpaceDN w:val="0"/>
        <w:adjustRightInd w:val="0"/>
      </w:pPr>
      <w:r w:rsidRPr="004B2711">
        <w:t xml:space="preserve">The MAV and many of the councils </w:t>
      </w:r>
      <w:r>
        <w:t>are</w:t>
      </w:r>
      <w:r w:rsidRPr="004B2711">
        <w:t xml:space="preserve"> concerned that </w:t>
      </w:r>
      <w:r>
        <w:t xml:space="preserve">under the new arrangements, </w:t>
      </w:r>
      <w:r w:rsidRPr="004B2711">
        <w:t xml:space="preserve">local government will </w:t>
      </w:r>
      <w:r>
        <w:t>bear</w:t>
      </w:r>
      <w:r w:rsidRPr="004B2711">
        <w:t xml:space="preserve"> much of the decision-making responsibility for flood mitigation infrastructure, and with it the cost and risk burden, and associated liabilities. </w:t>
      </w:r>
    </w:p>
    <w:p w14:paraId="23B5BB30" w14:textId="77777777" w:rsidR="009261D9" w:rsidRDefault="009261D9" w:rsidP="009261D9">
      <w:pPr>
        <w:autoSpaceDE w:val="0"/>
        <w:autoSpaceDN w:val="0"/>
        <w:adjustRightInd w:val="0"/>
        <w:rPr>
          <w:rFonts w:cs="Arial"/>
        </w:rPr>
      </w:pPr>
    </w:p>
    <w:p w14:paraId="0DDAF363" w14:textId="77777777" w:rsidR="009261D9" w:rsidRPr="0024148B" w:rsidRDefault="009261D9" w:rsidP="009261D9">
      <w:pPr>
        <w:autoSpaceDE w:val="0"/>
        <w:autoSpaceDN w:val="0"/>
        <w:adjustRightInd w:val="0"/>
        <w:rPr>
          <w:rFonts w:cs="Arial"/>
        </w:rPr>
      </w:pPr>
      <w:r>
        <w:rPr>
          <w:rFonts w:cs="Arial"/>
        </w:rPr>
        <w:t>Some</w:t>
      </w:r>
      <w:r w:rsidRPr="0024148B">
        <w:rPr>
          <w:rFonts w:cs="Arial"/>
        </w:rPr>
        <w:t xml:space="preserve"> councils will inherit l</w:t>
      </w:r>
      <w:r>
        <w:rPr>
          <w:rFonts w:cs="Arial"/>
        </w:rPr>
        <w:t xml:space="preserve">arge-scale infrastructure, including levees, </w:t>
      </w:r>
      <w:r w:rsidRPr="0024148B">
        <w:rPr>
          <w:rFonts w:cs="Arial"/>
        </w:rPr>
        <w:t>which they have not previously</w:t>
      </w:r>
      <w:r>
        <w:rPr>
          <w:rFonts w:cs="Arial"/>
        </w:rPr>
        <w:t xml:space="preserve"> </w:t>
      </w:r>
      <w:r w:rsidRPr="0024148B">
        <w:rPr>
          <w:rFonts w:cs="Arial"/>
        </w:rPr>
        <w:t xml:space="preserve">constructed, managed or maintained. </w:t>
      </w:r>
      <w:r>
        <w:rPr>
          <w:rFonts w:cs="Arial"/>
        </w:rPr>
        <w:t>Councils</w:t>
      </w:r>
      <w:r w:rsidRPr="0024148B">
        <w:rPr>
          <w:rFonts w:cs="Arial"/>
        </w:rPr>
        <w:t xml:space="preserve"> will be required to make</w:t>
      </w:r>
      <w:r>
        <w:rPr>
          <w:rFonts w:cs="Arial"/>
        </w:rPr>
        <w:t xml:space="preserve"> </w:t>
      </w:r>
      <w:r w:rsidRPr="0024148B">
        <w:rPr>
          <w:rFonts w:cs="Arial"/>
        </w:rPr>
        <w:t xml:space="preserve">decisions </w:t>
      </w:r>
      <w:r>
        <w:rPr>
          <w:rFonts w:cs="Arial"/>
        </w:rPr>
        <w:t>about</w:t>
      </w:r>
      <w:r w:rsidRPr="0024148B">
        <w:rPr>
          <w:rFonts w:cs="Arial"/>
        </w:rPr>
        <w:t xml:space="preserve"> </w:t>
      </w:r>
      <w:r>
        <w:rPr>
          <w:rFonts w:cs="Arial"/>
        </w:rPr>
        <w:t xml:space="preserve">upgrading, </w:t>
      </w:r>
      <w:r w:rsidRPr="0024148B">
        <w:rPr>
          <w:rFonts w:cs="Arial"/>
        </w:rPr>
        <w:t>decommissioning or leaving them unmanaged.</w:t>
      </w:r>
    </w:p>
    <w:p w14:paraId="23B7D35D" w14:textId="2E64269A" w:rsidR="009261D9" w:rsidRDefault="009261D9" w:rsidP="009261D9">
      <w:pPr>
        <w:autoSpaceDE w:val="0"/>
        <w:autoSpaceDN w:val="0"/>
        <w:adjustRightInd w:val="0"/>
        <w:spacing w:before="240"/>
        <w:rPr>
          <w:rFonts w:cs="Arial"/>
          <w:color w:val="202020"/>
        </w:rPr>
      </w:pPr>
      <w:r>
        <w:rPr>
          <w:rFonts w:cs="Arial"/>
          <w:color w:val="202020"/>
        </w:rPr>
        <w:t xml:space="preserve">The VFMS states that </w:t>
      </w:r>
      <w:r w:rsidR="007376A2">
        <w:rPr>
          <w:rFonts w:cs="Arial"/>
          <w:color w:val="202020"/>
        </w:rPr>
        <w:t>t</w:t>
      </w:r>
      <w:r>
        <w:rPr>
          <w:rFonts w:cs="Arial"/>
          <w:color w:val="202020"/>
        </w:rPr>
        <w:t xml:space="preserve">here are 32 existing urban levees, 12 of which are already being managed through Water Management Schemes. </w:t>
      </w:r>
    </w:p>
    <w:p w14:paraId="5E346BAD" w14:textId="3E6CD006" w:rsidR="009261D9" w:rsidRPr="00E85341" w:rsidRDefault="009261D9" w:rsidP="009261D9">
      <w:pPr>
        <w:autoSpaceDE w:val="0"/>
        <w:autoSpaceDN w:val="0"/>
        <w:adjustRightInd w:val="0"/>
        <w:spacing w:before="240"/>
        <w:rPr>
          <w:rFonts w:cs="Arial"/>
          <w:color w:val="202020"/>
        </w:rPr>
      </w:pPr>
      <w:r w:rsidRPr="006236D9">
        <w:rPr>
          <w:rFonts w:cs="Arial"/>
          <w:color w:val="202020"/>
        </w:rPr>
        <w:lastRenderedPageBreak/>
        <w:t>Through the VFMS process, the MAV identified 22 rural or regional municipalities with at least one urban levee.</w:t>
      </w:r>
      <w:r w:rsidRPr="0024148B">
        <w:rPr>
          <w:rFonts w:cs="Arial"/>
          <w:color w:val="202020"/>
        </w:rPr>
        <w:t xml:space="preserve"> </w:t>
      </w:r>
      <w:r>
        <w:rPr>
          <w:rFonts w:cs="Arial"/>
          <w:lang w:eastAsia="en-AU"/>
        </w:rPr>
        <w:t>Around</w:t>
      </w:r>
      <w:r w:rsidRPr="0024148B">
        <w:rPr>
          <w:rFonts w:cs="Arial"/>
          <w:lang w:eastAsia="en-AU"/>
        </w:rPr>
        <w:t xml:space="preserve"> half of these councils are actively managing </w:t>
      </w:r>
      <w:r>
        <w:rPr>
          <w:rFonts w:cs="Arial"/>
          <w:lang w:eastAsia="en-AU"/>
        </w:rPr>
        <w:t>the levee/s</w:t>
      </w:r>
      <w:r w:rsidRPr="0024148B">
        <w:rPr>
          <w:rFonts w:cs="Arial"/>
          <w:lang w:eastAsia="en-AU"/>
        </w:rPr>
        <w:t xml:space="preserve"> and </w:t>
      </w:r>
      <w:r w:rsidR="00BB2E7E">
        <w:rPr>
          <w:rFonts w:cs="Arial"/>
          <w:lang w:eastAsia="en-AU"/>
        </w:rPr>
        <w:t>a number</w:t>
      </w:r>
      <w:r w:rsidR="00BB2E7E" w:rsidRPr="0024148B">
        <w:rPr>
          <w:rFonts w:cs="Arial"/>
          <w:lang w:eastAsia="en-AU"/>
        </w:rPr>
        <w:t xml:space="preserve"> </w:t>
      </w:r>
      <w:r w:rsidRPr="0024148B">
        <w:rPr>
          <w:rFonts w:cs="Arial"/>
          <w:lang w:eastAsia="en-AU"/>
        </w:rPr>
        <w:t xml:space="preserve">have been established recently in consultation with the affected community. For these councils, the new policy </w:t>
      </w:r>
      <w:r>
        <w:rPr>
          <w:rFonts w:cs="Arial"/>
          <w:lang w:eastAsia="en-AU"/>
        </w:rPr>
        <w:t>should</w:t>
      </w:r>
      <w:r w:rsidRPr="0024148B">
        <w:rPr>
          <w:rFonts w:cs="Arial"/>
          <w:lang w:eastAsia="en-AU"/>
        </w:rPr>
        <w:t xml:space="preserve"> not </w:t>
      </w:r>
      <w:r>
        <w:rPr>
          <w:rFonts w:cs="Arial"/>
          <w:lang w:eastAsia="en-AU"/>
        </w:rPr>
        <w:t>create</w:t>
      </w:r>
      <w:r w:rsidRPr="0024148B">
        <w:rPr>
          <w:rFonts w:cs="Arial"/>
          <w:lang w:eastAsia="en-AU"/>
        </w:rPr>
        <w:t xml:space="preserve"> </w:t>
      </w:r>
      <w:r>
        <w:rPr>
          <w:rFonts w:cs="Arial"/>
          <w:lang w:eastAsia="en-AU"/>
        </w:rPr>
        <w:t>significant challenges, although they will have to ensure management is consistent with the DELWP Levee Management Guidelines (2015)</w:t>
      </w:r>
      <w:r w:rsidRPr="0024148B">
        <w:rPr>
          <w:rFonts w:cs="Arial"/>
          <w:lang w:eastAsia="en-AU"/>
        </w:rPr>
        <w:t xml:space="preserve">. </w:t>
      </w:r>
      <w:r w:rsidRPr="0024148B">
        <w:rPr>
          <w:rFonts w:cs="Arial"/>
          <w:lang w:eastAsia="en-AU"/>
        </w:rPr>
        <w:br/>
      </w:r>
    </w:p>
    <w:p w14:paraId="1C13C456" w14:textId="77777777" w:rsidR="009261D9" w:rsidRDefault="009261D9" w:rsidP="009261D9">
      <w:pPr>
        <w:rPr>
          <w:rFonts w:cs="Arial"/>
          <w:lang w:eastAsia="en-AU"/>
        </w:rPr>
      </w:pPr>
      <w:r w:rsidRPr="0024148B">
        <w:rPr>
          <w:rFonts w:cs="Arial"/>
        </w:rPr>
        <w:t xml:space="preserve">In </w:t>
      </w:r>
      <w:r>
        <w:rPr>
          <w:rFonts w:cs="Arial"/>
        </w:rPr>
        <w:t>other</w:t>
      </w:r>
      <w:r w:rsidRPr="0024148B">
        <w:rPr>
          <w:rFonts w:cs="Arial"/>
        </w:rPr>
        <w:t xml:space="preserve"> cases, councils will be expected to take responsibility for former State assets, some of which were built with inferior materials and require virtual reconstruction to return them to design standard. </w:t>
      </w:r>
      <w:r w:rsidRPr="0024148B">
        <w:rPr>
          <w:rFonts w:cs="Arial"/>
          <w:lang w:eastAsia="en-AU"/>
        </w:rPr>
        <w:t>Flood studies and audits of the levee condition are required to understand the full cost implications.</w:t>
      </w:r>
      <w:r>
        <w:rPr>
          <w:rFonts w:cs="Arial"/>
          <w:lang w:eastAsia="en-AU"/>
        </w:rPr>
        <w:t xml:space="preserve"> </w:t>
      </w:r>
    </w:p>
    <w:p w14:paraId="3D5FCDB7" w14:textId="77777777" w:rsidR="009261D9" w:rsidRDefault="009261D9" w:rsidP="009261D9">
      <w:pPr>
        <w:rPr>
          <w:rFonts w:cs="Arial"/>
          <w:lang w:eastAsia="en-AU"/>
        </w:rPr>
      </w:pPr>
    </w:p>
    <w:p w14:paraId="1F63C158" w14:textId="77777777" w:rsidR="009261D9" w:rsidRDefault="009261D9" w:rsidP="009261D9">
      <w:pPr>
        <w:rPr>
          <w:rFonts w:cs="Arial"/>
          <w:lang w:eastAsia="en-AU"/>
        </w:rPr>
      </w:pPr>
      <w:r>
        <w:rPr>
          <w:rFonts w:cs="Arial"/>
          <w:lang w:eastAsia="en-AU"/>
        </w:rPr>
        <w:t>In 2014, t</w:t>
      </w:r>
      <w:r w:rsidRPr="0024148B">
        <w:rPr>
          <w:rFonts w:cs="Arial"/>
          <w:lang w:eastAsia="en-AU"/>
        </w:rPr>
        <w:t xml:space="preserve">he MAV sought cost estimates from councils already managing urban levees as well as those that have an urban levee but are not currently managing it. The data available on the unmanaged levees was </w:t>
      </w:r>
      <w:r>
        <w:rPr>
          <w:rFonts w:cs="Arial"/>
          <w:lang w:eastAsia="en-AU"/>
        </w:rPr>
        <w:t>not reliable because an audit of the levee had not been undertaken</w:t>
      </w:r>
      <w:r w:rsidRPr="0024148B">
        <w:rPr>
          <w:rFonts w:cs="Arial"/>
          <w:lang w:eastAsia="en-AU"/>
        </w:rPr>
        <w:t xml:space="preserve">. In many cases, councils were not in a position to provide estimates. </w:t>
      </w:r>
    </w:p>
    <w:p w14:paraId="50FD1AF8" w14:textId="77777777" w:rsidR="009261D9" w:rsidRPr="0024148B" w:rsidRDefault="009261D9" w:rsidP="009261D9">
      <w:pPr>
        <w:rPr>
          <w:rFonts w:cs="Arial"/>
          <w:lang w:eastAsia="en-AU"/>
        </w:rPr>
      </w:pPr>
    </w:p>
    <w:p w14:paraId="1900794F" w14:textId="77777777" w:rsidR="009261D9" w:rsidRDefault="009261D9" w:rsidP="009261D9">
      <w:pPr>
        <w:rPr>
          <w:rFonts w:cs="Arial"/>
          <w:i/>
        </w:rPr>
      </w:pPr>
      <w:r w:rsidRPr="00023B62">
        <w:rPr>
          <w:rFonts w:cs="Arial"/>
          <w:i/>
        </w:rPr>
        <w:t>Beneficiary pays principle</w:t>
      </w:r>
    </w:p>
    <w:p w14:paraId="423A7DAD" w14:textId="77777777" w:rsidR="009261D9" w:rsidRDefault="009261D9" w:rsidP="009261D9">
      <w:pPr>
        <w:rPr>
          <w:rFonts w:cs="Arial"/>
          <w:i/>
        </w:rPr>
      </w:pPr>
    </w:p>
    <w:p w14:paraId="58F4359B" w14:textId="77777777" w:rsidR="009261D9" w:rsidRPr="00E85341" w:rsidRDefault="009261D9" w:rsidP="009261D9">
      <w:pPr>
        <w:autoSpaceDE w:val="0"/>
        <w:autoSpaceDN w:val="0"/>
        <w:adjustRightInd w:val="0"/>
        <w:rPr>
          <w:rFonts w:cs="Arial"/>
          <w:lang w:eastAsia="en-AU"/>
        </w:rPr>
      </w:pPr>
      <w:r w:rsidRPr="00E85341">
        <w:rPr>
          <w:rFonts w:cs="Arial"/>
          <w:lang w:eastAsia="en-AU"/>
        </w:rPr>
        <w:t>The VFMS states that the ‘beneficiary pays’ principle will determine the management and funding arrangements for flood mitigation</w:t>
      </w:r>
      <w:r>
        <w:rPr>
          <w:rFonts w:cs="Arial"/>
          <w:lang w:eastAsia="en-AU"/>
        </w:rPr>
        <w:t xml:space="preserve"> infrastructure into the future (VFMS</w:t>
      </w:r>
      <w:r w:rsidRPr="00E85341">
        <w:rPr>
          <w:rFonts w:cs="Arial"/>
          <w:lang w:eastAsia="en-AU"/>
        </w:rPr>
        <w:t xml:space="preserve"> page 67)</w:t>
      </w:r>
      <w:r>
        <w:rPr>
          <w:rFonts w:cs="Arial"/>
          <w:lang w:eastAsia="en-AU"/>
        </w:rPr>
        <w:t>.</w:t>
      </w:r>
    </w:p>
    <w:p w14:paraId="2BB95A65" w14:textId="77777777" w:rsidR="009261D9" w:rsidRPr="00023B62" w:rsidRDefault="009261D9" w:rsidP="009261D9">
      <w:pPr>
        <w:rPr>
          <w:rFonts w:cs="Arial"/>
          <w:i/>
        </w:rPr>
      </w:pPr>
    </w:p>
    <w:p w14:paraId="00CD9B6E" w14:textId="501436D0" w:rsidR="009261D9" w:rsidRDefault="009261D9" w:rsidP="009261D9">
      <w:pPr>
        <w:rPr>
          <w:rFonts w:cs="Arial"/>
        </w:rPr>
      </w:pPr>
      <w:r w:rsidRPr="00BB2E7E">
        <w:rPr>
          <w:rFonts w:cs="Arial"/>
        </w:rPr>
        <w:t>The MAV’s initial analysis indicates that the future funding of urban l</w:t>
      </w:r>
      <w:r w:rsidR="00BB2E7E">
        <w:rPr>
          <w:rFonts w:cs="Arial"/>
        </w:rPr>
        <w:t xml:space="preserve">evees through general rates would require around half the expected allowable rate increase under the capping framework for come councils and for others it would exceed the cap. </w:t>
      </w:r>
    </w:p>
    <w:p w14:paraId="6AD06A0E" w14:textId="77777777" w:rsidR="009261D9" w:rsidRPr="0024148B" w:rsidRDefault="009261D9" w:rsidP="009261D9">
      <w:pPr>
        <w:rPr>
          <w:rFonts w:cs="Arial"/>
        </w:rPr>
      </w:pPr>
    </w:p>
    <w:p w14:paraId="58818389" w14:textId="64687916" w:rsidR="009261D9" w:rsidRDefault="00A10F97" w:rsidP="009261D9">
      <w:pPr>
        <w:rPr>
          <w:rFonts w:cs="Arial"/>
        </w:rPr>
      </w:pPr>
      <w:r>
        <w:rPr>
          <w:rFonts w:cs="Arial"/>
        </w:rPr>
        <w:t>Alternatively, the council’s share of reinstatement costs, and the ongoing maintenance,</w:t>
      </w:r>
      <w:r w:rsidR="009261D9" w:rsidRPr="0024148B">
        <w:rPr>
          <w:rFonts w:cs="Arial"/>
        </w:rPr>
        <w:t xml:space="preserve"> </w:t>
      </w:r>
      <w:r>
        <w:rPr>
          <w:rFonts w:cs="Arial"/>
        </w:rPr>
        <w:t xml:space="preserve">could be funded </w:t>
      </w:r>
      <w:r w:rsidR="009261D9" w:rsidRPr="0024148B">
        <w:rPr>
          <w:rFonts w:cs="Arial"/>
        </w:rPr>
        <w:t xml:space="preserve">via beneficiary charges limited to property owners in the direct vicinity of levees. </w:t>
      </w:r>
      <w:r>
        <w:rPr>
          <w:rFonts w:cs="Arial"/>
        </w:rPr>
        <w:t>However, the</w:t>
      </w:r>
      <w:r w:rsidR="009261D9" w:rsidRPr="0024148B">
        <w:rPr>
          <w:rFonts w:cs="Arial"/>
        </w:rPr>
        <w:t xml:space="preserve"> data suggest that, given average block sizes, these charges may be significant. Additionally, given the costs involved, relatively high numbers of properties may be required to keep charges at an acceptable level. </w:t>
      </w:r>
    </w:p>
    <w:p w14:paraId="56F19C49" w14:textId="2969F7EA" w:rsidR="00A10F97" w:rsidRDefault="00A10F97" w:rsidP="00A10F97">
      <w:pPr>
        <w:autoSpaceDE w:val="0"/>
        <w:autoSpaceDN w:val="0"/>
        <w:adjustRightInd w:val="0"/>
        <w:rPr>
          <w:rFonts w:cs="Arial"/>
        </w:rPr>
      </w:pPr>
    </w:p>
    <w:p w14:paraId="45FCA8B8" w14:textId="7DDAC40A" w:rsidR="009261D9" w:rsidRDefault="009261D9" w:rsidP="00A10F97">
      <w:pPr>
        <w:autoSpaceDE w:val="0"/>
        <w:autoSpaceDN w:val="0"/>
        <w:adjustRightInd w:val="0"/>
        <w:rPr>
          <w:rFonts w:cs="Arial"/>
        </w:rPr>
      </w:pPr>
      <w:r>
        <w:rPr>
          <w:rFonts w:cs="Arial"/>
        </w:rPr>
        <w:t xml:space="preserve">The VFMS states that flood studies, new flood mitigation infrastructure and restoration of existing levees </w:t>
      </w:r>
      <w:r w:rsidRPr="0024148B">
        <w:rPr>
          <w:rFonts w:cs="Arial"/>
        </w:rPr>
        <w:t xml:space="preserve">will be funded through equal contributions from </w:t>
      </w:r>
      <w:r>
        <w:rPr>
          <w:rFonts w:cs="Arial"/>
        </w:rPr>
        <w:t>Australian</w:t>
      </w:r>
      <w:r w:rsidRPr="0024148B">
        <w:rPr>
          <w:rFonts w:cs="Arial"/>
        </w:rPr>
        <w:t>, State and local government</w:t>
      </w:r>
      <w:r>
        <w:rPr>
          <w:rFonts w:cs="Arial"/>
        </w:rPr>
        <w:t xml:space="preserve"> where there is public benefit and the rest of the investment criteria are met (pp67-68)</w:t>
      </w:r>
      <w:r w:rsidRPr="0024148B">
        <w:rPr>
          <w:rFonts w:cs="Arial"/>
        </w:rPr>
        <w:t>.</w:t>
      </w:r>
      <w:r>
        <w:rPr>
          <w:rFonts w:cs="Arial"/>
        </w:rPr>
        <w:t xml:space="preserve"> However, t</w:t>
      </w:r>
      <w:r w:rsidRPr="0024148B">
        <w:rPr>
          <w:rFonts w:cs="Arial"/>
        </w:rPr>
        <w:t xml:space="preserve">here is no ongoing commitment from the Commonwealth to the Natural Disaster Resilience Grants Scheme, the scheme from which the Commonwealth’s one-third contribution is expected to come from. Further, even if this scheme continues, it is a limited pool of funds, and it will be many years before </w:t>
      </w:r>
      <w:r>
        <w:rPr>
          <w:rFonts w:cs="Arial"/>
        </w:rPr>
        <w:t xml:space="preserve">upgrades to </w:t>
      </w:r>
      <w:r w:rsidRPr="0024148B">
        <w:rPr>
          <w:rFonts w:cs="Arial"/>
        </w:rPr>
        <w:t xml:space="preserve">existing urban (and potentially some rural) levees, as well as flood studies and proposed flood mitigation infrastructure can be funded. </w:t>
      </w:r>
    </w:p>
    <w:p w14:paraId="08E176EF" w14:textId="2AADD3AF" w:rsidR="009261D9" w:rsidRPr="0024148B" w:rsidRDefault="009261D9" w:rsidP="00A10F97">
      <w:pPr>
        <w:autoSpaceDE w:val="0"/>
        <w:autoSpaceDN w:val="0"/>
        <w:adjustRightInd w:val="0"/>
        <w:rPr>
          <w:rFonts w:cs="Arial"/>
        </w:rPr>
      </w:pPr>
    </w:p>
    <w:p w14:paraId="4C9C6B5E" w14:textId="0399F262" w:rsidR="009261D9" w:rsidRPr="00AF5799" w:rsidRDefault="00AF5799" w:rsidP="009261D9">
      <w:pPr>
        <w:rPr>
          <w:rFonts w:cs="Arial"/>
        </w:rPr>
      </w:pPr>
      <w:r w:rsidRPr="00AF5799">
        <w:rPr>
          <w:rFonts w:cs="Arial"/>
        </w:rPr>
        <w:t>The MAV believes that the following should be incorporated into the framework:</w:t>
      </w:r>
    </w:p>
    <w:p w14:paraId="27CFC5FF" w14:textId="77777777" w:rsidR="009261D9" w:rsidRPr="0024148B" w:rsidRDefault="009261D9" w:rsidP="009261D9">
      <w:pPr>
        <w:pStyle w:val="ListParagraph"/>
        <w:autoSpaceDN w:val="0"/>
        <w:rPr>
          <w:rFonts w:cs="Arial"/>
        </w:rPr>
      </w:pPr>
    </w:p>
    <w:p w14:paraId="68EBA119" w14:textId="77777777" w:rsidR="009261D9" w:rsidRPr="0024148B" w:rsidRDefault="009261D9" w:rsidP="009261D9">
      <w:pPr>
        <w:pStyle w:val="ListParagraph"/>
        <w:numPr>
          <w:ilvl w:val="0"/>
          <w:numId w:val="11"/>
        </w:numPr>
        <w:autoSpaceDN w:val="0"/>
        <w:rPr>
          <w:rFonts w:cs="Arial"/>
        </w:rPr>
      </w:pPr>
      <w:r w:rsidRPr="0024148B">
        <w:rPr>
          <w:rFonts w:cs="Arial"/>
        </w:rPr>
        <w:t xml:space="preserve">If a flood study demonstrates significant upgrades or reconstruction are necessary to protect an urban environment, the required funding should be provided to the council as a matter of priority. </w:t>
      </w:r>
      <w:r w:rsidRPr="0024148B">
        <w:rPr>
          <w:rFonts w:cs="Arial"/>
        </w:rPr>
        <w:br/>
      </w:r>
    </w:p>
    <w:p w14:paraId="329037A4" w14:textId="77777777" w:rsidR="009261D9" w:rsidRPr="0024148B" w:rsidRDefault="009261D9" w:rsidP="009261D9">
      <w:pPr>
        <w:pStyle w:val="ListParagraph"/>
        <w:numPr>
          <w:ilvl w:val="0"/>
          <w:numId w:val="11"/>
        </w:numPr>
        <w:autoSpaceDN w:val="0"/>
        <w:rPr>
          <w:rFonts w:cs="Arial"/>
        </w:rPr>
      </w:pPr>
      <w:r w:rsidRPr="0024148B">
        <w:rPr>
          <w:rFonts w:cs="Arial"/>
        </w:rPr>
        <w:t xml:space="preserve">At a minimum, a hardship clause should be considered for financially stressed councils that cannot afford the one third contribution to the study and </w:t>
      </w:r>
      <w:r w:rsidRPr="0024148B">
        <w:rPr>
          <w:rFonts w:cs="Arial"/>
        </w:rPr>
        <w:lastRenderedPageBreak/>
        <w:t xml:space="preserve">upgrade. </w:t>
      </w:r>
      <w:r w:rsidRPr="0024148B">
        <w:rPr>
          <w:rFonts w:cs="Arial"/>
        </w:rPr>
        <w:br/>
      </w:r>
    </w:p>
    <w:p w14:paraId="37FF21F8" w14:textId="4351F291" w:rsidR="009261D9" w:rsidRDefault="009261D9" w:rsidP="009261D9">
      <w:pPr>
        <w:pStyle w:val="ListParagraph"/>
        <w:numPr>
          <w:ilvl w:val="0"/>
          <w:numId w:val="11"/>
        </w:numPr>
        <w:autoSpaceDN w:val="0"/>
        <w:rPr>
          <w:rFonts w:cs="Arial"/>
        </w:rPr>
      </w:pPr>
      <w:r w:rsidRPr="00A10F97">
        <w:rPr>
          <w:rFonts w:cs="Arial"/>
        </w:rPr>
        <w:t xml:space="preserve">Where the structure was originally built by the State, a further State contribution towards upgrades or reconstruction is necessary. </w:t>
      </w:r>
    </w:p>
    <w:p w14:paraId="39D3875B" w14:textId="77777777" w:rsidR="00A10F97" w:rsidRDefault="00A10F97" w:rsidP="00A10F97">
      <w:pPr>
        <w:autoSpaceDN w:val="0"/>
        <w:rPr>
          <w:rFonts w:cs="Arial"/>
        </w:rPr>
      </w:pPr>
    </w:p>
    <w:p w14:paraId="46B3341E" w14:textId="77777777" w:rsidR="00A10F97" w:rsidRDefault="00A10F97" w:rsidP="00A10F97">
      <w:pPr>
        <w:rPr>
          <w:rFonts w:cs="Arial"/>
        </w:rPr>
      </w:pPr>
      <w:r>
        <w:rPr>
          <w:rFonts w:cs="Arial"/>
        </w:rPr>
        <w:t xml:space="preserve">It’s the MAV’s understanding that the money announced through the VFMS will cover the State’s contribution, not the council contribution. </w:t>
      </w:r>
    </w:p>
    <w:p w14:paraId="52AB51C1" w14:textId="77777777" w:rsidR="00A10F97" w:rsidRPr="00A10F97" w:rsidRDefault="00A10F97" w:rsidP="00A10F97">
      <w:pPr>
        <w:autoSpaceDN w:val="0"/>
        <w:rPr>
          <w:rFonts w:cs="Arial"/>
        </w:rPr>
      </w:pPr>
    </w:p>
    <w:p w14:paraId="51C70474" w14:textId="77777777" w:rsidR="009261D9" w:rsidRDefault="009261D9" w:rsidP="009261D9">
      <w:pPr>
        <w:pStyle w:val="Text2"/>
        <w:rPr>
          <w:rFonts w:cs="Arial"/>
          <w:b w:val="0"/>
          <w:i/>
        </w:rPr>
      </w:pPr>
      <w:r w:rsidRPr="00B220C2">
        <w:rPr>
          <w:rFonts w:cs="Arial"/>
          <w:b w:val="0"/>
          <w:i/>
        </w:rPr>
        <w:t>Liability concerns</w:t>
      </w:r>
    </w:p>
    <w:p w14:paraId="5B02BC6B" w14:textId="77777777" w:rsidR="009261D9" w:rsidRPr="00B220C2" w:rsidRDefault="009261D9" w:rsidP="009261D9">
      <w:pPr>
        <w:pStyle w:val="Text2"/>
        <w:rPr>
          <w:rFonts w:cs="Arial"/>
          <w:b w:val="0"/>
          <w:i/>
        </w:rPr>
      </w:pPr>
    </w:p>
    <w:p w14:paraId="129CA696" w14:textId="50F2F2F6" w:rsidR="003F2115" w:rsidRPr="003F2115" w:rsidRDefault="003F2115" w:rsidP="003F2115">
      <w:pPr>
        <w:pStyle w:val="Text2"/>
        <w:rPr>
          <w:b w:val="0"/>
          <w:bCs/>
        </w:rPr>
      </w:pPr>
      <w:r w:rsidRPr="003F2115">
        <w:rPr>
          <w:b w:val="0"/>
          <w:bCs/>
        </w:rPr>
        <w:t xml:space="preserve">The MAV has requested consideration of limited immunity where councils have exercised a reasonable level of care or acted in good faith in the exercise of their functions involving water management.  This is detailed below.  However, if an immunity is not to be provided it is considered that amendments should be made to the Water Act liability provisions so that Councils are treated in the same way as Water Authorities.   </w:t>
      </w:r>
    </w:p>
    <w:p w14:paraId="1EAF7407" w14:textId="77777777" w:rsidR="003F2115" w:rsidRPr="003F2115" w:rsidRDefault="003F2115" w:rsidP="003F2115">
      <w:pPr>
        <w:pStyle w:val="Text2"/>
        <w:rPr>
          <w:b w:val="0"/>
          <w:bCs/>
        </w:rPr>
      </w:pPr>
    </w:p>
    <w:p w14:paraId="4C02F879" w14:textId="77777777" w:rsidR="003F2115" w:rsidRPr="003F2115" w:rsidRDefault="003F2115" w:rsidP="003F2115">
      <w:pPr>
        <w:pStyle w:val="Text2"/>
        <w:rPr>
          <w:b w:val="0"/>
          <w:bCs/>
        </w:rPr>
      </w:pPr>
      <w:r w:rsidRPr="003F2115">
        <w:rPr>
          <w:b w:val="0"/>
          <w:bCs/>
        </w:rPr>
        <w:t>Currently, under s16 of the Water Act councils have strict liability for any unreasonable flow or unreasonable interference in the flow of water that causes loss or damage.  Section 16 does not require the councils’ negligence to have resulted in the flow of water or interference in the flow of water.  This is in contrast to the liabilities water authorities have under s157 of the Water Act, which requires the flow of water or interference in flow of water to have been caused by the intention or negligent act of the Authority.   </w:t>
      </w:r>
    </w:p>
    <w:p w14:paraId="2903222F" w14:textId="77777777" w:rsidR="003F2115" w:rsidRPr="003F2115" w:rsidRDefault="003F2115" w:rsidP="003F2115">
      <w:pPr>
        <w:autoSpaceDE w:val="0"/>
        <w:autoSpaceDN w:val="0"/>
      </w:pPr>
    </w:p>
    <w:p w14:paraId="784331F3" w14:textId="77777777" w:rsidR="003F2115" w:rsidRPr="003F2115" w:rsidRDefault="003F2115" w:rsidP="003F2115">
      <w:pPr>
        <w:pStyle w:val="Text2"/>
        <w:rPr>
          <w:b w:val="0"/>
        </w:rPr>
      </w:pPr>
      <w:r w:rsidRPr="003F2115">
        <w:rPr>
          <w:b w:val="0"/>
          <w:bCs/>
        </w:rPr>
        <w:t>The MAV has commenced discussions with the Department of Environment, Land, Water and Planning to re-consider making legislative changes to align councils’ liabilities with those of water authorities, in preference to considering changes only for infrastructure related to Water Management Schemes.</w:t>
      </w:r>
    </w:p>
    <w:p w14:paraId="46C6A9C1" w14:textId="77777777" w:rsidR="009261D9" w:rsidRPr="006E0C4A" w:rsidRDefault="009261D9" w:rsidP="009261D9">
      <w:pPr>
        <w:pStyle w:val="Text2"/>
        <w:rPr>
          <w:rFonts w:cs="Arial"/>
          <w:b w:val="0"/>
        </w:rPr>
      </w:pPr>
    </w:p>
    <w:p w14:paraId="4E6B3478" w14:textId="77777777" w:rsidR="009261D9" w:rsidRPr="00B220C2" w:rsidRDefault="009261D9" w:rsidP="009261D9">
      <w:pPr>
        <w:autoSpaceDE w:val="0"/>
        <w:autoSpaceDN w:val="0"/>
        <w:adjustRightInd w:val="0"/>
        <w:rPr>
          <w:rFonts w:cs="Arial"/>
          <w:i/>
        </w:rPr>
      </w:pPr>
      <w:r w:rsidRPr="00B220C2">
        <w:rPr>
          <w:rFonts w:cs="Arial"/>
        </w:rPr>
        <w:t xml:space="preserve">Action 17b of the VFMS addresses the liability framework for Water Management Schemes. It states that </w:t>
      </w:r>
      <w:r w:rsidRPr="00B220C2">
        <w:rPr>
          <w:rFonts w:cs="Arial"/>
          <w:i/>
        </w:rPr>
        <w:t xml:space="preserve">DELWP will prepare, for government consideration, a proposal to amend the </w:t>
      </w:r>
      <w:r w:rsidRPr="00B220C2">
        <w:rPr>
          <w:rFonts w:cs="Arial"/>
          <w:i/>
          <w:iCs/>
        </w:rPr>
        <w:t xml:space="preserve">Water Act 1989 </w:t>
      </w:r>
      <w:r w:rsidRPr="00B220C2">
        <w:rPr>
          <w:rFonts w:cs="Arial"/>
          <w:i/>
        </w:rPr>
        <w:t xml:space="preserve">to clarify and simplify the liability and assurance arrangements for LGAs when they construct or maintain flood mitigation infrastructure through the implementation of Water Management Schemes. </w:t>
      </w:r>
    </w:p>
    <w:p w14:paraId="01C8B3E4" w14:textId="77777777" w:rsidR="009261D9" w:rsidRDefault="009261D9" w:rsidP="009261D9">
      <w:pPr>
        <w:autoSpaceDE w:val="0"/>
        <w:autoSpaceDN w:val="0"/>
        <w:adjustRightInd w:val="0"/>
        <w:rPr>
          <w:rFonts w:ascii="Calibri" w:hAnsi="Calibri" w:cs="Calibri"/>
          <w:sz w:val="21"/>
          <w:szCs w:val="21"/>
        </w:rPr>
      </w:pPr>
    </w:p>
    <w:p w14:paraId="0BA9F292" w14:textId="77777777" w:rsidR="009261D9" w:rsidRPr="00B220C2" w:rsidRDefault="009261D9" w:rsidP="009261D9">
      <w:pPr>
        <w:autoSpaceDE w:val="0"/>
        <w:autoSpaceDN w:val="0"/>
        <w:adjustRightInd w:val="0"/>
        <w:rPr>
          <w:rFonts w:cs="Arial"/>
        </w:rPr>
      </w:pPr>
      <w:r w:rsidRPr="00B220C2">
        <w:rPr>
          <w:rFonts w:cs="Arial"/>
        </w:rPr>
        <w:t xml:space="preserve">The intent is to align the level of protection of councils to that of water corporations. </w:t>
      </w:r>
    </w:p>
    <w:p w14:paraId="11CB7C1F" w14:textId="77777777" w:rsidR="009261D9" w:rsidRPr="00281BEB" w:rsidRDefault="009261D9" w:rsidP="009261D9">
      <w:pPr>
        <w:autoSpaceDE w:val="0"/>
        <w:autoSpaceDN w:val="0"/>
        <w:adjustRightInd w:val="0"/>
        <w:rPr>
          <w:rFonts w:ascii="Calibri" w:hAnsi="Calibri" w:cs="Calibri"/>
          <w:sz w:val="21"/>
          <w:szCs w:val="21"/>
        </w:rPr>
      </w:pPr>
    </w:p>
    <w:p w14:paraId="46657AC2" w14:textId="68F9A428" w:rsidR="009261D9" w:rsidRDefault="009261D9" w:rsidP="009261D9">
      <w:r>
        <w:t>The MAV argued in its VFMS submissions that if</w:t>
      </w:r>
      <w:r w:rsidRPr="004B2711">
        <w:t xml:space="preserve"> the State is not inclined to consider an immunity under the Water Act for councils when they implement a Water Management Scheme, a policy defence should be provided under the Act.</w:t>
      </w:r>
    </w:p>
    <w:p w14:paraId="3E233656" w14:textId="77777777" w:rsidR="009261D9" w:rsidRPr="004B2711" w:rsidRDefault="009261D9" w:rsidP="009261D9"/>
    <w:p w14:paraId="62250048" w14:textId="1FCCD9CE" w:rsidR="00361B4A" w:rsidRDefault="009261D9" w:rsidP="00FA5021">
      <w:r>
        <w:t>The</w:t>
      </w:r>
      <w:r w:rsidRPr="004B2711">
        <w:t xml:space="preserve"> proposed policy defence </w:t>
      </w:r>
      <w:r>
        <w:t xml:space="preserve">could </w:t>
      </w:r>
      <w:r w:rsidRPr="004B2711">
        <w:t>be similar to that provided in section 103 of the Road Management Act for councils when they comply with their Road Management</w:t>
      </w:r>
      <w:r w:rsidR="00AF5799">
        <w:t xml:space="preserve"> Plans. </w:t>
      </w:r>
      <w:r w:rsidRPr="004B2711">
        <w:t>However, it would need to be altered to take into account that the councils do not approve Water Management Schemes as they do Road Management Plans</w:t>
      </w:r>
      <w:r>
        <w:t xml:space="preserve">. </w:t>
      </w:r>
      <w:r w:rsidRPr="004B2711">
        <w:t>Rather, Water Management Schemes are created by a Committee, which may include the council, and are ultimately approved by the Minister. Therefore, the policy defence should only require the council act reasonably and in good faith in implementing the Scheme, rather than that the requirements under the Scheme be reasonable.</w:t>
      </w:r>
    </w:p>
    <w:p w14:paraId="06EC0752" w14:textId="77777777" w:rsidR="00FA5021" w:rsidRDefault="00FA5021" w:rsidP="00FA5021"/>
    <w:p w14:paraId="57879387" w14:textId="10CC8523" w:rsidR="00361B4A" w:rsidRDefault="00361B4A" w:rsidP="00FA5021">
      <w:pPr>
        <w:rPr>
          <w:rFonts w:cs="Arial"/>
          <w:b/>
        </w:rPr>
      </w:pPr>
      <w:r>
        <w:t xml:space="preserve">The changes to liability </w:t>
      </w:r>
      <w:r w:rsidRPr="006E0C4A">
        <w:t>could specifically identify matters to be considered in determining whether the council has acted reasonably or in good faith. Factors that could be considered may include:</w:t>
      </w:r>
    </w:p>
    <w:p w14:paraId="07337F68" w14:textId="77777777" w:rsidR="00361B4A" w:rsidRPr="006E0C4A" w:rsidRDefault="00361B4A" w:rsidP="00361B4A">
      <w:pPr>
        <w:pStyle w:val="Text2"/>
        <w:rPr>
          <w:rFonts w:cs="Arial"/>
          <w:b w:val="0"/>
        </w:rPr>
      </w:pPr>
    </w:p>
    <w:p w14:paraId="5DAB78B2" w14:textId="77777777" w:rsidR="00361B4A" w:rsidRDefault="00361B4A" w:rsidP="00361B4A">
      <w:pPr>
        <w:pStyle w:val="ListParagraph"/>
        <w:numPr>
          <w:ilvl w:val="0"/>
          <w:numId w:val="24"/>
        </w:numPr>
        <w:autoSpaceDN w:val="0"/>
        <w:rPr>
          <w:rFonts w:cs="Arial"/>
        </w:rPr>
      </w:pPr>
      <w:r w:rsidRPr="009A66B9">
        <w:rPr>
          <w:rFonts w:cs="Arial"/>
        </w:rPr>
        <w:t>whether a council has inherited the responsibility for the levee and if so the standard of the levee at the time it became a council responsibility;</w:t>
      </w:r>
    </w:p>
    <w:p w14:paraId="16421C2F" w14:textId="77777777" w:rsidR="00361B4A" w:rsidRPr="009A66B9" w:rsidRDefault="00361B4A" w:rsidP="00361B4A">
      <w:pPr>
        <w:pStyle w:val="ListParagraph"/>
        <w:autoSpaceDN w:val="0"/>
        <w:rPr>
          <w:rFonts w:cs="Arial"/>
        </w:rPr>
      </w:pPr>
      <w:r w:rsidRPr="009A66B9">
        <w:rPr>
          <w:rFonts w:cs="Arial"/>
        </w:rPr>
        <w:t xml:space="preserve"> </w:t>
      </w:r>
    </w:p>
    <w:p w14:paraId="013FF08C" w14:textId="77777777" w:rsidR="00361B4A" w:rsidRPr="00262217" w:rsidRDefault="00361B4A" w:rsidP="00361B4A">
      <w:pPr>
        <w:pStyle w:val="ListParagraph"/>
        <w:numPr>
          <w:ilvl w:val="0"/>
          <w:numId w:val="24"/>
        </w:numPr>
        <w:autoSpaceDN w:val="0"/>
        <w:rPr>
          <w:rFonts w:cs="Arial"/>
        </w:rPr>
      </w:pPr>
      <w:r w:rsidRPr="009A66B9">
        <w:rPr>
          <w:rFonts w:cs="Arial"/>
        </w:rPr>
        <w:t>whether a council’s actions were for public interest;</w:t>
      </w:r>
    </w:p>
    <w:p w14:paraId="0CFBEA8D" w14:textId="77777777" w:rsidR="00361B4A" w:rsidRPr="009A66B9" w:rsidRDefault="00361B4A" w:rsidP="00361B4A">
      <w:pPr>
        <w:pStyle w:val="ListParagraph"/>
        <w:autoSpaceDN w:val="0"/>
        <w:rPr>
          <w:rFonts w:cs="Arial"/>
        </w:rPr>
      </w:pPr>
    </w:p>
    <w:p w14:paraId="3761E5D6" w14:textId="77777777" w:rsidR="00361B4A" w:rsidRDefault="00361B4A" w:rsidP="00361B4A">
      <w:pPr>
        <w:pStyle w:val="ListParagraph"/>
        <w:numPr>
          <w:ilvl w:val="0"/>
          <w:numId w:val="24"/>
        </w:numPr>
        <w:autoSpaceDN w:val="0"/>
        <w:rPr>
          <w:rFonts w:cs="Arial"/>
        </w:rPr>
      </w:pPr>
      <w:r w:rsidRPr="009A66B9">
        <w:rPr>
          <w:rFonts w:cs="Arial"/>
        </w:rPr>
        <w:t>powers and authorities available to local government; and</w:t>
      </w:r>
    </w:p>
    <w:p w14:paraId="41BB1414" w14:textId="77777777" w:rsidR="00361B4A" w:rsidRPr="009A66B9" w:rsidRDefault="00361B4A" w:rsidP="00361B4A">
      <w:pPr>
        <w:autoSpaceDN w:val="0"/>
        <w:rPr>
          <w:rFonts w:cs="Arial"/>
        </w:rPr>
      </w:pPr>
    </w:p>
    <w:p w14:paraId="40FE1084" w14:textId="77777777" w:rsidR="00361B4A" w:rsidRDefault="00361B4A" w:rsidP="00361B4A">
      <w:pPr>
        <w:pStyle w:val="ListParagraph"/>
        <w:numPr>
          <w:ilvl w:val="0"/>
          <w:numId w:val="24"/>
        </w:numPr>
        <w:autoSpaceDN w:val="0"/>
        <w:rPr>
          <w:rFonts w:cs="Arial"/>
        </w:rPr>
      </w:pPr>
      <w:r w:rsidRPr="009A66B9">
        <w:rPr>
          <w:rFonts w:cs="Arial"/>
        </w:rPr>
        <w:t xml:space="preserve">resources available to a council. </w:t>
      </w:r>
    </w:p>
    <w:p w14:paraId="67E858E8" w14:textId="7F5011A5" w:rsidR="009261D9" w:rsidRPr="00281BEB" w:rsidRDefault="009261D9" w:rsidP="009261D9">
      <w:pPr>
        <w:spacing w:after="120"/>
      </w:pPr>
    </w:p>
    <w:p w14:paraId="57A7AA0D" w14:textId="77777777" w:rsidR="009261D9" w:rsidRPr="00914723" w:rsidRDefault="009261D9" w:rsidP="00AF5799">
      <w:pPr>
        <w:pStyle w:val="Heading2"/>
      </w:pPr>
      <w:bookmarkStart w:id="46" w:name="_Toc462060581"/>
      <w:bookmarkStart w:id="47" w:name="_Toc462066820"/>
      <w:r>
        <w:t>Stream</w:t>
      </w:r>
      <w:r w:rsidRPr="00914723">
        <w:t xml:space="preserve"> gauges</w:t>
      </w:r>
      <w:bookmarkEnd w:id="46"/>
      <w:bookmarkEnd w:id="47"/>
    </w:p>
    <w:p w14:paraId="344D2A81" w14:textId="77777777" w:rsidR="00AF5799" w:rsidRDefault="00AF5799" w:rsidP="009261D9">
      <w:pPr>
        <w:autoSpaceDE w:val="0"/>
        <w:autoSpaceDN w:val="0"/>
        <w:adjustRightInd w:val="0"/>
        <w:rPr>
          <w:rFonts w:cs="Arial"/>
        </w:rPr>
      </w:pPr>
    </w:p>
    <w:p w14:paraId="56339288" w14:textId="77777777" w:rsidR="009261D9" w:rsidRDefault="009261D9" w:rsidP="009261D9">
      <w:pPr>
        <w:autoSpaceDE w:val="0"/>
        <w:autoSpaceDN w:val="0"/>
        <w:adjustRightInd w:val="0"/>
        <w:rPr>
          <w:rFonts w:cs="Arial"/>
          <w:i/>
        </w:rPr>
      </w:pPr>
      <w:r>
        <w:rPr>
          <w:rFonts w:cs="Arial"/>
        </w:rPr>
        <w:t xml:space="preserve">Accountability 16a of the VFMS states </w:t>
      </w:r>
      <w:r w:rsidRPr="00914723">
        <w:rPr>
          <w:rFonts w:cs="Arial"/>
          <w:i/>
        </w:rPr>
        <w:t>that LGAs are accountable for the maintenance of those</w:t>
      </w:r>
      <w:r>
        <w:rPr>
          <w:rFonts w:cs="Arial"/>
          <w:i/>
        </w:rPr>
        <w:t xml:space="preserve"> </w:t>
      </w:r>
      <w:r w:rsidRPr="00914723">
        <w:rPr>
          <w:rFonts w:cs="Arial"/>
          <w:i/>
        </w:rPr>
        <w:t>stream gauges whose sole purpose is to serve as an</w:t>
      </w:r>
      <w:r>
        <w:rPr>
          <w:rFonts w:cs="Arial"/>
          <w:i/>
        </w:rPr>
        <w:t xml:space="preserve"> </w:t>
      </w:r>
      <w:r w:rsidRPr="00914723">
        <w:rPr>
          <w:rFonts w:cs="Arial"/>
          <w:i/>
        </w:rPr>
        <w:t xml:space="preserve">element in a </w:t>
      </w:r>
      <w:r>
        <w:rPr>
          <w:rFonts w:cs="Arial"/>
          <w:i/>
        </w:rPr>
        <w:t>Total Flood Warning Service (page 63).</w:t>
      </w:r>
    </w:p>
    <w:p w14:paraId="0F645DD3" w14:textId="77777777" w:rsidR="00AF5799" w:rsidRPr="00914723" w:rsidRDefault="00AF5799" w:rsidP="009261D9">
      <w:pPr>
        <w:autoSpaceDE w:val="0"/>
        <w:autoSpaceDN w:val="0"/>
        <w:adjustRightInd w:val="0"/>
        <w:rPr>
          <w:rFonts w:cs="Arial"/>
          <w:i/>
        </w:rPr>
      </w:pPr>
    </w:p>
    <w:p w14:paraId="13895522" w14:textId="1DDF3062" w:rsidR="009261D9" w:rsidRDefault="009261D9" w:rsidP="009261D9">
      <w:pPr>
        <w:rPr>
          <w:rFonts w:cs="Arial"/>
        </w:rPr>
      </w:pPr>
      <w:r>
        <w:rPr>
          <w:rFonts w:cs="Arial"/>
        </w:rPr>
        <w:t>At the time of MAV’s submissions to the VFMS, there were around 15 councils that we</w:t>
      </w:r>
      <w:r w:rsidRPr="0024148B">
        <w:rPr>
          <w:rFonts w:cs="Arial"/>
        </w:rPr>
        <w:t xml:space="preserve">re members of Regional Water Monitoring Partnerships – mainly in the Hume and Gippsland regions. Through </w:t>
      </w:r>
      <w:r>
        <w:rPr>
          <w:rFonts w:cs="Arial"/>
        </w:rPr>
        <w:t>these</w:t>
      </w:r>
      <w:r w:rsidRPr="0024148B">
        <w:rPr>
          <w:rFonts w:cs="Arial"/>
        </w:rPr>
        <w:t xml:space="preserve"> partnership</w:t>
      </w:r>
      <w:r>
        <w:rPr>
          <w:rFonts w:cs="Arial"/>
        </w:rPr>
        <w:t>s</w:t>
      </w:r>
      <w:r w:rsidRPr="0024148B">
        <w:rPr>
          <w:rFonts w:cs="Arial"/>
        </w:rPr>
        <w:t xml:space="preserve">, councils </w:t>
      </w:r>
      <w:r>
        <w:rPr>
          <w:rFonts w:cs="Arial"/>
        </w:rPr>
        <w:t xml:space="preserve">contribute to the </w:t>
      </w:r>
      <w:r w:rsidRPr="0024148B">
        <w:rPr>
          <w:rFonts w:cs="Arial"/>
        </w:rPr>
        <w:t>flood warning maintenance component</w:t>
      </w:r>
      <w:r>
        <w:rPr>
          <w:rFonts w:cs="Arial"/>
        </w:rPr>
        <w:t xml:space="preserve"> of gauges</w:t>
      </w:r>
      <w:r w:rsidRPr="0024148B">
        <w:rPr>
          <w:rFonts w:cs="Arial"/>
        </w:rPr>
        <w:t>. Councils that are members of partnerships report satisfaction with the arrangement</w:t>
      </w:r>
      <w:r w:rsidR="00A10F97">
        <w:rPr>
          <w:rFonts w:cs="Arial"/>
        </w:rPr>
        <w:t>, although</w:t>
      </w:r>
      <w:r>
        <w:rPr>
          <w:rFonts w:cs="Arial"/>
        </w:rPr>
        <w:t xml:space="preserve"> several expressed concern about the sustainability o</w:t>
      </w:r>
      <w:r w:rsidR="00A10F97">
        <w:rPr>
          <w:rFonts w:cs="Arial"/>
        </w:rPr>
        <w:t>f this arrangement in a revenue-</w:t>
      </w:r>
      <w:r>
        <w:rPr>
          <w:rFonts w:cs="Arial"/>
        </w:rPr>
        <w:t>constrained environment</w:t>
      </w:r>
      <w:r w:rsidRPr="0024148B">
        <w:rPr>
          <w:rFonts w:cs="Arial"/>
        </w:rPr>
        <w:t xml:space="preserve">. </w:t>
      </w:r>
    </w:p>
    <w:p w14:paraId="1693B825" w14:textId="77777777" w:rsidR="009261D9" w:rsidRDefault="009261D9" w:rsidP="009261D9">
      <w:pPr>
        <w:rPr>
          <w:rFonts w:cs="Arial"/>
        </w:rPr>
      </w:pPr>
    </w:p>
    <w:p w14:paraId="76F68E60" w14:textId="1F98B43C" w:rsidR="009261D9" w:rsidRPr="00AF5799" w:rsidRDefault="009261D9" w:rsidP="00AF5799">
      <w:pPr>
        <w:autoSpaceDE w:val="0"/>
        <w:autoSpaceDN w:val="0"/>
        <w:adjustRightInd w:val="0"/>
        <w:rPr>
          <w:rFonts w:cs="Arial"/>
          <w:color w:val="0E0E0E"/>
        </w:rPr>
      </w:pPr>
      <w:r>
        <w:rPr>
          <w:rFonts w:cs="Arial"/>
        </w:rPr>
        <w:t xml:space="preserve">A number of the councils that made submissions to the VFMS or responded to the MAV’s consultation process expressed concern about the </w:t>
      </w:r>
      <w:r>
        <w:rPr>
          <w:rFonts w:cs="Arial"/>
          <w:color w:val="0E0E0E"/>
        </w:rPr>
        <w:t>proposal because councils do not have an operational role in providing warnings. They considered it to be a transfer of a state asset and a further example of cost shifting.</w:t>
      </w:r>
    </w:p>
    <w:p w14:paraId="2A8E734B" w14:textId="77777777" w:rsidR="009E36C3" w:rsidRDefault="009E36C3" w:rsidP="009E36C3">
      <w:pPr>
        <w:rPr>
          <w:lang w:eastAsia="en-AU"/>
        </w:rPr>
      </w:pPr>
    </w:p>
    <w:p w14:paraId="260C649B" w14:textId="77777777" w:rsidR="00E4247A" w:rsidRPr="003F23F4" w:rsidRDefault="00E4247A" w:rsidP="009E36C3">
      <w:pPr>
        <w:pStyle w:val="Heading1"/>
        <w:rPr>
          <w:lang w:val="en-GB"/>
        </w:rPr>
      </w:pPr>
      <w:bookmarkStart w:id="48" w:name="_Toc462060582"/>
      <w:bookmarkStart w:id="49" w:name="_Toc462066821"/>
      <w:r w:rsidRPr="003F23F4">
        <w:rPr>
          <w:lang w:val="en-GB"/>
        </w:rPr>
        <w:t>Maintenance of local road and bridge networks</w:t>
      </w:r>
      <w:bookmarkEnd w:id="48"/>
      <w:bookmarkEnd w:id="49"/>
    </w:p>
    <w:p w14:paraId="494F83BD" w14:textId="77777777" w:rsidR="008F6D00" w:rsidRPr="00F41949" w:rsidRDefault="008F6D00" w:rsidP="00F41949"/>
    <w:p w14:paraId="53C650D6" w14:textId="4F773D1F" w:rsidR="008F6D00" w:rsidRDefault="00AF5799" w:rsidP="00F41949">
      <w:pPr>
        <w:rPr>
          <w:rFonts w:cs="Arial"/>
        </w:rPr>
      </w:pPr>
      <w:r>
        <w:rPr>
          <w:rFonts w:cs="Arial"/>
        </w:rPr>
        <w:t>Local government</w:t>
      </w:r>
      <w:r w:rsidR="008F6D00" w:rsidRPr="00F41949">
        <w:rPr>
          <w:rFonts w:cs="Arial"/>
        </w:rPr>
        <w:t xml:space="preserve"> has responsibility for 129,735 kilometres of Victoria’</w:t>
      </w:r>
      <w:r w:rsidR="00F41949" w:rsidRPr="00F41949">
        <w:rPr>
          <w:rFonts w:cs="Arial"/>
        </w:rPr>
        <w:t>s road network, representing 85 per cent</w:t>
      </w:r>
      <w:r w:rsidR="008F6D00" w:rsidRPr="00F41949">
        <w:rPr>
          <w:rFonts w:cs="Arial"/>
        </w:rPr>
        <w:t xml:space="preserve"> of the Victorian road network, and 10,500 bridges and culverts.</w:t>
      </w:r>
      <w:r w:rsidR="00F41949" w:rsidRPr="00F41949">
        <w:rPr>
          <w:rFonts w:cs="Arial"/>
        </w:rPr>
        <w:t xml:space="preserve"> A vast majority of these roads and bridges are found within rural and regional communities</w:t>
      </w:r>
      <w:r>
        <w:rPr>
          <w:rFonts w:cs="Arial"/>
        </w:rPr>
        <w:t xml:space="preserve"> and in total the sector</w:t>
      </w:r>
      <w:r w:rsidRPr="00F41949">
        <w:rPr>
          <w:rFonts w:cs="Arial"/>
        </w:rPr>
        <w:t xml:space="preserve"> spent around $885m on local roads and bridges</w:t>
      </w:r>
      <w:r>
        <w:rPr>
          <w:rFonts w:cs="Arial"/>
        </w:rPr>
        <w:t xml:space="preserve"> in 2014-15</w:t>
      </w:r>
      <w:r w:rsidRPr="00F41949">
        <w:rPr>
          <w:rFonts w:cs="Arial"/>
        </w:rPr>
        <w:t>.</w:t>
      </w:r>
      <w:r w:rsidR="00662565">
        <w:rPr>
          <w:rFonts w:cs="Arial"/>
        </w:rPr>
        <w:t xml:space="preserve"> The following table provides an overview of the road lengths by council type. This indicates that in general, rural councils are responsible for greater absolute road length. On a per head basis, the difference in road responsibilities will be even starker. </w:t>
      </w:r>
    </w:p>
    <w:p w14:paraId="4BF038D9" w14:textId="587FF120" w:rsidR="00662565" w:rsidRDefault="00662565" w:rsidP="00F41949">
      <w:pPr>
        <w:rPr>
          <w:rFonts w:cs="Arial"/>
        </w:rPr>
      </w:pPr>
    </w:p>
    <w:p w14:paraId="5B7D6C5B" w14:textId="5B4182F2" w:rsidR="00662565" w:rsidRPr="00662565" w:rsidRDefault="00662565" w:rsidP="00662565">
      <w:pPr>
        <w:pStyle w:val="Caption"/>
        <w:rPr>
          <w:color w:val="auto"/>
        </w:rPr>
      </w:pPr>
      <w:r w:rsidRPr="00662565">
        <w:rPr>
          <w:color w:val="auto"/>
        </w:rPr>
        <w:t xml:space="preserve">Figure </w:t>
      </w:r>
      <w:r w:rsidRPr="00662565">
        <w:rPr>
          <w:color w:val="auto"/>
        </w:rPr>
        <w:fldChar w:fldCharType="begin"/>
      </w:r>
      <w:r w:rsidRPr="00662565">
        <w:rPr>
          <w:color w:val="auto"/>
        </w:rPr>
        <w:instrText xml:space="preserve"> SEQ Figure \* ARABIC </w:instrText>
      </w:r>
      <w:r w:rsidRPr="00662565">
        <w:rPr>
          <w:color w:val="auto"/>
        </w:rPr>
        <w:fldChar w:fldCharType="separate"/>
      </w:r>
      <w:r w:rsidRPr="00662565">
        <w:rPr>
          <w:noProof/>
          <w:color w:val="auto"/>
        </w:rPr>
        <w:t>2</w:t>
      </w:r>
      <w:r w:rsidRPr="00662565">
        <w:rPr>
          <w:color w:val="auto"/>
        </w:rPr>
        <w:fldChar w:fldCharType="end"/>
      </w:r>
      <w:r w:rsidRPr="00662565">
        <w:rPr>
          <w:color w:val="auto"/>
        </w:rPr>
        <w:t>: Road length by council type, 2014-15</w:t>
      </w:r>
    </w:p>
    <w:p w14:paraId="26139676" w14:textId="0FC98190" w:rsidR="00662565" w:rsidRDefault="00662565" w:rsidP="00F41949">
      <w:pPr>
        <w:rPr>
          <w:rFonts w:cs="Arial"/>
        </w:rPr>
      </w:pPr>
      <w:r>
        <w:rPr>
          <w:noProof/>
          <w:lang w:eastAsia="en-AU"/>
        </w:rPr>
        <w:lastRenderedPageBreak/>
        <w:drawing>
          <wp:inline distT="0" distB="0" distL="0" distR="0" wp14:anchorId="407C1B46" wp14:editId="742F1B7A">
            <wp:extent cx="4572000" cy="2743200"/>
            <wp:effectExtent l="0" t="0" r="19050" b="1905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631C728" w14:textId="273B96F9" w:rsidR="00AF5799" w:rsidRPr="00662565" w:rsidRDefault="00662565" w:rsidP="00F41949">
      <w:pPr>
        <w:rPr>
          <w:rFonts w:cs="Arial"/>
          <w:sz w:val="16"/>
        </w:rPr>
      </w:pPr>
      <w:r w:rsidRPr="00662565">
        <w:rPr>
          <w:rFonts w:cs="Arial"/>
          <w:sz w:val="16"/>
        </w:rPr>
        <w:t>Source: VGC data</w:t>
      </w:r>
    </w:p>
    <w:p w14:paraId="278F59F4" w14:textId="77777777" w:rsidR="00662565" w:rsidRDefault="00662565" w:rsidP="00F41949">
      <w:pPr>
        <w:rPr>
          <w:rFonts w:cs="Arial"/>
        </w:rPr>
      </w:pPr>
    </w:p>
    <w:p w14:paraId="7CBEC003" w14:textId="4BB9D869" w:rsidR="00AF5799" w:rsidRDefault="00AF5799" w:rsidP="00F41949">
      <w:pPr>
        <w:rPr>
          <w:rFonts w:cs="Arial"/>
        </w:rPr>
      </w:pPr>
      <w:r>
        <w:rPr>
          <w:rFonts w:cs="Arial"/>
        </w:rPr>
        <w:t xml:space="preserve">It has long been acknowledged that the extent of infrastructure in rural and regional areas created significant financial demands for these councils. </w:t>
      </w:r>
      <w:r w:rsidR="00707885">
        <w:rPr>
          <w:rFonts w:cs="Arial"/>
        </w:rPr>
        <w:t>The following table provides data on the road length of individual councils and the per head expenditure.</w:t>
      </w:r>
    </w:p>
    <w:p w14:paraId="611A5EF5" w14:textId="77777777" w:rsidR="00707885" w:rsidRDefault="00707885" w:rsidP="00F41949">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8"/>
        <w:gridCol w:w="1371"/>
        <w:gridCol w:w="1559"/>
        <w:gridCol w:w="2751"/>
      </w:tblGrid>
      <w:tr w:rsidR="00707885" w:rsidRPr="00707885" w14:paraId="6BEE9198" w14:textId="77777777" w:rsidTr="00707885">
        <w:trPr>
          <w:trHeight w:val="285"/>
          <w:tblHeader/>
        </w:trPr>
        <w:tc>
          <w:tcPr>
            <w:tcW w:w="1669" w:type="pct"/>
            <w:shd w:val="clear" w:color="auto" w:fill="auto"/>
            <w:noWrap/>
            <w:vAlign w:val="center"/>
            <w:hideMark/>
          </w:tcPr>
          <w:p w14:paraId="21B02421" w14:textId="62B674B3" w:rsidR="00707885" w:rsidRPr="00707885" w:rsidRDefault="00707885" w:rsidP="00707885">
            <w:pPr>
              <w:jc w:val="center"/>
              <w:rPr>
                <w:rFonts w:cs="Arial"/>
                <w:b/>
                <w:bCs/>
                <w:sz w:val="16"/>
                <w:szCs w:val="16"/>
                <w:lang w:eastAsia="en-AU"/>
              </w:rPr>
            </w:pPr>
          </w:p>
        </w:tc>
        <w:tc>
          <w:tcPr>
            <w:tcW w:w="804" w:type="pct"/>
            <w:shd w:val="clear" w:color="auto" w:fill="auto"/>
            <w:noWrap/>
            <w:vAlign w:val="center"/>
            <w:hideMark/>
          </w:tcPr>
          <w:p w14:paraId="7D66BEEE" w14:textId="77777777" w:rsidR="00707885" w:rsidRPr="00707885" w:rsidRDefault="00707885" w:rsidP="00707885">
            <w:pPr>
              <w:jc w:val="center"/>
              <w:rPr>
                <w:rFonts w:cs="Arial"/>
                <w:b/>
                <w:color w:val="000000"/>
                <w:sz w:val="16"/>
                <w:szCs w:val="16"/>
                <w:lang w:eastAsia="en-AU"/>
              </w:rPr>
            </w:pPr>
            <w:r w:rsidRPr="00707885">
              <w:rPr>
                <w:rFonts w:cs="Arial"/>
                <w:b/>
                <w:color w:val="000000"/>
                <w:sz w:val="16"/>
                <w:szCs w:val="16"/>
                <w:lang w:eastAsia="en-AU"/>
              </w:rPr>
              <w:t>Council type</w:t>
            </w:r>
          </w:p>
        </w:tc>
        <w:tc>
          <w:tcPr>
            <w:tcW w:w="914" w:type="pct"/>
            <w:shd w:val="clear" w:color="auto" w:fill="auto"/>
            <w:noWrap/>
            <w:vAlign w:val="center"/>
            <w:hideMark/>
          </w:tcPr>
          <w:p w14:paraId="69B7B276" w14:textId="77777777" w:rsidR="00707885" w:rsidRPr="00707885" w:rsidRDefault="00707885" w:rsidP="00707885">
            <w:pPr>
              <w:jc w:val="center"/>
              <w:rPr>
                <w:rFonts w:cs="Arial"/>
                <w:b/>
                <w:bCs/>
                <w:sz w:val="16"/>
                <w:szCs w:val="16"/>
                <w:lang w:eastAsia="en-AU"/>
              </w:rPr>
            </w:pPr>
            <w:r w:rsidRPr="00707885">
              <w:rPr>
                <w:rFonts w:cs="Arial"/>
                <w:b/>
                <w:bCs/>
                <w:sz w:val="16"/>
                <w:szCs w:val="16"/>
                <w:lang w:eastAsia="en-AU"/>
              </w:rPr>
              <w:t>Total</w:t>
            </w:r>
          </w:p>
        </w:tc>
        <w:tc>
          <w:tcPr>
            <w:tcW w:w="1613" w:type="pct"/>
            <w:shd w:val="clear" w:color="auto" w:fill="auto"/>
            <w:noWrap/>
            <w:vAlign w:val="center"/>
            <w:hideMark/>
          </w:tcPr>
          <w:p w14:paraId="47463867" w14:textId="77777777" w:rsidR="00707885" w:rsidRPr="00707885" w:rsidRDefault="00707885" w:rsidP="00707885">
            <w:pPr>
              <w:jc w:val="center"/>
              <w:rPr>
                <w:rFonts w:cs="Arial"/>
                <w:b/>
                <w:color w:val="000000"/>
                <w:sz w:val="16"/>
                <w:szCs w:val="16"/>
                <w:lang w:eastAsia="en-AU"/>
              </w:rPr>
            </w:pPr>
            <w:r w:rsidRPr="00707885">
              <w:rPr>
                <w:rFonts w:cs="Arial"/>
                <w:b/>
                <w:color w:val="000000"/>
                <w:sz w:val="16"/>
                <w:szCs w:val="16"/>
                <w:lang w:eastAsia="en-AU"/>
              </w:rPr>
              <w:t>Local Roads expenditure per head of population</w:t>
            </w:r>
          </w:p>
        </w:tc>
      </w:tr>
      <w:tr w:rsidR="00707885" w:rsidRPr="00707885" w14:paraId="4C5F67DD" w14:textId="77777777" w:rsidTr="00707885">
        <w:trPr>
          <w:trHeight w:val="285"/>
        </w:trPr>
        <w:tc>
          <w:tcPr>
            <w:tcW w:w="1669" w:type="pct"/>
            <w:shd w:val="clear" w:color="auto" w:fill="auto"/>
            <w:noWrap/>
            <w:hideMark/>
          </w:tcPr>
          <w:p w14:paraId="3A546DAE" w14:textId="77777777" w:rsidR="00707885" w:rsidRPr="00707885" w:rsidRDefault="00707885" w:rsidP="00707885">
            <w:pPr>
              <w:rPr>
                <w:rFonts w:cs="Arial"/>
                <w:b/>
                <w:bCs/>
                <w:sz w:val="16"/>
                <w:szCs w:val="16"/>
                <w:lang w:eastAsia="en-AU"/>
              </w:rPr>
            </w:pPr>
            <w:r w:rsidRPr="00707885">
              <w:rPr>
                <w:rFonts w:cs="Arial"/>
                <w:b/>
                <w:bCs/>
                <w:sz w:val="16"/>
                <w:szCs w:val="16"/>
                <w:lang w:eastAsia="en-AU"/>
              </w:rPr>
              <w:t>Alpine (S)</w:t>
            </w:r>
          </w:p>
        </w:tc>
        <w:tc>
          <w:tcPr>
            <w:tcW w:w="804" w:type="pct"/>
            <w:shd w:val="clear" w:color="auto" w:fill="auto"/>
            <w:noWrap/>
            <w:vAlign w:val="bottom"/>
            <w:hideMark/>
          </w:tcPr>
          <w:p w14:paraId="5400709F" w14:textId="77777777" w:rsidR="00707885" w:rsidRPr="00707885" w:rsidRDefault="00707885" w:rsidP="00707885">
            <w:pPr>
              <w:rPr>
                <w:rFonts w:cs="Arial"/>
                <w:color w:val="000000"/>
                <w:sz w:val="16"/>
                <w:szCs w:val="16"/>
                <w:lang w:eastAsia="en-AU"/>
              </w:rPr>
            </w:pPr>
            <w:r w:rsidRPr="00707885">
              <w:rPr>
                <w:rFonts w:cs="Arial"/>
                <w:color w:val="000000"/>
                <w:sz w:val="16"/>
                <w:szCs w:val="16"/>
                <w:lang w:eastAsia="en-AU"/>
              </w:rPr>
              <w:t>Rural</w:t>
            </w:r>
          </w:p>
        </w:tc>
        <w:tc>
          <w:tcPr>
            <w:tcW w:w="914" w:type="pct"/>
            <w:shd w:val="clear" w:color="auto" w:fill="auto"/>
            <w:noWrap/>
            <w:hideMark/>
          </w:tcPr>
          <w:p w14:paraId="2FED5762"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597 </w:t>
            </w:r>
          </w:p>
        </w:tc>
        <w:tc>
          <w:tcPr>
            <w:tcW w:w="1613" w:type="pct"/>
            <w:shd w:val="clear" w:color="auto" w:fill="auto"/>
            <w:noWrap/>
            <w:hideMark/>
          </w:tcPr>
          <w:p w14:paraId="3F3E195A"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253 </w:t>
            </w:r>
          </w:p>
        </w:tc>
      </w:tr>
      <w:tr w:rsidR="00707885" w:rsidRPr="00707885" w14:paraId="2CA86CB5" w14:textId="77777777" w:rsidTr="00707885">
        <w:trPr>
          <w:trHeight w:val="285"/>
        </w:trPr>
        <w:tc>
          <w:tcPr>
            <w:tcW w:w="1669" w:type="pct"/>
            <w:shd w:val="clear" w:color="auto" w:fill="auto"/>
            <w:noWrap/>
            <w:hideMark/>
          </w:tcPr>
          <w:p w14:paraId="03205EC8" w14:textId="77777777" w:rsidR="00707885" w:rsidRPr="00707885" w:rsidRDefault="00707885" w:rsidP="00707885">
            <w:pPr>
              <w:rPr>
                <w:rFonts w:cs="Arial"/>
                <w:b/>
                <w:bCs/>
                <w:sz w:val="16"/>
                <w:szCs w:val="16"/>
                <w:lang w:eastAsia="en-AU"/>
              </w:rPr>
            </w:pPr>
            <w:r w:rsidRPr="00707885">
              <w:rPr>
                <w:rFonts w:cs="Arial"/>
                <w:b/>
                <w:bCs/>
                <w:sz w:val="16"/>
                <w:szCs w:val="16"/>
                <w:lang w:eastAsia="en-AU"/>
              </w:rPr>
              <w:t>Ararat (RC)</w:t>
            </w:r>
          </w:p>
        </w:tc>
        <w:tc>
          <w:tcPr>
            <w:tcW w:w="804" w:type="pct"/>
            <w:shd w:val="clear" w:color="auto" w:fill="auto"/>
            <w:noWrap/>
            <w:vAlign w:val="bottom"/>
            <w:hideMark/>
          </w:tcPr>
          <w:p w14:paraId="0BE0DBCD" w14:textId="77777777" w:rsidR="00707885" w:rsidRPr="00707885" w:rsidRDefault="00707885" w:rsidP="00707885">
            <w:pPr>
              <w:rPr>
                <w:rFonts w:cs="Arial"/>
                <w:color w:val="000000"/>
                <w:sz w:val="16"/>
                <w:szCs w:val="16"/>
                <w:lang w:eastAsia="en-AU"/>
              </w:rPr>
            </w:pPr>
            <w:r w:rsidRPr="00707885">
              <w:rPr>
                <w:rFonts w:cs="Arial"/>
                <w:color w:val="000000"/>
                <w:sz w:val="16"/>
                <w:szCs w:val="16"/>
                <w:lang w:eastAsia="en-AU"/>
              </w:rPr>
              <w:t>Rural</w:t>
            </w:r>
          </w:p>
        </w:tc>
        <w:tc>
          <w:tcPr>
            <w:tcW w:w="914" w:type="pct"/>
            <w:shd w:val="clear" w:color="auto" w:fill="auto"/>
            <w:noWrap/>
            <w:hideMark/>
          </w:tcPr>
          <w:p w14:paraId="4C5D0358"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2,380 </w:t>
            </w:r>
          </w:p>
        </w:tc>
        <w:tc>
          <w:tcPr>
            <w:tcW w:w="1613" w:type="pct"/>
            <w:shd w:val="clear" w:color="auto" w:fill="auto"/>
            <w:noWrap/>
            <w:hideMark/>
          </w:tcPr>
          <w:p w14:paraId="27561676"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1,019 </w:t>
            </w:r>
          </w:p>
        </w:tc>
      </w:tr>
      <w:tr w:rsidR="00707885" w:rsidRPr="00707885" w14:paraId="59B6E609" w14:textId="77777777" w:rsidTr="00707885">
        <w:trPr>
          <w:trHeight w:val="285"/>
        </w:trPr>
        <w:tc>
          <w:tcPr>
            <w:tcW w:w="1669" w:type="pct"/>
            <w:shd w:val="clear" w:color="auto" w:fill="auto"/>
            <w:noWrap/>
            <w:hideMark/>
          </w:tcPr>
          <w:p w14:paraId="545F2C4D" w14:textId="77777777" w:rsidR="00707885" w:rsidRPr="00707885" w:rsidRDefault="00707885" w:rsidP="00707885">
            <w:pPr>
              <w:rPr>
                <w:rFonts w:cs="Arial"/>
                <w:b/>
                <w:bCs/>
                <w:sz w:val="16"/>
                <w:szCs w:val="16"/>
                <w:lang w:eastAsia="en-AU"/>
              </w:rPr>
            </w:pPr>
            <w:r w:rsidRPr="00707885">
              <w:rPr>
                <w:rFonts w:cs="Arial"/>
                <w:b/>
                <w:bCs/>
                <w:sz w:val="16"/>
                <w:szCs w:val="16"/>
                <w:lang w:eastAsia="en-AU"/>
              </w:rPr>
              <w:t>Ballarat (C)</w:t>
            </w:r>
          </w:p>
        </w:tc>
        <w:tc>
          <w:tcPr>
            <w:tcW w:w="804" w:type="pct"/>
            <w:shd w:val="clear" w:color="auto" w:fill="auto"/>
            <w:noWrap/>
            <w:vAlign w:val="bottom"/>
            <w:hideMark/>
          </w:tcPr>
          <w:p w14:paraId="623369ED" w14:textId="77777777" w:rsidR="00707885" w:rsidRPr="00707885" w:rsidRDefault="00707885" w:rsidP="00707885">
            <w:pPr>
              <w:rPr>
                <w:rFonts w:cs="Arial"/>
                <w:color w:val="000000"/>
                <w:sz w:val="16"/>
                <w:szCs w:val="16"/>
                <w:lang w:eastAsia="en-AU"/>
              </w:rPr>
            </w:pPr>
            <w:r w:rsidRPr="00707885">
              <w:rPr>
                <w:rFonts w:cs="Arial"/>
                <w:color w:val="000000"/>
                <w:sz w:val="16"/>
                <w:szCs w:val="16"/>
                <w:lang w:eastAsia="en-AU"/>
              </w:rPr>
              <w:t>Rural</w:t>
            </w:r>
          </w:p>
        </w:tc>
        <w:tc>
          <w:tcPr>
            <w:tcW w:w="914" w:type="pct"/>
            <w:shd w:val="clear" w:color="auto" w:fill="auto"/>
            <w:noWrap/>
            <w:hideMark/>
          </w:tcPr>
          <w:p w14:paraId="69738EC6"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1,388 </w:t>
            </w:r>
          </w:p>
        </w:tc>
        <w:tc>
          <w:tcPr>
            <w:tcW w:w="1613" w:type="pct"/>
            <w:shd w:val="clear" w:color="auto" w:fill="auto"/>
            <w:noWrap/>
            <w:hideMark/>
          </w:tcPr>
          <w:p w14:paraId="11392E6E"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312 </w:t>
            </w:r>
          </w:p>
        </w:tc>
      </w:tr>
      <w:tr w:rsidR="00707885" w:rsidRPr="00707885" w14:paraId="617EB504" w14:textId="77777777" w:rsidTr="00707885">
        <w:trPr>
          <w:trHeight w:val="285"/>
        </w:trPr>
        <w:tc>
          <w:tcPr>
            <w:tcW w:w="1669" w:type="pct"/>
            <w:shd w:val="clear" w:color="auto" w:fill="auto"/>
            <w:noWrap/>
            <w:hideMark/>
          </w:tcPr>
          <w:p w14:paraId="58A3CA53" w14:textId="77777777" w:rsidR="00707885" w:rsidRPr="00707885" w:rsidRDefault="00707885" w:rsidP="00707885">
            <w:pPr>
              <w:rPr>
                <w:rFonts w:cs="Arial"/>
                <w:b/>
                <w:bCs/>
                <w:sz w:val="16"/>
                <w:szCs w:val="16"/>
                <w:lang w:eastAsia="en-AU"/>
              </w:rPr>
            </w:pPr>
            <w:r w:rsidRPr="00707885">
              <w:rPr>
                <w:rFonts w:cs="Arial"/>
                <w:b/>
                <w:bCs/>
                <w:sz w:val="16"/>
                <w:szCs w:val="16"/>
                <w:lang w:eastAsia="en-AU"/>
              </w:rPr>
              <w:t>Banyule (C)</w:t>
            </w:r>
          </w:p>
        </w:tc>
        <w:tc>
          <w:tcPr>
            <w:tcW w:w="804" w:type="pct"/>
            <w:shd w:val="clear" w:color="auto" w:fill="auto"/>
            <w:noWrap/>
            <w:vAlign w:val="bottom"/>
            <w:hideMark/>
          </w:tcPr>
          <w:p w14:paraId="1E95B0F0" w14:textId="77777777" w:rsidR="00707885" w:rsidRPr="00707885" w:rsidRDefault="00707885" w:rsidP="00707885">
            <w:pPr>
              <w:rPr>
                <w:rFonts w:cs="Arial"/>
                <w:color w:val="000000"/>
                <w:sz w:val="16"/>
                <w:szCs w:val="16"/>
                <w:lang w:eastAsia="en-AU"/>
              </w:rPr>
            </w:pPr>
            <w:r w:rsidRPr="00707885">
              <w:rPr>
                <w:rFonts w:cs="Arial"/>
                <w:color w:val="000000"/>
                <w:sz w:val="16"/>
                <w:szCs w:val="16"/>
                <w:lang w:eastAsia="en-AU"/>
              </w:rPr>
              <w:t>Metro</w:t>
            </w:r>
          </w:p>
        </w:tc>
        <w:tc>
          <w:tcPr>
            <w:tcW w:w="914" w:type="pct"/>
            <w:shd w:val="clear" w:color="auto" w:fill="auto"/>
            <w:noWrap/>
            <w:hideMark/>
          </w:tcPr>
          <w:p w14:paraId="6FB1B868"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547 </w:t>
            </w:r>
          </w:p>
        </w:tc>
        <w:tc>
          <w:tcPr>
            <w:tcW w:w="1613" w:type="pct"/>
            <w:shd w:val="clear" w:color="auto" w:fill="auto"/>
            <w:noWrap/>
            <w:hideMark/>
          </w:tcPr>
          <w:p w14:paraId="0FFC6A17"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82 </w:t>
            </w:r>
          </w:p>
        </w:tc>
      </w:tr>
      <w:tr w:rsidR="00707885" w:rsidRPr="00707885" w14:paraId="10F1C0BC" w14:textId="77777777" w:rsidTr="00707885">
        <w:trPr>
          <w:trHeight w:val="285"/>
        </w:trPr>
        <w:tc>
          <w:tcPr>
            <w:tcW w:w="1669" w:type="pct"/>
            <w:shd w:val="clear" w:color="auto" w:fill="auto"/>
            <w:noWrap/>
            <w:hideMark/>
          </w:tcPr>
          <w:p w14:paraId="54F3514A" w14:textId="77777777" w:rsidR="00707885" w:rsidRPr="00707885" w:rsidRDefault="00707885" w:rsidP="00707885">
            <w:pPr>
              <w:rPr>
                <w:rFonts w:cs="Arial"/>
                <w:b/>
                <w:bCs/>
                <w:sz w:val="16"/>
                <w:szCs w:val="16"/>
                <w:lang w:eastAsia="en-AU"/>
              </w:rPr>
            </w:pPr>
            <w:r w:rsidRPr="00707885">
              <w:rPr>
                <w:rFonts w:cs="Arial"/>
                <w:b/>
                <w:bCs/>
                <w:sz w:val="16"/>
                <w:szCs w:val="16"/>
                <w:lang w:eastAsia="en-AU"/>
              </w:rPr>
              <w:t>Bass Coast (S)</w:t>
            </w:r>
          </w:p>
        </w:tc>
        <w:tc>
          <w:tcPr>
            <w:tcW w:w="804" w:type="pct"/>
            <w:shd w:val="clear" w:color="auto" w:fill="auto"/>
            <w:noWrap/>
            <w:vAlign w:val="bottom"/>
            <w:hideMark/>
          </w:tcPr>
          <w:p w14:paraId="158260DF" w14:textId="77777777" w:rsidR="00707885" w:rsidRPr="00707885" w:rsidRDefault="00707885" w:rsidP="00707885">
            <w:pPr>
              <w:rPr>
                <w:rFonts w:cs="Arial"/>
                <w:color w:val="000000"/>
                <w:sz w:val="16"/>
                <w:szCs w:val="16"/>
                <w:lang w:eastAsia="en-AU"/>
              </w:rPr>
            </w:pPr>
            <w:r w:rsidRPr="00707885">
              <w:rPr>
                <w:rFonts w:cs="Arial"/>
                <w:color w:val="000000"/>
                <w:sz w:val="16"/>
                <w:szCs w:val="16"/>
                <w:lang w:eastAsia="en-AU"/>
              </w:rPr>
              <w:t>Rural</w:t>
            </w:r>
          </w:p>
        </w:tc>
        <w:tc>
          <w:tcPr>
            <w:tcW w:w="914" w:type="pct"/>
            <w:shd w:val="clear" w:color="auto" w:fill="auto"/>
            <w:noWrap/>
            <w:hideMark/>
          </w:tcPr>
          <w:p w14:paraId="45CB0E72"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940 </w:t>
            </w:r>
          </w:p>
        </w:tc>
        <w:tc>
          <w:tcPr>
            <w:tcW w:w="1613" w:type="pct"/>
            <w:shd w:val="clear" w:color="auto" w:fill="auto"/>
            <w:noWrap/>
            <w:hideMark/>
          </w:tcPr>
          <w:p w14:paraId="19F6178A" w14:textId="77777777" w:rsidR="00707885" w:rsidRPr="00707885" w:rsidRDefault="00707885" w:rsidP="00707885">
            <w:pPr>
              <w:rPr>
                <w:rFonts w:cs="Arial"/>
                <w:b/>
                <w:bCs/>
                <w:sz w:val="16"/>
                <w:szCs w:val="16"/>
                <w:lang w:eastAsia="en-AU"/>
              </w:rPr>
            </w:pPr>
            <w:r w:rsidRPr="00707885">
              <w:rPr>
                <w:rFonts w:cs="Arial"/>
                <w:b/>
                <w:bCs/>
                <w:sz w:val="16"/>
                <w:szCs w:val="16"/>
                <w:lang w:eastAsia="en-AU"/>
              </w:rPr>
              <w:t> </w:t>
            </w:r>
          </w:p>
        </w:tc>
      </w:tr>
      <w:tr w:rsidR="00707885" w:rsidRPr="00707885" w14:paraId="6FAA8148" w14:textId="77777777" w:rsidTr="00707885">
        <w:trPr>
          <w:trHeight w:val="285"/>
        </w:trPr>
        <w:tc>
          <w:tcPr>
            <w:tcW w:w="1669" w:type="pct"/>
            <w:shd w:val="clear" w:color="auto" w:fill="auto"/>
            <w:noWrap/>
            <w:hideMark/>
          </w:tcPr>
          <w:p w14:paraId="257B973C" w14:textId="77777777" w:rsidR="00707885" w:rsidRPr="00707885" w:rsidRDefault="00707885" w:rsidP="00707885">
            <w:pPr>
              <w:rPr>
                <w:rFonts w:cs="Arial"/>
                <w:b/>
                <w:bCs/>
                <w:sz w:val="16"/>
                <w:szCs w:val="16"/>
                <w:lang w:eastAsia="en-AU"/>
              </w:rPr>
            </w:pPr>
            <w:r w:rsidRPr="00707885">
              <w:rPr>
                <w:rFonts w:cs="Arial"/>
                <w:b/>
                <w:bCs/>
                <w:sz w:val="16"/>
                <w:szCs w:val="16"/>
                <w:lang w:eastAsia="en-AU"/>
              </w:rPr>
              <w:t xml:space="preserve">Baw </w:t>
            </w:r>
            <w:proofErr w:type="spellStart"/>
            <w:r w:rsidRPr="00707885">
              <w:rPr>
                <w:rFonts w:cs="Arial"/>
                <w:b/>
                <w:bCs/>
                <w:sz w:val="16"/>
                <w:szCs w:val="16"/>
                <w:lang w:eastAsia="en-AU"/>
              </w:rPr>
              <w:t>Baw</w:t>
            </w:r>
            <w:proofErr w:type="spellEnd"/>
            <w:r w:rsidRPr="00707885">
              <w:rPr>
                <w:rFonts w:cs="Arial"/>
                <w:b/>
                <w:bCs/>
                <w:sz w:val="16"/>
                <w:szCs w:val="16"/>
                <w:lang w:eastAsia="en-AU"/>
              </w:rPr>
              <w:t xml:space="preserve"> (S)</w:t>
            </w:r>
          </w:p>
        </w:tc>
        <w:tc>
          <w:tcPr>
            <w:tcW w:w="804" w:type="pct"/>
            <w:shd w:val="clear" w:color="auto" w:fill="auto"/>
            <w:noWrap/>
            <w:vAlign w:val="bottom"/>
            <w:hideMark/>
          </w:tcPr>
          <w:p w14:paraId="11658F59" w14:textId="77777777" w:rsidR="00707885" w:rsidRPr="00707885" w:rsidRDefault="00707885" w:rsidP="00707885">
            <w:pPr>
              <w:rPr>
                <w:rFonts w:cs="Arial"/>
                <w:color w:val="000000"/>
                <w:sz w:val="16"/>
                <w:szCs w:val="16"/>
                <w:lang w:eastAsia="en-AU"/>
              </w:rPr>
            </w:pPr>
            <w:r w:rsidRPr="00707885">
              <w:rPr>
                <w:rFonts w:cs="Arial"/>
                <w:color w:val="000000"/>
                <w:sz w:val="16"/>
                <w:szCs w:val="16"/>
                <w:lang w:eastAsia="en-AU"/>
              </w:rPr>
              <w:t>Rural</w:t>
            </w:r>
          </w:p>
        </w:tc>
        <w:tc>
          <w:tcPr>
            <w:tcW w:w="914" w:type="pct"/>
            <w:shd w:val="clear" w:color="auto" w:fill="auto"/>
            <w:noWrap/>
            <w:hideMark/>
          </w:tcPr>
          <w:p w14:paraId="003905CE"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1,982 </w:t>
            </w:r>
          </w:p>
        </w:tc>
        <w:tc>
          <w:tcPr>
            <w:tcW w:w="1613" w:type="pct"/>
            <w:shd w:val="clear" w:color="auto" w:fill="auto"/>
            <w:noWrap/>
            <w:hideMark/>
          </w:tcPr>
          <w:p w14:paraId="26A0535B"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317 </w:t>
            </w:r>
          </w:p>
        </w:tc>
      </w:tr>
      <w:tr w:rsidR="00707885" w:rsidRPr="00707885" w14:paraId="1961CAE6" w14:textId="77777777" w:rsidTr="00707885">
        <w:trPr>
          <w:trHeight w:val="285"/>
        </w:trPr>
        <w:tc>
          <w:tcPr>
            <w:tcW w:w="1669" w:type="pct"/>
            <w:shd w:val="clear" w:color="auto" w:fill="auto"/>
            <w:noWrap/>
            <w:hideMark/>
          </w:tcPr>
          <w:p w14:paraId="7B2E8A5C" w14:textId="77777777" w:rsidR="00707885" w:rsidRPr="00707885" w:rsidRDefault="00707885" w:rsidP="00707885">
            <w:pPr>
              <w:rPr>
                <w:rFonts w:cs="Arial"/>
                <w:b/>
                <w:bCs/>
                <w:sz w:val="16"/>
                <w:szCs w:val="16"/>
                <w:lang w:eastAsia="en-AU"/>
              </w:rPr>
            </w:pPr>
            <w:r w:rsidRPr="00707885">
              <w:rPr>
                <w:rFonts w:cs="Arial"/>
                <w:b/>
                <w:bCs/>
                <w:sz w:val="16"/>
                <w:szCs w:val="16"/>
                <w:lang w:eastAsia="en-AU"/>
              </w:rPr>
              <w:t>Bayside (C)</w:t>
            </w:r>
          </w:p>
        </w:tc>
        <w:tc>
          <w:tcPr>
            <w:tcW w:w="804" w:type="pct"/>
            <w:shd w:val="clear" w:color="auto" w:fill="auto"/>
            <w:noWrap/>
            <w:vAlign w:val="bottom"/>
            <w:hideMark/>
          </w:tcPr>
          <w:p w14:paraId="437ED825" w14:textId="77777777" w:rsidR="00707885" w:rsidRPr="00707885" w:rsidRDefault="00707885" w:rsidP="00707885">
            <w:pPr>
              <w:rPr>
                <w:rFonts w:cs="Arial"/>
                <w:color w:val="000000"/>
                <w:sz w:val="16"/>
                <w:szCs w:val="16"/>
                <w:lang w:eastAsia="en-AU"/>
              </w:rPr>
            </w:pPr>
            <w:r w:rsidRPr="00707885">
              <w:rPr>
                <w:rFonts w:cs="Arial"/>
                <w:color w:val="000000"/>
                <w:sz w:val="16"/>
                <w:szCs w:val="16"/>
                <w:lang w:eastAsia="en-AU"/>
              </w:rPr>
              <w:t>Metro</w:t>
            </w:r>
          </w:p>
        </w:tc>
        <w:tc>
          <w:tcPr>
            <w:tcW w:w="914" w:type="pct"/>
            <w:shd w:val="clear" w:color="auto" w:fill="auto"/>
            <w:noWrap/>
            <w:hideMark/>
          </w:tcPr>
          <w:p w14:paraId="7436CC7E"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354 </w:t>
            </w:r>
          </w:p>
        </w:tc>
        <w:tc>
          <w:tcPr>
            <w:tcW w:w="1613" w:type="pct"/>
            <w:shd w:val="clear" w:color="auto" w:fill="auto"/>
            <w:noWrap/>
            <w:hideMark/>
          </w:tcPr>
          <w:p w14:paraId="755001CB"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139 </w:t>
            </w:r>
          </w:p>
        </w:tc>
      </w:tr>
      <w:tr w:rsidR="00707885" w:rsidRPr="00707885" w14:paraId="55A314E8" w14:textId="77777777" w:rsidTr="00707885">
        <w:trPr>
          <w:trHeight w:val="285"/>
        </w:trPr>
        <w:tc>
          <w:tcPr>
            <w:tcW w:w="1669" w:type="pct"/>
            <w:shd w:val="clear" w:color="auto" w:fill="auto"/>
            <w:noWrap/>
            <w:hideMark/>
          </w:tcPr>
          <w:p w14:paraId="57B1A0A9" w14:textId="77777777" w:rsidR="00707885" w:rsidRPr="00707885" w:rsidRDefault="00707885" w:rsidP="00707885">
            <w:pPr>
              <w:rPr>
                <w:rFonts w:cs="Arial"/>
                <w:b/>
                <w:bCs/>
                <w:sz w:val="16"/>
                <w:szCs w:val="16"/>
                <w:lang w:eastAsia="en-AU"/>
              </w:rPr>
            </w:pPr>
            <w:r w:rsidRPr="00707885">
              <w:rPr>
                <w:rFonts w:cs="Arial"/>
                <w:b/>
                <w:bCs/>
                <w:sz w:val="16"/>
                <w:szCs w:val="16"/>
                <w:lang w:eastAsia="en-AU"/>
              </w:rPr>
              <w:t>Benalla (RC)</w:t>
            </w:r>
          </w:p>
        </w:tc>
        <w:tc>
          <w:tcPr>
            <w:tcW w:w="804" w:type="pct"/>
            <w:shd w:val="clear" w:color="auto" w:fill="auto"/>
            <w:noWrap/>
            <w:vAlign w:val="bottom"/>
            <w:hideMark/>
          </w:tcPr>
          <w:p w14:paraId="546D5BB2" w14:textId="77777777" w:rsidR="00707885" w:rsidRPr="00707885" w:rsidRDefault="00707885" w:rsidP="00707885">
            <w:pPr>
              <w:rPr>
                <w:rFonts w:cs="Arial"/>
                <w:color w:val="000000"/>
                <w:sz w:val="16"/>
                <w:szCs w:val="16"/>
                <w:lang w:eastAsia="en-AU"/>
              </w:rPr>
            </w:pPr>
            <w:r w:rsidRPr="00707885">
              <w:rPr>
                <w:rFonts w:cs="Arial"/>
                <w:color w:val="000000"/>
                <w:sz w:val="16"/>
                <w:szCs w:val="16"/>
                <w:lang w:eastAsia="en-AU"/>
              </w:rPr>
              <w:t>Rural</w:t>
            </w:r>
          </w:p>
        </w:tc>
        <w:tc>
          <w:tcPr>
            <w:tcW w:w="914" w:type="pct"/>
            <w:shd w:val="clear" w:color="auto" w:fill="auto"/>
            <w:noWrap/>
            <w:hideMark/>
          </w:tcPr>
          <w:p w14:paraId="02638F83"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1,348 </w:t>
            </w:r>
          </w:p>
        </w:tc>
        <w:tc>
          <w:tcPr>
            <w:tcW w:w="1613" w:type="pct"/>
            <w:shd w:val="clear" w:color="auto" w:fill="auto"/>
            <w:noWrap/>
            <w:hideMark/>
          </w:tcPr>
          <w:p w14:paraId="408551E2"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256 </w:t>
            </w:r>
          </w:p>
        </w:tc>
      </w:tr>
      <w:tr w:rsidR="00707885" w:rsidRPr="00707885" w14:paraId="2EBA7C6C" w14:textId="77777777" w:rsidTr="00707885">
        <w:trPr>
          <w:trHeight w:val="285"/>
        </w:trPr>
        <w:tc>
          <w:tcPr>
            <w:tcW w:w="1669" w:type="pct"/>
            <w:shd w:val="clear" w:color="auto" w:fill="auto"/>
            <w:noWrap/>
            <w:hideMark/>
          </w:tcPr>
          <w:p w14:paraId="6C65F5E6" w14:textId="77777777" w:rsidR="00707885" w:rsidRPr="00707885" w:rsidRDefault="00707885" w:rsidP="00707885">
            <w:pPr>
              <w:rPr>
                <w:rFonts w:cs="Arial"/>
                <w:b/>
                <w:bCs/>
                <w:sz w:val="16"/>
                <w:szCs w:val="16"/>
                <w:lang w:eastAsia="en-AU"/>
              </w:rPr>
            </w:pPr>
            <w:proofErr w:type="spellStart"/>
            <w:r w:rsidRPr="00707885">
              <w:rPr>
                <w:rFonts w:cs="Arial"/>
                <w:b/>
                <w:bCs/>
                <w:sz w:val="16"/>
                <w:szCs w:val="16"/>
                <w:lang w:eastAsia="en-AU"/>
              </w:rPr>
              <w:t>Boroondara</w:t>
            </w:r>
            <w:proofErr w:type="spellEnd"/>
            <w:r w:rsidRPr="00707885">
              <w:rPr>
                <w:rFonts w:cs="Arial"/>
                <w:b/>
                <w:bCs/>
                <w:sz w:val="16"/>
                <w:szCs w:val="16"/>
                <w:lang w:eastAsia="en-AU"/>
              </w:rPr>
              <w:t xml:space="preserve"> (C)</w:t>
            </w:r>
          </w:p>
        </w:tc>
        <w:tc>
          <w:tcPr>
            <w:tcW w:w="804" w:type="pct"/>
            <w:shd w:val="clear" w:color="auto" w:fill="auto"/>
            <w:noWrap/>
            <w:vAlign w:val="bottom"/>
            <w:hideMark/>
          </w:tcPr>
          <w:p w14:paraId="1E976ECB" w14:textId="77777777" w:rsidR="00707885" w:rsidRPr="00707885" w:rsidRDefault="00707885" w:rsidP="00707885">
            <w:pPr>
              <w:rPr>
                <w:rFonts w:cs="Arial"/>
                <w:color w:val="000000"/>
                <w:sz w:val="16"/>
                <w:szCs w:val="16"/>
                <w:lang w:eastAsia="en-AU"/>
              </w:rPr>
            </w:pPr>
            <w:r w:rsidRPr="00707885">
              <w:rPr>
                <w:rFonts w:cs="Arial"/>
                <w:color w:val="000000"/>
                <w:sz w:val="16"/>
                <w:szCs w:val="16"/>
                <w:lang w:eastAsia="en-AU"/>
              </w:rPr>
              <w:t>Metro</w:t>
            </w:r>
          </w:p>
        </w:tc>
        <w:tc>
          <w:tcPr>
            <w:tcW w:w="914" w:type="pct"/>
            <w:shd w:val="clear" w:color="auto" w:fill="auto"/>
            <w:noWrap/>
            <w:hideMark/>
          </w:tcPr>
          <w:p w14:paraId="32822D5A"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564 </w:t>
            </w:r>
          </w:p>
        </w:tc>
        <w:tc>
          <w:tcPr>
            <w:tcW w:w="1613" w:type="pct"/>
            <w:shd w:val="clear" w:color="auto" w:fill="auto"/>
            <w:noWrap/>
            <w:hideMark/>
          </w:tcPr>
          <w:p w14:paraId="471293BC"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50 </w:t>
            </w:r>
          </w:p>
        </w:tc>
      </w:tr>
      <w:tr w:rsidR="00707885" w:rsidRPr="00707885" w14:paraId="4A600352" w14:textId="77777777" w:rsidTr="00707885">
        <w:trPr>
          <w:trHeight w:val="285"/>
        </w:trPr>
        <w:tc>
          <w:tcPr>
            <w:tcW w:w="1669" w:type="pct"/>
            <w:shd w:val="clear" w:color="auto" w:fill="auto"/>
            <w:noWrap/>
            <w:hideMark/>
          </w:tcPr>
          <w:p w14:paraId="43440F01" w14:textId="77777777" w:rsidR="00707885" w:rsidRPr="00707885" w:rsidRDefault="00707885" w:rsidP="00707885">
            <w:pPr>
              <w:rPr>
                <w:rFonts w:cs="Arial"/>
                <w:b/>
                <w:bCs/>
                <w:sz w:val="16"/>
                <w:szCs w:val="16"/>
                <w:lang w:eastAsia="en-AU"/>
              </w:rPr>
            </w:pPr>
            <w:r w:rsidRPr="00707885">
              <w:rPr>
                <w:rFonts w:cs="Arial"/>
                <w:b/>
                <w:bCs/>
                <w:sz w:val="16"/>
                <w:szCs w:val="16"/>
                <w:lang w:eastAsia="en-AU"/>
              </w:rPr>
              <w:t>Brimbank (C)</w:t>
            </w:r>
          </w:p>
        </w:tc>
        <w:tc>
          <w:tcPr>
            <w:tcW w:w="804" w:type="pct"/>
            <w:shd w:val="clear" w:color="auto" w:fill="auto"/>
            <w:noWrap/>
            <w:vAlign w:val="bottom"/>
            <w:hideMark/>
          </w:tcPr>
          <w:p w14:paraId="2500760D" w14:textId="77777777" w:rsidR="00707885" w:rsidRPr="00707885" w:rsidRDefault="00707885" w:rsidP="00707885">
            <w:pPr>
              <w:rPr>
                <w:rFonts w:cs="Arial"/>
                <w:color w:val="000000"/>
                <w:sz w:val="16"/>
                <w:szCs w:val="16"/>
                <w:lang w:eastAsia="en-AU"/>
              </w:rPr>
            </w:pPr>
            <w:r w:rsidRPr="00707885">
              <w:rPr>
                <w:rFonts w:cs="Arial"/>
                <w:color w:val="000000"/>
                <w:sz w:val="16"/>
                <w:szCs w:val="16"/>
                <w:lang w:eastAsia="en-AU"/>
              </w:rPr>
              <w:t>Metro</w:t>
            </w:r>
          </w:p>
        </w:tc>
        <w:tc>
          <w:tcPr>
            <w:tcW w:w="914" w:type="pct"/>
            <w:shd w:val="clear" w:color="auto" w:fill="auto"/>
            <w:noWrap/>
            <w:hideMark/>
          </w:tcPr>
          <w:p w14:paraId="1DBD9EA7"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894 </w:t>
            </w:r>
          </w:p>
        </w:tc>
        <w:tc>
          <w:tcPr>
            <w:tcW w:w="1613" w:type="pct"/>
            <w:shd w:val="clear" w:color="auto" w:fill="auto"/>
            <w:noWrap/>
            <w:hideMark/>
          </w:tcPr>
          <w:p w14:paraId="0E7C1C8D"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118 </w:t>
            </w:r>
          </w:p>
        </w:tc>
      </w:tr>
      <w:tr w:rsidR="00707885" w:rsidRPr="00707885" w14:paraId="0B653473" w14:textId="77777777" w:rsidTr="00707885">
        <w:trPr>
          <w:trHeight w:val="285"/>
        </w:trPr>
        <w:tc>
          <w:tcPr>
            <w:tcW w:w="1669" w:type="pct"/>
            <w:shd w:val="clear" w:color="auto" w:fill="auto"/>
            <w:noWrap/>
            <w:hideMark/>
          </w:tcPr>
          <w:p w14:paraId="606C402C" w14:textId="77777777" w:rsidR="00707885" w:rsidRPr="00707885" w:rsidRDefault="00707885" w:rsidP="00707885">
            <w:pPr>
              <w:rPr>
                <w:rFonts w:cs="Arial"/>
                <w:b/>
                <w:bCs/>
                <w:sz w:val="16"/>
                <w:szCs w:val="16"/>
                <w:lang w:eastAsia="en-AU"/>
              </w:rPr>
            </w:pPr>
            <w:proofErr w:type="spellStart"/>
            <w:r w:rsidRPr="00707885">
              <w:rPr>
                <w:rFonts w:cs="Arial"/>
                <w:b/>
                <w:bCs/>
                <w:sz w:val="16"/>
                <w:szCs w:val="16"/>
                <w:lang w:eastAsia="en-AU"/>
              </w:rPr>
              <w:t>Buloke</w:t>
            </w:r>
            <w:proofErr w:type="spellEnd"/>
            <w:r w:rsidRPr="00707885">
              <w:rPr>
                <w:rFonts w:cs="Arial"/>
                <w:b/>
                <w:bCs/>
                <w:sz w:val="16"/>
                <w:szCs w:val="16"/>
                <w:lang w:eastAsia="en-AU"/>
              </w:rPr>
              <w:t xml:space="preserve"> (S)</w:t>
            </w:r>
          </w:p>
        </w:tc>
        <w:tc>
          <w:tcPr>
            <w:tcW w:w="804" w:type="pct"/>
            <w:shd w:val="clear" w:color="auto" w:fill="auto"/>
            <w:noWrap/>
            <w:vAlign w:val="bottom"/>
            <w:hideMark/>
          </w:tcPr>
          <w:p w14:paraId="33E6BA97" w14:textId="77777777" w:rsidR="00707885" w:rsidRPr="00707885" w:rsidRDefault="00707885" w:rsidP="00707885">
            <w:pPr>
              <w:rPr>
                <w:rFonts w:cs="Arial"/>
                <w:color w:val="000000"/>
                <w:sz w:val="16"/>
                <w:szCs w:val="16"/>
                <w:lang w:eastAsia="en-AU"/>
              </w:rPr>
            </w:pPr>
            <w:r w:rsidRPr="00707885">
              <w:rPr>
                <w:rFonts w:cs="Arial"/>
                <w:color w:val="000000"/>
                <w:sz w:val="16"/>
                <w:szCs w:val="16"/>
                <w:lang w:eastAsia="en-AU"/>
              </w:rPr>
              <w:t>Rural</w:t>
            </w:r>
          </w:p>
        </w:tc>
        <w:tc>
          <w:tcPr>
            <w:tcW w:w="914" w:type="pct"/>
            <w:shd w:val="clear" w:color="auto" w:fill="auto"/>
            <w:noWrap/>
            <w:hideMark/>
          </w:tcPr>
          <w:p w14:paraId="35910E32"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5,313 </w:t>
            </w:r>
          </w:p>
        </w:tc>
        <w:tc>
          <w:tcPr>
            <w:tcW w:w="1613" w:type="pct"/>
            <w:shd w:val="clear" w:color="auto" w:fill="auto"/>
            <w:noWrap/>
            <w:hideMark/>
          </w:tcPr>
          <w:p w14:paraId="18DA57C1"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1,003 </w:t>
            </w:r>
          </w:p>
        </w:tc>
      </w:tr>
      <w:tr w:rsidR="00707885" w:rsidRPr="00707885" w14:paraId="39FAA88C" w14:textId="77777777" w:rsidTr="00707885">
        <w:trPr>
          <w:trHeight w:val="285"/>
        </w:trPr>
        <w:tc>
          <w:tcPr>
            <w:tcW w:w="1669" w:type="pct"/>
            <w:shd w:val="clear" w:color="auto" w:fill="auto"/>
            <w:noWrap/>
            <w:hideMark/>
          </w:tcPr>
          <w:p w14:paraId="4499CF22" w14:textId="77777777" w:rsidR="00707885" w:rsidRPr="00707885" w:rsidRDefault="00707885" w:rsidP="00707885">
            <w:pPr>
              <w:rPr>
                <w:rFonts w:cs="Arial"/>
                <w:b/>
                <w:bCs/>
                <w:sz w:val="16"/>
                <w:szCs w:val="16"/>
                <w:lang w:eastAsia="en-AU"/>
              </w:rPr>
            </w:pPr>
            <w:r w:rsidRPr="00707885">
              <w:rPr>
                <w:rFonts w:cs="Arial"/>
                <w:b/>
                <w:bCs/>
                <w:sz w:val="16"/>
                <w:szCs w:val="16"/>
                <w:lang w:eastAsia="en-AU"/>
              </w:rPr>
              <w:t>Campaspe (S)</w:t>
            </w:r>
          </w:p>
        </w:tc>
        <w:tc>
          <w:tcPr>
            <w:tcW w:w="804" w:type="pct"/>
            <w:shd w:val="clear" w:color="auto" w:fill="auto"/>
            <w:noWrap/>
            <w:vAlign w:val="bottom"/>
            <w:hideMark/>
          </w:tcPr>
          <w:p w14:paraId="5BAC1D66" w14:textId="77777777" w:rsidR="00707885" w:rsidRPr="00707885" w:rsidRDefault="00707885" w:rsidP="00707885">
            <w:pPr>
              <w:rPr>
                <w:rFonts w:cs="Arial"/>
                <w:color w:val="000000"/>
                <w:sz w:val="16"/>
                <w:szCs w:val="16"/>
                <w:lang w:eastAsia="en-AU"/>
              </w:rPr>
            </w:pPr>
            <w:r w:rsidRPr="00707885">
              <w:rPr>
                <w:rFonts w:cs="Arial"/>
                <w:color w:val="000000"/>
                <w:sz w:val="16"/>
                <w:szCs w:val="16"/>
                <w:lang w:eastAsia="en-AU"/>
              </w:rPr>
              <w:t>Rural</w:t>
            </w:r>
          </w:p>
        </w:tc>
        <w:tc>
          <w:tcPr>
            <w:tcW w:w="914" w:type="pct"/>
            <w:shd w:val="clear" w:color="auto" w:fill="auto"/>
            <w:noWrap/>
            <w:hideMark/>
          </w:tcPr>
          <w:p w14:paraId="74F0A7EB"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4,034 </w:t>
            </w:r>
          </w:p>
        </w:tc>
        <w:tc>
          <w:tcPr>
            <w:tcW w:w="1613" w:type="pct"/>
            <w:shd w:val="clear" w:color="auto" w:fill="auto"/>
            <w:noWrap/>
            <w:hideMark/>
          </w:tcPr>
          <w:p w14:paraId="4F66E8B8"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381 </w:t>
            </w:r>
          </w:p>
        </w:tc>
      </w:tr>
      <w:tr w:rsidR="00707885" w:rsidRPr="00707885" w14:paraId="1461682D" w14:textId="77777777" w:rsidTr="00707885">
        <w:trPr>
          <w:trHeight w:val="285"/>
        </w:trPr>
        <w:tc>
          <w:tcPr>
            <w:tcW w:w="1669" w:type="pct"/>
            <w:shd w:val="clear" w:color="auto" w:fill="auto"/>
            <w:noWrap/>
            <w:hideMark/>
          </w:tcPr>
          <w:p w14:paraId="6020C432" w14:textId="77777777" w:rsidR="00707885" w:rsidRPr="00707885" w:rsidRDefault="00707885" w:rsidP="00707885">
            <w:pPr>
              <w:rPr>
                <w:rFonts w:cs="Arial"/>
                <w:b/>
                <w:bCs/>
                <w:sz w:val="16"/>
                <w:szCs w:val="16"/>
                <w:lang w:eastAsia="en-AU"/>
              </w:rPr>
            </w:pPr>
            <w:r w:rsidRPr="00707885">
              <w:rPr>
                <w:rFonts w:cs="Arial"/>
                <w:b/>
                <w:bCs/>
                <w:sz w:val="16"/>
                <w:szCs w:val="16"/>
                <w:lang w:eastAsia="en-AU"/>
              </w:rPr>
              <w:t>Cardinia (S)</w:t>
            </w:r>
          </w:p>
        </w:tc>
        <w:tc>
          <w:tcPr>
            <w:tcW w:w="804" w:type="pct"/>
            <w:shd w:val="clear" w:color="auto" w:fill="auto"/>
            <w:noWrap/>
            <w:vAlign w:val="bottom"/>
            <w:hideMark/>
          </w:tcPr>
          <w:p w14:paraId="64139AFD" w14:textId="77777777" w:rsidR="00707885" w:rsidRPr="00707885" w:rsidRDefault="00707885" w:rsidP="00707885">
            <w:pPr>
              <w:rPr>
                <w:rFonts w:cs="Arial"/>
                <w:color w:val="000000"/>
                <w:sz w:val="16"/>
                <w:szCs w:val="16"/>
                <w:lang w:eastAsia="en-AU"/>
              </w:rPr>
            </w:pPr>
            <w:r w:rsidRPr="00707885">
              <w:rPr>
                <w:rFonts w:cs="Arial"/>
                <w:color w:val="000000"/>
                <w:sz w:val="16"/>
                <w:szCs w:val="16"/>
                <w:lang w:eastAsia="en-AU"/>
              </w:rPr>
              <w:t>Metro</w:t>
            </w:r>
          </w:p>
        </w:tc>
        <w:tc>
          <w:tcPr>
            <w:tcW w:w="914" w:type="pct"/>
            <w:shd w:val="clear" w:color="auto" w:fill="auto"/>
            <w:noWrap/>
            <w:hideMark/>
          </w:tcPr>
          <w:p w14:paraId="5F2DBA2B"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1,482 </w:t>
            </w:r>
          </w:p>
        </w:tc>
        <w:tc>
          <w:tcPr>
            <w:tcW w:w="1613" w:type="pct"/>
            <w:shd w:val="clear" w:color="auto" w:fill="auto"/>
            <w:noWrap/>
            <w:hideMark/>
          </w:tcPr>
          <w:p w14:paraId="784BF0CA"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109 </w:t>
            </w:r>
          </w:p>
        </w:tc>
      </w:tr>
      <w:tr w:rsidR="00707885" w:rsidRPr="00707885" w14:paraId="3063309F" w14:textId="77777777" w:rsidTr="00707885">
        <w:trPr>
          <w:trHeight w:val="285"/>
        </w:trPr>
        <w:tc>
          <w:tcPr>
            <w:tcW w:w="1669" w:type="pct"/>
            <w:shd w:val="clear" w:color="auto" w:fill="auto"/>
            <w:noWrap/>
            <w:hideMark/>
          </w:tcPr>
          <w:p w14:paraId="77E6444F" w14:textId="77777777" w:rsidR="00707885" w:rsidRPr="00707885" w:rsidRDefault="00707885" w:rsidP="00707885">
            <w:pPr>
              <w:rPr>
                <w:rFonts w:cs="Arial"/>
                <w:b/>
                <w:bCs/>
                <w:sz w:val="16"/>
                <w:szCs w:val="16"/>
                <w:lang w:eastAsia="en-AU"/>
              </w:rPr>
            </w:pPr>
            <w:r w:rsidRPr="00707885">
              <w:rPr>
                <w:rFonts w:cs="Arial"/>
                <w:b/>
                <w:bCs/>
                <w:sz w:val="16"/>
                <w:szCs w:val="16"/>
                <w:lang w:eastAsia="en-AU"/>
              </w:rPr>
              <w:t>Casey (C)</w:t>
            </w:r>
          </w:p>
        </w:tc>
        <w:tc>
          <w:tcPr>
            <w:tcW w:w="804" w:type="pct"/>
            <w:shd w:val="clear" w:color="auto" w:fill="auto"/>
            <w:noWrap/>
            <w:vAlign w:val="bottom"/>
            <w:hideMark/>
          </w:tcPr>
          <w:p w14:paraId="57D79338" w14:textId="77777777" w:rsidR="00707885" w:rsidRPr="00707885" w:rsidRDefault="00707885" w:rsidP="00707885">
            <w:pPr>
              <w:rPr>
                <w:rFonts w:cs="Arial"/>
                <w:color w:val="000000"/>
                <w:sz w:val="16"/>
                <w:szCs w:val="16"/>
                <w:lang w:eastAsia="en-AU"/>
              </w:rPr>
            </w:pPr>
            <w:r w:rsidRPr="00707885">
              <w:rPr>
                <w:rFonts w:cs="Arial"/>
                <w:color w:val="000000"/>
                <w:sz w:val="16"/>
                <w:szCs w:val="16"/>
                <w:lang w:eastAsia="en-AU"/>
              </w:rPr>
              <w:t>Metro</w:t>
            </w:r>
          </w:p>
        </w:tc>
        <w:tc>
          <w:tcPr>
            <w:tcW w:w="914" w:type="pct"/>
            <w:shd w:val="clear" w:color="auto" w:fill="auto"/>
            <w:noWrap/>
            <w:hideMark/>
          </w:tcPr>
          <w:p w14:paraId="0437A33D"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1,563 </w:t>
            </w:r>
          </w:p>
        </w:tc>
        <w:tc>
          <w:tcPr>
            <w:tcW w:w="1613" w:type="pct"/>
            <w:shd w:val="clear" w:color="auto" w:fill="auto"/>
            <w:noWrap/>
            <w:hideMark/>
          </w:tcPr>
          <w:p w14:paraId="657E111B"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82 </w:t>
            </w:r>
          </w:p>
        </w:tc>
      </w:tr>
      <w:tr w:rsidR="00707885" w:rsidRPr="00707885" w14:paraId="5D62AB56" w14:textId="77777777" w:rsidTr="00707885">
        <w:trPr>
          <w:trHeight w:val="285"/>
        </w:trPr>
        <w:tc>
          <w:tcPr>
            <w:tcW w:w="1669" w:type="pct"/>
            <w:shd w:val="clear" w:color="auto" w:fill="auto"/>
            <w:noWrap/>
            <w:hideMark/>
          </w:tcPr>
          <w:p w14:paraId="684D083E" w14:textId="77777777" w:rsidR="00707885" w:rsidRPr="00707885" w:rsidRDefault="00707885" w:rsidP="00707885">
            <w:pPr>
              <w:rPr>
                <w:rFonts w:cs="Arial"/>
                <w:b/>
                <w:bCs/>
                <w:sz w:val="16"/>
                <w:szCs w:val="16"/>
                <w:lang w:eastAsia="en-AU"/>
              </w:rPr>
            </w:pPr>
            <w:r w:rsidRPr="00707885">
              <w:rPr>
                <w:rFonts w:cs="Arial"/>
                <w:b/>
                <w:bCs/>
                <w:sz w:val="16"/>
                <w:szCs w:val="16"/>
                <w:lang w:eastAsia="en-AU"/>
              </w:rPr>
              <w:t>Central Goldfields (S)</w:t>
            </w:r>
          </w:p>
        </w:tc>
        <w:tc>
          <w:tcPr>
            <w:tcW w:w="804" w:type="pct"/>
            <w:shd w:val="clear" w:color="auto" w:fill="auto"/>
            <w:noWrap/>
            <w:vAlign w:val="bottom"/>
            <w:hideMark/>
          </w:tcPr>
          <w:p w14:paraId="6E423379" w14:textId="77777777" w:rsidR="00707885" w:rsidRPr="00707885" w:rsidRDefault="00707885" w:rsidP="00707885">
            <w:pPr>
              <w:rPr>
                <w:rFonts w:cs="Arial"/>
                <w:color w:val="000000"/>
                <w:sz w:val="16"/>
                <w:szCs w:val="16"/>
                <w:lang w:eastAsia="en-AU"/>
              </w:rPr>
            </w:pPr>
            <w:r w:rsidRPr="00707885">
              <w:rPr>
                <w:rFonts w:cs="Arial"/>
                <w:color w:val="000000"/>
                <w:sz w:val="16"/>
                <w:szCs w:val="16"/>
                <w:lang w:eastAsia="en-AU"/>
              </w:rPr>
              <w:t>Rural</w:t>
            </w:r>
          </w:p>
        </w:tc>
        <w:tc>
          <w:tcPr>
            <w:tcW w:w="914" w:type="pct"/>
            <w:shd w:val="clear" w:color="auto" w:fill="auto"/>
            <w:noWrap/>
            <w:hideMark/>
          </w:tcPr>
          <w:p w14:paraId="7CBD99F2"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1,269 </w:t>
            </w:r>
          </w:p>
        </w:tc>
        <w:tc>
          <w:tcPr>
            <w:tcW w:w="1613" w:type="pct"/>
            <w:shd w:val="clear" w:color="auto" w:fill="auto"/>
            <w:noWrap/>
            <w:hideMark/>
          </w:tcPr>
          <w:p w14:paraId="10C7D5D3"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531 </w:t>
            </w:r>
          </w:p>
        </w:tc>
      </w:tr>
      <w:tr w:rsidR="00707885" w:rsidRPr="00707885" w14:paraId="052AD84A" w14:textId="77777777" w:rsidTr="00707885">
        <w:trPr>
          <w:trHeight w:val="285"/>
        </w:trPr>
        <w:tc>
          <w:tcPr>
            <w:tcW w:w="1669" w:type="pct"/>
            <w:shd w:val="clear" w:color="auto" w:fill="auto"/>
            <w:noWrap/>
            <w:hideMark/>
          </w:tcPr>
          <w:p w14:paraId="2D53D81D" w14:textId="77777777" w:rsidR="00707885" w:rsidRPr="00707885" w:rsidRDefault="00707885" w:rsidP="00707885">
            <w:pPr>
              <w:rPr>
                <w:rFonts w:cs="Arial"/>
                <w:b/>
                <w:bCs/>
                <w:sz w:val="16"/>
                <w:szCs w:val="16"/>
                <w:lang w:eastAsia="en-AU"/>
              </w:rPr>
            </w:pPr>
            <w:r w:rsidRPr="00707885">
              <w:rPr>
                <w:rFonts w:cs="Arial"/>
                <w:b/>
                <w:bCs/>
                <w:sz w:val="16"/>
                <w:szCs w:val="16"/>
                <w:lang w:eastAsia="en-AU"/>
              </w:rPr>
              <w:t>Colac Otway (S)</w:t>
            </w:r>
          </w:p>
        </w:tc>
        <w:tc>
          <w:tcPr>
            <w:tcW w:w="804" w:type="pct"/>
            <w:shd w:val="clear" w:color="auto" w:fill="auto"/>
            <w:noWrap/>
            <w:vAlign w:val="bottom"/>
            <w:hideMark/>
          </w:tcPr>
          <w:p w14:paraId="04968A29" w14:textId="77777777" w:rsidR="00707885" w:rsidRPr="00707885" w:rsidRDefault="00707885" w:rsidP="00707885">
            <w:pPr>
              <w:rPr>
                <w:rFonts w:cs="Arial"/>
                <w:color w:val="000000"/>
                <w:sz w:val="16"/>
                <w:szCs w:val="16"/>
                <w:lang w:eastAsia="en-AU"/>
              </w:rPr>
            </w:pPr>
            <w:r w:rsidRPr="00707885">
              <w:rPr>
                <w:rFonts w:cs="Arial"/>
                <w:color w:val="000000"/>
                <w:sz w:val="16"/>
                <w:szCs w:val="16"/>
                <w:lang w:eastAsia="en-AU"/>
              </w:rPr>
              <w:t>Rural</w:t>
            </w:r>
          </w:p>
        </w:tc>
        <w:tc>
          <w:tcPr>
            <w:tcW w:w="914" w:type="pct"/>
            <w:shd w:val="clear" w:color="auto" w:fill="auto"/>
            <w:noWrap/>
            <w:hideMark/>
          </w:tcPr>
          <w:p w14:paraId="1E3EEE29"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1,623 </w:t>
            </w:r>
          </w:p>
        </w:tc>
        <w:tc>
          <w:tcPr>
            <w:tcW w:w="1613" w:type="pct"/>
            <w:shd w:val="clear" w:color="auto" w:fill="auto"/>
            <w:noWrap/>
            <w:hideMark/>
          </w:tcPr>
          <w:p w14:paraId="6F435543"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631 </w:t>
            </w:r>
          </w:p>
        </w:tc>
      </w:tr>
      <w:tr w:rsidR="00707885" w:rsidRPr="00707885" w14:paraId="5FE2EDBB" w14:textId="77777777" w:rsidTr="00707885">
        <w:trPr>
          <w:trHeight w:val="285"/>
        </w:trPr>
        <w:tc>
          <w:tcPr>
            <w:tcW w:w="1669" w:type="pct"/>
            <w:shd w:val="clear" w:color="auto" w:fill="auto"/>
            <w:noWrap/>
            <w:hideMark/>
          </w:tcPr>
          <w:p w14:paraId="57B84667" w14:textId="77777777" w:rsidR="00707885" w:rsidRPr="00707885" w:rsidRDefault="00707885" w:rsidP="00707885">
            <w:pPr>
              <w:rPr>
                <w:rFonts w:cs="Arial"/>
                <w:b/>
                <w:bCs/>
                <w:sz w:val="16"/>
                <w:szCs w:val="16"/>
                <w:lang w:eastAsia="en-AU"/>
              </w:rPr>
            </w:pPr>
            <w:r w:rsidRPr="00707885">
              <w:rPr>
                <w:rFonts w:cs="Arial"/>
                <w:b/>
                <w:bCs/>
                <w:sz w:val="16"/>
                <w:szCs w:val="16"/>
                <w:lang w:eastAsia="en-AU"/>
              </w:rPr>
              <w:t>Corangamite (S)</w:t>
            </w:r>
          </w:p>
        </w:tc>
        <w:tc>
          <w:tcPr>
            <w:tcW w:w="804" w:type="pct"/>
            <w:shd w:val="clear" w:color="auto" w:fill="auto"/>
            <w:noWrap/>
            <w:vAlign w:val="bottom"/>
            <w:hideMark/>
          </w:tcPr>
          <w:p w14:paraId="5371CE1C" w14:textId="77777777" w:rsidR="00707885" w:rsidRPr="00707885" w:rsidRDefault="00707885" w:rsidP="00707885">
            <w:pPr>
              <w:rPr>
                <w:rFonts w:cs="Arial"/>
                <w:color w:val="000000"/>
                <w:sz w:val="16"/>
                <w:szCs w:val="16"/>
                <w:lang w:eastAsia="en-AU"/>
              </w:rPr>
            </w:pPr>
            <w:r w:rsidRPr="00707885">
              <w:rPr>
                <w:rFonts w:cs="Arial"/>
                <w:color w:val="000000"/>
                <w:sz w:val="16"/>
                <w:szCs w:val="16"/>
                <w:lang w:eastAsia="en-AU"/>
              </w:rPr>
              <w:t>Rural</w:t>
            </w:r>
          </w:p>
        </w:tc>
        <w:tc>
          <w:tcPr>
            <w:tcW w:w="914" w:type="pct"/>
            <w:shd w:val="clear" w:color="auto" w:fill="auto"/>
            <w:noWrap/>
            <w:hideMark/>
          </w:tcPr>
          <w:p w14:paraId="4FFCE934"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2,370 </w:t>
            </w:r>
          </w:p>
        </w:tc>
        <w:tc>
          <w:tcPr>
            <w:tcW w:w="1613" w:type="pct"/>
            <w:shd w:val="clear" w:color="auto" w:fill="auto"/>
            <w:noWrap/>
            <w:hideMark/>
          </w:tcPr>
          <w:p w14:paraId="348B5259" w14:textId="77777777" w:rsidR="00707885" w:rsidRPr="00707885" w:rsidRDefault="00707885" w:rsidP="00707885">
            <w:pPr>
              <w:rPr>
                <w:rFonts w:cs="Arial"/>
                <w:b/>
                <w:bCs/>
                <w:sz w:val="16"/>
                <w:szCs w:val="16"/>
                <w:lang w:eastAsia="en-AU"/>
              </w:rPr>
            </w:pPr>
            <w:r w:rsidRPr="00707885">
              <w:rPr>
                <w:rFonts w:cs="Arial"/>
                <w:b/>
                <w:bCs/>
                <w:sz w:val="16"/>
                <w:szCs w:val="16"/>
                <w:lang w:eastAsia="en-AU"/>
              </w:rPr>
              <w:t> </w:t>
            </w:r>
          </w:p>
        </w:tc>
      </w:tr>
      <w:tr w:rsidR="00707885" w:rsidRPr="00707885" w14:paraId="15CE7D46" w14:textId="77777777" w:rsidTr="00707885">
        <w:trPr>
          <w:trHeight w:val="285"/>
        </w:trPr>
        <w:tc>
          <w:tcPr>
            <w:tcW w:w="1669" w:type="pct"/>
            <w:shd w:val="clear" w:color="auto" w:fill="auto"/>
            <w:noWrap/>
            <w:hideMark/>
          </w:tcPr>
          <w:p w14:paraId="1FC71120" w14:textId="77777777" w:rsidR="00707885" w:rsidRPr="00707885" w:rsidRDefault="00707885" w:rsidP="00707885">
            <w:pPr>
              <w:rPr>
                <w:rFonts w:cs="Arial"/>
                <w:b/>
                <w:bCs/>
                <w:sz w:val="16"/>
                <w:szCs w:val="16"/>
                <w:lang w:eastAsia="en-AU"/>
              </w:rPr>
            </w:pPr>
            <w:r w:rsidRPr="00707885">
              <w:rPr>
                <w:rFonts w:cs="Arial"/>
                <w:b/>
                <w:bCs/>
                <w:sz w:val="16"/>
                <w:szCs w:val="16"/>
                <w:lang w:eastAsia="en-AU"/>
              </w:rPr>
              <w:t>Darebin (C)</w:t>
            </w:r>
          </w:p>
        </w:tc>
        <w:tc>
          <w:tcPr>
            <w:tcW w:w="804" w:type="pct"/>
            <w:shd w:val="clear" w:color="auto" w:fill="auto"/>
            <w:noWrap/>
            <w:vAlign w:val="bottom"/>
            <w:hideMark/>
          </w:tcPr>
          <w:p w14:paraId="32E8CB92" w14:textId="77777777" w:rsidR="00707885" w:rsidRPr="00707885" w:rsidRDefault="00707885" w:rsidP="00707885">
            <w:pPr>
              <w:rPr>
                <w:rFonts w:cs="Arial"/>
                <w:color w:val="000000"/>
                <w:sz w:val="16"/>
                <w:szCs w:val="16"/>
                <w:lang w:eastAsia="en-AU"/>
              </w:rPr>
            </w:pPr>
            <w:r w:rsidRPr="00707885">
              <w:rPr>
                <w:rFonts w:cs="Arial"/>
                <w:color w:val="000000"/>
                <w:sz w:val="16"/>
                <w:szCs w:val="16"/>
                <w:lang w:eastAsia="en-AU"/>
              </w:rPr>
              <w:t>Metro</w:t>
            </w:r>
          </w:p>
        </w:tc>
        <w:tc>
          <w:tcPr>
            <w:tcW w:w="914" w:type="pct"/>
            <w:shd w:val="clear" w:color="auto" w:fill="auto"/>
            <w:noWrap/>
            <w:hideMark/>
          </w:tcPr>
          <w:p w14:paraId="27D67CCD"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509 </w:t>
            </w:r>
          </w:p>
        </w:tc>
        <w:tc>
          <w:tcPr>
            <w:tcW w:w="1613" w:type="pct"/>
            <w:shd w:val="clear" w:color="auto" w:fill="auto"/>
            <w:noWrap/>
            <w:hideMark/>
          </w:tcPr>
          <w:p w14:paraId="6A7E995D"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49 </w:t>
            </w:r>
          </w:p>
        </w:tc>
      </w:tr>
      <w:tr w:rsidR="00707885" w:rsidRPr="00707885" w14:paraId="3707F3DD" w14:textId="77777777" w:rsidTr="00707885">
        <w:trPr>
          <w:trHeight w:val="285"/>
        </w:trPr>
        <w:tc>
          <w:tcPr>
            <w:tcW w:w="1669" w:type="pct"/>
            <w:shd w:val="clear" w:color="auto" w:fill="auto"/>
            <w:noWrap/>
            <w:hideMark/>
          </w:tcPr>
          <w:p w14:paraId="2DA89CE7" w14:textId="77777777" w:rsidR="00707885" w:rsidRPr="00707885" w:rsidRDefault="00707885" w:rsidP="00707885">
            <w:pPr>
              <w:rPr>
                <w:rFonts w:cs="Arial"/>
                <w:b/>
                <w:bCs/>
                <w:sz w:val="16"/>
                <w:szCs w:val="16"/>
                <w:lang w:eastAsia="en-AU"/>
              </w:rPr>
            </w:pPr>
            <w:r w:rsidRPr="00707885">
              <w:rPr>
                <w:rFonts w:cs="Arial"/>
                <w:b/>
                <w:bCs/>
                <w:sz w:val="16"/>
                <w:szCs w:val="16"/>
                <w:lang w:eastAsia="en-AU"/>
              </w:rPr>
              <w:t>East Gippsland (S)</w:t>
            </w:r>
          </w:p>
        </w:tc>
        <w:tc>
          <w:tcPr>
            <w:tcW w:w="804" w:type="pct"/>
            <w:shd w:val="clear" w:color="auto" w:fill="auto"/>
            <w:noWrap/>
            <w:vAlign w:val="bottom"/>
            <w:hideMark/>
          </w:tcPr>
          <w:p w14:paraId="389825C8" w14:textId="77777777" w:rsidR="00707885" w:rsidRPr="00707885" w:rsidRDefault="00707885" w:rsidP="00707885">
            <w:pPr>
              <w:rPr>
                <w:rFonts w:cs="Arial"/>
                <w:color w:val="000000"/>
                <w:sz w:val="16"/>
                <w:szCs w:val="16"/>
                <w:lang w:eastAsia="en-AU"/>
              </w:rPr>
            </w:pPr>
            <w:r w:rsidRPr="00707885">
              <w:rPr>
                <w:rFonts w:cs="Arial"/>
                <w:color w:val="000000"/>
                <w:sz w:val="16"/>
                <w:szCs w:val="16"/>
                <w:lang w:eastAsia="en-AU"/>
              </w:rPr>
              <w:t>Rural</w:t>
            </w:r>
          </w:p>
        </w:tc>
        <w:tc>
          <w:tcPr>
            <w:tcW w:w="914" w:type="pct"/>
            <w:shd w:val="clear" w:color="auto" w:fill="auto"/>
            <w:noWrap/>
            <w:hideMark/>
          </w:tcPr>
          <w:p w14:paraId="3FEE37A8"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2,951 </w:t>
            </w:r>
          </w:p>
        </w:tc>
        <w:tc>
          <w:tcPr>
            <w:tcW w:w="1613" w:type="pct"/>
            <w:shd w:val="clear" w:color="auto" w:fill="auto"/>
            <w:noWrap/>
            <w:hideMark/>
          </w:tcPr>
          <w:p w14:paraId="30DA053E" w14:textId="77777777" w:rsidR="00707885" w:rsidRPr="00707885" w:rsidRDefault="00707885" w:rsidP="00707885">
            <w:pPr>
              <w:rPr>
                <w:rFonts w:cs="Arial"/>
                <w:b/>
                <w:bCs/>
                <w:sz w:val="16"/>
                <w:szCs w:val="16"/>
                <w:lang w:eastAsia="en-AU"/>
              </w:rPr>
            </w:pPr>
            <w:r w:rsidRPr="00707885">
              <w:rPr>
                <w:rFonts w:cs="Arial"/>
                <w:b/>
                <w:bCs/>
                <w:sz w:val="16"/>
                <w:szCs w:val="16"/>
                <w:lang w:eastAsia="en-AU"/>
              </w:rPr>
              <w:t> </w:t>
            </w:r>
          </w:p>
        </w:tc>
      </w:tr>
      <w:tr w:rsidR="00707885" w:rsidRPr="00707885" w14:paraId="62232E0C" w14:textId="77777777" w:rsidTr="00707885">
        <w:trPr>
          <w:trHeight w:val="285"/>
        </w:trPr>
        <w:tc>
          <w:tcPr>
            <w:tcW w:w="1669" w:type="pct"/>
            <w:shd w:val="clear" w:color="auto" w:fill="auto"/>
            <w:noWrap/>
            <w:hideMark/>
          </w:tcPr>
          <w:p w14:paraId="4723450B" w14:textId="77777777" w:rsidR="00707885" w:rsidRPr="00707885" w:rsidRDefault="00707885" w:rsidP="00707885">
            <w:pPr>
              <w:rPr>
                <w:rFonts w:cs="Arial"/>
                <w:b/>
                <w:bCs/>
                <w:sz w:val="16"/>
                <w:szCs w:val="16"/>
                <w:lang w:eastAsia="en-AU"/>
              </w:rPr>
            </w:pPr>
            <w:r w:rsidRPr="00707885">
              <w:rPr>
                <w:rFonts w:cs="Arial"/>
                <w:b/>
                <w:bCs/>
                <w:sz w:val="16"/>
                <w:szCs w:val="16"/>
                <w:lang w:eastAsia="en-AU"/>
              </w:rPr>
              <w:t>Frankston (C)</w:t>
            </w:r>
          </w:p>
        </w:tc>
        <w:tc>
          <w:tcPr>
            <w:tcW w:w="804" w:type="pct"/>
            <w:shd w:val="clear" w:color="auto" w:fill="auto"/>
            <w:noWrap/>
            <w:vAlign w:val="bottom"/>
            <w:hideMark/>
          </w:tcPr>
          <w:p w14:paraId="2F1C9615" w14:textId="77777777" w:rsidR="00707885" w:rsidRPr="00707885" w:rsidRDefault="00707885" w:rsidP="00707885">
            <w:pPr>
              <w:rPr>
                <w:rFonts w:cs="Arial"/>
                <w:color w:val="000000"/>
                <w:sz w:val="16"/>
                <w:szCs w:val="16"/>
                <w:lang w:eastAsia="en-AU"/>
              </w:rPr>
            </w:pPr>
            <w:r w:rsidRPr="00707885">
              <w:rPr>
                <w:rFonts w:cs="Arial"/>
                <w:color w:val="000000"/>
                <w:sz w:val="16"/>
                <w:szCs w:val="16"/>
                <w:lang w:eastAsia="en-AU"/>
              </w:rPr>
              <w:t>Metro</w:t>
            </w:r>
          </w:p>
        </w:tc>
        <w:tc>
          <w:tcPr>
            <w:tcW w:w="914" w:type="pct"/>
            <w:shd w:val="clear" w:color="auto" w:fill="auto"/>
            <w:noWrap/>
            <w:hideMark/>
          </w:tcPr>
          <w:p w14:paraId="76B66A5C"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699 </w:t>
            </w:r>
          </w:p>
        </w:tc>
        <w:tc>
          <w:tcPr>
            <w:tcW w:w="1613" w:type="pct"/>
            <w:shd w:val="clear" w:color="auto" w:fill="auto"/>
            <w:noWrap/>
            <w:hideMark/>
          </w:tcPr>
          <w:p w14:paraId="4F1B373E"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87 </w:t>
            </w:r>
          </w:p>
        </w:tc>
      </w:tr>
      <w:tr w:rsidR="00707885" w:rsidRPr="00707885" w14:paraId="4DB2CD9A" w14:textId="77777777" w:rsidTr="00707885">
        <w:trPr>
          <w:trHeight w:val="285"/>
        </w:trPr>
        <w:tc>
          <w:tcPr>
            <w:tcW w:w="1669" w:type="pct"/>
            <w:shd w:val="clear" w:color="auto" w:fill="auto"/>
            <w:noWrap/>
            <w:hideMark/>
          </w:tcPr>
          <w:p w14:paraId="7AAA6B1B" w14:textId="77777777" w:rsidR="00707885" w:rsidRPr="00707885" w:rsidRDefault="00707885" w:rsidP="00707885">
            <w:pPr>
              <w:rPr>
                <w:rFonts w:cs="Arial"/>
                <w:b/>
                <w:bCs/>
                <w:sz w:val="16"/>
                <w:szCs w:val="16"/>
                <w:lang w:eastAsia="en-AU"/>
              </w:rPr>
            </w:pPr>
            <w:proofErr w:type="spellStart"/>
            <w:r w:rsidRPr="00707885">
              <w:rPr>
                <w:rFonts w:cs="Arial"/>
                <w:b/>
                <w:bCs/>
                <w:sz w:val="16"/>
                <w:szCs w:val="16"/>
                <w:lang w:eastAsia="en-AU"/>
              </w:rPr>
              <w:t>Gannawarra</w:t>
            </w:r>
            <w:proofErr w:type="spellEnd"/>
            <w:r w:rsidRPr="00707885">
              <w:rPr>
                <w:rFonts w:cs="Arial"/>
                <w:b/>
                <w:bCs/>
                <w:sz w:val="16"/>
                <w:szCs w:val="16"/>
                <w:lang w:eastAsia="en-AU"/>
              </w:rPr>
              <w:t xml:space="preserve"> (S)</w:t>
            </w:r>
          </w:p>
        </w:tc>
        <w:tc>
          <w:tcPr>
            <w:tcW w:w="804" w:type="pct"/>
            <w:shd w:val="clear" w:color="auto" w:fill="auto"/>
            <w:noWrap/>
            <w:vAlign w:val="bottom"/>
            <w:hideMark/>
          </w:tcPr>
          <w:p w14:paraId="76DBE876" w14:textId="77777777" w:rsidR="00707885" w:rsidRPr="00707885" w:rsidRDefault="00707885" w:rsidP="00707885">
            <w:pPr>
              <w:rPr>
                <w:rFonts w:cs="Arial"/>
                <w:color w:val="000000"/>
                <w:sz w:val="16"/>
                <w:szCs w:val="16"/>
                <w:lang w:eastAsia="en-AU"/>
              </w:rPr>
            </w:pPr>
            <w:r w:rsidRPr="00707885">
              <w:rPr>
                <w:rFonts w:cs="Arial"/>
                <w:color w:val="000000"/>
                <w:sz w:val="16"/>
                <w:szCs w:val="16"/>
                <w:lang w:eastAsia="en-AU"/>
              </w:rPr>
              <w:t>Rural</w:t>
            </w:r>
          </w:p>
        </w:tc>
        <w:tc>
          <w:tcPr>
            <w:tcW w:w="914" w:type="pct"/>
            <w:shd w:val="clear" w:color="auto" w:fill="auto"/>
            <w:noWrap/>
            <w:hideMark/>
          </w:tcPr>
          <w:p w14:paraId="6D71E83B"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2,272 </w:t>
            </w:r>
          </w:p>
        </w:tc>
        <w:tc>
          <w:tcPr>
            <w:tcW w:w="1613" w:type="pct"/>
            <w:shd w:val="clear" w:color="auto" w:fill="auto"/>
            <w:noWrap/>
            <w:hideMark/>
          </w:tcPr>
          <w:p w14:paraId="45E718E4"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628 </w:t>
            </w:r>
          </w:p>
        </w:tc>
      </w:tr>
      <w:tr w:rsidR="00707885" w:rsidRPr="00707885" w14:paraId="1FE3443F" w14:textId="77777777" w:rsidTr="00707885">
        <w:trPr>
          <w:trHeight w:val="285"/>
        </w:trPr>
        <w:tc>
          <w:tcPr>
            <w:tcW w:w="1669" w:type="pct"/>
            <w:shd w:val="clear" w:color="auto" w:fill="auto"/>
            <w:noWrap/>
            <w:hideMark/>
          </w:tcPr>
          <w:p w14:paraId="5F866090" w14:textId="77777777" w:rsidR="00707885" w:rsidRPr="00707885" w:rsidRDefault="00707885" w:rsidP="00707885">
            <w:pPr>
              <w:rPr>
                <w:rFonts w:cs="Arial"/>
                <w:b/>
                <w:bCs/>
                <w:sz w:val="16"/>
                <w:szCs w:val="16"/>
                <w:lang w:eastAsia="en-AU"/>
              </w:rPr>
            </w:pPr>
            <w:r w:rsidRPr="00707885">
              <w:rPr>
                <w:rFonts w:cs="Arial"/>
                <w:b/>
                <w:bCs/>
                <w:sz w:val="16"/>
                <w:szCs w:val="16"/>
                <w:lang w:eastAsia="en-AU"/>
              </w:rPr>
              <w:t xml:space="preserve">Glen </w:t>
            </w:r>
            <w:proofErr w:type="spellStart"/>
            <w:r w:rsidRPr="00707885">
              <w:rPr>
                <w:rFonts w:cs="Arial"/>
                <w:b/>
                <w:bCs/>
                <w:sz w:val="16"/>
                <w:szCs w:val="16"/>
                <w:lang w:eastAsia="en-AU"/>
              </w:rPr>
              <w:t>Eira</w:t>
            </w:r>
            <w:proofErr w:type="spellEnd"/>
            <w:r w:rsidRPr="00707885">
              <w:rPr>
                <w:rFonts w:cs="Arial"/>
                <w:b/>
                <w:bCs/>
                <w:sz w:val="16"/>
                <w:szCs w:val="16"/>
                <w:lang w:eastAsia="en-AU"/>
              </w:rPr>
              <w:t xml:space="preserve"> (C)</w:t>
            </w:r>
          </w:p>
        </w:tc>
        <w:tc>
          <w:tcPr>
            <w:tcW w:w="804" w:type="pct"/>
            <w:shd w:val="clear" w:color="auto" w:fill="auto"/>
            <w:noWrap/>
            <w:vAlign w:val="bottom"/>
            <w:hideMark/>
          </w:tcPr>
          <w:p w14:paraId="4133696D" w14:textId="77777777" w:rsidR="00707885" w:rsidRPr="00707885" w:rsidRDefault="00707885" w:rsidP="00707885">
            <w:pPr>
              <w:rPr>
                <w:rFonts w:cs="Arial"/>
                <w:color w:val="000000"/>
                <w:sz w:val="16"/>
                <w:szCs w:val="16"/>
                <w:lang w:eastAsia="en-AU"/>
              </w:rPr>
            </w:pPr>
            <w:r w:rsidRPr="00707885">
              <w:rPr>
                <w:rFonts w:cs="Arial"/>
                <w:color w:val="000000"/>
                <w:sz w:val="16"/>
                <w:szCs w:val="16"/>
                <w:lang w:eastAsia="en-AU"/>
              </w:rPr>
              <w:t>Metro</w:t>
            </w:r>
          </w:p>
        </w:tc>
        <w:tc>
          <w:tcPr>
            <w:tcW w:w="914" w:type="pct"/>
            <w:shd w:val="clear" w:color="auto" w:fill="auto"/>
            <w:noWrap/>
            <w:hideMark/>
          </w:tcPr>
          <w:p w14:paraId="6C6050C3"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483 </w:t>
            </w:r>
          </w:p>
        </w:tc>
        <w:tc>
          <w:tcPr>
            <w:tcW w:w="1613" w:type="pct"/>
            <w:shd w:val="clear" w:color="auto" w:fill="auto"/>
            <w:noWrap/>
            <w:hideMark/>
          </w:tcPr>
          <w:p w14:paraId="460744B2"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48 </w:t>
            </w:r>
          </w:p>
        </w:tc>
      </w:tr>
      <w:tr w:rsidR="00707885" w:rsidRPr="00707885" w14:paraId="78923E28" w14:textId="77777777" w:rsidTr="00707885">
        <w:trPr>
          <w:trHeight w:val="285"/>
        </w:trPr>
        <w:tc>
          <w:tcPr>
            <w:tcW w:w="1669" w:type="pct"/>
            <w:shd w:val="clear" w:color="auto" w:fill="auto"/>
            <w:noWrap/>
            <w:hideMark/>
          </w:tcPr>
          <w:p w14:paraId="6CBDE7B8" w14:textId="77777777" w:rsidR="00707885" w:rsidRPr="00707885" w:rsidRDefault="00707885" w:rsidP="00707885">
            <w:pPr>
              <w:rPr>
                <w:rFonts w:cs="Arial"/>
                <w:b/>
                <w:bCs/>
                <w:sz w:val="16"/>
                <w:szCs w:val="16"/>
                <w:lang w:eastAsia="en-AU"/>
              </w:rPr>
            </w:pPr>
            <w:r w:rsidRPr="00707885">
              <w:rPr>
                <w:rFonts w:cs="Arial"/>
                <w:b/>
                <w:bCs/>
                <w:sz w:val="16"/>
                <w:szCs w:val="16"/>
                <w:lang w:eastAsia="en-AU"/>
              </w:rPr>
              <w:t>Glenelg (S)</w:t>
            </w:r>
          </w:p>
        </w:tc>
        <w:tc>
          <w:tcPr>
            <w:tcW w:w="804" w:type="pct"/>
            <w:shd w:val="clear" w:color="auto" w:fill="auto"/>
            <w:noWrap/>
            <w:vAlign w:val="bottom"/>
            <w:hideMark/>
          </w:tcPr>
          <w:p w14:paraId="4C6F7EF2" w14:textId="77777777" w:rsidR="00707885" w:rsidRPr="00707885" w:rsidRDefault="00707885" w:rsidP="00707885">
            <w:pPr>
              <w:rPr>
                <w:rFonts w:cs="Arial"/>
                <w:color w:val="000000"/>
                <w:sz w:val="16"/>
                <w:szCs w:val="16"/>
                <w:lang w:eastAsia="en-AU"/>
              </w:rPr>
            </w:pPr>
            <w:r w:rsidRPr="00707885">
              <w:rPr>
                <w:rFonts w:cs="Arial"/>
                <w:color w:val="000000"/>
                <w:sz w:val="16"/>
                <w:szCs w:val="16"/>
                <w:lang w:eastAsia="en-AU"/>
              </w:rPr>
              <w:t>Rural</w:t>
            </w:r>
          </w:p>
        </w:tc>
        <w:tc>
          <w:tcPr>
            <w:tcW w:w="914" w:type="pct"/>
            <w:shd w:val="clear" w:color="auto" w:fill="auto"/>
            <w:noWrap/>
            <w:hideMark/>
          </w:tcPr>
          <w:p w14:paraId="6C65E28D"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2,630 </w:t>
            </w:r>
          </w:p>
        </w:tc>
        <w:tc>
          <w:tcPr>
            <w:tcW w:w="1613" w:type="pct"/>
            <w:shd w:val="clear" w:color="auto" w:fill="auto"/>
            <w:noWrap/>
            <w:hideMark/>
          </w:tcPr>
          <w:p w14:paraId="1BB136DB"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466 </w:t>
            </w:r>
          </w:p>
        </w:tc>
      </w:tr>
      <w:tr w:rsidR="00707885" w:rsidRPr="00707885" w14:paraId="48199C78" w14:textId="77777777" w:rsidTr="00707885">
        <w:trPr>
          <w:trHeight w:val="285"/>
        </w:trPr>
        <w:tc>
          <w:tcPr>
            <w:tcW w:w="1669" w:type="pct"/>
            <w:shd w:val="clear" w:color="auto" w:fill="auto"/>
            <w:noWrap/>
            <w:hideMark/>
          </w:tcPr>
          <w:p w14:paraId="1D677321" w14:textId="77777777" w:rsidR="00707885" w:rsidRPr="00707885" w:rsidRDefault="00707885" w:rsidP="00707885">
            <w:pPr>
              <w:rPr>
                <w:rFonts w:cs="Arial"/>
                <w:b/>
                <w:bCs/>
                <w:sz w:val="16"/>
                <w:szCs w:val="16"/>
                <w:lang w:eastAsia="en-AU"/>
              </w:rPr>
            </w:pPr>
            <w:r w:rsidRPr="00707885">
              <w:rPr>
                <w:rFonts w:cs="Arial"/>
                <w:b/>
                <w:bCs/>
                <w:sz w:val="16"/>
                <w:szCs w:val="16"/>
                <w:lang w:eastAsia="en-AU"/>
              </w:rPr>
              <w:t>Golden Plains (S)</w:t>
            </w:r>
          </w:p>
        </w:tc>
        <w:tc>
          <w:tcPr>
            <w:tcW w:w="804" w:type="pct"/>
            <w:shd w:val="clear" w:color="auto" w:fill="auto"/>
            <w:noWrap/>
            <w:vAlign w:val="bottom"/>
            <w:hideMark/>
          </w:tcPr>
          <w:p w14:paraId="24B8705D" w14:textId="77777777" w:rsidR="00707885" w:rsidRPr="00707885" w:rsidRDefault="00707885" w:rsidP="00707885">
            <w:pPr>
              <w:rPr>
                <w:rFonts w:cs="Arial"/>
                <w:color w:val="000000"/>
                <w:sz w:val="16"/>
                <w:szCs w:val="16"/>
                <w:lang w:eastAsia="en-AU"/>
              </w:rPr>
            </w:pPr>
            <w:r w:rsidRPr="00707885">
              <w:rPr>
                <w:rFonts w:cs="Arial"/>
                <w:color w:val="000000"/>
                <w:sz w:val="16"/>
                <w:szCs w:val="16"/>
                <w:lang w:eastAsia="en-AU"/>
              </w:rPr>
              <w:t>Rural</w:t>
            </w:r>
          </w:p>
        </w:tc>
        <w:tc>
          <w:tcPr>
            <w:tcW w:w="914" w:type="pct"/>
            <w:shd w:val="clear" w:color="auto" w:fill="auto"/>
            <w:noWrap/>
            <w:hideMark/>
          </w:tcPr>
          <w:p w14:paraId="52BB5C2D"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1,921 </w:t>
            </w:r>
          </w:p>
        </w:tc>
        <w:tc>
          <w:tcPr>
            <w:tcW w:w="1613" w:type="pct"/>
            <w:shd w:val="clear" w:color="auto" w:fill="auto"/>
            <w:noWrap/>
            <w:hideMark/>
          </w:tcPr>
          <w:p w14:paraId="78CC139E"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290 </w:t>
            </w:r>
          </w:p>
        </w:tc>
      </w:tr>
      <w:tr w:rsidR="00707885" w:rsidRPr="00707885" w14:paraId="32CBF09F" w14:textId="77777777" w:rsidTr="00707885">
        <w:trPr>
          <w:trHeight w:val="285"/>
        </w:trPr>
        <w:tc>
          <w:tcPr>
            <w:tcW w:w="1669" w:type="pct"/>
            <w:shd w:val="clear" w:color="auto" w:fill="auto"/>
            <w:noWrap/>
            <w:hideMark/>
          </w:tcPr>
          <w:p w14:paraId="19947C0A" w14:textId="77777777" w:rsidR="00707885" w:rsidRPr="00707885" w:rsidRDefault="00707885" w:rsidP="00707885">
            <w:pPr>
              <w:rPr>
                <w:rFonts w:cs="Arial"/>
                <w:b/>
                <w:bCs/>
                <w:sz w:val="16"/>
                <w:szCs w:val="16"/>
                <w:lang w:eastAsia="en-AU"/>
              </w:rPr>
            </w:pPr>
            <w:r w:rsidRPr="00707885">
              <w:rPr>
                <w:rFonts w:cs="Arial"/>
                <w:b/>
                <w:bCs/>
                <w:sz w:val="16"/>
                <w:szCs w:val="16"/>
                <w:lang w:eastAsia="en-AU"/>
              </w:rPr>
              <w:t>Greater Bendigo (C)</w:t>
            </w:r>
          </w:p>
        </w:tc>
        <w:tc>
          <w:tcPr>
            <w:tcW w:w="804" w:type="pct"/>
            <w:shd w:val="clear" w:color="auto" w:fill="auto"/>
            <w:noWrap/>
            <w:vAlign w:val="bottom"/>
            <w:hideMark/>
          </w:tcPr>
          <w:p w14:paraId="70675A4E" w14:textId="77777777" w:rsidR="00707885" w:rsidRPr="00707885" w:rsidRDefault="00707885" w:rsidP="00707885">
            <w:pPr>
              <w:rPr>
                <w:rFonts w:cs="Arial"/>
                <w:color w:val="000000"/>
                <w:sz w:val="16"/>
                <w:szCs w:val="16"/>
                <w:lang w:eastAsia="en-AU"/>
              </w:rPr>
            </w:pPr>
            <w:r w:rsidRPr="00707885">
              <w:rPr>
                <w:rFonts w:cs="Arial"/>
                <w:color w:val="000000"/>
                <w:sz w:val="16"/>
                <w:szCs w:val="16"/>
                <w:lang w:eastAsia="en-AU"/>
              </w:rPr>
              <w:t>Rural</w:t>
            </w:r>
          </w:p>
        </w:tc>
        <w:tc>
          <w:tcPr>
            <w:tcW w:w="914" w:type="pct"/>
            <w:shd w:val="clear" w:color="auto" w:fill="auto"/>
            <w:noWrap/>
            <w:hideMark/>
          </w:tcPr>
          <w:p w14:paraId="480057E6"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3,097 </w:t>
            </w:r>
          </w:p>
        </w:tc>
        <w:tc>
          <w:tcPr>
            <w:tcW w:w="1613" w:type="pct"/>
            <w:shd w:val="clear" w:color="auto" w:fill="auto"/>
            <w:noWrap/>
            <w:hideMark/>
          </w:tcPr>
          <w:p w14:paraId="5038EC3E" w14:textId="77777777" w:rsidR="00707885" w:rsidRPr="00707885" w:rsidRDefault="00707885" w:rsidP="00707885">
            <w:pPr>
              <w:rPr>
                <w:rFonts w:cs="Arial"/>
                <w:b/>
                <w:bCs/>
                <w:sz w:val="16"/>
                <w:szCs w:val="16"/>
                <w:lang w:eastAsia="en-AU"/>
              </w:rPr>
            </w:pPr>
            <w:r w:rsidRPr="00707885">
              <w:rPr>
                <w:rFonts w:cs="Arial"/>
                <w:b/>
                <w:bCs/>
                <w:sz w:val="16"/>
                <w:szCs w:val="16"/>
                <w:lang w:eastAsia="en-AU"/>
              </w:rPr>
              <w:t> </w:t>
            </w:r>
          </w:p>
        </w:tc>
      </w:tr>
      <w:tr w:rsidR="00707885" w:rsidRPr="00707885" w14:paraId="17C68DAC" w14:textId="77777777" w:rsidTr="00707885">
        <w:trPr>
          <w:trHeight w:val="285"/>
        </w:trPr>
        <w:tc>
          <w:tcPr>
            <w:tcW w:w="1669" w:type="pct"/>
            <w:shd w:val="clear" w:color="auto" w:fill="auto"/>
            <w:noWrap/>
            <w:hideMark/>
          </w:tcPr>
          <w:p w14:paraId="54DAE564" w14:textId="77777777" w:rsidR="00707885" w:rsidRPr="00707885" w:rsidRDefault="00707885" w:rsidP="00707885">
            <w:pPr>
              <w:rPr>
                <w:rFonts w:cs="Arial"/>
                <w:b/>
                <w:bCs/>
                <w:sz w:val="16"/>
                <w:szCs w:val="16"/>
                <w:lang w:eastAsia="en-AU"/>
              </w:rPr>
            </w:pPr>
            <w:r w:rsidRPr="00707885">
              <w:rPr>
                <w:rFonts w:cs="Arial"/>
                <w:b/>
                <w:bCs/>
                <w:sz w:val="16"/>
                <w:szCs w:val="16"/>
                <w:lang w:eastAsia="en-AU"/>
              </w:rPr>
              <w:lastRenderedPageBreak/>
              <w:t>Greater Dandenong (C)</w:t>
            </w:r>
          </w:p>
        </w:tc>
        <w:tc>
          <w:tcPr>
            <w:tcW w:w="804" w:type="pct"/>
            <w:shd w:val="clear" w:color="auto" w:fill="auto"/>
            <w:noWrap/>
            <w:vAlign w:val="bottom"/>
            <w:hideMark/>
          </w:tcPr>
          <w:p w14:paraId="6C9F212A" w14:textId="77777777" w:rsidR="00707885" w:rsidRPr="00707885" w:rsidRDefault="00707885" w:rsidP="00707885">
            <w:pPr>
              <w:rPr>
                <w:rFonts w:cs="Arial"/>
                <w:color w:val="000000"/>
                <w:sz w:val="16"/>
                <w:szCs w:val="16"/>
                <w:lang w:eastAsia="en-AU"/>
              </w:rPr>
            </w:pPr>
            <w:r w:rsidRPr="00707885">
              <w:rPr>
                <w:rFonts w:cs="Arial"/>
                <w:color w:val="000000"/>
                <w:sz w:val="16"/>
                <w:szCs w:val="16"/>
                <w:lang w:eastAsia="en-AU"/>
              </w:rPr>
              <w:t>Metro</w:t>
            </w:r>
          </w:p>
        </w:tc>
        <w:tc>
          <w:tcPr>
            <w:tcW w:w="914" w:type="pct"/>
            <w:shd w:val="clear" w:color="auto" w:fill="auto"/>
            <w:noWrap/>
            <w:hideMark/>
          </w:tcPr>
          <w:p w14:paraId="2FC8416B"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670 </w:t>
            </w:r>
          </w:p>
        </w:tc>
        <w:tc>
          <w:tcPr>
            <w:tcW w:w="1613" w:type="pct"/>
            <w:shd w:val="clear" w:color="auto" w:fill="auto"/>
            <w:noWrap/>
            <w:hideMark/>
          </w:tcPr>
          <w:p w14:paraId="308274C6"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49 </w:t>
            </w:r>
          </w:p>
        </w:tc>
      </w:tr>
      <w:tr w:rsidR="00707885" w:rsidRPr="00707885" w14:paraId="200DCA78" w14:textId="77777777" w:rsidTr="00707885">
        <w:trPr>
          <w:trHeight w:val="285"/>
        </w:trPr>
        <w:tc>
          <w:tcPr>
            <w:tcW w:w="1669" w:type="pct"/>
            <w:shd w:val="clear" w:color="auto" w:fill="auto"/>
            <w:noWrap/>
            <w:hideMark/>
          </w:tcPr>
          <w:p w14:paraId="3735CCBC" w14:textId="77777777" w:rsidR="00707885" w:rsidRPr="00707885" w:rsidRDefault="00707885" w:rsidP="00707885">
            <w:pPr>
              <w:rPr>
                <w:rFonts w:cs="Arial"/>
                <w:b/>
                <w:bCs/>
                <w:sz w:val="16"/>
                <w:szCs w:val="16"/>
                <w:lang w:eastAsia="en-AU"/>
              </w:rPr>
            </w:pPr>
            <w:r w:rsidRPr="00707885">
              <w:rPr>
                <w:rFonts w:cs="Arial"/>
                <w:b/>
                <w:bCs/>
                <w:sz w:val="16"/>
                <w:szCs w:val="16"/>
                <w:lang w:eastAsia="en-AU"/>
              </w:rPr>
              <w:t>Greater Geelong (C)</w:t>
            </w:r>
          </w:p>
        </w:tc>
        <w:tc>
          <w:tcPr>
            <w:tcW w:w="804" w:type="pct"/>
            <w:shd w:val="clear" w:color="auto" w:fill="auto"/>
            <w:noWrap/>
            <w:vAlign w:val="bottom"/>
            <w:hideMark/>
          </w:tcPr>
          <w:p w14:paraId="25FC2C8E" w14:textId="77777777" w:rsidR="00707885" w:rsidRPr="00707885" w:rsidRDefault="00707885" w:rsidP="00707885">
            <w:pPr>
              <w:rPr>
                <w:rFonts w:cs="Arial"/>
                <w:color w:val="000000"/>
                <w:sz w:val="16"/>
                <w:szCs w:val="16"/>
                <w:lang w:eastAsia="en-AU"/>
              </w:rPr>
            </w:pPr>
            <w:r w:rsidRPr="00707885">
              <w:rPr>
                <w:rFonts w:cs="Arial"/>
                <w:color w:val="000000"/>
                <w:sz w:val="16"/>
                <w:szCs w:val="16"/>
                <w:lang w:eastAsia="en-AU"/>
              </w:rPr>
              <w:t>Rural</w:t>
            </w:r>
          </w:p>
        </w:tc>
        <w:tc>
          <w:tcPr>
            <w:tcW w:w="914" w:type="pct"/>
            <w:shd w:val="clear" w:color="auto" w:fill="auto"/>
            <w:noWrap/>
            <w:hideMark/>
          </w:tcPr>
          <w:p w14:paraId="5645F869"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2,118 </w:t>
            </w:r>
          </w:p>
        </w:tc>
        <w:tc>
          <w:tcPr>
            <w:tcW w:w="1613" w:type="pct"/>
            <w:shd w:val="clear" w:color="auto" w:fill="auto"/>
            <w:noWrap/>
            <w:hideMark/>
          </w:tcPr>
          <w:p w14:paraId="5557B028"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218 </w:t>
            </w:r>
          </w:p>
        </w:tc>
      </w:tr>
      <w:tr w:rsidR="00707885" w:rsidRPr="00707885" w14:paraId="64058A55" w14:textId="77777777" w:rsidTr="00707885">
        <w:trPr>
          <w:trHeight w:val="285"/>
        </w:trPr>
        <w:tc>
          <w:tcPr>
            <w:tcW w:w="1669" w:type="pct"/>
            <w:shd w:val="clear" w:color="auto" w:fill="auto"/>
            <w:noWrap/>
            <w:hideMark/>
          </w:tcPr>
          <w:p w14:paraId="4C1D3290" w14:textId="77777777" w:rsidR="00707885" w:rsidRPr="00707885" w:rsidRDefault="00707885" w:rsidP="00707885">
            <w:pPr>
              <w:rPr>
                <w:rFonts w:cs="Arial"/>
                <w:b/>
                <w:bCs/>
                <w:sz w:val="16"/>
                <w:szCs w:val="16"/>
                <w:lang w:eastAsia="en-AU"/>
              </w:rPr>
            </w:pPr>
            <w:r w:rsidRPr="00707885">
              <w:rPr>
                <w:rFonts w:cs="Arial"/>
                <w:b/>
                <w:bCs/>
                <w:sz w:val="16"/>
                <w:szCs w:val="16"/>
                <w:lang w:eastAsia="en-AU"/>
              </w:rPr>
              <w:t>Greater Shepparton (C)</w:t>
            </w:r>
          </w:p>
        </w:tc>
        <w:tc>
          <w:tcPr>
            <w:tcW w:w="804" w:type="pct"/>
            <w:shd w:val="clear" w:color="auto" w:fill="auto"/>
            <w:noWrap/>
            <w:vAlign w:val="bottom"/>
            <w:hideMark/>
          </w:tcPr>
          <w:p w14:paraId="17299768" w14:textId="77777777" w:rsidR="00707885" w:rsidRPr="00707885" w:rsidRDefault="00707885" w:rsidP="00707885">
            <w:pPr>
              <w:rPr>
                <w:rFonts w:cs="Arial"/>
                <w:color w:val="000000"/>
                <w:sz w:val="16"/>
                <w:szCs w:val="16"/>
                <w:lang w:eastAsia="en-AU"/>
              </w:rPr>
            </w:pPr>
            <w:r w:rsidRPr="00707885">
              <w:rPr>
                <w:rFonts w:cs="Arial"/>
                <w:color w:val="000000"/>
                <w:sz w:val="16"/>
                <w:szCs w:val="16"/>
                <w:lang w:eastAsia="en-AU"/>
              </w:rPr>
              <w:t>Rural</w:t>
            </w:r>
          </w:p>
        </w:tc>
        <w:tc>
          <w:tcPr>
            <w:tcW w:w="914" w:type="pct"/>
            <w:shd w:val="clear" w:color="auto" w:fill="auto"/>
            <w:noWrap/>
            <w:hideMark/>
          </w:tcPr>
          <w:p w14:paraId="31A22322"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2,497 </w:t>
            </w:r>
          </w:p>
        </w:tc>
        <w:tc>
          <w:tcPr>
            <w:tcW w:w="1613" w:type="pct"/>
            <w:shd w:val="clear" w:color="auto" w:fill="auto"/>
            <w:noWrap/>
            <w:hideMark/>
          </w:tcPr>
          <w:p w14:paraId="342AAB97"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276 </w:t>
            </w:r>
          </w:p>
        </w:tc>
      </w:tr>
      <w:tr w:rsidR="00707885" w:rsidRPr="00707885" w14:paraId="428262F9" w14:textId="77777777" w:rsidTr="00707885">
        <w:trPr>
          <w:trHeight w:val="285"/>
        </w:trPr>
        <w:tc>
          <w:tcPr>
            <w:tcW w:w="1669" w:type="pct"/>
            <w:shd w:val="clear" w:color="auto" w:fill="auto"/>
            <w:noWrap/>
            <w:hideMark/>
          </w:tcPr>
          <w:p w14:paraId="4398CDD9" w14:textId="77777777" w:rsidR="00707885" w:rsidRPr="00707885" w:rsidRDefault="00707885" w:rsidP="00707885">
            <w:pPr>
              <w:rPr>
                <w:rFonts w:cs="Arial"/>
                <w:b/>
                <w:bCs/>
                <w:sz w:val="16"/>
                <w:szCs w:val="16"/>
                <w:lang w:eastAsia="en-AU"/>
              </w:rPr>
            </w:pPr>
            <w:r w:rsidRPr="00707885">
              <w:rPr>
                <w:rFonts w:cs="Arial"/>
                <w:b/>
                <w:bCs/>
                <w:sz w:val="16"/>
                <w:szCs w:val="16"/>
                <w:lang w:eastAsia="en-AU"/>
              </w:rPr>
              <w:t>Hepburn (S)</w:t>
            </w:r>
          </w:p>
        </w:tc>
        <w:tc>
          <w:tcPr>
            <w:tcW w:w="804" w:type="pct"/>
            <w:shd w:val="clear" w:color="auto" w:fill="auto"/>
            <w:noWrap/>
            <w:vAlign w:val="bottom"/>
            <w:hideMark/>
          </w:tcPr>
          <w:p w14:paraId="581DD80B" w14:textId="77777777" w:rsidR="00707885" w:rsidRPr="00707885" w:rsidRDefault="00707885" w:rsidP="00707885">
            <w:pPr>
              <w:rPr>
                <w:rFonts w:cs="Arial"/>
                <w:color w:val="000000"/>
                <w:sz w:val="16"/>
                <w:szCs w:val="16"/>
                <w:lang w:eastAsia="en-AU"/>
              </w:rPr>
            </w:pPr>
            <w:r w:rsidRPr="00707885">
              <w:rPr>
                <w:rFonts w:cs="Arial"/>
                <w:color w:val="000000"/>
                <w:sz w:val="16"/>
                <w:szCs w:val="16"/>
                <w:lang w:eastAsia="en-AU"/>
              </w:rPr>
              <w:t>Rural</w:t>
            </w:r>
          </w:p>
        </w:tc>
        <w:tc>
          <w:tcPr>
            <w:tcW w:w="914" w:type="pct"/>
            <w:shd w:val="clear" w:color="auto" w:fill="auto"/>
            <w:noWrap/>
            <w:hideMark/>
          </w:tcPr>
          <w:p w14:paraId="0BF61283"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1,425 </w:t>
            </w:r>
          </w:p>
        </w:tc>
        <w:tc>
          <w:tcPr>
            <w:tcW w:w="1613" w:type="pct"/>
            <w:shd w:val="clear" w:color="auto" w:fill="auto"/>
            <w:noWrap/>
            <w:hideMark/>
          </w:tcPr>
          <w:p w14:paraId="7A30F05F"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637 </w:t>
            </w:r>
          </w:p>
        </w:tc>
      </w:tr>
      <w:tr w:rsidR="00707885" w:rsidRPr="00707885" w14:paraId="5605DBF4" w14:textId="77777777" w:rsidTr="00707885">
        <w:trPr>
          <w:trHeight w:val="285"/>
        </w:trPr>
        <w:tc>
          <w:tcPr>
            <w:tcW w:w="1669" w:type="pct"/>
            <w:shd w:val="clear" w:color="auto" w:fill="auto"/>
            <w:noWrap/>
            <w:hideMark/>
          </w:tcPr>
          <w:p w14:paraId="1F1BCB0B" w14:textId="77777777" w:rsidR="00707885" w:rsidRPr="00707885" w:rsidRDefault="00707885" w:rsidP="00707885">
            <w:pPr>
              <w:rPr>
                <w:rFonts w:cs="Arial"/>
                <w:b/>
                <w:bCs/>
                <w:sz w:val="16"/>
                <w:szCs w:val="16"/>
                <w:lang w:eastAsia="en-AU"/>
              </w:rPr>
            </w:pPr>
            <w:r w:rsidRPr="00707885">
              <w:rPr>
                <w:rFonts w:cs="Arial"/>
                <w:b/>
                <w:bCs/>
                <w:sz w:val="16"/>
                <w:szCs w:val="16"/>
                <w:lang w:eastAsia="en-AU"/>
              </w:rPr>
              <w:t>Hindmarsh (S)</w:t>
            </w:r>
          </w:p>
        </w:tc>
        <w:tc>
          <w:tcPr>
            <w:tcW w:w="804" w:type="pct"/>
            <w:shd w:val="clear" w:color="auto" w:fill="auto"/>
            <w:noWrap/>
            <w:vAlign w:val="bottom"/>
            <w:hideMark/>
          </w:tcPr>
          <w:p w14:paraId="08491DA5" w14:textId="77777777" w:rsidR="00707885" w:rsidRPr="00707885" w:rsidRDefault="00707885" w:rsidP="00707885">
            <w:pPr>
              <w:rPr>
                <w:rFonts w:cs="Arial"/>
                <w:color w:val="000000"/>
                <w:sz w:val="16"/>
                <w:szCs w:val="16"/>
                <w:lang w:eastAsia="en-AU"/>
              </w:rPr>
            </w:pPr>
            <w:r w:rsidRPr="00707885">
              <w:rPr>
                <w:rFonts w:cs="Arial"/>
                <w:color w:val="000000"/>
                <w:sz w:val="16"/>
                <w:szCs w:val="16"/>
                <w:lang w:eastAsia="en-AU"/>
              </w:rPr>
              <w:t>Rural</w:t>
            </w:r>
          </w:p>
        </w:tc>
        <w:tc>
          <w:tcPr>
            <w:tcW w:w="914" w:type="pct"/>
            <w:shd w:val="clear" w:color="auto" w:fill="auto"/>
            <w:noWrap/>
            <w:hideMark/>
          </w:tcPr>
          <w:p w14:paraId="780302B4"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3,177 </w:t>
            </w:r>
          </w:p>
        </w:tc>
        <w:tc>
          <w:tcPr>
            <w:tcW w:w="1613" w:type="pct"/>
            <w:shd w:val="clear" w:color="auto" w:fill="auto"/>
            <w:noWrap/>
            <w:hideMark/>
          </w:tcPr>
          <w:p w14:paraId="268BA356"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647 </w:t>
            </w:r>
          </w:p>
        </w:tc>
      </w:tr>
      <w:tr w:rsidR="00707885" w:rsidRPr="00707885" w14:paraId="0AC43093" w14:textId="77777777" w:rsidTr="00707885">
        <w:trPr>
          <w:trHeight w:val="285"/>
        </w:trPr>
        <w:tc>
          <w:tcPr>
            <w:tcW w:w="1669" w:type="pct"/>
            <w:shd w:val="clear" w:color="auto" w:fill="auto"/>
            <w:noWrap/>
            <w:hideMark/>
          </w:tcPr>
          <w:p w14:paraId="39D404F2" w14:textId="77777777" w:rsidR="00707885" w:rsidRPr="00707885" w:rsidRDefault="00707885" w:rsidP="00707885">
            <w:pPr>
              <w:rPr>
                <w:rFonts w:cs="Arial"/>
                <w:b/>
                <w:bCs/>
                <w:sz w:val="16"/>
                <w:szCs w:val="16"/>
                <w:lang w:eastAsia="en-AU"/>
              </w:rPr>
            </w:pPr>
            <w:r w:rsidRPr="00707885">
              <w:rPr>
                <w:rFonts w:cs="Arial"/>
                <w:b/>
                <w:bCs/>
                <w:sz w:val="16"/>
                <w:szCs w:val="16"/>
                <w:lang w:eastAsia="en-AU"/>
              </w:rPr>
              <w:t>Hobsons Bay (C)</w:t>
            </w:r>
          </w:p>
        </w:tc>
        <w:tc>
          <w:tcPr>
            <w:tcW w:w="804" w:type="pct"/>
            <w:shd w:val="clear" w:color="auto" w:fill="auto"/>
            <w:noWrap/>
            <w:vAlign w:val="bottom"/>
            <w:hideMark/>
          </w:tcPr>
          <w:p w14:paraId="15CE8192" w14:textId="77777777" w:rsidR="00707885" w:rsidRPr="00707885" w:rsidRDefault="00707885" w:rsidP="00707885">
            <w:pPr>
              <w:rPr>
                <w:rFonts w:cs="Arial"/>
                <w:color w:val="000000"/>
                <w:sz w:val="16"/>
                <w:szCs w:val="16"/>
                <w:lang w:eastAsia="en-AU"/>
              </w:rPr>
            </w:pPr>
            <w:r w:rsidRPr="00707885">
              <w:rPr>
                <w:rFonts w:cs="Arial"/>
                <w:color w:val="000000"/>
                <w:sz w:val="16"/>
                <w:szCs w:val="16"/>
                <w:lang w:eastAsia="en-AU"/>
              </w:rPr>
              <w:t>Metro</w:t>
            </w:r>
          </w:p>
        </w:tc>
        <w:tc>
          <w:tcPr>
            <w:tcW w:w="914" w:type="pct"/>
            <w:shd w:val="clear" w:color="auto" w:fill="auto"/>
            <w:noWrap/>
            <w:hideMark/>
          </w:tcPr>
          <w:p w14:paraId="2E4D86B9"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451 </w:t>
            </w:r>
          </w:p>
        </w:tc>
        <w:tc>
          <w:tcPr>
            <w:tcW w:w="1613" w:type="pct"/>
            <w:shd w:val="clear" w:color="auto" w:fill="auto"/>
            <w:noWrap/>
            <w:hideMark/>
          </w:tcPr>
          <w:p w14:paraId="6F362206"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114 </w:t>
            </w:r>
          </w:p>
        </w:tc>
      </w:tr>
      <w:tr w:rsidR="00707885" w:rsidRPr="00707885" w14:paraId="6CA66278" w14:textId="77777777" w:rsidTr="00707885">
        <w:trPr>
          <w:trHeight w:val="285"/>
        </w:trPr>
        <w:tc>
          <w:tcPr>
            <w:tcW w:w="1669" w:type="pct"/>
            <w:shd w:val="clear" w:color="auto" w:fill="auto"/>
            <w:noWrap/>
            <w:hideMark/>
          </w:tcPr>
          <w:p w14:paraId="23883C90" w14:textId="77777777" w:rsidR="00707885" w:rsidRPr="00707885" w:rsidRDefault="00707885" w:rsidP="00707885">
            <w:pPr>
              <w:rPr>
                <w:rFonts w:cs="Arial"/>
                <w:b/>
                <w:bCs/>
                <w:sz w:val="16"/>
                <w:szCs w:val="16"/>
                <w:lang w:eastAsia="en-AU"/>
              </w:rPr>
            </w:pPr>
            <w:r w:rsidRPr="00707885">
              <w:rPr>
                <w:rFonts w:cs="Arial"/>
                <w:b/>
                <w:bCs/>
                <w:sz w:val="16"/>
                <w:szCs w:val="16"/>
                <w:lang w:eastAsia="en-AU"/>
              </w:rPr>
              <w:t>Horsham (RC)</w:t>
            </w:r>
          </w:p>
        </w:tc>
        <w:tc>
          <w:tcPr>
            <w:tcW w:w="804" w:type="pct"/>
            <w:shd w:val="clear" w:color="auto" w:fill="auto"/>
            <w:noWrap/>
            <w:vAlign w:val="bottom"/>
            <w:hideMark/>
          </w:tcPr>
          <w:p w14:paraId="3C882CE4" w14:textId="77777777" w:rsidR="00707885" w:rsidRPr="00707885" w:rsidRDefault="00707885" w:rsidP="00707885">
            <w:pPr>
              <w:rPr>
                <w:rFonts w:cs="Arial"/>
                <w:color w:val="000000"/>
                <w:sz w:val="16"/>
                <w:szCs w:val="16"/>
                <w:lang w:eastAsia="en-AU"/>
              </w:rPr>
            </w:pPr>
            <w:r w:rsidRPr="00707885">
              <w:rPr>
                <w:rFonts w:cs="Arial"/>
                <w:color w:val="000000"/>
                <w:sz w:val="16"/>
                <w:szCs w:val="16"/>
                <w:lang w:eastAsia="en-AU"/>
              </w:rPr>
              <w:t>Rural</w:t>
            </w:r>
          </w:p>
        </w:tc>
        <w:tc>
          <w:tcPr>
            <w:tcW w:w="914" w:type="pct"/>
            <w:shd w:val="clear" w:color="auto" w:fill="auto"/>
            <w:noWrap/>
            <w:hideMark/>
          </w:tcPr>
          <w:p w14:paraId="4F2EF2BB"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2,975 </w:t>
            </w:r>
          </w:p>
        </w:tc>
        <w:tc>
          <w:tcPr>
            <w:tcW w:w="1613" w:type="pct"/>
            <w:shd w:val="clear" w:color="auto" w:fill="auto"/>
            <w:noWrap/>
            <w:hideMark/>
          </w:tcPr>
          <w:p w14:paraId="5722C9D9"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635 </w:t>
            </w:r>
          </w:p>
        </w:tc>
      </w:tr>
      <w:tr w:rsidR="00707885" w:rsidRPr="00707885" w14:paraId="091C5CD1" w14:textId="77777777" w:rsidTr="00707885">
        <w:trPr>
          <w:trHeight w:val="285"/>
        </w:trPr>
        <w:tc>
          <w:tcPr>
            <w:tcW w:w="1669" w:type="pct"/>
            <w:shd w:val="clear" w:color="auto" w:fill="auto"/>
            <w:noWrap/>
            <w:hideMark/>
          </w:tcPr>
          <w:p w14:paraId="461C913A" w14:textId="77777777" w:rsidR="00707885" w:rsidRPr="00707885" w:rsidRDefault="00707885" w:rsidP="00707885">
            <w:pPr>
              <w:rPr>
                <w:rFonts w:cs="Arial"/>
                <w:b/>
                <w:bCs/>
                <w:sz w:val="16"/>
                <w:szCs w:val="16"/>
                <w:lang w:eastAsia="en-AU"/>
              </w:rPr>
            </w:pPr>
            <w:r w:rsidRPr="00707885">
              <w:rPr>
                <w:rFonts w:cs="Arial"/>
                <w:b/>
                <w:bCs/>
                <w:sz w:val="16"/>
                <w:szCs w:val="16"/>
                <w:lang w:eastAsia="en-AU"/>
              </w:rPr>
              <w:t>Hume (C)</w:t>
            </w:r>
          </w:p>
        </w:tc>
        <w:tc>
          <w:tcPr>
            <w:tcW w:w="804" w:type="pct"/>
            <w:shd w:val="clear" w:color="auto" w:fill="auto"/>
            <w:noWrap/>
            <w:vAlign w:val="bottom"/>
            <w:hideMark/>
          </w:tcPr>
          <w:p w14:paraId="50FC2CAB" w14:textId="77777777" w:rsidR="00707885" w:rsidRPr="00707885" w:rsidRDefault="00707885" w:rsidP="00707885">
            <w:pPr>
              <w:rPr>
                <w:rFonts w:cs="Arial"/>
                <w:color w:val="000000"/>
                <w:sz w:val="16"/>
                <w:szCs w:val="16"/>
                <w:lang w:eastAsia="en-AU"/>
              </w:rPr>
            </w:pPr>
            <w:r w:rsidRPr="00707885">
              <w:rPr>
                <w:rFonts w:cs="Arial"/>
                <w:color w:val="000000"/>
                <w:sz w:val="16"/>
                <w:szCs w:val="16"/>
                <w:lang w:eastAsia="en-AU"/>
              </w:rPr>
              <w:t>Metro</w:t>
            </w:r>
          </w:p>
        </w:tc>
        <w:tc>
          <w:tcPr>
            <w:tcW w:w="914" w:type="pct"/>
            <w:shd w:val="clear" w:color="auto" w:fill="auto"/>
            <w:noWrap/>
            <w:hideMark/>
          </w:tcPr>
          <w:p w14:paraId="754A8AB6"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1,191 </w:t>
            </w:r>
          </w:p>
        </w:tc>
        <w:tc>
          <w:tcPr>
            <w:tcW w:w="1613" w:type="pct"/>
            <w:shd w:val="clear" w:color="auto" w:fill="auto"/>
            <w:noWrap/>
            <w:hideMark/>
          </w:tcPr>
          <w:p w14:paraId="47B86C37"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119 </w:t>
            </w:r>
          </w:p>
        </w:tc>
      </w:tr>
      <w:tr w:rsidR="00707885" w:rsidRPr="00707885" w14:paraId="54CF2331" w14:textId="77777777" w:rsidTr="00707885">
        <w:trPr>
          <w:trHeight w:val="285"/>
        </w:trPr>
        <w:tc>
          <w:tcPr>
            <w:tcW w:w="1669" w:type="pct"/>
            <w:shd w:val="clear" w:color="auto" w:fill="auto"/>
            <w:noWrap/>
            <w:hideMark/>
          </w:tcPr>
          <w:p w14:paraId="20216172" w14:textId="77777777" w:rsidR="00707885" w:rsidRPr="00707885" w:rsidRDefault="00707885" w:rsidP="00707885">
            <w:pPr>
              <w:rPr>
                <w:rFonts w:cs="Arial"/>
                <w:b/>
                <w:bCs/>
                <w:sz w:val="16"/>
                <w:szCs w:val="16"/>
                <w:lang w:eastAsia="en-AU"/>
              </w:rPr>
            </w:pPr>
            <w:r w:rsidRPr="00707885">
              <w:rPr>
                <w:rFonts w:cs="Arial"/>
                <w:b/>
                <w:bCs/>
                <w:sz w:val="16"/>
                <w:szCs w:val="16"/>
                <w:lang w:eastAsia="en-AU"/>
              </w:rPr>
              <w:t>Indigo (S)</w:t>
            </w:r>
          </w:p>
        </w:tc>
        <w:tc>
          <w:tcPr>
            <w:tcW w:w="804" w:type="pct"/>
            <w:shd w:val="clear" w:color="auto" w:fill="auto"/>
            <w:noWrap/>
            <w:vAlign w:val="bottom"/>
            <w:hideMark/>
          </w:tcPr>
          <w:p w14:paraId="3BA409A3" w14:textId="77777777" w:rsidR="00707885" w:rsidRPr="00707885" w:rsidRDefault="00707885" w:rsidP="00707885">
            <w:pPr>
              <w:rPr>
                <w:rFonts w:cs="Arial"/>
                <w:color w:val="000000"/>
                <w:sz w:val="16"/>
                <w:szCs w:val="16"/>
                <w:lang w:eastAsia="en-AU"/>
              </w:rPr>
            </w:pPr>
            <w:r w:rsidRPr="00707885">
              <w:rPr>
                <w:rFonts w:cs="Arial"/>
                <w:color w:val="000000"/>
                <w:sz w:val="16"/>
                <w:szCs w:val="16"/>
                <w:lang w:eastAsia="en-AU"/>
              </w:rPr>
              <w:t>Rural</w:t>
            </w:r>
          </w:p>
        </w:tc>
        <w:tc>
          <w:tcPr>
            <w:tcW w:w="914" w:type="pct"/>
            <w:shd w:val="clear" w:color="auto" w:fill="auto"/>
            <w:noWrap/>
            <w:hideMark/>
          </w:tcPr>
          <w:p w14:paraId="1F128709"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1,567 </w:t>
            </w:r>
          </w:p>
        </w:tc>
        <w:tc>
          <w:tcPr>
            <w:tcW w:w="1613" w:type="pct"/>
            <w:shd w:val="clear" w:color="auto" w:fill="auto"/>
            <w:noWrap/>
            <w:hideMark/>
          </w:tcPr>
          <w:p w14:paraId="24D32F6D"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390 </w:t>
            </w:r>
          </w:p>
        </w:tc>
      </w:tr>
      <w:tr w:rsidR="00707885" w:rsidRPr="00707885" w14:paraId="3F93BAB5" w14:textId="77777777" w:rsidTr="00707885">
        <w:trPr>
          <w:trHeight w:val="285"/>
        </w:trPr>
        <w:tc>
          <w:tcPr>
            <w:tcW w:w="1669" w:type="pct"/>
            <w:shd w:val="clear" w:color="auto" w:fill="auto"/>
            <w:noWrap/>
            <w:hideMark/>
          </w:tcPr>
          <w:p w14:paraId="2985EA4A" w14:textId="77777777" w:rsidR="00707885" w:rsidRPr="00707885" w:rsidRDefault="00707885" w:rsidP="00707885">
            <w:pPr>
              <w:rPr>
                <w:rFonts w:cs="Arial"/>
                <w:b/>
                <w:bCs/>
                <w:sz w:val="16"/>
                <w:szCs w:val="16"/>
                <w:lang w:eastAsia="en-AU"/>
              </w:rPr>
            </w:pPr>
            <w:r w:rsidRPr="00707885">
              <w:rPr>
                <w:rFonts w:cs="Arial"/>
                <w:b/>
                <w:bCs/>
                <w:sz w:val="16"/>
                <w:szCs w:val="16"/>
                <w:lang w:eastAsia="en-AU"/>
              </w:rPr>
              <w:t>Kingston (C)</w:t>
            </w:r>
          </w:p>
        </w:tc>
        <w:tc>
          <w:tcPr>
            <w:tcW w:w="804" w:type="pct"/>
            <w:shd w:val="clear" w:color="auto" w:fill="auto"/>
            <w:noWrap/>
            <w:vAlign w:val="bottom"/>
            <w:hideMark/>
          </w:tcPr>
          <w:p w14:paraId="1179EA68" w14:textId="77777777" w:rsidR="00707885" w:rsidRPr="00707885" w:rsidRDefault="00707885" w:rsidP="00707885">
            <w:pPr>
              <w:rPr>
                <w:rFonts w:cs="Arial"/>
                <w:color w:val="000000"/>
                <w:sz w:val="16"/>
                <w:szCs w:val="16"/>
                <w:lang w:eastAsia="en-AU"/>
              </w:rPr>
            </w:pPr>
            <w:r w:rsidRPr="00707885">
              <w:rPr>
                <w:rFonts w:cs="Arial"/>
                <w:color w:val="000000"/>
                <w:sz w:val="16"/>
                <w:szCs w:val="16"/>
                <w:lang w:eastAsia="en-AU"/>
              </w:rPr>
              <w:t>Metro</w:t>
            </w:r>
          </w:p>
        </w:tc>
        <w:tc>
          <w:tcPr>
            <w:tcW w:w="914" w:type="pct"/>
            <w:shd w:val="clear" w:color="auto" w:fill="auto"/>
            <w:noWrap/>
            <w:hideMark/>
          </w:tcPr>
          <w:p w14:paraId="0D22633D"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704 </w:t>
            </w:r>
          </w:p>
        </w:tc>
        <w:tc>
          <w:tcPr>
            <w:tcW w:w="1613" w:type="pct"/>
            <w:shd w:val="clear" w:color="auto" w:fill="auto"/>
            <w:noWrap/>
            <w:hideMark/>
          </w:tcPr>
          <w:p w14:paraId="7B45CB43"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38 </w:t>
            </w:r>
          </w:p>
        </w:tc>
      </w:tr>
      <w:tr w:rsidR="00707885" w:rsidRPr="00707885" w14:paraId="1032B696" w14:textId="77777777" w:rsidTr="00707885">
        <w:trPr>
          <w:trHeight w:val="285"/>
        </w:trPr>
        <w:tc>
          <w:tcPr>
            <w:tcW w:w="1669" w:type="pct"/>
            <w:shd w:val="clear" w:color="auto" w:fill="auto"/>
            <w:noWrap/>
            <w:hideMark/>
          </w:tcPr>
          <w:p w14:paraId="216E84DA" w14:textId="77777777" w:rsidR="00707885" w:rsidRPr="00707885" w:rsidRDefault="00707885" w:rsidP="00707885">
            <w:pPr>
              <w:rPr>
                <w:rFonts w:cs="Arial"/>
                <w:b/>
                <w:bCs/>
                <w:sz w:val="16"/>
                <w:szCs w:val="16"/>
                <w:lang w:eastAsia="en-AU"/>
              </w:rPr>
            </w:pPr>
            <w:r w:rsidRPr="00707885">
              <w:rPr>
                <w:rFonts w:cs="Arial"/>
                <w:b/>
                <w:bCs/>
                <w:sz w:val="16"/>
                <w:szCs w:val="16"/>
                <w:lang w:eastAsia="en-AU"/>
              </w:rPr>
              <w:t>Knox (C)</w:t>
            </w:r>
          </w:p>
        </w:tc>
        <w:tc>
          <w:tcPr>
            <w:tcW w:w="804" w:type="pct"/>
            <w:shd w:val="clear" w:color="auto" w:fill="auto"/>
            <w:noWrap/>
            <w:vAlign w:val="bottom"/>
            <w:hideMark/>
          </w:tcPr>
          <w:p w14:paraId="27EB6388" w14:textId="77777777" w:rsidR="00707885" w:rsidRPr="00707885" w:rsidRDefault="00707885" w:rsidP="00707885">
            <w:pPr>
              <w:rPr>
                <w:rFonts w:cs="Arial"/>
                <w:color w:val="000000"/>
                <w:sz w:val="16"/>
                <w:szCs w:val="16"/>
                <w:lang w:eastAsia="en-AU"/>
              </w:rPr>
            </w:pPr>
            <w:r w:rsidRPr="00707885">
              <w:rPr>
                <w:rFonts w:cs="Arial"/>
                <w:color w:val="000000"/>
                <w:sz w:val="16"/>
                <w:szCs w:val="16"/>
                <w:lang w:eastAsia="en-AU"/>
              </w:rPr>
              <w:t>Metro</w:t>
            </w:r>
          </w:p>
        </w:tc>
        <w:tc>
          <w:tcPr>
            <w:tcW w:w="914" w:type="pct"/>
            <w:shd w:val="clear" w:color="auto" w:fill="auto"/>
            <w:noWrap/>
            <w:hideMark/>
          </w:tcPr>
          <w:p w14:paraId="0C562510"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721 </w:t>
            </w:r>
          </w:p>
        </w:tc>
        <w:tc>
          <w:tcPr>
            <w:tcW w:w="1613" w:type="pct"/>
            <w:shd w:val="clear" w:color="auto" w:fill="auto"/>
            <w:noWrap/>
            <w:hideMark/>
          </w:tcPr>
          <w:p w14:paraId="5FD88351"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71 </w:t>
            </w:r>
          </w:p>
        </w:tc>
      </w:tr>
      <w:tr w:rsidR="00707885" w:rsidRPr="00707885" w14:paraId="123CDB30" w14:textId="77777777" w:rsidTr="00707885">
        <w:trPr>
          <w:trHeight w:val="285"/>
        </w:trPr>
        <w:tc>
          <w:tcPr>
            <w:tcW w:w="1669" w:type="pct"/>
            <w:shd w:val="clear" w:color="auto" w:fill="auto"/>
            <w:noWrap/>
            <w:hideMark/>
          </w:tcPr>
          <w:p w14:paraId="04934B26" w14:textId="77777777" w:rsidR="00707885" w:rsidRPr="00707885" w:rsidRDefault="00707885" w:rsidP="00707885">
            <w:pPr>
              <w:rPr>
                <w:rFonts w:cs="Arial"/>
                <w:b/>
                <w:bCs/>
                <w:sz w:val="16"/>
                <w:szCs w:val="16"/>
                <w:lang w:eastAsia="en-AU"/>
              </w:rPr>
            </w:pPr>
            <w:r w:rsidRPr="00707885">
              <w:rPr>
                <w:rFonts w:cs="Arial"/>
                <w:b/>
                <w:bCs/>
                <w:sz w:val="16"/>
                <w:szCs w:val="16"/>
                <w:lang w:eastAsia="en-AU"/>
              </w:rPr>
              <w:t>Latrobe (C)</w:t>
            </w:r>
          </w:p>
        </w:tc>
        <w:tc>
          <w:tcPr>
            <w:tcW w:w="804" w:type="pct"/>
            <w:shd w:val="clear" w:color="auto" w:fill="auto"/>
            <w:noWrap/>
            <w:vAlign w:val="bottom"/>
            <w:hideMark/>
          </w:tcPr>
          <w:p w14:paraId="21B69C31" w14:textId="77777777" w:rsidR="00707885" w:rsidRPr="00707885" w:rsidRDefault="00707885" w:rsidP="00707885">
            <w:pPr>
              <w:rPr>
                <w:rFonts w:cs="Arial"/>
                <w:color w:val="000000"/>
                <w:sz w:val="16"/>
                <w:szCs w:val="16"/>
                <w:lang w:eastAsia="en-AU"/>
              </w:rPr>
            </w:pPr>
            <w:r w:rsidRPr="00707885">
              <w:rPr>
                <w:rFonts w:cs="Arial"/>
                <w:color w:val="000000"/>
                <w:sz w:val="16"/>
                <w:szCs w:val="16"/>
                <w:lang w:eastAsia="en-AU"/>
              </w:rPr>
              <w:t>Rural</w:t>
            </w:r>
          </w:p>
        </w:tc>
        <w:tc>
          <w:tcPr>
            <w:tcW w:w="914" w:type="pct"/>
            <w:shd w:val="clear" w:color="auto" w:fill="auto"/>
            <w:noWrap/>
            <w:hideMark/>
          </w:tcPr>
          <w:p w14:paraId="7592BDCB"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1,568 </w:t>
            </w:r>
          </w:p>
        </w:tc>
        <w:tc>
          <w:tcPr>
            <w:tcW w:w="1613" w:type="pct"/>
            <w:shd w:val="clear" w:color="auto" w:fill="auto"/>
            <w:noWrap/>
            <w:hideMark/>
          </w:tcPr>
          <w:p w14:paraId="19880537"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269 </w:t>
            </w:r>
          </w:p>
        </w:tc>
      </w:tr>
      <w:tr w:rsidR="00707885" w:rsidRPr="00707885" w14:paraId="12C22673" w14:textId="77777777" w:rsidTr="00707885">
        <w:trPr>
          <w:trHeight w:val="285"/>
        </w:trPr>
        <w:tc>
          <w:tcPr>
            <w:tcW w:w="1669" w:type="pct"/>
            <w:shd w:val="clear" w:color="auto" w:fill="auto"/>
            <w:noWrap/>
            <w:hideMark/>
          </w:tcPr>
          <w:p w14:paraId="43B16980" w14:textId="77777777" w:rsidR="00707885" w:rsidRPr="00707885" w:rsidRDefault="00707885" w:rsidP="00707885">
            <w:pPr>
              <w:rPr>
                <w:rFonts w:cs="Arial"/>
                <w:b/>
                <w:bCs/>
                <w:sz w:val="16"/>
                <w:szCs w:val="16"/>
                <w:lang w:eastAsia="en-AU"/>
              </w:rPr>
            </w:pPr>
            <w:r w:rsidRPr="00707885">
              <w:rPr>
                <w:rFonts w:cs="Arial"/>
                <w:b/>
                <w:bCs/>
                <w:sz w:val="16"/>
                <w:szCs w:val="16"/>
                <w:lang w:eastAsia="en-AU"/>
              </w:rPr>
              <w:t>Loddon (S)</w:t>
            </w:r>
          </w:p>
        </w:tc>
        <w:tc>
          <w:tcPr>
            <w:tcW w:w="804" w:type="pct"/>
            <w:shd w:val="clear" w:color="auto" w:fill="auto"/>
            <w:noWrap/>
            <w:vAlign w:val="bottom"/>
            <w:hideMark/>
          </w:tcPr>
          <w:p w14:paraId="08291BA9" w14:textId="77777777" w:rsidR="00707885" w:rsidRPr="00707885" w:rsidRDefault="00707885" w:rsidP="00707885">
            <w:pPr>
              <w:rPr>
                <w:rFonts w:cs="Arial"/>
                <w:color w:val="000000"/>
                <w:sz w:val="16"/>
                <w:szCs w:val="16"/>
                <w:lang w:eastAsia="en-AU"/>
              </w:rPr>
            </w:pPr>
            <w:r w:rsidRPr="00707885">
              <w:rPr>
                <w:rFonts w:cs="Arial"/>
                <w:color w:val="000000"/>
                <w:sz w:val="16"/>
                <w:szCs w:val="16"/>
                <w:lang w:eastAsia="en-AU"/>
              </w:rPr>
              <w:t>Rural</w:t>
            </w:r>
          </w:p>
        </w:tc>
        <w:tc>
          <w:tcPr>
            <w:tcW w:w="914" w:type="pct"/>
            <w:shd w:val="clear" w:color="auto" w:fill="auto"/>
            <w:noWrap/>
            <w:hideMark/>
          </w:tcPr>
          <w:p w14:paraId="2C16D2CD"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4,721 </w:t>
            </w:r>
          </w:p>
        </w:tc>
        <w:tc>
          <w:tcPr>
            <w:tcW w:w="1613" w:type="pct"/>
            <w:shd w:val="clear" w:color="auto" w:fill="auto"/>
            <w:noWrap/>
            <w:hideMark/>
          </w:tcPr>
          <w:p w14:paraId="02A1C2FD"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1,191 </w:t>
            </w:r>
          </w:p>
        </w:tc>
      </w:tr>
      <w:tr w:rsidR="00707885" w:rsidRPr="00707885" w14:paraId="1951061B" w14:textId="77777777" w:rsidTr="00707885">
        <w:trPr>
          <w:trHeight w:val="285"/>
        </w:trPr>
        <w:tc>
          <w:tcPr>
            <w:tcW w:w="1669" w:type="pct"/>
            <w:shd w:val="clear" w:color="auto" w:fill="auto"/>
            <w:noWrap/>
            <w:hideMark/>
          </w:tcPr>
          <w:p w14:paraId="3D49C8A5" w14:textId="77777777" w:rsidR="00707885" w:rsidRPr="00707885" w:rsidRDefault="00707885" w:rsidP="00707885">
            <w:pPr>
              <w:rPr>
                <w:rFonts w:cs="Arial"/>
                <w:b/>
                <w:bCs/>
                <w:sz w:val="16"/>
                <w:szCs w:val="16"/>
                <w:lang w:eastAsia="en-AU"/>
              </w:rPr>
            </w:pPr>
            <w:r w:rsidRPr="00707885">
              <w:rPr>
                <w:rFonts w:cs="Arial"/>
                <w:b/>
                <w:bCs/>
                <w:sz w:val="16"/>
                <w:szCs w:val="16"/>
                <w:lang w:eastAsia="en-AU"/>
              </w:rPr>
              <w:t>Macedon Ranges (S)</w:t>
            </w:r>
          </w:p>
        </w:tc>
        <w:tc>
          <w:tcPr>
            <w:tcW w:w="804" w:type="pct"/>
            <w:shd w:val="clear" w:color="auto" w:fill="auto"/>
            <w:noWrap/>
            <w:vAlign w:val="bottom"/>
            <w:hideMark/>
          </w:tcPr>
          <w:p w14:paraId="52A33BA1" w14:textId="77777777" w:rsidR="00707885" w:rsidRPr="00707885" w:rsidRDefault="00707885" w:rsidP="00707885">
            <w:pPr>
              <w:rPr>
                <w:rFonts w:cs="Arial"/>
                <w:color w:val="000000"/>
                <w:sz w:val="16"/>
                <w:szCs w:val="16"/>
                <w:lang w:eastAsia="en-AU"/>
              </w:rPr>
            </w:pPr>
            <w:r w:rsidRPr="00707885">
              <w:rPr>
                <w:rFonts w:cs="Arial"/>
                <w:color w:val="000000"/>
                <w:sz w:val="16"/>
                <w:szCs w:val="16"/>
                <w:lang w:eastAsia="en-AU"/>
              </w:rPr>
              <w:t>Rural</w:t>
            </w:r>
          </w:p>
        </w:tc>
        <w:tc>
          <w:tcPr>
            <w:tcW w:w="914" w:type="pct"/>
            <w:shd w:val="clear" w:color="auto" w:fill="auto"/>
            <w:noWrap/>
            <w:hideMark/>
          </w:tcPr>
          <w:p w14:paraId="5B337996"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1,661 </w:t>
            </w:r>
          </w:p>
        </w:tc>
        <w:tc>
          <w:tcPr>
            <w:tcW w:w="1613" w:type="pct"/>
            <w:shd w:val="clear" w:color="auto" w:fill="auto"/>
            <w:noWrap/>
            <w:hideMark/>
          </w:tcPr>
          <w:p w14:paraId="60CC511F"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185 </w:t>
            </w:r>
          </w:p>
        </w:tc>
      </w:tr>
      <w:tr w:rsidR="00707885" w:rsidRPr="00707885" w14:paraId="70F2519B" w14:textId="77777777" w:rsidTr="00707885">
        <w:trPr>
          <w:trHeight w:val="285"/>
        </w:trPr>
        <w:tc>
          <w:tcPr>
            <w:tcW w:w="1669" w:type="pct"/>
            <w:shd w:val="clear" w:color="auto" w:fill="auto"/>
            <w:noWrap/>
            <w:hideMark/>
          </w:tcPr>
          <w:p w14:paraId="5463E63D" w14:textId="77777777" w:rsidR="00707885" w:rsidRPr="00707885" w:rsidRDefault="00707885" w:rsidP="00707885">
            <w:pPr>
              <w:rPr>
                <w:rFonts w:cs="Arial"/>
                <w:b/>
                <w:bCs/>
                <w:sz w:val="16"/>
                <w:szCs w:val="16"/>
                <w:lang w:eastAsia="en-AU"/>
              </w:rPr>
            </w:pPr>
            <w:r w:rsidRPr="00707885">
              <w:rPr>
                <w:rFonts w:cs="Arial"/>
                <w:b/>
                <w:bCs/>
                <w:sz w:val="16"/>
                <w:szCs w:val="16"/>
                <w:lang w:eastAsia="en-AU"/>
              </w:rPr>
              <w:t>Manningham (C)</w:t>
            </w:r>
          </w:p>
        </w:tc>
        <w:tc>
          <w:tcPr>
            <w:tcW w:w="804" w:type="pct"/>
            <w:shd w:val="clear" w:color="auto" w:fill="auto"/>
            <w:noWrap/>
            <w:vAlign w:val="bottom"/>
            <w:hideMark/>
          </w:tcPr>
          <w:p w14:paraId="1784A75A" w14:textId="77777777" w:rsidR="00707885" w:rsidRPr="00707885" w:rsidRDefault="00707885" w:rsidP="00707885">
            <w:pPr>
              <w:rPr>
                <w:rFonts w:cs="Arial"/>
                <w:color w:val="000000"/>
                <w:sz w:val="16"/>
                <w:szCs w:val="16"/>
                <w:lang w:eastAsia="en-AU"/>
              </w:rPr>
            </w:pPr>
            <w:r w:rsidRPr="00707885">
              <w:rPr>
                <w:rFonts w:cs="Arial"/>
                <w:color w:val="000000"/>
                <w:sz w:val="16"/>
                <w:szCs w:val="16"/>
                <w:lang w:eastAsia="en-AU"/>
              </w:rPr>
              <w:t>Metro</w:t>
            </w:r>
          </w:p>
        </w:tc>
        <w:tc>
          <w:tcPr>
            <w:tcW w:w="914" w:type="pct"/>
            <w:shd w:val="clear" w:color="auto" w:fill="auto"/>
            <w:noWrap/>
            <w:hideMark/>
          </w:tcPr>
          <w:p w14:paraId="5714DE78"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599 </w:t>
            </w:r>
          </w:p>
        </w:tc>
        <w:tc>
          <w:tcPr>
            <w:tcW w:w="1613" w:type="pct"/>
            <w:shd w:val="clear" w:color="auto" w:fill="auto"/>
            <w:noWrap/>
            <w:hideMark/>
          </w:tcPr>
          <w:p w14:paraId="56A772F7" w14:textId="77777777" w:rsidR="00707885" w:rsidRPr="00707885" w:rsidRDefault="00707885" w:rsidP="00707885">
            <w:pPr>
              <w:rPr>
                <w:rFonts w:cs="Arial"/>
                <w:b/>
                <w:bCs/>
                <w:sz w:val="16"/>
                <w:szCs w:val="16"/>
                <w:lang w:eastAsia="en-AU"/>
              </w:rPr>
            </w:pPr>
            <w:r w:rsidRPr="00707885">
              <w:rPr>
                <w:rFonts w:cs="Arial"/>
                <w:b/>
                <w:bCs/>
                <w:sz w:val="16"/>
                <w:szCs w:val="16"/>
                <w:lang w:eastAsia="en-AU"/>
              </w:rPr>
              <w:t> </w:t>
            </w:r>
          </w:p>
        </w:tc>
      </w:tr>
      <w:tr w:rsidR="00707885" w:rsidRPr="00707885" w14:paraId="76FA74A1" w14:textId="77777777" w:rsidTr="00707885">
        <w:trPr>
          <w:trHeight w:val="285"/>
        </w:trPr>
        <w:tc>
          <w:tcPr>
            <w:tcW w:w="1669" w:type="pct"/>
            <w:shd w:val="clear" w:color="auto" w:fill="auto"/>
            <w:noWrap/>
            <w:hideMark/>
          </w:tcPr>
          <w:p w14:paraId="1B31AC62" w14:textId="77777777" w:rsidR="00707885" w:rsidRPr="00707885" w:rsidRDefault="00707885" w:rsidP="00707885">
            <w:pPr>
              <w:rPr>
                <w:rFonts w:cs="Arial"/>
                <w:b/>
                <w:bCs/>
                <w:sz w:val="16"/>
                <w:szCs w:val="16"/>
                <w:lang w:eastAsia="en-AU"/>
              </w:rPr>
            </w:pPr>
            <w:r w:rsidRPr="00707885">
              <w:rPr>
                <w:rFonts w:cs="Arial"/>
                <w:b/>
                <w:bCs/>
                <w:sz w:val="16"/>
                <w:szCs w:val="16"/>
                <w:lang w:eastAsia="en-AU"/>
              </w:rPr>
              <w:t>Mansfield (S)</w:t>
            </w:r>
          </w:p>
        </w:tc>
        <w:tc>
          <w:tcPr>
            <w:tcW w:w="804" w:type="pct"/>
            <w:shd w:val="clear" w:color="auto" w:fill="auto"/>
            <w:noWrap/>
            <w:vAlign w:val="bottom"/>
            <w:hideMark/>
          </w:tcPr>
          <w:p w14:paraId="5BAEF5DB" w14:textId="77777777" w:rsidR="00707885" w:rsidRPr="00707885" w:rsidRDefault="00707885" w:rsidP="00707885">
            <w:pPr>
              <w:rPr>
                <w:rFonts w:cs="Arial"/>
                <w:color w:val="000000"/>
                <w:sz w:val="16"/>
                <w:szCs w:val="16"/>
                <w:lang w:eastAsia="en-AU"/>
              </w:rPr>
            </w:pPr>
            <w:r w:rsidRPr="00707885">
              <w:rPr>
                <w:rFonts w:cs="Arial"/>
                <w:color w:val="000000"/>
                <w:sz w:val="16"/>
                <w:szCs w:val="16"/>
                <w:lang w:eastAsia="en-AU"/>
              </w:rPr>
              <w:t>Rural</w:t>
            </w:r>
          </w:p>
        </w:tc>
        <w:tc>
          <w:tcPr>
            <w:tcW w:w="914" w:type="pct"/>
            <w:shd w:val="clear" w:color="auto" w:fill="auto"/>
            <w:noWrap/>
            <w:hideMark/>
          </w:tcPr>
          <w:p w14:paraId="621AAC9F"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804 </w:t>
            </w:r>
          </w:p>
        </w:tc>
        <w:tc>
          <w:tcPr>
            <w:tcW w:w="1613" w:type="pct"/>
            <w:shd w:val="clear" w:color="auto" w:fill="auto"/>
            <w:noWrap/>
            <w:hideMark/>
          </w:tcPr>
          <w:p w14:paraId="345D3657"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864 </w:t>
            </w:r>
          </w:p>
        </w:tc>
      </w:tr>
      <w:tr w:rsidR="00707885" w:rsidRPr="00707885" w14:paraId="1086EEF6" w14:textId="77777777" w:rsidTr="00707885">
        <w:trPr>
          <w:trHeight w:val="285"/>
        </w:trPr>
        <w:tc>
          <w:tcPr>
            <w:tcW w:w="1669" w:type="pct"/>
            <w:shd w:val="clear" w:color="auto" w:fill="auto"/>
            <w:noWrap/>
            <w:hideMark/>
          </w:tcPr>
          <w:p w14:paraId="01593A34" w14:textId="77777777" w:rsidR="00707885" w:rsidRPr="00707885" w:rsidRDefault="00707885" w:rsidP="00707885">
            <w:pPr>
              <w:rPr>
                <w:rFonts w:cs="Arial"/>
                <w:b/>
                <w:bCs/>
                <w:sz w:val="16"/>
                <w:szCs w:val="16"/>
                <w:lang w:eastAsia="en-AU"/>
              </w:rPr>
            </w:pPr>
            <w:r w:rsidRPr="00707885">
              <w:rPr>
                <w:rFonts w:cs="Arial"/>
                <w:b/>
                <w:bCs/>
                <w:sz w:val="16"/>
                <w:szCs w:val="16"/>
                <w:lang w:eastAsia="en-AU"/>
              </w:rPr>
              <w:t>Maribyrnong (C)</w:t>
            </w:r>
          </w:p>
        </w:tc>
        <w:tc>
          <w:tcPr>
            <w:tcW w:w="804" w:type="pct"/>
            <w:shd w:val="clear" w:color="auto" w:fill="auto"/>
            <w:noWrap/>
            <w:vAlign w:val="bottom"/>
            <w:hideMark/>
          </w:tcPr>
          <w:p w14:paraId="571A9E27" w14:textId="77777777" w:rsidR="00707885" w:rsidRPr="00707885" w:rsidRDefault="00707885" w:rsidP="00707885">
            <w:pPr>
              <w:rPr>
                <w:rFonts w:cs="Arial"/>
                <w:color w:val="000000"/>
                <w:sz w:val="16"/>
                <w:szCs w:val="16"/>
                <w:lang w:eastAsia="en-AU"/>
              </w:rPr>
            </w:pPr>
            <w:r w:rsidRPr="00707885">
              <w:rPr>
                <w:rFonts w:cs="Arial"/>
                <w:color w:val="000000"/>
                <w:sz w:val="16"/>
                <w:szCs w:val="16"/>
                <w:lang w:eastAsia="en-AU"/>
              </w:rPr>
              <w:t>Metro</w:t>
            </w:r>
          </w:p>
        </w:tc>
        <w:tc>
          <w:tcPr>
            <w:tcW w:w="914" w:type="pct"/>
            <w:shd w:val="clear" w:color="auto" w:fill="auto"/>
            <w:noWrap/>
            <w:hideMark/>
          </w:tcPr>
          <w:p w14:paraId="33322007"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344 </w:t>
            </w:r>
          </w:p>
        </w:tc>
        <w:tc>
          <w:tcPr>
            <w:tcW w:w="1613" w:type="pct"/>
            <w:shd w:val="clear" w:color="auto" w:fill="auto"/>
            <w:noWrap/>
            <w:hideMark/>
          </w:tcPr>
          <w:p w14:paraId="25037407"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35 </w:t>
            </w:r>
          </w:p>
        </w:tc>
      </w:tr>
      <w:tr w:rsidR="00707885" w:rsidRPr="00707885" w14:paraId="4468F8FA" w14:textId="77777777" w:rsidTr="00707885">
        <w:trPr>
          <w:trHeight w:val="285"/>
        </w:trPr>
        <w:tc>
          <w:tcPr>
            <w:tcW w:w="1669" w:type="pct"/>
            <w:shd w:val="clear" w:color="auto" w:fill="auto"/>
            <w:noWrap/>
            <w:hideMark/>
          </w:tcPr>
          <w:p w14:paraId="238A129C" w14:textId="77777777" w:rsidR="00707885" w:rsidRPr="00707885" w:rsidRDefault="00707885" w:rsidP="00707885">
            <w:pPr>
              <w:rPr>
                <w:rFonts w:cs="Arial"/>
                <w:b/>
                <w:bCs/>
                <w:sz w:val="16"/>
                <w:szCs w:val="16"/>
                <w:lang w:eastAsia="en-AU"/>
              </w:rPr>
            </w:pPr>
            <w:r w:rsidRPr="00707885">
              <w:rPr>
                <w:rFonts w:cs="Arial"/>
                <w:b/>
                <w:bCs/>
                <w:sz w:val="16"/>
                <w:szCs w:val="16"/>
                <w:lang w:eastAsia="en-AU"/>
              </w:rPr>
              <w:t>Maroondah (C)</w:t>
            </w:r>
          </w:p>
        </w:tc>
        <w:tc>
          <w:tcPr>
            <w:tcW w:w="804" w:type="pct"/>
            <w:shd w:val="clear" w:color="auto" w:fill="auto"/>
            <w:noWrap/>
            <w:vAlign w:val="bottom"/>
            <w:hideMark/>
          </w:tcPr>
          <w:p w14:paraId="02F8A9D7" w14:textId="77777777" w:rsidR="00707885" w:rsidRPr="00707885" w:rsidRDefault="00707885" w:rsidP="00707885">
            <w:pPr>
              <w:rPr>
                <w:rFonts w:cs="Arial"/>
                <w:color w:val="000000"/>
                <w:sz w:val="16"/>
                <w:szCs w:val="16"/>
                <w:lang w:eastAsia="en-AU"/>
              </w:rPr>
            </w:pPr>
            <w:r w:rsidRPr="00707885">
              <w:rPr>
                <w:rFonts w:cs="Arial"/>
                <w:color w:val="000000"/>
                <w:sz w:val="16"/>
                <w:szCs w:val="16"/>
                <w:lang w:eastAsia="en-AU"/>
              </w:rPr>
              <w:t>Metro</w:t>
            </w:r>
          </w:p>
        </w:tc>
        <w:tc>
          <w:tcPr>
            <w:tcW w:w="914" w:type="pct"/>
            <w:shd w:val="clear" w:color="auto" w:fill="auto"/>
            <w:noWrap/>
            <w:hideMark/>
          </w:tcPr>
          <w:p w14:paraId="1898554E"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476 </w:t>
            </w:r>
          </w:p>
        </w:tc>
        <w:tc>
          <w:tcPr>
            <w:tcW w:w="1613" w:type="pct"/>
            <w:shd w:val="clear" w:color="auto" w:fill="auto"/>
            <w:noWrap/>
            <w:hideMark/>
          </w:tcPr>
          <w:p w14:paraId="270D4DA8"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75 </w:t>
            </w:r>
          </w:p>
        </w:tc>
      </w:tr>
      <w:tr w:rsidR="00707885" w:rsidRPr="00707885" w14:paraId="524A8F0F" w14:textId="77777777" w:rsidTr="00707885">
        <w:trPr>
          <w:trHeight w:val="285"/>
        </w:trPr>
        <w:tc>
          <w:tcPr>
            <w:tcW w:w="1669" w:type="pct"/>
            <w:shd w:val="clear" w:color="auto" w:fill="auto"/>
            <w:noWrap/>
            <w:hideMark/>
          </w:tcPr>
          <w:p w14:paraId="0A246B96" w14:textId="77777777" w:rsidR="00707885" w:rsidRPr="00707885" w:rsidRDefault="00707885" w:rsidP="00707885">
            <w:pPr>
              <w:rPr>
                <w:rFonts w:cs="Arial"/>
                <w:b/>
                <w:bCs/>
                <w:sz w:val="16"/>
                <w:szCs w:val="16"/>
                <w:lang w:eastAsia="en-AU"/>
              </w:rPr>
            </w:pPr>
            <w:r w:rsidRPr="00707885">
              <w:rPr>
                <w:rFonts w:cs="Arial"/>
                <w:b/>
                <w:bCs/>
                <w:sz w:val="16"/>
                <w:szCs w:val="16"/>
                <w:lang w:eastAsia="en-AU"/>
              </w:rPr>
              <w:t>Melbourne (C)</w:t>
            </w:r>
          </w:p>
        </w:tc>
        <w:tc>
          <w:tcPr>
            <w:tcW w:w="804" w:type="pct"/>
            <w:shd w:val="clear" w:color="auto" w:fill="auto"/>
            <w:noWrap/>
            <w:vAlign w:val="bottom"/>
            <w:hideMark/>
          </w:tcPr>
          <w:p w14:paraId="32400806" w14:textId="77777777" w:rsidR="00707885" w:rsidRPr="00707885" w:rsidRDefault="00707885" w:rsidP="00707885">
            <w:pPr>
              <w:rPr>
                <w:rFonts w:cs="Arial"/>
                <w:color w:val="000000"/>
                <w:sz w:val="16"/>
                <w:szCs w:val="16"/>
                <w:lang w:eastAsia="en-AU"/>
              </w:rPr>
            </w:pPr>
            <w:r w:rsidRPr="00707885">
              <w:rPr>
                <w:rFonts w:cs="Arial"/>
                <w:color w:val="000000"/>
                <w:sz w:val="16"/>
                <w:szCs w:val="16"/>
                <w:lang w:eastAsia="en-AU"/>
              </w:rPr>
              <w:t>Metro</w:t>
            </w:r>
          </w:p>
        </w:tc>
        <w:tc>
          <w:tcPr>
            <w:tcW w:w="914" w:type="pct"/>
            <w:shd w:val="clear" w:color="auto" w:fill="auto"/>
            <w:noWrap/>
            <w:hideMark/>
          </w:tcPr>
          <w:p w14:paraId="5D80A04D"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214 </w:t>
            </w:r>
          </w:p>
        </w:tc>
        <w:tc>
          <w:tcPr>
            <w:tcW w:w="1613" w:type="pct"/>
            <w:shd w:val="clear" w:color="auto" w:fill="auto"/>
            <w:noWrap/>
            <w:hideMark/>
          </w:tcPr>
          <w:p w14:paraId="2A9286CF"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236 </w:t>
            </w:r>
          </w:p>
        </w:tc>
      </w:tr>
      <w:tr w:rsidR="00707885" w:rsidRPr="00707885" w14:paraId="5588EDBC" w14:textId="77777777" w:rsidTr="00707885">
        <w:trPr>
          <w:trHeight w:val="285"/>
        </w:trPr>
        <w:tc>
          <w:tcPr>
            <w:tcW w:w="1669" w:type="pct"/>
            <w:shd w:val="clear" w:color="auto" w:fill="auto"/>
            <w:noWrap/>
            <w:hideMark/>
          </w:tcPr>
          <w:p w14:paraId="115F26D1" w14:textId="77777777" w:rsidR="00707885" w:rsidRPr="00707885" w:rsidRDefault="00707885" w:rsidP="00707885">
            <w:pPr>
              <w:rPr>
                <w:rFonts w:cs="Arial"/>
                <w:b/>
                <w:bCs/>
                <w:sz w:val="16"/>
                <w:szCs w:val="16"/>
                <w:lang w:eastAsia="en-AU"/>
              </w:rPr>
            </w:pPr>
            <w:r w:rsidRPr="00707885">
              <w:rPr>
                <w:rFonts w:cs="Arial"/>
                <w:b/>
                <w:bCs/>
                <w:sz w:val="16"/>
                <w:szCs w:val="16"/>
                <w:lang w:eastAsia="en-AU"/>
              </w:rPr>
              <w:t>Melton (S)</w:t>
            </w:r>
          </w:p>
        </w:tc>
        <w:tc>
          <w:tcPr>
            <w:tcW w:w="804" w:type="pct"/>
            <w:shd w:val="clear" w:color="auto" w:fill="auto"/>
            <w:noWrap/>
            <w:vAlign w:val="bottom"/>
            <w:hideMark/>
          </w:tcPr>
          <w:p w14:paraId="0A60D6C7" w14:textId="77777777" w:rsidR="00707885" w:rsidRPr="00707885" w:rsidRDefault="00707885" w:rsidP="00707885">
            <w:pPr>
              <w:rPr>
                <w:rFonts w:cs="Arial"/>
                <w:color w:val="000000"/>
                <w:sz w:val="16"/>
                <w:szCs w:val="16"/>
                <w:lang w:eastAsia="en-AU"/>
              </w:rPr>
            </w:pPr>
            <w:r w:rsidRPr="00707885">
              <w:rPr>
                <w:rFonts w:cs="Arial"/>
                <w:color w:val="000000"/>
                <w:sz w:val="16"/>
                <w:szCs w:val="16"/>
                <w:lang w:eastAsia="en-AU"/>
              </w:rPr>
              <w:t>Metro</w:t>
            </w:r>
          </w:p>
        </w:tc>
        <w:tc>
          <w:tcPr>
            <w:tcW w:w="914" w:type="pct"/>
            <w:shd w:val="clear" w:color="auto" w:fill="auto"/>
            <w:noWrap/>
            <w:hideMark/>
          </w:tcPr>
          <w:p w14:paraId="401C4245"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1,026 </w:t>
            </w:r>
          </w:p>
        </w:tc>
        <w:tc>
          <w:tcPr>
            <w:tcW w:w="1613" w:type="pct"/>
            <w:shd w:val="clear" w:color="auto" w:fill="auto"/>
            <w:noWrap/>
            <w:hideMark/>
          </w:tcPr>
          <w:p w14:paraId="172730D4" w14:textId="77777777" w:rsidR="00707885" w:rsidRPr="00707885" w:rsidRDefault="00707885" w:rsidP="00707885">
            <w:pPr>
              <w:rPr>
                <w:rFonts w:cs="Arial"/>
                <w:b/>
                <w:bCs/>
                <w:sz w:val="16"/>
                <w:szCs w:val="16"/>
                <w:lang w:eastAsia="en-AU"/>
              </w:rPr>
            </w:pPr>
            <w:r w:rsidRPr="00707885">
              <w:rPr>
                <w:rFonts w:cs="Arial"/>
                <w:b/>
                <w:bCs/>
                <w:sz w:val="16"/>
                <w:szCs w:val="16"/>
                <w:lang w:eastAsia="en-AU"/>
              </w:rPr>
              <w:t> </w:t>
            </w:r>
          </w:p>
        </w:tc>
      </w:tr>
      <w:tr w:rsidR="00707885" w:rsidRPr="00707885" w14:paraId="692B414A" w14:textId="77777777" w:rsidTr="00707885">
        <w:trPr>
          <w:trHeight w:val="285"/>
        </w:trPr>
        <w:tc>
          <w:tcPr>
            <w:tcW w:w="1669" w:type="pct"/>
            <w:shd w:val="clear" w:color="auto" w:fill="auto"/>
            <w:noWrap/>
            <w:hideMark/>
          </w:tcPr>
          <w:p w14:paraId="01153266" w14:textId="77777777" w:rsidR="00707885" w:rsidRPr="00707885" w:rsidRDefault="00707885" w:rsidP="00707885">
            <w:pPr>
              <w:rPr>
                <w:rFonts w:cs="Arial"/>
                <w:b/>
                <w:bCs/>
                <w:sz w:val="16"/>
                <w:szCs w:val="16"/>
                <w:lang w:eastAsia="en-AU"/>
              </w:rPr>
            </w:pPr>
            <w:r w:rsidRPr="00707885">
              <w:rPr>
                <w:rFonts w:cs="Arial"/>
                <w:b/>
                <w:bCs/>
                <w:sz w:val="16"/>
                <w:szCs w:val="16"/>
                <w:lang w:eastAsia="en-AU"/>
              </w:rPr>
              <w:t>Mildura (RC)</w:t>
            </w:r>
          </w:p>
        </w:tc>
        <w:tc>
          <w:tcPr>
            <w:tcW w:w="804" w:type="pct"/>
            <w:shd w:val="clear" w:color="auto" w:fill="auto"/>
            <w:noWrap/>
            <w:vAlign w:val="bottom"/>
            <w:hideMark/>
          </w:tcPr>
          <w:p w14:paraId="253B1227" w14:textId="77777777" w:rsidR="00707885" w:rsidRPr="00707885" w:rsidRDefault="00707885" w:rsidP="00707885">
            <w:pPr>
              <w:rPr>
                <w:rFonts w:cs="Arial"/>
                <w:color w:val="000000"/>
                <w:sz w:val="16"/>
                <w:szCs w:val="16"/>
                <w:lang w:eastAsia="en-AU"/>
              </w:rPr>
            </w:pPr>
            <w:r w:rsidRPr="00707885">
              <w:rPr>
                <w:rFonts w:cs="Arial"/>
                <w:color w:val="000000"/>
                <w:sz w:val="16"/>
                <w:szCs w:val="16"/>
                <w:lang w:eastAsia="en-AU"/>
              </w:rPr>
              <w:t>Rural</w:t>
            </w:r>
          </w:p>
        </w:tc>
        <w:tc>
          <w:tcPr>
            <w:tcW w:w="914" w:type="pct"/>
            <w:shd w:val="clear" w:color="auto" w:fill="auto"/>
            <w:noWrap/>
            <w:hideMark/>
          </w:tcPr>
          <w:p w14:paraId="66342441"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5,097 </w:t>
            </w:r>
          </w:p>
        </w:tc>
        <w:tc>
          <w:tcPr>
            <w:tcW w:w="1613" w:type="pct"/>
            <w:shd w:val="clear" w:color="auto" w:fill="auto"/>
            <w:noWrap/>
            <w:hideMark/>
          </w:tcPr>
          <w:p w14:paraId="795FBEE5"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208 </w:t>
            </w:r>
          </w:p>
        </w:tc>
      </w:tr>
      <w:tr w:rsidR="00707885" w:rsidRPr="00707885" w14:paraId="2C79071D" w14:textId="77777777" w:rsidTr="00707885">
        <w:trPr>
          <w:trHeight w:val="285"/>
        </w:trPr>
        <w:tc>
          <w:tcPr>
            <w:tcW w:w="1669" w:type="pct"/>
            <w:shd w:val="clear" w:color="auto" w:fill="auto"/>
            <w:noWrap/>
            <w:hideMark/>
          </w:tcPr>
          <w:p w14:paraId="3B749584" w14:textId="77777777" w:rsidR="00707885" w:rsidRPr="00707885" w:rsidRDefault="00707885" w:rsidP="00707885">
            <w:pPr>
              <w:rPr>
                <w:rFonts w:cs="Arial"/>
                <w:b/>
                <w:bCs/>
                <w:sz w:val="16"/>
                <w:szCs w:val="16"/>
                <w:lang w:eastAsia="en-AU"/>
              </w:rPr>
            </w:pPr>
            <w:r w:rsidRPr="00707885">
              <w:rPr>
                <w:rFonts w:cs="Arial"/>
                <w:b/>
                <w:bCs/>
                <w:sz w:val="16"/>
                <w:szCs w:val="16"/>
                <w:lang w:eastAsia="en-AU"/>
              </w:rPr>
              <w:t>Mitchell (S)</w:t>
            </w:r>
          </w:p>
        </w:tc>
        <w:tc>
          <w:tcPr>
            <w:tcW w:w="804" w:type="pct"/>
            <w:shd w:val="clear" w:color="auto" w:fill="auto"/>
            <w:noWrap/>
            <w:vAlign w:val="bottom"/>
            <w:hideMark/>
          </w:tcPr>
          <w:p w14:paraId="0298B66F" w14:textId="77777777" w:rsidR="00707885" w:rsidRPr="00707885" w:rsidRDefault="00707885" w:rsidP="00707885">
            <w:pPr>
              <w:rPr>
                <w:rFonts w:cs="Arial"/>
                <w:color w:val="000000"/>
                <w:sz w:val="16"/>
                <w:szCs w:val="16"/>
                <w:lang w:eastAsia="en-AU"/>
              </w:rPr>
            </w:pPr>
            <w:r w:rsidRPr="00707885">
              <w:rPr>
                <w:rFonts w:cs="Arial"/>
                <w:color w:val="000000"/>
                <w:sz w:val="16"/>
                <w:szCs w:val="16"/>
                <w:lang w:eastAsia="en-AU"/>
              </w:rPr>
              <w:t>Rural</w:t>
            </w:r>
          </w:p>
        </w:tc>
        <w:tc>
          <w:tcPr>
            <w:tcW w:w="914" w:type="pct"/>
            <w:shd w:val="clear" w:color="auto" w:fill="auto"/>
            <w:noWrap/>
            <w:hideMark/>
          </w:tcPr>
          <w:p w14:paraId="379B6CC2"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1,473 </w:t>
            </w:r>
          </w:p>
        </w:tc>
        <w:tc>
          <w:tcPr>
            <w:tcW w:w="1613" w:type="pct"/>
            <w:shd w:val="clear" w:color="auto" w:fill="auto"/>
            <w:noWrap/>
            <w:hideMark/>
          </w:tcPr>
          <w:p w14:paraId="60A81D4D"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140 </w:t>
            </w:r>
          </w:p>
        </w:tc>
      </w:tr>
      <w:tr w:rsidR="00707885" w:rsidRPr="00707885" w14:paraId="60D08D99" w14:textId="77777777" w:rsidTr="00707885">
        <w:trPr>
          <w:trHeight w:val="285"/>
        </w:trPr>
        <w:tc>
          <w:tcPr>
            <w:tcW w:w="1669" w:type="pct"/>
            <w:shd w:val="clear" w:color="auto" w:fill="auto"/>
            <w:noWrap/>
            <w:hideMark/>
          </w:tcPr>
          <w:p w14:paraId="3A12ABD7" w14:textId="77777777" w:rsidR="00707885" w:rsidRPr="00707885" w:rsidRDefault="00707885" w:rsidP="00707885">
            <w:pPr>
              <w:rPr>
                <w:rFonts w:cs="Arial"/>
                <w:b/>
                <w:bCs/>
                <w:sz w:val="16"/>
                <w:szCs w:val="16"/>
                <w:lang w:eastAsia="en-AU"/>
              </w:rPr>
            </w:pPr>
            <w:r w:rsidRPr="00707885">
              <w:rPr>
                <w:rFonts w:cs="Arial"/>
                <w:b/>
                <w:bCs/>
                <w:sz w:val="16"/>
                <w:szCs w:val="16"/>
                <w:lang w:eastAsia="en-AU"/>
              </w:rPr>
              <w:t>Moira (S)</w:t>
            </w:r>
          </w:p>
        </w:tc>
        <w:tc>
          <w:tcPr>
            <w:tcW w:w="804" w:type="pct"/>
            <w:shd w:val="clear" w:color="auto" w:fill="auto"/>
            <w:noWrap/>
            <w:vAlign w:val="bottom"/>
            <w:hideMark/>
          </w:tcPr>
          <w:p w14:paraId="79573BCE" w14:textId="77777777" w:rsidR="00707885" w:rsidRPr="00707885" w:rsidRDefault="00707885" w:rsidP="00707885">
            <w:pPr>
              <w:rPr>
                <w:rFonts w:cs="Arial"/>
                <w:color w:val="000000"/>
                <w:sz w:val="16"/>
                <w:szCs w:val="16"/>
                <w:lang w:eastAsia="en-AU"/>
              </w:rPr>
            </w:pPr>
            <w:r w:rsidRPr="00707885">
              <w:rPr>
                <w:rFonts w:cs="Arial"/>
                <w:color w:val="000000"/>
                <w:sz w:val="16"/>
                <w:szCs w:val="16"/>
                <w:lang w:eastAsia="en-AU"/>
              </w:rPr>
              <w:t>Rural</w:t>
            </w:r>
          </w:p>
        </w:tc>
        <w:tc>
          <w:tcPr>
            <w:tcW w:w="914" w:type="pct"/>
            <w:shd w:val="clear" w:color="auto" w:fill="auto"/>
            <w:noWrap/>
            <w:hideMark/>
          </w:tcPr>
          <w:p w14:paraId="229E52D6"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3,654 </w:t>
            </w:r>
          </w:p>
        </w:tc>
        <w:tc>
          <w:tcPr>
            <w:tcW w:w="1613" w:type="pct"/>
            <w:shd w:val="clear" w:color="auto" w:fill="auto"/>
            <w:noWrap/>
            <w:hideMark/>
          </w:tcPr>
          <w:p w14:paraId="2EDC9F1B"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319 </w:t>
            </w:r>
          </w:p>
        </w:tc>
      </w:tr>
      <w:tr w:rsidR="00707885" w:rsidRPr="00707885" w14:paraId="69048554" w14:textId="77777777" w:rsidTr="00707885">
        <w:trPr>
          <w:trHeight w:val="285"/>
        </w:trPr>
        <w:tc>
          <w:tcPr>
            <w:tcW w:w="1669" w:type="pct"/>
            <w:shd w:val="clear" w:color="auto" w:fill="auto"/>
            <w:noWrap/>
            <w:hideMark/>
          </w:tcPr>
          <w:p w14:paraId="3BD508AA" w14:textId="77777777" w:rsidR="00707885" w:rsidRPr="00707885" w:rsidRDefault="00707885" w:rsidP="00707885">
            <w:pPr>
              <w:rPr>
                <w:rFonts w:cs="Arial"/>
                <w:b/>
                <w:bCs/>
                <w:sz w:val="16"/>
                <w:szCs w:val="16"/>
                <w:lang w:eastAsia="en-AU"/>
              </w:rPr>
            </w:pPr>
            <w:r w:rsidRPr="00707885">
              <w:rPr>
                <w:rFonts w:cs="Arial"/>
                <w:b/>
                <w:bCs/>
                <w:sz w:val="16"/>
                <w:szCs w:val="16"/>
                <w:lang w:eastAsia="en-AU"/>
              </w:rPr>
              <w:t>Monash (C)</w:t>
            </w:r>
          </w:p>
        </w:tc>
        <w:tc>
          <w:tcPr>
            <w:tcW w:w="804" w:type="pct"/>
            <w:shd w:val="clear" w:color="auto" w:fill="auto"/>
            <w:noWrap/>
            <w:vAlign w:val="bottom"/>
            <w:hideMark/>
          </w:tcPr>
          <w:p w14:paraId="76BA32AD" w14:textId="77777777" w:rsidR="00707885" w:rsidRPr="00707885" w:rsidRDefault="00707885" w:rsidP="00707885">
            <w:pPr>
              <w:rPr>
                <w:rFonts w:cs="Arial"/>
                <w:color w:val="000000"/>
                <w:sz w:val="16"/>
                <w:szCs w:val="16"/>
                <w:lang w:eastAsia="en-AU"/>
              </w:rPr>
            </w:pPr>
            <w:r w:rsidRPr="00707885">
              <w:rPr>
                <w:rFonts w:cs="Arial"/>
                <w:color w:val="000000"/>
                <w:sz w:val="16"/>
                <w:szCs w:val="16"/>
                <w:lang w:eastAsia="en-AU"/>
              </w:rPr>
              <w:t>Metro</w:t>
            </w:r>
          </w:p>
        </w:tc>
        <w:tc>
          <w:tcPr>
            <w:tcW w:w="914" w:type="pct"/>
            <w:shd w:val="clear" w:color="auto" w:fill="auto"/>
            <w:noWrap/>
            <w:hideMark/>
          </w:tcPr>
          <w:p w14:paraId="60371DA4"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736 </w:t>
            </w:r>
          </w:p>
        </w:tc>
        <w:tc>
          <w:tcPr>
            <w:tcW w:w="1613" w:type="pct"/>
            <w:shd w:val="clear" w:color="auto" w:fill="auto"/>
            <w:noWrap/>
            <w:hideMark/>
          </w:tcPr>
          <w:p w14:paraId="3D791417"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55 </w:t>
            </w:r>
          </w:p>
        </w:tc>
      </w:tr>
      <w:tr w:rsidR="00707885" w:rsidRPr="00707885" w14:paraId="228A45DD" w14:textId="77777777" w:rsidTr="00707885">
        <w:trPr>
          <w:trHeight w:val="285"/>
        </w:trPr>
        <w:tc>
          <w:tcPr>
            <w:tcW w:w="1669" w:type="pct"/>
            <w:shd w:val="clear" w:color="auto" w:fill="auto"/>
            <w:noWrap/>
            <w:hideMark/>
          </w:tcPr>
          <w:p w14:paraId="6D7BD296" w14:textId="77777777" w:rsidR="00707885" w:rsidRPr="00707885" w:rsidRDefault="00707885" w:rsidP="00707885">
            <w:pPr>
              <w:rPr>
                <w:rFonts w:cs="Arial"/>
                <w:b/>
                <w:bCs/>
                <w:sz w:val="16"/>
                <w:szCs w:val="16"/>
                <w:lang w:eastAsia="en-AU"/>
              </w:rPr>
            </w:pPr>
            <w:r w:rsidRPr="00707885">
              <w:rPr>
                <w:rFonts w:cs="Arial"/>
                <w:b/>
                <w:bCs/>
                <w:sz w:val="16"/>
                <w:szCs w:val="16"/>
                <w:lang w:eastAsia="en-AU"/>
              </w:rPr>
              <w:t>Moonee Valley (C)</w:t>
            </w:r>
          </w:p>
        </w:tc>
        <w:tc>
          <w:tcPr>
            <w:tcW w:w="804" w:type="pct"/>
            <w:shd w:val="clear" w:color="auto" w:fill="auto"/>
            <w:noWrap/>
            <w:vAlign w:val="bottom"/>
            <w:hideMark/>
          </w:tcPr>
          <w:p w14:paraId="424AB3FC" w14:textId="77777777" w:rsidR="00707885" w:rsidRPr="00707885" w:rsidRDefault="00707885" w:rsidP="00707885">
            <w:pPr>
              <w:rPr>
                <w:rFonts w:cs="Arial"/>
                <w:color w:val="000000"/>
                <w:sz w:val="16"/>
                <w:szCs w:val="16"/>
                <w:lang w:eastAsia="en-AU"/>
              </w:rPr>
            </w:pPr>
            <w:r w:rsidRPr="00707885">
              <w:rPr>
                <w:rFonts w:cs="Arial"/>
                <w:color w:val="000000"/>
                <w:sz w:val="16"/>
                <w:szCs w:val="16"/>
                <w:lang w:eastAsia="en-AU"/>
              </w:rPr>
              <w:t>Metro</w:t>
            </w:r>
          </w:p>
        </w:tc>
        <w:tc>
          <w:tcPr>
            <w:tcW w:w="914" w:type="pct"/>
            <w:shd w:val="clear" w:color="auto" w:fill="auto"/>
            <w:noWrap/>
            <w:hideMark/>
          </w:tcPr>
          <w:p w14:paraId="46E7AF2D"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419 </w:t>
            </w:r>
          </w:p>
        </w:tc>
        <w:tc>
          <w:tcPr>
            <w:tcW w:w="1613" w:type="pct"/>
            <w:shd w:val="clear" w:color="auto" w:fill="auto"/>
            <w:noWrap/>
            <w:hideMark/>
          </w:tcPr>
          <w:p w14:paraId="41382904"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96 </w:t>
            </w:r>
          </w:p>
        </w:tc>
      </w:tr>
      <w:tr w:rsidR="00707885" w:rsidRPr="00707885" w14:paraId="6BFC7B74" w14:textId="77777777" w:rsidTr="00707885">
        <w:trPr>
          <w:trHeight w:val="285"/>
        </w:trPr>
        <w:tc>
          <w:tcPr>
            <w:tcW w:w="1669" w:type="pct"/>
            <w:shd w:val="clear" w:color="auto" w:fill="auto"/>
            <w:noWrap/>
            <w:hideMark/>
          </w:tcPr>
          <w:p w14:paraId="2DA6E6BC" w14:textId="77777777" w:rsidR="00707885" w:rsidRPr="00707885" w:rsidRDefault="00707885" w:rsidP="00707885">
            <w:pPr>
              <w:rPr>
                <w:rFonts w:cs="Arial"/>
                <w:b/>
                <w:bCs/>
                <w:sz w:val="16"/>
                <w:szCs w:val="16"/>
                <w:lang w:eastAsia="en-AU"/>
              </w:rPr>
            </w:pPr>
            <w:r w:rsidRPr="00707885">
              <w:rPr>
                <w:rFonts w:cs="Arial"/>
                <w:b/>
                <w:bCs/>
                <w:sz w:val="16"/>
                <w:szCs w:val="16"/>
                <w:lang w:eastAsia="en-AU"/>
              </w:rPr>
              <w:t>Moorabool (S)</w:t>
            </w:r>
          </w:p>
        </w:tc>
        <w:tc>
          <w:tcPr>
            <w:tcW w:w="804" w:type="pct"/>
            <w:shd w:val="clear" w:color="auto" w:fill="auto"/>
            <w:noWrap/>
            <w:vAlign w:val="bottom"/>
            <w:hideMark/>
          </w:tcPr>
          <w:p w14:paraId="76EE7DA8" w14:textId="77777777" w:rsidR="00707885" w:rsidRPr="00707885" w:rsidRDefault="00707885" w:rsidP="00707885">
            <w:pPr>
              <w:rPr>
                <w:rFonts w:cs="Arial"/>
                <w:color w:val="000000"/>
                <w:sz w:val="16"/>
                <w:szCs w:val="16"/>
                <w:lang w:eastAsia="en-AU"/>
              </w:rPr>
            </w:pPr>
            <w:r w:rsidRPr="00707885">
              <w:rPr>
                <w:rFonts w:cs="Arial"/>
                <w:color w:val="000000"/>
                <w:sz w:val="16"/>
                <w:szCs w:val="16"/>
                <w:lang w:eastAsia="en-AU"/>
              </w:rPr>
              <w:t>Rural</w:t>
            </w:r>
          </w:p>
        </w:tc>
        <w:tc>
          <w:tcPr>
            <w:tcW w:w="914" w:type="pct"/>
            <w:shd w:val="clear" w:color="auto" w:fill="auto"/>
            <w:noWrap/>
            <w:hideMark/>
          </w:tcPr>
          <w:p w14:paraId="36577B2F"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1,503 </w:t>
            </w:r>
          </w:p>
        </w:tc>
        <w:tc>
          <w:tcPr>
            <w:tcW w:w="1613" w:type="pct"/>
            <w:shd w:val="clear" w:color="auto" w:fill="auto"/>
            <w:noWrap/>
            <w:hideMark/>
          </w:tcPr>
          <w:p w14:paraId="551D9C28"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258 </w:t>
            </w:r>
          </w:p>
        </w:tc>
      </w:tr>
      <w:tr w:rsidR="00707885" w:rsidRPr="00707885" w14:paraId="3AAD7B4A" w14:textId="77777777" w:rsidTr="00707885">
        <w:trPr>
          <w:trHeight w:val="285"/>
        </w:trPr>
        <w:tc>
          <w:tcPr>
            <w:tcW w:w="1669" w:type="pct"/>
            <w:shd w:val="clear" w:color="auto" w:fill="auto"/>
            <w:noWrap/>
            <w:hideMark/>
          </w:tcPr>
          <w:p w14:paraId="5018F193" w14:textId="77777777" w:rsidR="00707885" w:rsidRPr="00707885" w:rsidRDefault="00707885" w:rsidP="00707885">
            <w:pPr>
              <w:rPr>
                <w:rFonts w:cs="Arial"/>
                <w:b/>
                <w:bCs/>
                <w:sz w:val="16"/>
                <w:szCs w:val="16"/>
                <w:lang w:eastAsia="en-AU"/>
              </w:rPr>
            </w:pPr>
            <w:r w:rsidRPr="00707885">
              <w:rPr>
                <w:rFonts w:cs="Arial"/>
                <w:b/>
                <w:bCs/>
                <w:sz w:val="16"/>
                <w:szCs w:val="16"/>
                <w:lang w:eastAsia="en-AU"/>
              </w:rPr>
              <w:t>Moreland (C)</w:t>
            </w:r>
          </w:p>
        </w:tc>
        <w:tc>
          <w:tcPr>
            <w:tcW w:w="804" w:type="pct"/>
            <w:shd w:val="clear" w:color="auto" w:fill="auto"/>
            <w:noWrap/>
            <w:vAlign w:val="bottom"/>
            <w:hideMark/>
          </w:tcPr>
          <w:p w14:paraId="67F8658C" w14:textId="77777777" w:rsidR="00707885" w:rsidRPr="00707885" w:rsidRDefault="00707885" w:rsidP="00707885">
            <w:pPr>
              <w:rPr>
                <w:rFonts w:cs="Arial"/>
                <w:color w:val="000000"/>
                <w:sz w:val="16"/>
                <w:szCs w:val="16"/>
                <w:lang w:eastAsia="en-AU"/>
              </w:rPr>
            </w:pPr>
            <w:r w:rsidRPr="00707885">
              <w:rPr>
                <w:rFonts w:cs="Arial"/>
                <w:color w:val="000000"/>
                <w:sz w:val="16"/>
                <w:szCs w:val="16"/>
                <w:lang w:eastAsia="en-AU"/>
              </w:rPr>
              <w:t>Metro</w:t>
            </w:r>
          </w:p>
        </w:tc>
        <w:tc>
          <w:tcPr>
            <w:tcW w:w="914" w:type="pct"/>
            <w:shd w:val="clear" w:color="auto" w:fill="auto"/>
            <w:noWrap/>
            <w:hideMark/>
          </w:tcPr>
          <w:p w14:paraId="3F5CA133"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519 </w:t>
            </w:r>
          </w:p>
        </w:tc>
        <w:tc>
          <w:tcPr>
            <w:tcW w:w="1613" w:type="pct"/>
            <w:shd w:val="clear" w:color="auto" w:fill="auto"/>
            <w:noWrap/>
            <w:hideMark/>
          </w:tcPr>
          <w:p w14:paraId="5FA0E63C"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92 </w:t>
            </w:r>
          </w:p>
        </w:tc>
      </w:tr>
      <w:tr w:rsidR="00707885" w:rsidRPr="00707885" w14:paraId="39C528BD" w14:textId="77777777" w:rsidTr="00707885">
        <w:trPr>
          <w:trHeight w:val="285"/>
        </w:trPr>
        <w:tc>
          <w:tcPr>
            <w:tcW w:w="1669" w:type="pct"/>
            <w:shd w:val="clear" w:color="auto" w:fill="auto"/>
            <w:noWrap/>
            <w:hideMark/>
          </w:tcPr>
          <w:p w14:paraId="2C5FAA83" w14:textId="77777777" w:rsidR="00707885" w:rsidRPr="00707885" w:rsidRDefault="00707885" w:rsidP="00707885">
            <w:pPr>
              <w:rPr>
                <w:rFonts w:cs="Arial"/>
                <w:b/>
                <w:bCs/>
                <w:sz w:val="16"/>
                <w:szCs w:val="16"/>
                <w:lang w:eastAsia="en-AU"/>
              </w:rPr>
            </w:pPr>
            <w:r w:rsidRPr="00707885">
              <w:rPr>
                <w:rFonts w:cs="Arial"/>
                <w:b/>
                <w:bCs/>
                <w:sz w:val="16"/>
                <w:szCs w:val="16"/>
                <w:lang w:eastAsia="en-AU"/>
              </w:rPr>
              <w:t>Mornington Peninsula (S)</w:t>
            </w:r>
          </w:p>
        </w:tc>
        <w:tc>
          <w:tcPr>
            <w:tcW w:w="804" w:type="pct"/>
            <w:shd w:val="clear" w:color="auto" w:fill="auto"/>
            <w:noWrap/>
            <w:vAlign w:val="bottom"/>
            <w:hideMark/>
          </w:tcPr>
          <w:p w14:paraId="6D1D3B41" w14:textId="77777777" w:rsidR="00707885" w:rsidRPr="00707885" w:rsidRDefault="00707885" w:rsidP="00707885">
            <w:pPr>
              <w:rPr>
                <w:rFonts w:cs="Arial"/>
                <w:color w:val="000000"/>
                <w:sz w:val="16"/>
                <w:szCs w:val="16"/>
                <w:lang w:eastAsia="en-AU"/>
              </w:rPr>
            </w:pPr>
            <w:r w:rsidRPr="00707885">
              <w:rPr>
                <w:rFonts w:cs="Arial"/>
                <w:color w:val="000000"/>
                <w:sz w:val="16"/>
                <w:szCs w:val="16"/>
                <w:lang w:eastAsia="en-AU"/>
              </w:rPr>
              <w:t>Metro</w:t>
            </w:r>
          </w:p>
        </w:tc>
        <w:tc>
          <w:tcPr>
            <w:tcW w:w="914" w:type="pct"/>
            <w:shd w:val="clear" w:color="auto" w:fill="auto"/>
            <w:noWrap/>
            <w:hideMark/>
          </w:tcPr>
          <w:p w14:paraId="15771A63"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1,707 </w:t>
            </w:r>
          </w:p>
        </w:tc>
        <w:tc>
          <w:tcPr>
            <w:tcW w:w="1613" w:type="pct"/>
            <w:shd w:val="clear" w:color="auto" w:fill="auto"/>
            <w:noWrap/>
            <w:hideMark/>
          </w:tcPr>
          <w:p w14:paraId="153BFF7D"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145 </w:t>
            </w:r>
          </w:p>
        </w:tc>
      </w:tr>
      <w:tr w:rsidR="00707885" w:rsidRPr="00707885" w14:paraId="1F0FEEA0" w14:textId="77777777" w:rsidTr="00707885">
        <w:trPr>
          <w:trHeight w:val="285"/>
        </w:trPr>
        <w:tc>
          <w:tcPr>
            <w:tcW w:w="1669" w:type="pct"/>
            <w:shd w:val="clear" w:color="auto" w:fill="auto"/>
            <w:noWrap/>
            <w:hideMark/>
          </w:tcPr>
          <w:p w14:paraId="5BB8BBB1" w14:textId="77777777" w:rsidR="00707885" w:rsidRPr="00707885" w:rsidRDefault="00707885" w:rsidP="00707885">
            <w:pPr>
              <w:rPr>
                <w:rFonts w:cs="Arial"/>
                <w:b/>
                <w:bCs/>
                <w:sz w:val="16"/>
                <w:szCs w:val="16"/>
                <w:lang w:eastAsia="en-AU"/>
              </w:rPr>
            </w:pPr>
            <w:r w:rsidRPr="00707885">
              <w:rPr>
                <w:rFonts w:cs="Arial"/>
                <w:b/>
                <w:bCs/>
                <w:sz w:val="16"/>
                <w:szCs w:val="16"/>
                <w:lang w:eastAsia="en-AU"/>
              </w:rPr>
              <w:t>Mount Alexander (S)</w:t>
            </w:r>
          </w:p>
        </w:tc>
        <w:tc>
          <w:tcPr>
            <w:tcW w:w="804" w:type="pct"/>
            <w:shd w:val="clear" w:color="auto" w:fill="auto"/>
            <w:noWrap/>
            <w:vAlign w:val="bottom"/>
            <w:hideMark/>
          </w:tcPr>
          <w:p w14:paraId="590557C1" w14:textId="77777777" w:rsidR="00707885" w:rsidRPr="00707885" w:rsidRDefault="00707885" w:rsidP="00707885">
            <w:pPr>
              <w:rPr>
                <w:rFonts w:cs="Arial"/>
                <w:color w:val="000000"/>
                <w:sz w:val="16"/>
                <w:szCs w:val="16"/>
                <w:lang w:eastAsia="en-AU"/>
              </w:rPr>
            </w:pPr>
            <w:r w:rsidRPr="00707885">
              <w:rPr>
                <w:rFonts w:cs="Arial"/>
                <w:color w:val="000000"/>
                <w:sz w:val="16"/>
                <w:szCs w:val="16"/>
                <w:lang w:eastAsia="en-AU"/>
              </w:rPr>
              <w:t>Rural</w:t>
            </w:r>
          </w:p>
        </w:tc>
        <w:tc>
          <w:tcPr>
            <w:tcW w:w="914" w:type="pct"/>
            <w:shd w:val="clear" w:color="auto" w:fill="auto"/>
            <w:noWrap/>
            <w:hideMark/>
          </w:tcPr>
          <w:p w14:paraId="3D047AE1"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1,449 </w:t>
            </w:r>
          </w:p>
        </w:tc>
        <w:tc>
          <w:tcPr>
            <w:tcW w:w="1613" w:type="pct"/>
            <w:shd w:val="clear" w:color="auto" w:fill="auto"/>
            <w:noWrap/>
            <w:hideMark/>
          </w:tcPr>
          <w:p w14:paraId="6FEAD590"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323 </w:t>
            </w:r>
          </w:p>
        </w:tc>
      </w:tr>
      <w:tr w:rsidR="00707885" w:rsidRPr="00707885" w14:paraId="3D07FC2F" w14:textId="77777777" w:rsidTr="00707885">
        <w:trPr>
          <w:trHeight w:val="285"/>
        </w:trPr>
        <w:tc>
          <w:tcPr>
            <w:tcW w:w="1669" w:type="pct"/>
            <w:shd w:val="clear" w:color="auto" w:fill="auto"/>
            <w:noWrap/>
            <w:hideMark/>
          </w:tcPr>
          <w:p w14:paraId="41422699" w14:textId="77777777" w:rsidR="00707885" w:rsidRPr="00707885" w:rsidRDefault="00707885" w:rsidP="00707885">
            <w:pPr>
              <w:rPr>
                <w:rFonts w:cs="Arial"/>
                <w:b/>
                <w:bCs/>
                <w:sz w:val="16"/>
                <w:szCs w:val="16"/>
                <w:lang w:eastAsia="en-AU"/>
              </w:rPr>
            </w:pPr>
            <w:r w:rsidRPr="00707885">
              <w:rPr>
                <w:rFonts w:cs="Arial"/>
                <w:b/>
                <w:bCs/>
                <w:sz w:val="16"/>
                <w:szCs w:val="16"/>
                <w:lang w:eastAsia="en-AU"/>
              </w:rPr>
              <w:t>Moyne (S)</w:t>
            </w:r>
          </w:p>
        </w:tc>
        <w:tc>
          <w:tcPr>
            <w:tcW w:w="804" w:type="pct"/>
            <w:shd w:val="clear" w:color="auto" w:fill="auto"/>
            <w:noWrap/>
            <w:vAlign w:val="bottom"/>
            <w:hideMark/>
          </w:tcPr>
          <w:p w14:paraId="21CF9772" w14:textId="77777777" w:rsidR="00707885" w:rsidRPr="00707885" w:rsidRDefault="00707885" w:rsidP="00707885">
            <w:pPr>
              <w:rPr>
                <w:rFonts w:cs="Arial"/>
                <w:color w:val="000000"/>
                <w:sz w:val="16"/>
                <w:szCs w:val="16"/>
                <w:lang w:eastAsia="en-AU"/>
              </w:rPr>
            </w:pPr>
            <w:r w:rsidRPr="00707885">
              <w:rPr>
                <w:rFonts w:cs="Arial"/>
                <w:color w:val="000000"/>
                <w:sz w:val="16"/>
                <w:szCs w:val="16"/>
                <w:lang w:eastAsia="en-AU"/>
              </w:rPr>
              <w:t>Rural</w:t>
            </w:r>
          </w:p>
        </w:tc>
        <w:tc>
          <w:tcPr>
            <w:tcW w:w="914" w:type="pct"/>
            <w:shd w:val="clear" w:color="auto" w:fill="auto"/>
            <w:noWrap/>
            <w:hideMark/>
          </w:tcPr>
          <w:p w14:paraId="33F1BE6A"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2,744 </w:t>
            </w:r>
          </w:p>
        </w:tc>
        <w:tc>
          <w:tcPr>
            <w:tcW w:w="1613" w:type="pct"/>
            <w:shd w:val="clear" w:color="auto" w:fill="auto"/>
            <w:noWrap/>
            <w:hideMark/>
          </w:tcPr>
          <w:p w14:paraId="5C22C5B8"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733 </w:t>
            </w:r>
          </w:p>
        </w:tc>
      </w:tr>
      <w:tr w:rsidR="00707885" w:rsidRPr="00707885" w14:paraId="5E4983C7" w14:textId="77777777" w:rsidTr="00707885">
        <w:trPr>
          <w:trHeight w:val="285"/>
        </w:trPr>
        <w:tc>
          <w:tcPr>
            <w:tcW w:w="1669" w:type="pct"/>
            <w:shd w:val="clear" w:color="auto" w:fill="auto"/>
            <w:noWrap/>
            <w:hideMark/>
          </w:tcPr>
          <w:p w14:paraId="766276D4" w14:textId="77777777" w:rsidR="00707885" w:rsidRPr="00707885" w:rsidRDefault="00707885" w:rsidP="00707885">
            <w:pPr>
              <w:rPr>
                <w:rFonts w:cs="Arial"/>
                <w:b/>
                <w:bCs/>
                <w:sz w:val="16"/>
                <w:szCs w:val="16"/>
                <w:lang w:eastAsia="en-AU"/>
              </w:rPr>
            </w:pPr>
            <w:r w:rsidRPr="00707885">
              <w:rPr>
                <w:rFonts w:cs="Arial"/>
                <w:b/>
                <w:bCs/>
                <w:sz w:val="16"/>
                <w:szCs w:val="16"/>
                <w:lang w:eastAsia="en-AU"/>
              </w:rPr>
              <w:t>Murrindindi (S)</w:t>
            </w:r>
          </w:p>
        </w:tc>
        <w:tc>
          <w:tcPr>
            <w:tcW w:w="804" w:type="pct"/>
            <w:shd w:val="clear" w:color="auto" w:fill="auto"/>
            <w:noWrap/>
            <w:vAlign w:val="bottom"/>
            <w:hideMark/>
          </w:tcPr>
          <w:p w14:paraId="3A75A877" w14:textId="77777777" w:rsidR="00707885" w:rsidRPr="00707885" w:rsidRDefault="00707885" w:rsidP="00707885">
            <w:pPr>
              <w:rPr>
                <w:rFonts w:cs="Arial"/>
                <w:color w:val="000000"/>
                <w:sz w:val="16"/>
                <w:szCs w:val="16"/>
                <w:lang w:eastAsia="en-AU"/>
              </w:rPr>
            </w:pPr>
            <w:r w:rsidRPr="00707885">
              <w:rPr>
                <w:rFonts w:cs="Arial"/>
                <w:color w:val="000000"/>
                <w:sz w:val="16"/>
                <w:szCs w:val="16"/>
                <w:lang w:eastAsia="en-AU"/>
              </w:rPr>
              <w:t>Rural</w:t>
            </w:r>
          </w:p>
        </w:tc>
        <w:tc>
          <w:tcPr>
            <w:tcW w:w="914" w:type="pct"/>
            <w:shd w:val="clear" w:color="auto" w:fill="auto"/>
            <w:noWrap/>
            <w:hideMark/>
          </w:tcPr>
          <w:p w14:paraId="4ECCA40A"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1,202 </w:t>
            </w:r>
          </w:p>
        </w:tc>
        <w:tc>
          <w:tcPr>
            <w:tcW w:w="1613" w:type="pct"/>
            <w:shd w:val="clear" w:color="auto" w:fill="auto"/>
            <w:noWrap/>
            <w:hideMark/>
          </w:tcPr>
          <w:p w14:paraId="1BBDE010"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321 </w:t>
            </w:r>
          </w:p>
        </w:tc>
      </w:tr>
      <w:tr w:rsidR="00707885" w:rsidRPr="00707885" w14:paraId="6EAC2D69" w14:textId="77777777" w:rsidTr="00707885">
        <w:trPr>
          <w:trHeight w:val="285"/>
        </w:trPr>
        <w:tc>
          <w:tcPr>
            <w:tcW w:w="1669" w:type="pct"/>
            <w:shd w:val="clear" w:color="auto" w:fill="auto"/>
            <w:noWrap/>
            <w:hideMark/>
          </w:tcPr>
          <w:p w14:paraId="45514B73" w14:textId="77777777" w:rsidR="00707885" w:rsidRPr="00707885" w:rsidRDefault="00707885" w:rsidP="00707885">
            <w:pPr>
              <w:rPr>
                <w:rFonts w:cs="Arial"/>
                <w:b/>
                <w:bCs/>
                <w:sz w:val="16"/>
                <w:szCs w:val="16"/>
                <w:lang w:eastAsia="en-AU"/>
              </w:rPr>
            </w:pPr>
            <w:r w:rsidRPr="00707885">
              <w:rPr>
                <w:rFonts w:cs="Arial"/>
                <w:b/>
                <w:bCs/>
                <w:sz w:val="16"/>
                <w:szCs w:val="16"/>
                <w:lang w:eastAsia="en-AU"/>
              </w:rPr>
              <w:t>Nillumbik (S)</w:t>
            </w:r>
          </w:p>
        </w:tc>
        <w:tc>
          <w:tcPr>
            <w:tcW w:w="804" w:type="pct"/>
            <w:shd w:val="clear" w:color="auto" w:fill="auto"/>
            <w:noWrap/>
            <w:vAlign w:val="bottom"/>
            <w:hideMark/>
          </w:tcPr>
          <w:p w14:paraId="5AC852AB" w14:textId="77777777" w:rsidR="00707885" w:rsidRPr="00707885" w:rsidRDefault="00707885" w:rsidP="00707885">
            <w:pPr>
              <w:rPr>
                <w:rFonts w:cs="Arial"/>
                <w:color w:val="000000"/>
                <w:sz w:val="16"/>
                <w:szCs w:val="16"/>
                <w:lang w:eastAsia="en-AU"/>
              </w:rPr>
            </w:pPr>
            <w:r w:rsidRPr="00707885">
              <w:rPr>
                <w:rFonts w:cs="Arial"/>
                <w:color w:val="000000"/>
                <w:sz w:val="16"/>
                <w:szCs w:val="16"/>
                <w:lang w:eastAsia="en-AU"/>
              </w:rPr>
              <w:t>Metro</w:t>
            </w:r>
          </w:p>
        </w:tc>
        <w:tc>
          <w:tcPr>
            <w:tcW w:w="914" w:type="pct"/>
            <w:shd w:val="clear" w:color="auto" w:fill="auto"/>
            <w:noWrap/>
            <w:hideMark/>
          </w:tcPr>
          <w:p w14:paraId="5218466F"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775 </w:t>
            </w:r>
          </w:p>
        </w:tc>
        <w:tc>
          <w:tcPr>
            <w:tcW w:w="1613" w:type="pct"/>
            <w:shd w:val="clear" w:color="auto" w:fill="auto"/>
            <w:noWrap/>
            <w:hideMark/>
          </w:tcPr>
          <w:p w14:paraId="0852E1C6"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130 </w:t>
            </w:r>
          </w:p>
        </w:tc>
      </w:tr>
      <w:tr w:rsidR="00707885" w:rsidRPr="00707885" w14:paraId="24384541" w14:textId="77777777" w:rsidTr="00707885">
        <w:trPr>
          <w:trHeight w:val="285"/>
        </w:trPr>
        <w:tc>
          <w:tcPr>
            <w:tcW w:w="1669" w:type="pct"/>
            <w:shd w:val="clear" w:color="auto" w:fill="auto"/>
            <w:noWrap/>
            <w:hideMark/>
          </w:tcPr>
          <w:p w14:paraId="5E571618" w14:textId="77777777" w:rsidR="00707885" w:rsidRPr="00707885" w:rsidRDefault="00707885" w:rsidP="00707885">
            <w:pPr>
              <w:rPr>
                <w:rFonts w:cs="Arial"/>
                <w:b/>
                <w:bCs/>
                <w:sz w:val="16"/>
                <w:szCs w:val="16"/>
                <w:lang w:eastAsia="en-AU"/>
              </w:rPr>
            </w:pPr>
            <w:r w:rsidRPr="00707885">
              <w:rPr>
                <w:rFonts w:cs="Arial"/>
                <w:b/>
                <w:bCs/>
                <w:sz w:val="16"/>
                <w:szCs w:val="16"/>
                <w:lang w:eastAsia="en-AU"/>
              </w:rPr>
              <w:t>Northern Grampians (S)</w:t>
            </w:r>
          </w:p>
        </w:tc>
        <w:tc>
          <w:tcPr>
            <w:tcW w:w="804" w:type="pct"/>
            <w:shd w:val="clear" w:color="auto" w:fill="auto"/>
            <w:noWrap/>
            <w:vAlign w:val="bottom"/>
            <w:hideMark/>
          </w:tcPr>
          <w:p w14:paraId="4DF787C9" w14:textId="77777777" w:rsidR="00707885" w:rsidRPr="00707885" w:rsidRDefault="00707885" w:rsidP="00707885">
            <w:pPr>
              <w:rPr>
                <w:rFonts w:cs="Arial"/>
                <w:color w:val="000000"/>
                <w:sz w:val="16"/>
                <w:szCs w:val="16"/>
                <w:lang w:eastAsia="en-AU"/>
              </w:rPr>
            </w:pPr>
            <w:r w:rsidRPr="00707885">
              <w:rPr>
                <w:rFonts w:cs="Arial"/>
                <w:color w:val="000000"/>
                <w:sz w:val="16"/>
                <w:szCs w:val="16"/>
                <w:lang w:eastAsia="en-AU"/>
              </w:rPr>
              <w:t>Rural</w:t>
            </w:r>
          </w:p>
        </w:tc>
        <w:tc>
          <w:tcPr>
            <w:tcW w:w="914" w:type="pct"/>
            <w:shd w:val="clear" w:color="auto" w:fill="auto"/>
            <w:noWrap/>
            <w:hideMark/>
          </w:tcPr>
          <w:p w14:paraId="2C210788"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3,355 </w:t>
            </w:r>
          </w:p>
        </w:tc>
        <w:tc>
          <w:tcPr>
            <w:tcW w:w="1613" w:type="pct"/>
            <w:shd w:val="clear" w:color="auto" w:fill="auto"/>
            <w:noWrap/>
            <w:hideMark/>
          </w:tcPr>
          <w:p w14:paraId="0A2ABA43"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704 </w:t>
            </w:r>
          </w:p>
        </w:tc>
      </w:tr>
      <w:tr w:rsidR="00707885" w:rsidRPr="00707885" w14:paraId="30D67BB0" w14:textId="77777777" w:rsidTr="00707885">
        <w:trPr>
          <w:trHeight w:val="285"/>
        </w:trPr>
        <w:tc>
          <w:tcPr>
            <w:tcW w:w="1669" w:type="pct"/>
            <w:shd w:val="clear" w:color="auto" w:fill="auto"/>
            <w:noWrap/>
            <w:hideMark/>
          </w:tcPr>
          <w:p w14:paraId="1DC588D6" w14:textId="77777777" w:rsidR="00707885" w:rsidRPr="00707885" w:rsidRDefault="00707885" w:rsidP="00707885">
            <w:pPr>
              <w:rPr>
                <w:rFonts w:cs="Arial"/>
                <w:b/>
                <w:bCs/>
                <w:sz w:val="16"/>
                <w:szCs w:val="16"/>
                <w:lang w:eastAsia="en-AU"/>
              </w:rPr>
            </w:pPr>
            <w:r w:rsidRPr="00707885">
              <w:rPr>
                <w:rFonts w:cs="Arial"/>
                <w:b/>
                <w:bCs/>
                <w:sz w:val="16"/>
                <w:szCs w:val="16"/>
                <w:lang w:eastAsia="en-AU"/>
              </w:rPr>
              <w:t>Port Phillip (C)</w:t>
            </w:r>
          </w:p>
        </w:tc>
        <w:tc>
          <w:tcPr>
            <w:tcW w:w="804" w:type="pct"/>
            <w:shd w:val="clear" w:color="auto" w:fill="auto"/>
            <w:noWrap/>
            <w:vAlign w:val="bottom"/>
            <w:hideMark/>
          </w:tcPr>
          <w:p w14:paraId="3E1F3263" w14:textId="77777777" w:rsidR="00707885" w:rsidRPr="00707885" w:rsidRDefault="00707885" w:rsidP="00707885">
            <w:pPr>
              <w:rPr>
                <w:rFonts w:cs="Arial"/>
                <w:color w:val="000000"/>
                <w:sz w:val="16"/>
                <w:szCs w:val="16"/>
                <w:lang w:eastAsia="en-AU"/>
              </w:rPr>
            </w:pPr>
            <w:r w:rsidRPr="00707885">
              <w:rPr>
                <w:rFonts w:cs="Arial"/>
                <w:color w:val="000000"/>
                <w:sz w:val="16"/>
                <w:szCs w:val="16"/>
                <w:lang w:eastAsia="en-AU"/>
              </w:rPr>
              <w:t>Metro</w:t>
            </w:r>
          </w:p>
        </w:tc>
        <w:tc>
          <w:tcPr>
            <w:tcW w:w="914" w:type="pct"/>
            <w:shd w:val="clear" w:color="auto" w:fill="auto"/>
            <w:noWrap/>
            <w:hideMark/>
          </w:tcPr>
          <w:p w14:paraId="4DDCE617"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215 </w:t>
            </w:r>
          </w:p>
        </w:tc>
        <w:tc>
          <w:tcPr>
            <w:tcW w:w="1613" w:type="pct"/>
            <w:shd w:val="clear" w:color="auto" w:fill="auto"/>
            <w:noWrap/>
            <w:hideMark/>
          </w:tcPr>
          <w:p w14:paraId="2E73F04D"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57 </w:t>
            </w:r>
          </w:p>
        </w:tc>
      </w:tr>
      <w:tr w:rsidR="00707885" w:rsidRPr="00707885" w14:paraId="5F4F64B1" w14:textId="77777777" w:rsidTr="00707885">
        <w:trPr>
          <w:trHeight w:val="285"/>
        </w:trPr>
        <w:tc>
          <w:tcPr>
            <w:tcW w:w="1669" w:type="pct"/>
            <w:shd w:val="clear" w:color="auto" w:fill="auto"/>
            <w:noWrap/>
            <w:hideMark/>
          </w:tcPr>
          <w:p w14:paraId="2F53CDE1" w14:textId="77777777" w:rsidR="00707885" w:rsidRPr="00707885" w:rsidRDefault="00707885" w:rsidP="00707885">
            <w:pPr>
              <w:rPr>
                <w:rFonts w:cs="Arial"/>
                <w:b/>
                <w:bCs/>
                <w:sz w:val="16"/>
                <w:szCs w:val="16"/>
                <w:lang w:eastAsia="en-AU"/>
              </w:rPr>
            </w:pPr>
            <w:r w:rsidRPr="00707885">
              <w:rPr>
                <w:rFonts w:cs="Arial"/>
                <w:b/>
                <w:bCs/>
                <w:sz w:val="16"/>
                <w:szCs w:val="16"/>
                <w:lang w:eastAsia="en-AU"/>
              </w:rPr>
              <w:t>Pyrenees (S)</w:t>
            </w:r>
          </w:p>
        </w:tc>
        <w:tc>
          <w:tcPr>
            <w:tcW w:w="804" w:type="pct"/>
            <w:shd w:val="clear" w:color="auto" w:fill="auto"/>
            <w:noWrap/>
            <w:vAlign w:val="bottom"/>
            <w:hideMark/>
          </w:tcPr>
          <w:p w14:paraId="3D0DFA65" w14:textId="77777777" w:rsidR="00707885" w:rsidRPr="00707885" w:rsidRDefault="00707885" w:rsidP="00707885">
            <w:pPr>
              <w:rPr>
                <w:rFonts w:cs="Arial"/>
                <w:color w:val="000000"/>
                <w:sz w:val="16"/>
                <w:szCs w:val="16"/>
                <w:lang w:eastAsia="en-AU"/>
              </w:rPr>
            </w:pPr>
            <w:r w:rsidRPr="00707885">
              <w:rPr>
                <w:rFonts w:cs="Arial"/>
                <w:color w:val="000000"/>
                <w:sz w:val="16"/>
                <w:szCs w:val="16"/>
                <w:lang w:eastAsia="en-AU"/>
              </w:rPr>
              <w:t>Rural</w:t>
            </w:r>
          </w:p>
        </w:tc>
        <w:tc>
          <w:tcPr>
            <w:tcW w:w="914" w:type="pct"/>
            <w:shd w:val="clear" w:color="auto" w:fill="auto"/>
            <w:noWrap/>
            <w:hideMark/>
          </w:tcPr>
          <w:p w14:paraId="5C4BBD5F"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2,029 </w:t>
            </w:r>
          </w:p>
        </w:tc>
        <w:tc>
          <w:tcPr>
            <w:tcW w:w="1613" w:type="pct"/>
            <w:shd w:val="clear" w:color="auto" w:fill="auto"/>
            <w:noWrap/>
            <w:hideMark/>
          </w:tcPr>
          <w:p w14:paraId="60ACC6B1"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884 </w:t>
            </w:r>
          </w:p>
        </w:tc>
      </w:tr>
      <w:tr w:rsidR="00707885" w:rsidRPr="00707885" w14:paraId="37DE672C" w14:textId="77777777" w:rsidTr="00707885">
        <w:trPr>
          <w:trHeight w:val="285"/>
        </w:trPr>
        <w:tc>
          <w:tcPr>
            <w:tcW w:w="1669" w:type="pct"/>
            <w:shd w:val="clear" w:color="auto" w:fill="auto"/>
            <w:noWrap/>
            <w:hideMark/>
          </w:tcPr>
          <w:p w14:paraId="03D6C5D4" w14:textId="77777777" w:rsidR="00707885" w:rsidRPr="00707885" w:rsidRDefault="00707885" w:rsidP="00707885">
            <w:pPr>
              <w:rPr>
                <w:rFonts w:cs="Arial"/>
                <w:b/>
                <w:bCs/>
                <w:sz w:val="16"/>
                <w:szCs w:val="16"/>
                <w:lang w:eastAsia="en-AU"/>
              </w:rPr>
            </w:pPr>
            <w:proofErr w:type="spellStart"/>
            <w:r w:rsidRPr="00707885">
              <w:rPr>
                <w:rFonts w:cs="Arial"/>
                <w:b/>
                <w:bCs/>
                <w:sz w:val="16"/>
                <w:szCs w:val="16"/>
                <w:lang w:eastAsia="en-AU"/>
              </w:rPr>
              <w:t>Queenscliffe</w:t>
            </w:r>
            <w:proofErr w:type="spellEnd"/>
            <w:r w:rsidRPr="00707885">
              <w:rPr>
                <w:rFonts w:cs="Arial"/>
                <w:b/>
                <w:bCs/>
                <w:sz w:val="16"/>
                <w:szCs w:val="16"/>
                <w:lang w:eastAsia="en-AU"/>
              </w:rPr>
              <w:t xml:space="preserve"> (B)</w:t>
            </w:r>
          </w:p>
        </w:tc>
        <w:tc>
          <w:tcPr>
            <w:tcW w:w="804" w:type="pct"/>
            <w:shd w:val="clear" w:color="auto" w:fill="auto"/>
            <w:noWrap/>
            <w:vAlign w:val="bottom"/>
            <w:hideMark/>
          </w:tcPr>
          <w:p w14:paraId="616FFC3A" w14:textId="77777777" w:rsidR="00707885" w:rsidRPr="00707885" w:rsidRDefault="00707885" w:rsidP="00707885">
            <w:pPr>
              <w:rPr>
                <w:rFonts w:cs="Arial"/>
                <w:color w:val="000000"/>
                <w:sz w:val="16"/>
                <w:szCs w:val="16"/>
                <w:lang w:eastAsia="en-AU"/>
              </w:rPr>
            </w:pPr>
            <w:r w:rsidRPr="00707885">
              <w:rPr>
                <w:rFonts w:cs="Arial"/>
                <w:color w:val="000000"/>
                <w:sz w:val="16"/>
                <w:szCs w:val="16"/>
                <w:lang w:eastAsia="en-AU"/>
              </w:rPr>
              <w:t>Rural</w:t>
            </w:r>
          </w:p>
        </w:tc>
        <w:tc>
          <w:tcPr>
            <w:tcW w:w="914" w:type="pct"/>
            <w:shd w:val="clear" w:color="auto" w:fill="auto"/>
            <w:noWrap/>
            <w:hideMark/>
          </w:tcPr>
          <w:p w14:paraId="202C2F57"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43 </w:t>
            </w:r>
          </w:p>
        </w:tc>
        <w:tc>
          <w:tcPr>
            <w:tcW w:w="1613" w:type="pct"/>
            <w:shd w:val="clear" w:color="auto" w:fill="auto"/>
            <w:noWrap/>
            <w:hideMark/>
          </w:tcPr>
          <w:p w14:paraId="5A20D028"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420 </w:t>
            </w:r>
          </w:p>
        </w:tc>
      </w:tr>
      <w:tr w:rsidR="00707885" w:rsidRPr="00707885" w14:paraId="74162A86" w14:textId="77777777" w:rsidTr="00707885">
        <w:trPr>
          <w:trHeight w:val="285"/>
        </w:trPr>
        <w:tc>
          <w:tcPr>
            <w:tcW w:w="1669" w:type="pct"/>
            <w:shd w:val="clear" w:color="auto" w:fill="auto"/>
            <w:noWrap/>
            <w:hideMark/>
          </w:tcPr>
          <w:p w14:paraId="6A28D840" w14:textId="77777777" w:rsidR="00707885" w:rsidRPr="00707885" w:rsidRDefault="00707885" w:rsidP="00707885">
            <w:pPr>
              <w:rPr>
                <w:rFonts w:cs="Arial"/>
                <w:b/>
                <w:bCs/>
                <w:sz w:val="16"/>
                <w:szCs w:val="16"/>
                <w:lang w:eastAsia="en-AU"/>
              </w:rPr>
            </w:pPr>
            <w:r w:rsidRPr="00707885">
              <w:rPr>
                <w:rFonts w:cs="Arial"/>
                <w:b/>
                <w:bCs/>
                <w:sz w:val="16"/>
                <w:szCs w:val="16"/>
                <w:lang w:eastAsia="en-AU"/>
              </w:rPr>
              <w:t>South Gippsland (S)</w:t>
            </w:r>
          </w:p>
        </w:tc>
        <w:tc>
          <w:tcPr>
            <w:tcW w:w="804" w:type="pct"/>
            <w:shd w:val="clear" w:color="auto" w:fill="auto"/>
            <w:noWrap/>
            <w:vAlign w:val="bottom"/>
            <w:hideMark/>
          </w:tcPr>
          <w:p w14:paraId="3BFD0437" w14:textId="77777777" w:rsidR="00707885" w:rsidRPr="00707885" w:rsidRDefault="00707885" w:rsidP="00707885">
            <w:pPr>
              <w:rPr>
                <w:rFonts w:cs="Arial"/>
                <w:color w:val="000000"/>
                <w:sz w:val="16"/>
                <w:szCs w:val="16"/>
                <w:lang w:eastAsia="en-AU"/>
              </w:rPr>
            </w:pPr>
            <w:r w:rsidRPr="00707885">
              <w:rPr>
                <w:rFonts w:cs="Arial"/>
                <w:color w:val="000000"/>
                <w:sz w:val="16"/>
                <w:szCs w:val="16"/>
                <w:lang w:eastAsia="en-AU"/>
              </w:rPr>
              <w:t>Rural</w:t>
            </w:r>
          </w:p>
        </w:tc>
        <w:tc>
          <w:tcPr>
            <w:tcW w:w="914" w:type="pct"/>
            <w:shd w:val="clear" w:color="auto" w:fill="auto"/>
            <w:noWrap/>
            <w:hideMark/>
          </w:tcPr>
          <w:p w14:paraId="74977A35"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2,087 </w:t>
            </w:r>
          </w:p>
        </w:tc>
        <w:tc>
          <w:tcPr>
            <w:tcW w:w="1613" w:type="pct"/>
            <w:shd w:val="clear" w:color="auto" w:fill="auto"/>
            <w:noWrap/>
            <w:hideMark/>
          </w:tcPr>
          <w:p w14:paraId="7238475A"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553 </w:t>
            </w:r>
          </w:p>
        </w:tc>
      </w:tr>
      <w:tr w:rsidR="00707885" w:rsidRPr="00707885" w14:paraId="24742142" w14:textId="77777777" w:rsidTr="00707885">
        <w:trPr>
          <w:trHeight w:val="285"/>
        </w:trPr>
        <w:tc>
          <w:tcPr>
            <w:tcW w:w="1669" w:type="pct"/>
            <w:shd w:val="clear" w:color="auto" w:fill="auto"/>
            <w:noWrap/>
            <w:hideMark/>
          </w:tcPr>
          <w:p w14:paraId="116A4700" w14:textId="77777777" w:rsidR="00707885" w:rsidRPr="00707885" w:rsidRDefault="00707885" w:rsidP="00707885">
            <w:pPr>
              <w:rPr>
                <w:rFonts w:cs="Arial"/>
                <w:b/>
                <w:bCs/>
                <w:sz w:val="16"/>
                <w:szCs w:val="16"/>
                <w:lang w:eastAsia="en-AU"/>
              </w:rPr>
            </w:pPr>
            <w:r w:rsidRPr="00707885">
              <w:rPr>
                <w:rFonts w:cs="Arial"/>
                <w:b/>
                <w:bCs/>
                <w:sz w:val="16"/>
                <w:szCs w:val="16"/>
                <w:lang w:eastAsia="en-AU"/>
              </w:rPr>
              <w:t>Southern Grampians (S)</w:t>
            </w:r>
          </w:p>
        </w:tc>
        <w:tc>
          <w:tcPr>
            <w:tcW w:w="804" w:type="pct"/>
            <w:shd w:val="clear" w:color="auto" w:fill="auto"/>
            <w:noWrap/>
            <w:vAlign w:val="bottom"/>
            <w:hideMark/>
          </w:tcPr>
          <w:p w14:paraId="35328944" w14:textId="77777777" w:rsidR="00707885" w:rsidRPr="00707885" w:rsidRDefault="00707885" w:rsidP="00707885">
            <w:pPr>
              <w:rPr>
                <w:rFonts w:cs="Arial"/>
                <w:color w:val="000000"/>
                <w:sz w:val="16"/>
                <w:szCs w:val="16"/>
                <w:lang w:eastAsia="en-AU"/>
              </w:rPr>
            </w:pPr>
            <w:r w:rsidRPr="00707885">
              <w:rPr>
                <w:rFonts w:cs="Arial"/>
                <w:color w:val="000000"/>
                <w:sz w:val="16"/>
                <w:szCs w:val="16"/>
                <w:lang w:eastAsia="en-AU"/>
              </w:rPr>
              <w:t>Rural</w:t>
            </w:r>
          </w:p>
        </w:tc>
        <w:tc>
          <w:tcPr>
            <w:tcW w:w="914" w:type="pct"/>
            <w:shd w:val="clear" w:color="auto" w:fill="auto"/>
            <w:noWrap/>
            <w:hideMark/>
          </w:tcPr>
          <w:p w14:paraId="6EC8CD5E"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2,761 </w:t>
            </w:r>
          </w:p>
        </w:tc>
        <w:tc>
          <w:tcPr>
            <w:tcW w:w="1613" w:type="pct"/>
            <w:shd w:val="clear" w:color="auto" w:fill="auto"/>
            <w:noWrap/>
            <w:hideMark/>
          </w:tcPr>
          <w:p w14:paraId="287B7CEC"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525 </w:t>
            </w:r>
          </w:p>
        </w:tc>
      </w:tr>
      <w:tr w:rsidR="00707885" w:rsidRPr="00707885" w14:paraId="3894C4F2" w14:textId="77777777" w:rsidTr="00707885">
        <w:trPr>
          <w:trHeight w:val="285"/>
        </w:trPr>
        <w:tc>
          <w:tcPr>
            <w:tcW w:w="1669" w:type="pct"/>
            <w:shd w:val="clear" w:color="auto" w:fill="auto"/>
            <w:noWrap/>
            <w:hideMark/>
          </w:tcPr>
          <w:p w14:paraId="162CAB4F" w14:textId="77777777" w:rsidR="00707885" w:rsidRPr="00707885" w:rsidRDefault="00707885" w:rsidP="00707885">
            <w:pPr>
              <w:rPr>
                <w:rFonts w:cs="Arial"/>
                <w:b/>
                <w:bCs/>
                <w:sz w:val="16"/>
                <w:szCs w:val="16"/>
                <w:lang w:eastAsia="en-AU"/>
              </w:rPr>
            </w:pPr>
            <w:r w:rsidRPr="00707885">
              <w:rPr>
                <w:rFonts w:cs="Arial"/>
                <w:b/>
                <w:bCs/>
                <w:sz w:val="16"/>
                <w:szCs w:val="16"/>
                <w:lang w:eastAsia="en-AU"/>
              </w:rPr>
              <w:t>Stonnington (C)</w:t>
            </w:r>
          </w:p>
        </w:tc>
        <w:tc>
          <w:tcPr>
            <w:tcW w:w="804" w:type="pct"/>
            <w:shd w:val="clear" w:color="auto" w:fill="auto"/>
            <w:noWrap/>
            <w:vAlign w:val="bottom"/>
            <w:hideMark/>
          </w:tcPr>
          <w:p w14:paraId="4AB4B05E" w14:textId="77777777" w:rsidR="00707885" w:rsidRPr="00707885" w:rsidRDefault="00707885" w:rsidP="00707885">
            <w:pPr>
              <w:rPr>
                <w:rFonts w:cs="Arial"/>
                <w:color w:val="000000"/>
                <w:sz w:val="16"/>
                <w:szCs w:val="16"/>
                <w:lang w:eastAsia="en-AU"/>
              </w:rPr>
            </w:pPr>
            <w:r w:rsidRPr="00707885">
              <w:rPr>
                <w:rFonts w:cs="Arial"/>
                <w:color w:val="000000"/>
                <w:sz w:val="16"/>
                <w:szCs w:val="16"/>
                <w:lang w:eastAsia="en-AU"/>
              </w:rPr>
              <w:t>Metro</w:t>
            </w:r>
          </w:p>
        </w:tc>
        <w:tc>
          <w:tcPr>
            <w:tcW w:w="914" w:type="pct"/>
            <w:shd w:val="clear" w:color="auto" w:fill="auto"/>
            <w:noWrap/>
            <w:hideMark/>
          </w:tcPr>
          <w:p w14:paraId="10DEE89B"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340 </w:t>
            </w:r>
          </w:p>
        </w:tc>
        <w:tc>
          <w:tcPr>
            <w:tcW w:w="1613" w:type="pct"/>
            <w:shd w:val="clear" w:color="auto" w:fill="auto"/>
            <w:noWrap/>
            <w:hideMark/>
          </w:tcPr>
          <w:p w14:paraId="528E4FB5"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97 </w:t>
            </w:r>
          </w:p>
        </w:tc>
      </w:tr>
      <w:tr w:rsidR="00707885" w:rsidRPr="00707885" w14:paraId="3EE24E51" w14:textId="77777777" w:rsidTr="00707885">
        <w:trPr>
          <w:trHeight w:val="285"/>
        </w:trPr>
        <w:tc>
          <w:tcPr>
            <w:tcW w:w="1669" w:type="pct"/>
            <w:shd w:val="clear" w:color="auto" w:fill="auto"/>
            <w:noWrap/>
            <w:hideMark/>
          </w:tcPr>
          <w:p w14:paraId="3E544ADC" w14:textId="77777777" w:rsidR="00707885" w:rsidRPr="00707885" w:rsidRDefault="00707885" w:rsidP="00707885">
            <w:pPr>
              <w:rPr>
                <w:rFonts w:cs="Arial"/>
                <w:b/>
                <w:bCs/>
                <w:sz w:val="16"/>
                <w:szCs w:val="16"/>
                <w:lang w:eastAsia="en-AU"/>
              </w:rPr>
            </w:pPr>
            <w:r w:rsidRPr="00707885">
              <w:rPr>
                <w:rFonts w:cs="Arial"/>
                <w:b/>
                <w:bCs/>
                <w:sz w:val="16"/>
                <w:szCs w:val="16"/>
                <w:lang w:eastAsia="en-AU"/>
              </w:rPr>
              <w:t>Strathbogie (S)</w:t>
            </w:r>
          </w:p>
        </w:tc>
        <w:tc>
          <w:tcPr>
            <w:tcW w:w="804" w:type="pct"/>
            <w:shd w:val="clear" w:color="auto" w:fill="auto"/>
            <w:noWrap/>
            <w:vAlign w:val="bottom"/>
            <w:hideMark/>
          </w:tcPr>
          <w:p w14:paraId="42C8B6AF" w14:textId="77777777" w:rsidR="00707885" w:rsidRPr="00707885" w:rsidRDefault="00707885" w:rsidP="00707885">
            <w:pPr>
              <w:rPr>
                <w:rFonts w:cs="Arial"/>
                <w:color w:val="000000"/>
                <w:sz w:val="16"/>
                <w:szCs w:val="16"/>
                <w:lang w:eastAsia="en-AU"/>
              </w:rPr>
            </w:pPr>
            <w:r w:rsidRPr="00707885">
              <w:rPr>
                <w:rFonts w:cs="Arial"/>
                <w:color w:val="000000"/>
                <w:sz w:val="16"/>
                <w:szCs w:val="16"/>
                <w:lang w:eastAsia="en-AU"/>
              </w:rPr>
              <w:t>Rural</w:t>
            </w:r>
          </w:p>
        </w:tc>
        <w:tc>
          <w:tcPr>
            <w:tcW w:w="914" w:type="pct"/>
            <w:shd w:val="clear" w:color="auto" w:fill="auto"/>
            <w:noWrap/>
            <w:hideMark/>
          </w:tcPr>
          <w:p w14:paraId="29152C78"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2,243 </w:t>
            </w:r>
          </w:p>
        </w:tc>
        <w:tc>
          <w:tcPr>
            <w:tcW w:w="1613" w:type="pct"/>
            <w:shd w:val="clear" w:color="auto" w:fill="auto"/>
            <w:noWrap/>
            <w:hideMark/>
          </w:tcPr>
          <w:p w14:paraId="2C57C9B7"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1,089 </w:t>
            </w:r>
          </w:p>
        </w:tc>
      </w:tr>
      <w:tr w:rsidR="00707885" w:rsidRPr="00707885" w14:paraId="17E25C2E" w14:textId="77777777" w:rsidTr="00707885">
        <w:trPr>
          <w:trHeight w:val="285"/>
        </w:trPr>
        <w:tc>
          <w:tcPr>
            <w:tcW w:w="1669" w:type="pct"/>
            <w:shd w:val="clear" w:color="auto" w:fill="auto"/>
            <w:noWrap/>
            <w:hideMark/>
          </w:tcPr>
          <w:p w14:paraId="0AE3554B" w14:textId="77777777" w:rsidR="00707885" w:rsidRPr="00707885" w:rsidRDefault="00707885" w:rsidP="00707885">
            <w:pPr>
              <w:rPr>
                <w:rFonts w:cs="Arial"/>
                <w:b/>
                <w:bCs/>
                <w:sz w:val="16"/>
                <w:szCs w:val="16"/>
                <w:lang w:eastAsia="en-AU"/>
              </w:rPr>
            </w:pPr>
            <w:r w:rsidRPr="00707885">
              <w:rPr>
                <w:rFonts w:cs="Arial"/>
                <w:b/>
                <w:bCs/>
                <w:sz w:val="16"/>
                <w:szCs w:val="16"/>
                <w:lang w:eastAsia="en-AU"/>
              </w:rPr>
              <w:t>Surf Coast (S)</w:t>
            </w:r>
          </w:p>
        </w:tc>
        <w:tc>
          <w:tcPr>
            <w:tcW w:w="804" w:type="pct"/>
            <w:shd w:val="clear" w:color="auto" w:fill="auto"/>
            <w:noWrap/>
            <w:vAlign w:val="bottom"/>
            <w:hideMark/>
          </w:tcPr>
          <w:p w14:paraId="4E4BC5E2" w14:textId="77777777" w:rsidR="00707885" w:rsidRPr="00707885" w:rsidRDefault="00707885" w:rsidP="00707885">
            <w:pPr>
              <w:rPr>
                <w:rFonts w:cs="Arial"/>
                <w:color w:val="000000"/>
                <w:sz w:val="16"/>
                <w:szCs w:val="16"/>
                <w:lang w:eastAsia="en-AU"/>
              </w:rPr>
            </w:pPr>
            <w:r w:rsidRPr="00707885">
              <w:rPr>
                <w:rFonts w:cs="Arial"/>
                <w:color w:val="000000"/>
                <w:sz w:val="16"/>
                <w:szCs w:val="16"/>
                <w:lang w:eastAsia="en-AU"/>
              </w:rPr>
              <w:t>Rural</w:t>
            </w:r>
          </w:p>
        </w:tc>
        <w:tc>
          <w:tcPr>
            <w:tcW w:w="914" w:type="pct"/>
            <w:shd w:val="clear" w:color="auto" w:fill="auto"/>
            <w:noWrap/>
            <w:hideMark/>
          </w:tcPr>
          <w:p w14:paraId="4BF34C50"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1,106 </w:t>
            </w:r>
          </w:p>
        </w:tc>
        <w:tc>
          <w:tcPr>
            <w:tcW w:w="1613" w:type="pct"/>
            <w:shd w:val="clear" w:color="auto" w:fill="auto"/>
            <w:noWrap/>
            <w:hideMark/>
          </w:tcPr>
          <w:p w14:paraId="4FC37167" w14:textId="77777777" w:rsidR="00707885" w:rsidRPr="00707885" w:rsidRDefault="00707885" w:rsidP="00707885">
            <w:pPr>
              <w:rPr>
                <w:rFonts w:cs="Arial"/>
                <w:b/>
                <w:bCs/>
                <w:sz w:val="16"/>
                <w:szCs w:val="16"/>
                <w:lang w:eastAsia="en-AU"/>
              </w:rPr>
            </w:pPr>
            <w:r w:rsidRPr="00707885">
              <w:rPr>
                <w:rFonts w:cs="Arial"/>
                <w:b/>
                <w:bCs/>
                <w:sz w:val="16"/>
                <w:szCs w:val="16"/>
                <w:lang w:eastAsia="en-AU"/>
              </w:rPr>
              <w:t> </w:t>
            </w:r>
          </w:p>
        </w:tc>
      </w:tr>
      <w:tr w:rsidR="00707885" w:rsidRPr="00707885" w14:paraId="6BA8EDB6" w14:textId="77777777" w:rsidTr="00707885">
        <w:trPr>
          <w:trHeight w:val="285"/>
        </w:trPr>
        <w:tc>
          <w:tcPr>
            <w:tcW w:w="1669" w:type="pct"/>
            <w:shd w:val="clear" w:color="auto" w:fill="auto"/>
            <w:noWrap/>
            <w:hideMark/>
          </w:tcPr>
          <w:p w14:paraId="61F7096E" w14:textId="77777777" w:rsidR="00707885" w:rsidRPr="00707885" w:rsidRDefault="00707885" w:rsidP="00707885">
            <w:pPr>
              <w:rPr>
                <w:rFonts w:cs="Arial"/>
                <w:b/>
                <w:bCs/>
                <w:sz w:val="16"/>
                <w:szCs w:val="16"/>
                <w:lang w:eastAsia="en-AU"/>
              </w:rPr>
            </w:pPr>
            <w:r w:rsidRPr="00707885">
              <w:rPr>
                <w:rFonts w:cs="Arial"/>
                <w:b/>
                <w:bCs/>
                <w:sz w:val="16"/>
                <w:szCs w:val="16"/>
                <w:lang w:eastAsia="en-AU"/>
              </w:rPr>
              <w:t>Swan Hill (RC)</w:t>
            </w:r>
          </w:p>
        </w:tc>
        <w:tc>
          <w:tcPr>
            <w:tcW w:w="804" w:type="pct"/>
            <w:shd w:val="clear" w:color="auto" w:fill="auto"/>
            <w:noWrap/>
            <w:vAlign w:val="bottom"/>
            <w:hideMark/>
          </w:tcPr>
          <w:p w14:paraId="5D31AE0E" w14:textId="77777777" w:rsidR="00707885" w:rsidRPr="00707885" w:rsidRDefault="00707885" w:rsidP="00707885">
            <w:pPr>
              <w:rPr>
                <w:rFonts w:cs="Arial"/>
                <w:color w:val="000000"/>
                <w:sz w:val="16"/>
                <w:szCs w:val="16"/>
                <w:lang w:eastAsia="en-AU"/>
              </w:rPr>
            </w:pPr>
            <w:r w:rsidRPr="00707885">
              <w:rPr>
                <w:rFonts w:cs="Arial"/>
                <w:color w:val="000000"/>
                <w:sz w:val="16"/>
                <w:szCs w:val="16"/>
                <w:lang w:eastAsia="en-AU"/>
              </w:rPr>
              <w:t>Rural</w:t>
            </w:r>
          </w:p>
        </w:tc>
        <w:tc>
          <w:tcPr>
            <w:tcW w:w="914" w:type="pct"/>
            <w:shd w:val="clear" w:color="auto" w:fill="auto"/>
            <w:noWrap/>
            <w:hideMark/>
          </w:tcPr>
          <w:p w14:paraId="55EF3AE8"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3,492 </w:t>
            </w:r>
          </w:p>
        </w:tc>
        <w:tc>
          <w:tcPr>
            <w:tcW w:w="1613" w:type="pct"/>
            <w:shd w:val="clear" w:color="auto" w:fill="auto"/>
            <w:noWrap/>
            <w:hideMark/>
          </w:tcPr>
          <w:p w14:paraId="55B3BEBB"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399 </w:t>
            </w:r>
          </w:p>
        </w:tc>
      </w:tr>
      <w:tr w:rsidR="00707885" w:rsidRPr="00707885" w14:paraId="7E61C977" w14:textId="77777777" w:rsidTr="00707885">
        <w:trPr>
          <w:trHeight w:val="285"/>
        </w:trPr>
        <w:tc>
          <w:tcPr>
            <w:tcW w:w="1669" w:type="pct"/>
            <w:shd w:val="clear" w:color="auto" w:fill="auto"/>
            <w:noWrap/>
            <w:hideMark/>
          </w:tcPr>
          <w:p w14:paraId="4AB460E5" w14:textId="77777777" w:rsidR="00707885" w:rsidRPr="00707885" w:rsidRDefault="00707885" w:rsidP="00707885">
            <w:pPr>
              <w:rPr>
                <w:rFonts w:cs="Arial"/>
                <w:b/>
                <w:bCs/>
                <w:sz w:val="16"/>
                <w:szCs w:val="16"/>
                <w:lang w:eastAsia="en-AU"/>
              </w:rPr>
            </w:pPr>
            <w:r w:rsidRPr="00707885">
              <w:rPr>
                <w:rFonts w:cs="Arial"/>
                <w:b/>
                <w:bCs/>
                <w:sz w:val="16"/>
                <w:szCs w:val="16"/>
                <w:lang w:eastAsia="en-AU"/>
              </w:rPr>
              <w:t>Towong (S)</w:t>
            </w:r>
          </w:p>
        </w:tc>
        <w:tc>
          <w:tcPr>
            <w:tcW w:w="804" w:type="pct"/>
            <w:shd w:val="clear" w:color="auto" w:fill="auto"/>
            <w:noWrap/>
            <w:vAlign w:val="bottom"/>
            <w:hideMark/>
          </w:tcPr>
          <w:p w14:paraId="04F5FBC0" w14:textId="77777777" w:rsidR="00707885" w:rsidRPr="00707885" w:rsidRDefault="00707885" w:rsidP="00707885">
            <w:pPr>
              <w:rPr>
                <w:rFonts w:cs="Arial"/>
                <w:color w:val="000000"/>
                <w:sz w:val="16"/>
                <w:szCs w:val="16"/>
                <w:lang w:eastAsia="en-AU"/>
              </w:rPr>
            </w:pPr>
            <w:r w:rsidRPr="00707885">
              <w:rPr>
                <w:rFonts w:cs="Arial"/>
                <w:color w:val="000000"/>
                <w:sz w:val="16"/>
                <w:szCs w:val="16"/>
                <w:lang w:eastAsia="en-AU"/>
              </w:rPr>
              <w:t>Rural</w:t>
            </w:r>
          </w:p>
        </w:tc>
        <w:tc>
          <w:tcPr>
            <w:tcW w:w="914" w:type="pct"/>
            <w:shd w:val="clear" w:color="auto" w:fill="auto"/>
            <w:noWrap/>
            <w:hideMark/>
          </w:tcPr>
          <w:p w14:paraId="6BC79DF5"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1,183 </w:t>
            </w:r>
          </w:p>
        </w:tc>
        <w:tc>
          <w:tcPr>
            <w:tcW w:w="1613" w:type="pct"/>
            <w:shd w:val="clear" w:color="auto" w:fill="auto"/>
            <w:noWrap/>
            <w:hideMark/>
          </w:tcPr>
          <w:p w14:paraId="6403BC75"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731 </w:t>
            </w:r>
          </w:p>
        </w:tc>
      </w:tr>
      <w:tr w:rsidR="00707885" w:rsidRPr="00707885" w14:paraId="523D989B" w14:textId="77777777" w:rsidTr="00707885">
        <w:trPr>
          <w:trHeight w:val="285"/>
        </w:trPr>
        <w:tc>
          <w:tcPr>
            <w:tcW w:w="1669" w:type="pct"/>
            <w:shd w:val="clear" w:color="auto" w:fill="auto"/>
            <w:noWrap/>
            <w:hideMark/>
          </w:tcPr>
          <w:p w14:paraId="087AC8D4" w14:textId="77777777" w:rsidR="00707885" w:rsidRPr="00707885" w:rsidRDefault="00707885" w:rsidP="00707885">
            <w:pPr>
              <w:rPr>
                <w:rFonts w:cs="Arial"/>
                <w:b/>
                <w:bCs/>
                <w:sz w:val="16"/>
                <w:szCs w:val="16"/>
                <w:lang w:eastAsia="en-AU"/>
              </w:rPr>
            </w:pPr>
            <w:r w:rsidRPr="00707885">
              <w:rPr>
                <w:rFonts w:cs="Arial"/>
                <w:b/>
                <w:bCs/>
                <w:sz w:val="16"/>
                <w:szCs w:val="16"/>
                <w:lang w:eastAsia="en-AU"/>
              </w:rPr>
              <w:t>Wangaratta (RC)</w:t>
            </w:r>
          </w:p>
        </w:tc>
        <w:tc>
          <w:tcPr>
            <w:tcW w:w="804" w:type="pct"/>
            <w:shd w:val="clear" w:color="auto" w:fill="auto"/>
            <w:noWrap/>
            <w:vAlign w:val="bottom"/>
            <w:hideMark/>
          </w:tcPr>
          <w:p w14:paraId="69772463" w14:textId="77777777" w:rsidR="00707885" w:rsidRPr="00707885" w:rsidRDefault="00707885" w:rsidP="00707885">
            <w:pPr>
              <w:rPr>
                <w:rFonts w:cs="Arial"/>
                <w:color w:val="000000"/>
                <w:sz w:val="16"/>
                <w:szCs w:val="16"/>
                <w:lang w:eastAsia="en-AU"/>
              </w:rPr>
            </w:pPr>
            <w:r w:rsidRPr="00707885">
              <w:rPr>
                <w:rFonts w:cs="Arial"/>
                <w:color w:val="000000"/>
                <w:sz w:val="16"/>
                <w:szCs w:val="16"/>
                <w:lang w:eastAsia="en-AU"/>
              </w:rPr>
              <w:t>Rural</w:t>
            </w:r>
          </w:p>
        </w:tc>
        <w:tc>
          <w:tcPr>
            <w:tcW w:w="914" w:type="pct"/>
            <w:shd w:val="clear" w:color="auto" w:fill="auto"/>
            <w:noWrap/>
            <w:hideMark/>
          </w:tcPr>
          <w:p w14:paraId="1ABBCCB9"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1,949 </w:t>
            </w:r>
          </w:p>
        </w:tc>
        <w:tc>
          <w:tcPr>
            <w:tcW w:w="1613" w:type="pct"/>
            <w:shd w:val="clear" w:color="auto" w:fill="auto"/>
            <w:noWrap/>
            <w:hideMark/>
          </w:tcPr>
          <w:p w14:paraId="31A9981F"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252 </w:t>
            </w:r>
          </w:p>
        </w:tc>
      </w:tr>
      <w:tr w:rsidR="00707885" w:rsidRPr="00707885" w14:paraId="460D3127" w14:textId="77777777" w:rsidTr="00707885">
        <w:trPr>
          <w:trHeight w:val="285"/>
        </w:trPr>
        <w:tc>
          <w:tcPr>
            <w:tcW w:w="1669" w:type="pct"/>
            <w:shd w:val="clear" w:color="auto" w:fill="auto"/>
            <w:noWrap/>
            <w:hideMark/>
          </w:tcPr>
          <w:p w14:paraId="201446C1" w14:textId="77777777" w:rsidR="00707885" w:rsidRPr="00707885" w:rsidRDefault="00707885" w:rsidP="00707885">
            <w:pPr>
              <w:rPr>
                <w:rFonts w:cs="Arial"/>
                <w:b/>
                <w:bCs/>
                <w:sz w:val="16"/>
                <w:szCs w:val="16"/>
                <w:lang w:eastAsia="en-AU"/>
              </w:rPr>
            </w:pPr>
            <w:r w:rsidRPr="00707885">
              <w:rPr>
                <w:rFonts w:cs="Arial"/>
                <w:b/>
                <w:bCs/>
                <w:sz w:val="16"/>
                <w:szCs w:val="16"/>
                <w:lang w:eastAsia="en-AU"/>
              </w:rPr>
              <w:lastRenderedPageBreak/>
              <w:t>Warrnambool (C)</w:t>
            </w:r>
          </w:p>
        </w:tc>
        <w:tc>
          <w:tcPr>
            <w:tcW w:w="804" w:type="pct"/>
            <w:shd w:val="clear" w:color="auto" w:fill="auto"/>
            <w:noWrap/>
            <w:vAlign w:val="bottom"/>
            <w:hideMark/>
          </w:tcPr>
          <w:p w14:paraId="44EB28CA" w14:textId="77777777" w:rsidR="00707885" w:rsidRPr="00707885" w:rsidRDefault="00707885" w:rsidP="00707885">
            <w:pPr>
              <w:rPr>
                <w:rFonts w:cs="Arial"/>
                <w:color w:val="000000"/>
                <w:sz w:val="16"/>
                <w:szCs w:val="16"/>
                <w:lang w:eastAsia="en-AU"/>
              </w:rPr>
            </w:pPr>
            <w:r w:rsidRPr="00707885">
              <w:rPr>
                <w:rFonts w:cs="Arial"/>
                <w:color w:val="000000"/>
                <w:sz w:val="16"/>
                <w:szCs w:val="16"/>
                <w:lang w:eastAsia="en-AU"/>
              </w:rPr>
              <w:t>Rural</w:t>
            </w:r>
          </w:p>
        </w:tc>
        <w:tc>
          <w:tcPr>
            <w:tcW w:w="914" w:type="pct"/>
            <w:shd w:val="clear" w:color="auto" w:fill="auto"/>
            <w:noWrap/>
            <w:hideMark/>
          </w:tcPr>
          <w:p w14:paraId="0C889C96"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328 </w:t>
            </w:r>
          </w:p>
        </w:tc>
        <w:tc>
          <w:tcPr>
            <w:tcW w:w="1613" w:type="pct"/>
            <w:shd w:val="clear" w:color="auto" w:fill="auto"/>
            <w:noWrap/>
            <w:hideMark/>
          </w:tcPr>
          <w:p w14:paraId="6FEBD9BE"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265 </w:t>
            </w:r>
          </w:p>
        </w:tc>
      </w:tr>
      <w:tr w:rsidR="00707885" w:rsidRPr="00707885" w14:paraId="31A1B2AA" w14:textId="77777777" w:rsidTr="00707885">
        <w:trPr>
          <w:trHeight w:val="285"/>
        </w:trPr>
        <w:tc>
          <w:tcPr>
            <w:tcW w:w="1669" w:type="pct"/>
            <w:shd w:val="clear" w:color="auto" w:fill="auto"/>
            <w:noWrap/>
            <w:hideMark/>
          </w:tcPr>
          <w:p w14:paraId="03238B00" w14:textId="77777777" w:rsidR="00707885" w:rsidRPr="00707885" w:rsidRDefault="00707885" w:rsidP="00707885">
            <w:pPr>
              <w:rPr>
                <w:rFonts w:cs="Arial"/>
                <w:b/>
                <w:bCs/>
                <w:sz w:val="16"/>
                <w:szCs w:val="16"/>
                <w:lang w:eastAsia="en-AU"/>
              </w:rPr>
            </w:pPr>
            <w:r w:rsidRPr="00707885">
              <w:rPr>
                <w:rFonts w:cs="Arial"/>
                <w:b/>
                <w:bCs/>
                <w:sz w:val="16"/>
                <w:szCs w:val="16"/>
                <w:lang w:eastAsia="en-AU"/>
              </w:rPr>
              <w:t>Wellington (S)</w:t>
            </w:r>
          </w:p>
        </w:tc>
        <w:tc>
          <w:tcPr>
            <w:tcW w:w="804" w:type="pct"/>
            <w:shd w:val="clear" w:color="auto" w:fill="auto"/>
            <w:noWrap/>
            <w:vAlign w:val="bottom"/>
            <w:hideMark/>
          </w:tcPr>
          <w:p w14:paraId="05982CB6" w14:textId="77777777" w:rsidR="00707885" w:rsidRPr="00707885" w:rsidRDefault="00707885" w:rsidP="00707885">
            <w:pPr>
              <w:rPr>
                <w:rFonts w:cs="Arial"/>
                <w:color w:val="000000"/>
                <w:sz w:val="16"/>
                <w:szCs w:val="16"/>
                <w:lang w:eastAsia="en-AU"/>
              </w:rPr>
            </w:pPr>
            <w:r w:rsidRPr="00707885">
              <w:rPr>
                <w:rFonts w:cs="Arial"/>
                <w:color w:val="000000"/>
                <w:sz w:val="16"/>
                <w:szCs w:val="16"/>
                <w:lang w:eastAsia="en-AU"/>
              </w:rPr>
              <w:t>Rural</w:t>
            </w:r>
          </w:p>
        </w:tc>
        <w:tc>
          <w:tcPr>
            <w:tcW w:w="914" w:type="pct"/>
            <w:shd w:val="clear" w:color="auto" w:fill="auto"/>
            <w:noWrap/>
            <w:hideMark/>
          </w:tcPr>
          <w:p w14:paraId="39F7EDF4"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3,022 </w:t>
            </w:r>
          </w:p>
        </w:tc>
        <w:tc>
          <w:tcPr>
            <w:tcW w:w="1613" w:type="pct"/>
            <w:shd w:val="clear" w:color="auto" w:fill="auto"/>
            <w:noWrap/>
            <w:hideMark/>
          </w:tcPr>
          <w:p w14:paraId="77707E14"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357 </w:t>
            </w:r>
          </w:p>
        </w:tc>
      </w:tr>
      <w:tr w:rsidR="00707885" w:rsidRPr="00707885" w14:paraId="50704B95" w14:textId="77777777" w:rsidTr="00707885">
        <w:trPr>
          <w:trHeight w:val="285"/>
        </w:trPr>
        <w:tc>
          <w:tcPr>
            <w:tcW w:w="1669" w:type="pct"/>
            <w:shd w:val="clear" w:color="auto" w:fill="auto"/>
            <w:noWrap/>
            <w:hideMark/>
          </w:tcPr>
          <w:p w14:paraId="234FDEBA" w14:textId="77777777" w:rsidR="00707885" w:rsidRPr="00707885" w:rsidRDefault="00707885" w:rsidP="00707885">
            <w:pPr>
              <w:rPr>
                <w:rFonts w:cs="Arial"/>
                <w:b/>
                <w:bCs/>
                <w:sz w:val="16"/>
                <w:szCs w:val="16"/>
                <w:lang w:eastAsia="en-AU"/>
              </w:rPr>
            </w:pPr>
            <w:r w:rsidRPr="00707885">
              <w:rPr>
                <w:rFonts w:cs="Arial"/>
                <w:b/>
                <w:bCs/>
                <w:sz w:val="16"/>
                <w:szCs w:val="16"/>
                <w:lang w:eastAsia="en-AU"/>
              </w:rPr>
              <w:t>West Wimmera (S)</w:t>
            </w:r>
          </w:p>
        </w:tc>
        <w:tc>
          <w:tcPr>
            <w:tcW w:w="804" w:type="pct"/>
            <w:shd w:val="clear" w:color="auto" w:fill="auto"/>
            <w:noWrap/>
            <w:vAlign w:val="bottom"/>
            <w:hideMark/>
          </w:tcPr>
          <w:p w14:paraId="4A205D89" w14:textId="77777777" w:rsidR="00707885" w:rsidRPr="00707885" w:rsidRDefault="00707885" w:rsidP="00707885">
            <w:pPr>
              <w:rPr>
                <w:rFonts w:cs="Arial"/>
                <w:color w:val="000000"/>
                <w:sz w:val="16"/>
                <w:szCs w:val="16"/>
                <w:lang w:eastAsia="en-AU"/>
              </w:rPr>
            </w:pPr>
            <w:r w:rsidRPr="00707885">
              <w:rPr>
                <w:rFonts w:cs="Arial"/>
                <w:color w:val="000000"/>
                <w:sz w:val="16"/>
                <w:szCs w:val="16"/>
                <w:lang w:eastAsia="en-AU"/>
              </w:rPr>
              <w:t>Rural</w:t>
            </w:r>
          </w:p>
        </w:tc>
        <w:tc>
          <w:tcPr>
            <w:tcW w:w="914" w:type="pct"/>
            <w:shd w:val="clear" w:color="auto" w:fill="auto"/>
            <w:noWrap/>
            <w:hideMark/>
          </w:tcPr>
          <w:p w14:paraId="56B1340C"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2,809 </w:t>
            </w:r>
          </w:p>
        </w:tc>
        <w:tc>
          <w:tcPr>
            <w:tcW w:w="1613" w:type="pct"/>
            <w:shd w:val="clear" w:color="auto" w:fill="auto"/>
            <w:noWrap/>
            <w:hideMark/>
          </w:tcPr>
          <w:p w14:paraId="6726A40C"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1,410 </w:t>
            </w:r>
          </w:p>
        </w:tc>
      </w:tr>
      <w:tr w:rsidR="00707885" w:rsidRPr="00707885" w14:paraId="4C9C5667" w14:textId="77777777" w:rsidTr="00707885">
        <w:trPr>
          <w:trHeight w:val="285"/>
        </w:trPr>
        <w:tc>
          <w:tcPr>
            <w:tcW w:w="1669" w:type="pct"/>
            <w:shd w:val="clear" w:color="auto" w:fill="auto"/>
            <w:noWrap/>
            <w:hideMark/>
          </w:tcPr>
          <w:p w14:paraId="7F106A31" w14:textId="77777777" w:rsidR="00707885" w:rsidRPr="00707885" w:rsidRDefault="00707885" w:rsidP="00707885">
            <w:pPr>
              <w:rPr>
                <w:rFonts w:cs="Arial"/>
                <w:b/>
                <w:bCs/>
                <w:sz w:val="16"/>
                <w:szCs w:val="16"/>
                <w:lang w:eastAsia="en-AU"/>
              </w:rPr>
            </w:pPr>
            <w:r w:rsidRPr="00707885">
              <w:rPr>
                <w:rFonts w:cs="Arial"/>
                <w:b/>
                <w:bCs/>
                <w:sz w:val="16"/>
                <w:szCs w:val="16"/>
                <w:lang w:eastAsia="en-AU"/>
              </w:rPr>
              <w:t>Whitehorse (C)</w:t>
            </w:r>
          </w:p>
        </w:tc>
        <w:tc>
          <w:tcPr>
            <w:tcW w:w="804" w:type="pct"/>
            <w:shd w:val="clear" w:color="auto" w:fill="auto"/>
            <w:noWrap/>
            <w:vAlign w:val="bottom"/>
            <w:hideMark/>
          </w:tcPr>
          <w:p w14:paraId="33C6DC8D" w14:textId="77777777" w:rsidR="00707885" w:rsidRPr="00707885" w:rsidRDefault="00707885" w:rsidP="00707885">
            <w:pPr>
              <w:rPr>
                <w:rFonts w:cs="Arial"/>
                <w:color w:val="000000"/>
                <w:sz w:val="16"/>
                <w:szCs w:val="16"/>
                <w:lang w:eastAsia="en-AU"/>
              </w:rPr>
            </w:pPr>
            <w:r w:rsidRPr="00707885">
              <w:rPr>
                <w:rFonts w:cs="Arial"/>
                <w:color w:val="000000"/>
                <w:sz w:val="16"/>
                <w:szCs w:val="16"/>
                <w:lang w:eastAsia="en-AU"/>
              </w:rPr>
              <w:t>Metro</w:t>
            </w:r>
          </w:p>
        </w:tc>
        <w:tc>
          <w:tcPr>
            <w:tcW w:w="914" w:type="pct"/>
            <w:shd w:val="clear" w:color="auto" w:fill="auto"/>
            <w:noWrap/>
            <w:hideMark/>
          </w:tcPr>
          <w:p w14:paraId="6F07E5B6"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598 </w:t>
            </w:r>
          </w:p>
        </w:tc>
        <w:tc>
          <w:tcPr>
            <w:tcW w:w="1613" w:type="pct"/>
            <w:shd w:val="clear" w:color="auto" w:fill="auto"/>
            <w:noWrap/>
            <w:hideMark/>
          </w:tcPr>
          <w:p w14:paraId="1D0464D1"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49 </w:t>
            </w:r>
          </w:p>
        </w:tc>
      </w:tr>
      <w:tr w:rsidR="00707885" w:rsidRPr="00707885" w14:paraId="36C9E92E" w14:textId="77777777" w:rsidTr="00707885">
        <w:trPr>
          <w:trHeight w:val="285"/>
        </w:trPr>
        <w:tc>
          <w:tcPr>
            <w:tcW w:w="1669" w:type="pct"/>
            <w:shd w:val="clear" w:color="auto" w:fill="auto"/>
            <w:noWrap/>
            <w:hideMark/>
          </w:tcPr>
          <w:p w14:paraId="24AB9B44" w14:textId="77777777" w:rsidR="00707885" w:rsidRPr="00707885" w:rsidRDefault="00707885" w:rsidP="00707885">
            <w:pPr>
              <w:rPr>
                <w:rFonts w:cs="Arial"/>
                <w:b/>
                <w:bCs/>
                <w:sz w:val="16"/>
                <w:szCs w:val="16"/>
                <w:lang w:eastAsia="en-AU"/>
              </w:rPr>
            </w:pPr>
            <w:r w:rsidRPr="00707885">
              <w:rPr>
                <w:rFonts w:cs="Arial"/>
                <w:b/>
                <w:bCs/>
                <w:sz w:val="16"/>
                <w:szCs w:val="16"/>
                <w:lang w:eastAsia="en-AU"/>
              </w:rPr>
              <w:t>Whittlesea (C)</w:t>
            </w:r>
          </w:p>
        </w:tc>
        <w:tc>
          <w:tcPr>
            <w:tcW w:w="804" w:type="pct"/>
            <w:shd w:val="clear" w:color="auto" w:fill="auto"/>
            <w:noWrap/>
            <w:vAlign w:val="bottom"/>
            <w:hideMark/>
          </w:tcPr>
          <w:p w14:paraId="66703E1E" w14:textId="77777777" w:rsidR="00707885" w:rsidRPr="00707885" w:rsidRDefault="00707885" w:rsidP="00707885">
            <w:pPr>
              <w:rPr>
                <w:rFonts w:cs="Arial"/>
                <w:color w:val="000000"/>
                <w:sz w:val="16"/>
                <w:szCs w:val="16"/>
                <w:lang w:eastAsia="en-AU"/>
              </w:rPr>
            </w:pPr>
            <w:r w:rsidRPr="00707885">
              <w:rPr>
                <w:rFonts w:cs="Arial"/>
                <w:color w:val="000000"/>
                <w:sz w:val="16"/>
                <w:szCs w:val="16"/>
                <w:lang w:eastAsia="en-AU"/>
              </w:rPr>
              <w:t>Metro</w:t>
            </w:r>
          </w:p>
        </w:tc>
        <w:tc>
          <w:tcPr>
            <w:tcW w:w="914" w:type="pct"/>
            <w:shd w:val="clear" w:color="auto" w:fill="auto"/>
            <w:noWrap/>
            <w:hideMark/>
          </w:tcPr>
          <w:p w14:paraId="7B0BEA7F"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1,245 </w:t>
            </w:r>
          </w:p>
        </w:tc>
        <w:tc>
          <w:tcPr>
            <w:tcW w:w="1613" w:type="pct"/>
            <w:shd w:val="clear" w:color="auto" w:fill="auto"/>
            <w:noWrap/>
            <w:hideMark/>
          </w:tcPr>
          <w:p w14:paraId="13301608"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100 </w:t>
            </w:r>
          </w:p>
        </w:tc>
      </w:tr>
      <w:tr w:rsidR="00707885" w:rsidRPr="00707885" w14:paraId="7E6F7FA1" w14:textId="77777777" w:rsidTr="00707885">
        <w:trPr>
          <w:trHeight w:val="285"/>
        </w:trPr>
        <w:tc>
          <w:tcPr>
            <w:tcW w:w="1669" w:type="pct"/>
            <w:shd w:val="clear" w:color="auto" w:fill="auto"/>
            <w:noWrap/>
            <w:hideMark/>
          </w:tcPr>
          <w:p w14:paraId="7B034CFE" w14:textId="77777777" w:rsidR="00707885" w:rsidRPr="00707885" w:rsidRDefault="00707885" w:rsidP="00707885">
            <w:pPr>
              <w:rPr>
                <w:rFonts w:cs="Arial"/>
                <w:b/>
                <w:bCs/>
                <w:sz w:val="16"/>
                <w:szCs w:val="16"/>
                <w:lang w:eastAsia="en-AU"/>
              </w:rPr>
            </w:pPr>
            <w:r w:rsidRPr="00707885">
              <w:rPr>
                <w:rFonts w:cs="Arial"/>
                <w:b/>
                <w:bCs/>
                <w:sz w:val="16"/>
                <w:szCs w:val="16"/>
                <w:lang w:eastAsia="en-AU"/>
              </w:rPr>
              <w:t>Wodonga (C)</w:t>
            </w:r>
          </w:p>
        </w:tc>
        <w:tc>
          <w:tcPr>
            <w:tcW w:w="804" w:type="pct"/>
            <w:shd w:val="clear" w:color="auto" w:fill="auto"/>
            <w:noWrap/>
            <w:vAlign w:val="bottom"/>
            <w:hideMark/>
          </w:tcPr>
          <w:p w14:paraId="48ADB0D2" w14:textId="77777777" w:rsidR="00707885" w:rsidRPr="00707885" w:rsidRDefault="00707885" w:rsidP="00707885">
            <w:pPr>
              <w:rPr>
                <w:rFonts w:cs="Arial"/>
                <w:color w:val="000000"/>
                <w:sz w:val="16"/>
                <w:szCs w:val="16"/>
                <w:lang w:eastAsia="en-AU"/>
              </w:rPr>
            </w:pPr>
            <w:r w:rsidRPr="00707885">
              <w:rPr>
                <w:rFonts w:cs="Arial"/>
                <w:color w:val="000000"/>
                <w:sz w:val="16"/>
                <w:szCs w:val="16"/>
                <w:lang w:eastAsia="en-AU"/>
              </w:rPr>
              <w:t>Rural</w:t>
            </w:r>
          </w:p>
        </w:tc>
        <w:tc>
          <w:tcPr>
            <w:tcW w:w="914" w:type="pct"/>
            <w:shd w:val="clear" w:color="auto" w:fill="auto"/>
            <w:noWrap/>
            <w:hideMark/>
          </w:tcPr>
          <w:p w14:paraId="4A654E91"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500 </w:t>
            </w:r>
          </w:p>
        </w:tc>
        <w:tc>
          <w:tcPr>
            <w:tcW w:w="1613" w:type="pct"/>
            <w:shd w:val="clear" w:color="auto" w:fill="auto"/>
            <w:noWrap/>
            <w:hideMark/>
          </w:tcPr>
          <w:p w14:paraId="2B83E832"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240 </w:t>
            </w:r>
          </w:p>
        </w:tc>
      </w:tr>
      <w:tr w:rsidR="00707885" w:rsidRPr="00707885" w14:paraId="3950EA59" w14:textId="77777777" w:rsidTr="00707885">
        <w:trPr>
          <w:trHeight w:val="285"/>
        </w:trPr>
        <w:tc>
          <w:tcPr>
            <w:tcW w:w="1669" w:type="pct"/>
            <w:shd w:val="clear" w:color="auto" w:fill="auto"/>
            <w:noWrap/>
            <w:hideMark/>
          </w:tcPr>
          <w:p w14:paraId="16804FE8" w14:textId="77777777" w:rsidR="00707885" w:rsidRPr="00707885" w:rsidRDefault="00707885" w:rsidP="00707885">
            <w:pPr>
              <w:rPr>
                <w:rFonts w:cs="Arial"/>
                <w:b/>
                <w:bCs/>
                <w:sz w:val="16"/>
                <w:szCs w:val="16"/>
                <w:lang w:eastAsia="en-AU"/>
              </w:rPr>
            </w:pPr>
            <w:r w:rsidRPr="00707885">
              <w:rPr>
                <w:rFonts w:cs="Arial"/>
                <w:b/>
                <w:bCs/>
                <w:sz w:val="16"/>
                <w:szCs w:val="16"/>
                <w:lang w:eastAsia="en-AU"/>
              </w:rPr>
              <w:t>Wyndham (C)</w:t>
            </w:r>
          </w:p>
        </w:tc>
        <w:tc>
          <w:tcPr>
            <w:tcW w:w="804" w:type="pct"/>
            <w:shd w:val="clear" w:color="auto" w:fill="auto"/>
            <w:noWrap/>
            <w:vAlign w:val="bottom"/>
            <w:hideMark/>
          </w:tcPr>
          <w:p w14:paraId="538639E4" w14:textId="77777777" w:rsidR="00707885" w:rsidRPr="00707885" w:rsidRDefault="00707885" w:rsidP="00707885">
            <w:pPr>
              <w:rPr>
                <w:rFonts w:cs="Arial"/>
                <w:color w:val="000000"/>
                <w:sz w:val="16"/>
                <w:szCs w:val="16"/>
                <w:lang w:eastAsia="en-AU"/>
              </w:rPr>
            </w:pPr>
            <w:r w:rsidRPr="00707885">
              <w:rPr>
                <w:rFonts w:cs="Arial"/>
                <w:color w:val="000000"/>
                <w:sz w:val="16"/>
                <w:szCs w:val="16"/>
                <w:lang w:eastAsia="en-AU"/>
              </w:rPr>
              <w:t>Metro</w:t>
            </w:r>
          </w:p>
        </w:tc>
        <w:tc>
          <w:tcPr>
            <w:tcW w:w="914" w:type="pct"/>
            <w:shd w:val="clear" w:color="auto" w:fill="auto"/>
            <w:noWrap/>
            <w:hideMark/>
          </w:tcPr>
          <w:p w14:paraId="5F67CC06"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1,309 </w:t>
            </w:r>
          </w:p>
        </w:tc>
        <w:tc>
          <w:tcPr>
            <w:tcW w:w="1613" w:type="pct"/>
            <w:shd w:val="clear" w:color="auto" w:fill="auto"/>
            <w:noWrap/>
            <w:hideMark/>
          </w:tcPr>
          <w:p w14:paraId="2C0AE71C"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365 </w:t>
            </w:r>
          </w:p>
        </w:tc>
      </w:tr>
      <w:tr w:rsidR="00707885" w:rsidRPr="00707885" w14:paraId="3E3EAB98" w14:textId="77777777" w:rsidTr="00707885">
        <w:trPr>
          <w:trHeight w:val="285"/>
        </w:trPr>
        <w:tc>
          <w:tcPr>
            <w:tcW w:w="1669" w:type="pct"/>
            <w:shd w:val="clear" w:color="auto" w:fill="auto"/>
            <w:noWrap/>
            <w:hideMark/>
          </w:tcPr>
          <w:p w14:paraId="703B359D" w14:textId="77777777" w:rsidR="00707885" w:rsidRPr="00707885" w:rsidRDefault="00707885" w:rsidP="00707885">
            <w:pPr>
              <w:rPr>
                <w:rFonts w:cs="Arial"/>
                <w:b/>
                <w:bCs/>
                <w:sz w:val="16"/>
                <w:szCs w:val="16"/>
                <w:lang w:eastAsia="en-AU"/>
              </w:rPr>
            </w:pPr>
            <w:r w:rsidRPr="00707885">
              <w:rPr>
                <w:rFonts w:cs="Arial"/>
                <w:b/>
                <w:bCs/>
                <w:sz w:val="16"/>
                <w:szCs w:val="16"/>
                <w:lang w:eastAsia="en-AU"/>
              </w:rPr>
              <w:t>Yarra (C)</w:t>
            </w:r>
          </w:p>
        </w:tc>
        <w:tc>
          <w:tcPr>
            <w:tcW w:w="804" w:type="pct"/>
            <w:shd w:val="clear" w:color="auto" w:fill="auto"/>
            <w:noWrap/>
            <w:vAlign w:val="bottom"/>
            <w:hideMark/>
          </w:tcPr>
          <w:p w14:paraId="2A84CDB5" w14:textId="77777777" w:rsidR="00707885" w:rsidRPr="00707885" w:rsidRDefault="00707885" w:rsidP="00707885">
            <w:pPr>
              <w:rPr>
                <w:rFonts w:cs="Arial"/>
                <w:color w:val="000000"/>
                <w:sz w:val="16"/>
                <w:szCs w:val="16"/>
                <w:lang w:eastAsia="en-AU"/>
              </w:rPr>
            </w:pPr>
            <w:r w:rsidRPr="00707885">
              <w:rPr>
                <w:rFonts w:cs="Arial"/>
                <w:color w:val="000000"/>
                <w:sz w:val="16"/>
                <w:szCs w:val="16"/>
                <w:lang w:eastAsia="en-AU"/>
              </w:rPr>
              <w:t>Metro</w:t>
            </w:r>
          </w:p>
        </w:tc>
        <w:tc>
          <w:tcPr>
            <w:tcW w:w="914" w:type="pct"/>
            <w:shd w:val="clear" w:color="auto" w:fill="auto"/>
            <w:noWrap/>
            <w:hideMark/>
          </w:tcPr>
          <w:p w14:paraId="43D47464"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215 </w:t>
            </w:r>
          </w:p>
        </w:tc>
        <w:tc>
          <w:tcPr>
            <w:tcW w:w="1613" w:type="pct"/>
            <w:shd w:val="clear" w:color="auto" w:fill="auto"/>
            <w:noWrap/>
            <w:hideMark/>
          </w:tcPr>
          <w:p w14:paraId="4881FFC9"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182 </w:t>
            </w:r>
          </w:p>
        </w:tc>
      </w:tr>
      <w:tr w:rsidR="00707885" w:rsidRPr="00707885" w14:paraId="2732B21B" w14:textId="77777777" w:rsidTr="00707885">
        <w:trPr>
          <w:trHeight w:val="285"/>
        </w:trPr>
        <w:tc>
          <w:tcPr>
            <w:tcW w:w="1669" w:type="pct"/>
            <w:shd w:val="clear" w:color="auto" w:fill="auto"/>
            <w:noWrap/>
            <w:hideMark/>
          </w:tcPr>
          <w:p w14:paraId="0549BD70" w14:textId="77777777" w:rsidR="00707885" w:rsidRPr="00707885" w:rsidRDefault="00707885" w:rsidP="00707885">
            <w:pPr>
              <w:rPr>
                <w:rFonts w:cs="Arial"/>
                <w:b/>
                <w:bCs/>
                <w:sz w:val="16"/>
                <w:szCs w:val="16"/>
                <w:lang w:eastAsia="en-AU"/>
              </w:rPr>
            </w:pPr>
            <w:r w:rsidRPr="00707885">
              <w:rPr>
                <w:rFonts w:cs="Arial"/>
                <w:b/>
                <w:bCs/>
                <w:sz w:val="16"/>
                <w:szCs w:val="16"/>
                <w:lang w:eastAsia="en-AU"/>
              </w:rPr>
              <w:t>Yarra Ranges (S)</w:t>
            </w:r>
          </w:p>
        </w:tc>
        <w:tc>
          <w:tcPr>
            <w:tcW w:w="804" w:type="pct"/>
            <w:shd w:val="clear" w:color="auto" w:fill="auto"/>
            <w:noWrap/>
            <w:vAlign w:val="bottom"/>
            <w:hideMark/>
          </w:tcPr>
          <w:p w14:paraId="78F535A5" w14:textId="77777777" w:rsidR="00707885" w:rsidRPr="00707885" w:rsidRDefault="00707885" w:rsidP="00707885">
            <w:pPr>
              <w:rPr>
                <w:rFonts w:cs="Arial"/>
                <w:color w:val="000000"/>
                <w:sz w:val="16"/>
                <w:szCs w:val="16"/>
                <w:lang w:eastAsia="en-AU"/>
              </w:rPr>
            </w:pPr>
            <w:r w:rsidRPr="00707885">
              <w:rPr>
                <w:rFonts w:cs="Arial"/>
                <w:color w:val="000000"/>
                <w:sz w:val="16"/>
                <w:szCs w:val="16"/>
                <w:lang w:eastAsia="en-AU"/>
              </w:rPr>
              <w:t>Metro</w:t>
            </w:r>
          </w:p>
        </w:tc>
        <w:tc>
          <w:tcPr>
            <w:tcW w:w="914" w:type="pct"/>
            <w:shd w:val="clear" w:color="auto" w:fill="auto"/>
            <w:noWrap/>
            <w:hideMark/>
          </w:tcPr>
          <w:p w14:paraId="7217F17A"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1,748 </w:t>
            </w:r>
          </w:p>
        </w:tc>
        <w:tc>
          <w:tcPr>
            <w:tcW w:w="1613" w:type="pct"/>
            <w:shd w:val="clear" w:color="auto" w:fill="auto"/>
            <w:noWrap/>
            <w:hideMark/>
          </w:tcPr>
          <w:p w14:paraId="1B97BCCD"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164 </w:t>
            </w:r>
          </w:p>
        </w:tc>
      </w:tr>
      <w:tr w:rsidR="00707885" w:rsidRPr="00707885" w14:paraId="11685245" w14:textId="77777777" w:rsidTr="00707885">
        <w:trPr>
          <w:trHeight w:val="285"/>
        </w:trPr>
        <w:tc>
          <w:tcPr>
            <w:tcW w:w="1669" w:type="pct"/>
            <w:shd w:val="clear" w:color="auto" w:fill="auto"/>
            <w:noWrap/>
            <w:hideMark/>
          </w:tcPr>
          <w:p w14:paraId="5EE78109" w14:textId="77777777" w:rsidR="00707885" w:rsidRPr="00707885" w:rsidRDefault="00707885" w:rsidP="00707885">
            <w:pPr>
              <w:rPr>
                <w:rFonts w:cs="Arial"/>
                <w:b/>
                <w:bCs/>
                <w:sz w:val="16"/>
                <w:szCs w:val="16"/>
                <w:lang w:eastAsia="en-AU"/>
              </w:rPr>
            </w:pPr>
            <w:proofErr w:type="spellStart"/>
            <w:r w:rsidRPr="00707885">
              <w:rPr>
                <w:rFonts w:cs="Arial"/>
                <w:b/>
                <w:bCs/>
                <w:sz w:val="16"/>
                <w:szCs w:val="16"/>
                <w:lang w:eastAsia="en-AU"/>
              </w:rPr>
              <w:t>Yarriambiack</w:t>
            </w:r>
            <w:proofErr w:type="spellEnd"/>
            <w:r w:rsidRPr="00707885">
              <w:rPr>
                <w:rFonts w:cs="Arial"/>
                <w:b/>
                <w:bCs/>
                <w:sz w:val="16"/>
                <w:szCs w:val="16"/>
                <w:lang w:eastAsia="en-AU"/>
              </w:rPr>
              <w:t xml:space="preserve"> (S)</w:t>
            </w:r>
          </w:p>
        </w:tc>
        <w:tc>
          <w:tcPr>
            <w:tcW w:w="804" w:type="pct"/>
            <w:shd w:val="clear" w:color="auto" w:fill="auto"/>
            <w:noWrap/>
            <w:vAlign w:val="bottom"/>
            <w:hideMark/>
          </w:tcPr>
          <w:p w14:paraId="724E1E31" w14:textId="77777777" w:rsidR="00707885" w:rsidRPr="00707885" w:rsidRDefault="00707885" w:rsidP="00707885">
            <w:pPr>
              <w:rPr>
                <w:rFonts w:cs="Arial"/>
                <w:color w:val="000000"/>
                <w:sz w:val="16"/>
                <w:szCs w:val="16"/>
                <w:lang w:eastAsia="en-AU"/>
              </w:rPr>
            </w:pPr>
            <w:r w:rsidRPr="00707885">
              <w:rPr>
                <w:rFonts w:cs="Arial"/>
                <w:color w:val="000000"/>
                <w:sz w:val="16"/>
                <w:szCs w:val="16"/>
                <w:lang w:eastAsia="en-AU"/>
              </w:rPr>
              <w:t>Rural</w:t>
            </w:r>
          </w:p>
        </w:tc>
        <w:tc>
          <w:tcPr>
            <w:tcW w:w="914" w:type="pct"/>
            <w:shd w:val="clear" w:color="auto" w:fill="auto"/>
            <w:noWrap/>
            <w:hideMark/>
          </w:tcPr>
          <w:p w14:paraId="39E93B88"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4,790 </w:t>
            </w:r>
          </w:p>
        </w:tc>
        <w:tc>
          <w:tcPr>
            <w:tcW w:w="1613" w:type="pct"/>
            <w:shd w:val="clear" w:color="auto" w:fill="auto"/>
            <w:noWrap/>
            <w:hideMark/>
          </w:tcPr>
          <w:p w14:paraId="439DA24E" w14:textId="77777777" w:rsidR="00707885" w:rsidRPr="00707885" w:rsidRDefault="00707885" w:rsidP="00707885">
            <w:pPr>
              <w:jc w:val="right"/>
              <w:rPr>
                <w:rFonts w:cs="Arial"/>
                <w:b/>
                <w:bCs/>
                <w:sz w:val="16"/>
                <w:szCs w:val="16"/>
                <w:lang w:eastAsia="en-AU"/>
              </w:rPr>
            </w:pPr>
            <w:r w:rsidRPr="00707885">
              <w:rPr>
                <w:rFonts w:cs="Arial"/>
                <w:b/>
                <w:bCs/>
                <w:sz w:val="16"/>
                <w:szCs w:val="16"/>
                <w:lang w:eastAsia="en-AU"/>
              </w:rPr>
              <w:t xml:space="preserve">1,159 </w:t>
            </w:r>
          </w:p>
        </w:tc>
      </w:tr>
    </w:tbl>
    <w:p w14:paraId="4BFC625A" w14:textId="591F197A" w:rsidR="00707885" w:rsidRPr="00707885" w:rsidRDefault="00707885" w:rsidP="00F41949">
      <w:pPr>
        <w:rPr>
          <w:rFonts w:cs="Arial"/>
          <w:sz w:val="18"/>
        </w:rPr>
      </w:pPr>
      <w:r>
        <w:rPr>
          <w:rFonts w:cs="Arial"/>
          <w:sz w:val="18"/>
        </w:rPr>
        <w:t>Source: VGC data; includes capital and maintenance expenditure on roads and bridges</w:t>
      </w:r>
      <w:r w:rsidR="00E84BF5">
        <w:rPr>
          <w:rFonts w:cs="Arial"/>
          <w:sz w:val="18"/>
        </w:rPr>
        <w:t xml:space="preserve"> </w:t>
      </w:r>
      <w:r>
        <w:rPr>
          <w:rFonts w:cs="Arial"/>
          <w:sz w:val="18"/>
        </w:rPr>
        <w:t>.</w:t>
      </w:r>
      <w:r w:rsidR="0045607D">
        <w:rPr>
          <w:rFonts w:cs="Arial"/>
          <w:sz w:val="18"/>
        </w:rPr>
        <w:t xml:space="preserve">Expenditure of zero reflects missing or incorrect data. </w:t>
      </w:r>
    </w:p>
    <w:p w14:paraId="0B53A3D1" w14:textId="77777777" w:rsidR="00707885" w:rsidRPr="00F41949" w:rsidRDefault="00707885" w:rsidP="00F41949">
      <w:pPr>
        <w:rPr>
          <w:rFonts w:cs="Arial"/>
        </w:rPr>
      </w:pPr>
    </w:p>
    <w:p w14:paraId="66AD6F7F" w14:textId="0B05B338" w:rsidR="00F41949" w:rsidRDefault="00707885" w:rsidP="00F41949">
      <w:pPr>
        <w:rPr>
          <w:rFonts w:cs="Arial"/>
        </w:rPr>
      </w:pPr>
      <w:r>
        <w:rPr>
          <w:rFonts w:cs="Arial"/>
        </w:rPr>
        <w:t xml:space="preserve">These data indicate that the per head expenditure on roads is greater on average for rural and regional councils ($298 per head versus $100 per head). </w:t>
      </w:r>
    </w:p>
    <w:p w14:paraId="72826456" w14:textId="77777777" w:rsidR="00707885" w:rsidRPr="00F41949" w:rsidRDefault="00707885" w:rsidP="00F41949">
      <w:pPr>
        <w:rPr>
          <w:rFonts w:cs="Arial"/>
        </w:rPr>
      </w:pPr>
    </w:p>
    <w:p w14:paraId="54E5C9E8" w14:textId="2A9F4009" w:rsidR="008F6D00" w:rsidRPr="00F41949" w:rsidRDefault="008F6D00" w:rsidP="00F41949">
      <w:pPr>
        <w:rPr>
          <w:rFonts w:cs="Arial"/>
        </w:rPr>
      </w:pPr>
      <w:r w:rsidRPr="00F41949">
        <w:rPr>
          <w:rFonts w:cs="Arial"/>
        </w:rPr>
        <w:t>The annual asset renewal gap for Victorian councils was estimated to be $225.3 million in 2012 with the cumulative asset renewal gap predicted to grow to almost $2.3 billion by 2027.</w:t>
      </w:r>
      <w:r w:rsidR="00F41949" w:rsidRPr="00F41949">
        <w:rPr>
          <w:rFonts w:cs="Arial"/>
        </w:rPr>
        <w:t xml:space="preserve"> </w:t>
      </w:r>
    </w:p>
    <w:p w14:paraId="352DAC85" w14:textId="77777777" w:rsidR="009E36C3" w:rsidRPr="00F41949" w:rsidRDefault="009E36C3" w:rsidP="00F41949"/>
    <w:p w14:paraId="447C6586" w14:textId="46C70764" w:rsidR="00E4247A" w:rsidRPr="00F41949" w:rsidRDefault="00E4247A" w:rsidP="00F41949">
      <w:r w:rsidRPr="00F41949">
        <w:t xml:space="preserve">Changes in policy direction at both a Federal Government and State Government level have and will continue to </w:t>
      </w:r>
      <w:r w:rsidR="007636A8">
        <w:t>affect</w:t>
      </w:r>
      <w:r w:rsidRPr="00F41949">
        <w:t xml:space="preserve"> the capacity for local government to maintain the local road and bridge network.</w:t>
      </w:r>
    </w:p>
    <w:p w14:paraId="734FB000" w14:textId="77777777" w:rsidR="00E4247A" w:rsidRPr="00F41949" w:rsidRDefault="00E4247A" w:rsidP="00F41949"/>
    <w:p w14:paraId="531FE689" w14:textId="4ED39F8F" w:rsidR="00E4247A" w:rsidRPr="00F41949" w:rsidRDefault="00E4247A" w:rsidP="00F41949">
      <w:r w:rsidRPr="00F41949">
        <w:t xml:space="preserve">The freezing of the indexation of the Federal Government’s Financial Assistance Grants will affect all Victorian councils, with an estimated </w:t>
      </w:r>
      <w:r w:rsidR="008F6D00" w:rsidRPr="00F41949">
        <w:t xml:space="preserve">to be in excess of </w:t>
      </w:r>
      <w:r w:rsidRPr="00F41949">
        <w:t>$70 million loss in 2016-17. Rural councils will feel the greatest effects with these gr</w:t>
      </w:r>
      <w:r w:rsidR="008F6D00" w:rsidRPr="00F41949">
        <w:t>ants previously making up to 31 per cent</w:t>
      </w:r>
      <w:r w:rsidRPr="00F41949">
        <w:t xml:space="preserve"> of a council’s </w:t>
      </w:r>
      <w:r w:rsidR="00AF5799">
        <w:t>revenue</w:t>
      </w:r>
      <w:r w:rsidRPr="00F41949">
        <w:t xml:space="preserve">. </w:t>
      </w:r>
      <w:r w:rsidR="00F41949" w:rsidRPr="00F41949">
        <w:t xml:space="preserve">While this has been offset to some extent by the increase in Roads to Recovery Funding, </w:t>
      </w:r>
      <w:r w:rsidR="007636A8">
        <w:t xml:space="preserve">in the </w:t>
      </w:r>
      <w:r w:rsidR="00F41949" w:rsidRPr="00F41949">
        <w:t>long-term there will be ongoing funding shortfalls for rural councils</w:t>
      </w:r>
      <w:r w:rsidR="00AF5799">
        <w:t xml:space="preserve"> when the additional funding concludes</w:t>
      </w:r>
      <w:r w:rsidR="00F41949" w:rsidRPr="00F41949">
        <w:t xml:space="preserve">. </w:t>
      </w:r>
    </w:p>
    <w:p w14:paraId="09DBFD40" w14:textId="77777777" w:rsidR="00E4247A" w:rsidRPr="00F41949" w:rsidRDefault="00E4247A" w:rsidP="00F41949"/>
    <w:p w14:paraId="578F2DCE" w14:textId="77777777" w:rsidR="00E4247A" w:rsidRPr="00F41949" w:rsidRDefault="00E4247A" w:rsidP="00F41949">
      <w:r w:rsidRPr="00F41949">
        <w:t>The State Government’s rate capping policy will also reduce the capacity for councils to deliver greatly needed infrastructure maintenance and development. Previous implementation of rate capping policies in Victoria and New South Wales produced the unintended consequence of councils not having the ability to maintain the local government road network.</w:t>
      </w:r>
    </w:p>
    <w:p w14:paraId="46329240" w14:textId="77777777" w:rsidR="00DC3C7A" w:rsidRPr="00F41949" w:rsidRDefault="00DC3C7A" w:rsidP="00F41949"/>
    <w:p w14:paraId="2994F2CE" w14:textId="4E3B7FCC" w:rsidR="00725B17" w:rsidRPr="00F41949" w:rsidRDefault="00725B17" w:rsidP="00F41949">
      <w:pPr>
        <w:rPr>
          <w:rFonts w:cs="Arial"/>
        </w:rPr>
      </w:pPr>
      <w:r w:rsidRPr="00F41949">
        <w:rPr>
          <w:rFonts w:cs="Arial"/>
        </w:rPr>
        <w:t xml:space="preserve">A disjointed and short term approach to infrastructure planning at a Federal and State level has greatly impacted </w:t>
      </w:r>
      <w:r w:rsidR="00AF5799">
        <w:rPr>
          <w:rFonts w:cs="Arial"/>
        </w:rPr>
        <w:t>the</w:t>
      </w:r>
      <w:r w:rsidRPr="00F41949">
        <w:rPr>
          <w:rFonts w:cs="Arial"/>
        </w:rPr>
        <w:t xml:space="preserve"> infrastructure network in Australia, as well as our capacity to plan for the renewal and provision of new infrastructure into the future. There has also been a significant gap in planning for and delivering regional level infrastructure. Local government has been attempting to fill this gap.</w:t>
      </w:r>
    </w:p>
    <w:p w14:paraId="2046BA43" w14:textId="77777777" w:rsidR="00725B17" w:rsidRPr="00F41949" w:rsidRDefault="00725B17" w:rsidP="00F41949">
      <w:pPr>
        <w:rPr>
          <w:rFonts w:cs="Arial"/>
        </w:rPr>
      </w:pPr>
    </w:p>
    <w:p w14:paraId="31623C2E" w14:textId="2CB7A195" w:rsidR="009E36C3" w:rsidRPr="00F41949" w:rsidRDefault="00725B17" w:rsidP="00F41949">
      <w:pPr>
        <w:rPr>
          <w:rFonts w:cs="Arial"/>
        </w:rPr>
      </w:pPr>
      <w:r w:rsidRPr="00F41949">
        <w:rPr>
          <w:rFonts w:cs="Arial"/>
        </w:rPr>
        <w:t>This has taken its toll financially and for councils, the most capital intensive infrastructure provider of all levels of government, the asset renewal gap to maintain existing infrastructure is a constant challenge. This has the capacity to create serious issues for local infrastructure in the future, damaging the overall quality of the infrastructure network and potentially reduce Victo</w:t>
      </w:r>
      <w:r w:rsidR="00F41949">
        <w:rPr>
          <w:rFonts w:cs="Arial"/>
        </w:rPr>
        <w:t>ria’s economic competitiveness.</w:t>
      </w:r>
    </w:p>
    <w:p w14:paraId="37DB2A36" w14:textId="77777777" w:rsidR="009E36C3" w:rsidRDefault="009E36C3" w:rsidP="00E4247A">
      <w:pPr>
        <w:spacing w:line="276" w:lineRule="auto"/>
        <w:jc w:val="both"/>
      </w:pPr>
    </w:p>
    <w:p w14:paraId="4AF6E4EF" w14:textId="607D46E6" w:rsidR="00E4247A" w:rsidRDefault="00C81EE4" w:rsidP="00C05912">
      <w:pPr>
        <w:pStyle w:val="Heading1"/>
      </w:pPr>
      <w:bookmarkStart w:id="50" w:name="_Toc462060583"/>
      <w:bookmarkStart w:id="51" w:name="_Toc462066822"/>
      <w:r>
        <w:lastRenderedPageBreak/>
        <w:t>Roadside weeds and pests</w:t>
      </w:r>
      <w:bookmarkEnd w:id="50"/>
      <w:bookmarkEnd w:id="51"/>
    </w:p>
    <w:p w14:paraId="48559EEF" w14:textId="0366A1F5" w:rsidR="00C81EE4" w:rsidRDefault="00C81EE4" w:rsidP="00725B17"/>
    <w:p w14:paraId="75EBDFD5" w14:textId="77777777" w:rsidR="000B0A57" w:rsidRDefault="000B0A57" w:rsidP="000B0A57">
      <w:r>
        <w:t xml:space="preserve">Another example of the state directly and adversely affecting councils was the decision in 2013, despite opposition from local government, to pass legislative amendments to make councils responsible for weed and pest management on a number of roadsides. State funding for councils to discharge this duty has been inadequate and allocated on short-term bases only, hindering council efforts to establish long-term plans with key non-government partners. Furthermore, the State has failed to undertake sufficient compliance and enforcement activity for weed and pest management on private land, frustrating the efficacy of management activity undertaken by adjoining land holders, including councils. </w:t>
      </w:r>
    </w:p>
    <w:p w14:paraId="74F6E6C9" w14:textId="77777777" w:rsidR="000B0A57" w:rsidRDefault="000B0A57" w:rsidP="000B0A57"/>
    <w:p w14:paraId="3F00A953" w14:textId="77777777" w:rsidR="000B0A57" w:rsidRDefault="000B0A57" w:rsidP="000B0A57">
      <w:r>
        <w:t>The MAV and councils have advocated for secure long-term funding for roadside weed and pest management activity ever since the legislative changes, but successive State governments have ignored the calls instead offering one or two year programs. It’s a frustrating state of affairs for councils and their communities.</w:t>
      </w:r>
    </w:p>
    <w:p w14:paraId="158E8508" w14:textId="77777777" w:rsidR="000B0A57" w:rsidRDefault="000B0A57" w:rsidP="00725B17"/>
    <w:p w14:paraId="17BF1D8E" w14:textId="642D51D6" w:rsidR="00C81EE4" w:rsidRDefault="008F6D00" w:rsidP="008F6D00">
      <w:pPr>
        <w:pStyle w:val="Heading1"/>
      </w:pPr>
      <w:bookmarkStart w:id="52" w:name="_Toc462060584"/>
      <w:bookmarkStart w:id="53" w:name="_Toc462066823"/>
      <w:bookmarkEnd w:id="31"/>
      <w:bookmarkEnd w:id="32"/>
      <w:bookmarkEnd w:id="33"/>
      <w:r>
        <w:t>Conclusions</w:t>
      </w:r>
      <w:bookmarkEnd w:id="52"/>
      <w:bookmarkEnd w:id="53"/>
    </w:p>
    <w:p w14:paraId="462713BF" w14:textId="77777777" w:rsidR="008F6D00" w:rsidRDefault="008F6D00" w:rsidP="008F6D00"/>
    <w:p w14:paraId="39A97B93" w14:textId="50E9705F" w:rsidR="008F6D00" w:rsidRDefault="007636A8" w:rsidP="008F6D00">
      <w:r>
        <w:t xml:space="preserve">There is very little doubt that the operational environment for rural and regional councils is particularly challenging and is the most difficult since the major reform period of the mid-1990s. </w:t>
      </w:r>
    </w:p>
    <w:p w14:paraId="2D1B45A0" w14:textId="77777777" w:rsidR="007636A8" w:rsidRDefault="007636A8" w:rsidP="008F6D00"/>
    <w:p w14:paraId="6A384FB0" w14:textId="671C8F13" w:rsidR="007636A8" w:rsidRDefault="007636A8" w:rsidP="008F6D00">
      <w:r>
        <w:t xml:space="preserve">There are structural factors affecting the ability of rural and regional councils to provide necessary services to their communities and the funding models for the sector have developed over time to attempt to ameliorate this to some extent. Despite this, the combination of Federal and State policies is having a negative consequence on councils. The primary issues are: </w:t>
      </w:r>
    </w:p>
    <w:p w14:paraId="3AEE681A" w14:textId="77777777" w:rsidR="007636A8" w:rsidRDefault="007636A8" w:rsidP="008F6D00"/>
    <w:p w14:paraId="60E29E70" w14:textId="177ADDEF" w:rsidR="007636A8" w:rsidRDefault="007636A8" w:rsidP="007636A8">
      <w:pPr>
        <w:pStyle w:val="ListParagraph"/>
        <w:numPr>
          <w:ilvl w:val="0"/>
          <w:numId w:val="30"/>
        </w:numPr>
      </w:pPr>
      <w:r>
        <w:t>The FAGs freeze, which has greatest effect on rural councils</w:t>
      </w:r>
    </w:p>
    <w:p w14:paraId="4FEB7881" w14:textId="6EEA3F93" w:rsidR="007636A8" w:rsidRDefault="007636A8" w:rsidP="007636A8">
      <w:pPr>
        <w:pStyle w:val="ListParagraph"/>
        <w:numPr>
          <w:ilvl w:val="0"/>
          <w:numId w:val="30"/>
        </w:numPr>
      </w:pPr>
      <w:r>
        <w:t>Rates capping</w:t>
      </w:r>
    </w:p>
    <w:p w14:paraId="321F1EB8" w14:textId="39C3BB52" w:rsidR="007636A8" w:rsidRDefault="007636A8" w:rsidP="007636A8">
      <w:pPr>
        <w:pStyle w:val="ListParagraph"/>
        <w:numPr>
          <w:ilvl w:val="0"/>
          <w:numId w:val="30"/>
        </w:numPr>
      </w:pPr>
      <w:r>
        <w:t>Inadequate funding for a range of council services</w:t>
      </w:r>
    </w:p>
    <w:p w14:paraId="2864B014" w14:textId="578D9775" w:rsidR="007636A8" w:rsidRDefault="007636A8" w:rsidP="007636A8">
      <w:pPr>
        <w:pStyle w:val="ListParagraph"/>
        <w:numPr>
          <w:ilvl w:val="0"/>
          <w:numId w:val="30"/>
        </w:numPr>
      </w:pPr>
      <w:r>
        <w:t>The cumulative consequences of increased regulatory requirements, failure to index funding programs and increased reporting requirements</w:t>
      </w:r>
    </w:p>
    <w:p w14:paraId="2078DB9B" w14:textId="77777777" w:rsidR="007636A8" w:rsidRDefault="007636A8" w:rsidP="007636A8"/>
    <w:p w14:paraId="092A0935" w14:textId="77777777" w:rsidR="00A4522C" w:rsidRDefault="007636A8" w:rsidP="007636A8">
      <w:r>
        <w:t>The major concern of the MAV is that the current range of policies in place will have a long-term consequence on the sector. It is highly likely that the long-term effects of the current policy context will be a reduction in the services rural councils provide to their communities, a reduction in the provision of new and innovative and the likelihood that councils will be unable to maintain and renewal their infrastructure responsibilities</w:t>
      </w:r>
      <w:r w:rsidR="00A4522C">
        <w:t>, with serious and long-term consequences</w:t>
      </w:r>
      <w:r>
        <w:t>.</w:t>
      </w:r>
    </w:p>
    <w:p w14:paraId="726A4AD4" w14:textId="77777777" w:rsidR="00A4522C" w:rsidRDefault="00A4522C" w:rsidP="007636A8"/>
    <w:p w14:paraId="4A9FC7E7" w14:textId="01A354A2" w:rsidR="007636A8" w:rsidRDefault="00A4522C" w:rsidP="007636A8">
      <w:r>
        <w:t>These issues will ultimately affect the fairness of service provision into rural and regional areas and the key question for the state is whether it supports policies and regulatory frameworks which will increase the relative disadvantage of rural communities over metropolitan communities.</w:t>
      </w:r>
    </w:p>
    <w:p w14:paraId="39027041" w14:textId="6F251BD3" w:rsidR="00F41949" w:rsidRDefault="00F41949">
      <w:r>
        <w:br w:type="page"/>
      </w:r>
    </w:p>
    <w:p w14:paraId="7DA95979" w14:textId="77777777" w:rsidR="008F6D00" w:rsidRDefault="008F6D00" w:rsidP="008F6D00"/>
    <w:p w14:paraId="2EC8770D" w14:textId="41ABFB80" w:rsidR="008F6D00" w:rsidRDefault="008F6D00" w:rsidP="008F6D00">
      <w:pPr>
        <w:pStyle w:val="Heading1"/>
      </w:pPr>
      <w:bookmarkStart w:id="54" w:name="_Toc462060585"/>
      <w:bookmarkStart w:id="55" w:name="_Toc462066824"/>
      <w:r>
        <w:t>Appendix 1: Rating Fairness</w:t>
      </w:r>
      <w:bookmarkEnd w:id="54"/>
      <w:bookmarkEnd w:id="55"/>
    </w:p>
    <w:p w14:paraId="2B96579D" w14:textId="77777777" w:rsidR="008F6D00" w:rsidRDefault="008F6D00" w:rsidP="008F6D00"/>
    <w:p w14:paraId="463CE059" w14:textId="33945DFD" w:rsidR="008F6D00" w:rsidRPr="008F6D00" w:rsidRDefault="008F6D00" w:rsidP="00E84BF5">
      <w:pPr>
        <w:pStyle w:val="Heading2"/>
        <w:rPr>
          <w:b w:val="0"/>
        </w:rPr>
      </w:pPr>
      <w:bookmarkStart w:id="56" w:name="_Toc462060586"/>
      <w:bookmarkStart w:id="57" w:name="_Toc462066825"/>
      <w:r w:rsidRPr="008F6D00">
        <w:t>Fairness, Equity and Adequacy of Rating Systems</w:t>
      </w:r>
      <w:bookmarkEnd w:id="56"/>
      <w:bookmarkEnd w:id="57"/>
    </w:p>
    <w:p w14:paraId="4567A0E5" w14:textId="77777777" w:rsidR="008F6D00" w:rsidRPr="008F6D00" w:rsidRDefault="008F6D00" w:rsidP="008F6D00">
      <w:pPr>
        <w:rPr>
          <w:b/>
        </w:rPr>
      </w:pPr>
    </w:p>
    <w:p w14:paraId="2877962B" w14:textId="71F274A9" w:rsidR="008F6D00" w:rsidRDefault="008F6D00" w:rsidP="008F6D00">
      <w:r>
        <w:t>Generally, the issues concerning the fairness, equity and adequacy of rating systems are no different for regional and rural councils than all councils although there are specific aspects of these issues that may be of more interest. The main issues relate to:</w:t>
      </w:r>
    </w:p>
    <w:p w14:paraId="0EC8AF50" w14:textId="77777777" w:rsidR="008F6D00" w:rsidRDefault="008F6D00" w:rsidP="008F6D00">
      <w:pPr>
        <w:pStyle w:val="ListParagraph"/>
        <w:numPr>
          <w:ilvl w:val="0"/>
          <w:numId w:val="20"/>
        </w:numPr>
        <w:spacing w:after="200" w:line="276" w:lineRule="auto"/>
      </w:pPr>
      <w:r>
        <w:t>community perceptions of rates;</w:t>
      </w:r>
    </w:p>
    <w:p w14:paraId="43FA52AD" w14:textId="77777777" w:rsidR="008F6D00" w:rsidRDefault="008F6D00" w:rsidP="008F6D00">
      <w:pPr>
        <w:pStyle w:val="ListParagraph"/>
        <w:numPr>
          <w:ilvl w:val="0"/>
          <w:numId w:val="20"/>
        </w:numPr>
        <w:spacing w:after="200" w:line="276" w:lineRule="auto"/>
      </w:pPr>
      <w:r>
        <w:t>the inherent difficulty in defining equity and using land taxes to achieve equity objectives;</w:t>
      </w:r>
    </w:p>
    <w:p w14:paraId="75427CAE" w14:textId="77777777" w:rsidR="008F6D00" w:rsidRPr="00135DAA" w:rsidRDefault="008F6D00" w:rsidP="008F6D00">
      <w:pPr>
        <w:pStyle w:val="ListParagraph"/>
        <w:numPr>
          <w:ilvl w:val="0"/>
          <w:numId w:val="20"/>
        </w:numPr>
        <w:spacing w:after="200" w:line="276" w:lineRule="auto"/>
        <w:rPr>
          <w:b/>
        </w:rPr>
      </w:pPr>
      <w:r>
        <w:t>the expectations of ratepayers, and in particular, the influence of interest groups; and</w:t>
      </w:r>
    </w:p>
    <w:p w14:paraId="12B60424" w14:textId="77777777" w:rsidR="008F6D00" w:rsidRPr="00090B0D" w:rsidRDefault="008F6D00" w:rsidP="008F6D00">
      <w:pPr>
        <w:pStyle w:val="ListParagraph"/>
        <w:numPr>
          <w:ilvl w:val="0"/>
          <w:numId w:val="20"/>
        </w:numPr>
        <w:spacing w:after="200" w:line="276" w:lineRule="auto"/>
        <w:rPr>
          <w:b/>
        </w:rPr>
      </w:pPr>
      <w:r>
        <w:t xml:space="preserve">the rating framework, including the relevant legislation that controls the actions of councils. </w:t>
      </w:r>
    </w:p>
    <w:p w14:paraId="6BC9A654" w14:textId="77777777" w:rsidR="008F6D00" w:rsidRDefault="008F6D00" w:rsidP="008F6D00">
      <w:pPr>
        <w:pStyle w:val="ListParagraph"/>
        <w:rPr>
          <w:b/>
        </w:rPr>
      </w:pPr>
    </w:p>
    <w:p w14:paraId="31FEC8C5" w14:textId="5637CB17" w:rsidR="008F6D00" w:rsidRPr="002D1DEE" w:rsidRDefault="008F6D00" w:rsidP="00E84BF5">
      <w:pPr>
        <w:pStyle w:val="Heading2"/>
        <w:rPr>
          <w:b w:val="0"/>
        </w:rPr>
      </w:pPr>
      <w:bookmarkStart w:id="58" w:name="_Toc462060587"/>
      <w:bookmarkStart w:id="59" w:name="_Toc462066826"/>
      <w:r w:rsidRPr="002D1DEE">
        <w:t>Importance of Rates</w:t>
      </w:r>
      <w:bookmarkEnd w:id="58"/>
      <w:bookmarkEnd w:id="59"/>
    </w:p>
    <w:p w14:paraId="4E55E898" w14:textId="77777777" w:rsidR="008F6D00" w:rsidRDefault="008F6D00" w:rsidP="008F6D00"/>
    <w:p w14:paraId="166908C2" w14:textId="77777777" w:rsidR="008F6D00" w:rsidRDefault="008F6D00" w:rsidP="008F6D00">
      <w:r w:rsidRPr="0088179A">
        <w:t>Rates are an extremely important component of council revenue.</w:t>
      </w:r>
      <w:r>
        <w:t xml:space="preserve"> Rates account for more than 40% of underlying revenues in the vast majority of councils with average and median levels of about 59%.</w:t>
      </w:r>
    </w:p>
    <w:p w14:paraId="50C8F1E6" w14:textId="77777777" w:rsidR="008F6D00" w:rsidRDefault="008F6D00" w:rsidP="008F6D00"/>
    <w:p w14:paraId="5681B020" w14:textId="77777777" w:rsidR="008F6D00" w:rsidRDefault="008F6D00" w:rsidP="008F6D00">
      <w:r>
        <w:rPr>
          <w:noProof/>
          <w:lang w:eastAsia="en-AU"/>
        </w:rPr>
        <w:drawing>
          <wp:inline distT="0" distB="0" distL="0" distR="0" wp14:anchorId="47F63F8F" wp14:editId="4CF1385A">
            <wp:extent cx="5731510" cy="3742627"/>
            <wp:effectExtent l="0" t="0" r="21590" b="1079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84E9790" w14:textId="3620296F" w:rsidR="008F6D00" w:rsidRDefault="008F6D00" w:rsidP="008F6D00">
      <w:r>
        <w:t xml:space="preserve">While rates represent a larger proportion of the total underlying revenues of non-rural and non-regional councils, they account for a significantly higher proportion of internally-generated revenues of councils. When discounted for recurrent grants rates generally account for a significantly higher proportion in rural and regional </w:t>
      </w:r>
      <w:r>
        <w:lastRenderedPageBreak/>
        <w:t xml:space="preserve">councils. This reflects the limitations on these councils, rural councils especially, of generating income from alternative sources such as user charges. </w:t>
      </w:r>
    </w:p>
    <w:p w14:paraId="20E58505" w14:textId="77777777" w:rsidR="00971C69" w:rsidRDefault="00971C69" w:rsidP="008F6D00"/>
    <w:p w14:paraId="0A194449" w14:textId="77777777" w:rsidR="008F6D00" w:rsidRDefault="008F6D00" w:rsidP="008F6D00">
      <w:r>
        <w:rPr>
          <w:noProof/>
          <w:lang w:eastAsia="en-AU"/>
        </w:rPr>
        <w:drawing>
          <wp:inline distT="0" distB="0" distL="0" distR="0" wp14:anchorId="5D0BA1A5" wp14:editId="224525B0">
            <wp:extent cx="5731510" cy="3742627"/>
            <wp:effectExtent l="0" t="0" r="21590" b="1079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65D5740" w14:textId="77777777" w:rsidR="008F6D00" w:rsidRDefault="008F6D00" w:rsidP="008F6D00">
      <w:pPr>
        <w:rPr>
          <w:b/>
        </w:rPr>
      </w:pPr>
    </w:p>
    <w:p w14:paraId="45E8E49A" w14:textId="62904C6A" w:rsidR="008F6D00" w:rsidRDefault="008F6D00" w:rsidP="00E84BF5">
      <w:pPr>
        <w:pStyle w:val="Heading2"/>
        <w:rPr>
          <w:b w:val="0"/>
        </w:rPr>
      </w:pPr>
      <w:bookmarkStart w:id="60" w:name="_Toc462060588"/>
      <w:bookmarkStart w:id="61" w:name="_Toc462066827"/>
      <w:r>
        <w:t xml:space="preserve">Community Perceptions of Rates – A </w:t>
      </w:r>
      <w:r w:rsidRPr="00071C5B">
        <w:rPr>
          <w:b w:val="0"/>
        </w:rPr>
        <w:t>Public Attitude Bias</w:t>
      </w:r>
      <w:bookmarkEnd w:id="60"/>
      <w:bookmarkEnd w:id="61"/>
      <w:r w:rsidRPr="00071C5B">
        <w:rPr>
          <w:b w:val="0"/>
        </w:rPr>
        <w:t xml:space="preserve"> </w:t>
      </w:r>
    </w:p>
    <w:p w14:paraId="7337AF4D" w14:textId="77777777" w:rsidR="00E84BF5" w:rsidRDefault="00E84BF5" w:rsidP="008F6D00"/>
    <w:p w14:paraId="1296C42F" w14:textId="3A4D1023" w:rsidR="008F6D00" w:rsidRDefault="008F6D00" w:rsidP="008F6D00">
      <w:r w:rsidRPr="00071C5B">
        <w:t xml:space="preserve">The MAV argues that council rates, in particular, when compared with other taxes </w:t>
      </w:r>
      <w:r>
        <w:t xml:space="preserve">and charges </w:t>
      </w:r>
      <w:r w:rsidRPr="00071C5B">
        <w:t>are a s</w:t>
      </w:r>
      <w:r>
        <w:t xml:space="preserve">oft target and that ratepayers under-estimate the “value for money” they receive from their rates. Including </w:t>
      </w:r>
      <w:r w:rsidRPr="00071C5B">
        <w:t>Commonwealth income</w:t>
      </w:r>
      <w:r>
        <w:t xml:space="preserve"> collections, there</w:t>
      </w:r>
      <w:r w:rsidRPr="00071C5B">
        <w:t xml:space="preserve"> are </w:t>
      </w:r>
      <w:r>
        <w:t xml:space="preserve">no other </w:t>
      </w:r>
      <w:r w:rsidRPr="00071C5B">
        <w:t xml:space="preserve">taxes </w:t>
      </w:r>
      <w:r>
        <w:t>used</w:t>
      </w:r>
      <w:r w:rsidRPr="00071C5B">
        <w:t xml:space="preserve"> to fund such a plethora of services. </w:t>
      </w:r>
      <w:r>
        <w:t>The role that councils play includes the provision of a wide range of public services which are predominately and most appropriately funded from rates.</w:t>
      </w:r>
    </w:p>
    <w:p w14:paraId="2DDEDC26" w14:textId="77777777" w:rsidR="00971C69" w:rsidRDefault="00971C69" w:rsidP="008F6D00"/>
    <w:p w14:paraId="3CF1098E" w14:textId="3C5E2D24" w:rsidR="008F6D00" w:rsidRDefault="008F6D00" w:rsidP="008F6D00">
      <w:r>
        <w:t>Most residents who raise the question “what do I get from my rates” think in the limited terms of what they actually see and use and not the wider community spending and investment that benefits society. In practice they tend to take a narrow and segmented view that focuses on a weekly rubbish collection or areas where they may encounter a specific problem and they are largely unconscious to benefits they receive but which are less obvious. It is considered likely that if put to them they favour things like the need for public safety, public open space, traffic management and arts and cultural events. These items are not free.</w:t>
      </w:r>
    </w:p>
    <w:p w14:paraId="1B0E5A23" w14:textId="77777777" w:rsidR="00971C69" w:rsidRDefault="00971C69" w:rsidP="008F6D00"/>
    <w:p w14:paraId="06085532" w14:textId="03F688EF" w:rsidR="008F6D00" w:rsidRDefault="008F6D00" w:rsidP="008F6D00">
      <w:r>
        <w:t>Overlaying this is the fact that rates are the most visible of taxes. They tend to be the largest single bill encountered by households in the mail, lumpy, either requested quarterly or by single instalment. They are argued to be excessive. However, if they were to be compared with the aggregate value of other bills, say for example the suite of utilities consumed or insurances required by a household, the perception would be different.</w:t>
      </w:r>
    </w:p>
    <w:p w14:paraId="30E619E4" w14:textId="77777777" w:rsidR="00971C69" w:rsidRDefault="00971C69" w:rsidP="008F6D00"/>
    <w:p w14:paraId="08B91305" w14:textId="77777777" w:rsidR="008F6D00" w:rsidRDefault="008F6D00" w:rsidP="008F6D00">
      <w:r>
        <w:lastRenderedPageBreak/>
        <w:t>The ABS Household Expenditure Survey consistently shows that council rates are a relatively small item. For example d</w:t>
      </w:r>
      <w:r w:rsidRPr="00973B75">
        <w:t>ata show consistently that rates generally account for less than 2% of household spending - less than what is spent on alcohol and holidays and similar to what is spent on tobacco.</w:t>
      </w:r>
      <w:r>
        <w:t xml:space="preserve"> Over 3% is spent on electricity, gas and water.</w:t>
      </w:r>
    </w:p>
    <w:p w14:paraId="3519E9D3" w14:textId="77777777" w:rsidR="00971C69" w:rsidRDefault="00971C69" w:rsidP="008F6D00"/>
    <w:p w14:paraId="3F1B4E9B" w14:textId="77777777" w:rsidR="008F6D00" w:rsidRDefault="008F6D00" w:rsidP="008F6D00">
      <w:r>
        <w:t>The public also generally does not understand the rating process, in particular:</w:t>
      </w:r>
    </w:p>
    <w:p w14:paraId="431E6F31" w14:textId="77777777" w:rsidR="00971C69" w:rsidRDefault="00971C69" w:rsidP="008F6D00"/>
    <w:p w14:paraId="15A35518" w14:textId="77777777" w:rsidR="008F6D00" w:rsidRDefault="008F6D00" w:rsidP="008F6D00">
      <w:pPr>
        <w:pStyle w:val="ListParagraph"/>
        <w:numPr>
          <w:ilvl w:val="0"/>
          <w:numId w:val="21"/>
        </w:numPr>
        <w:spacing w:after="200" w:line="276" w:lineRule="auto"/>
      </w:pPr>
      <w:r>
        <w:t xml:space="preserve">the propensity for valuations to fluctuate widely; </w:t>
      </w:r>
    </w:p>
    <w:p w14:paraId="360449D1" w14:textId="19214F5D" w:rsidR="008F6D00" w:rsidRDefault="008F6D00" w:rsidP="008F6D00">
      <w:pPr>
        <w:pStyle w:val="ListParagraph"/>
        <w:numPr>
          <w:ilvl w:val="0"/>
          <w:numId w:val="21"/>
        </w:numPr>
        <w:spacing w:after="200" w:line="276" w:lineRule="auto"/>
      </w:pPr>
      <w:r>
        <w:t>that valuations do not determine the quantum of revenue raised, rather the distribution of the burden across ratepayers; and</w:t>
      </w:r>
    </w:p>
    <w:p w14:paraId="5D90B76F" w14:textId="77777777" w:rsidR="008F6D00" w:rsidRDefault="008F6D00" w:rsidP="008F6D00">
      <w:pPr>
        <w:pStyle w:val="ListParagraph"/>
        <w:numPr>
          <w:ilvl w:val="0"/>
          <w:numId w:val="21"/>
        </w:numPr>
        <w:spacing w:after="200" w:line="276" w:lineRule="auto"/>
      </w:pPr>
      <w:r>
        <w:t>the differing impacts of the rating instruments that are used which dilute the valuation effect.</w:t>
      </w:r>
    </w:p>
    <w:p w14:paraId="13D9F55E" w14:textId="77777777" w:rsidR="008F6D00" w:rsidRDefault="008F6D00" w:rsidP="008F6D00">
      <w:r>
        <w:t xml:space="preserve">This results in invalid comparisons being made that feed a view that rate payers are not being treated fairly or that councils are costing too much. While greater education has been an objective of councils the fact is that it is a complex area and most people are not able or willing to take the time to understand. </w:t>
      </w:r>
    </w:p>
    <w:p w14:paraId="2BA6DB09" w14:textId="77777777" w:rsidR="008F6D00" w:rsidRDefault="008F6D00" w:rsidP="008F6D00">
      <w:pPr>
        <w:rPr>
          <w:b/>
        </w:rPr>
      </w:pPr>
    </w:p>
    <w:p w14:paraId="3B2DB17A" w14:textId="0596493E" w:rsidR="008F6D00" w:rsidRPr="00A95CE3" w:rsidRDefault="008F6D00" w:rsidP="00E84BF5">
      <w:pPr>
        <w:pStyle w:val="Heading2"/>
        <w:rPr>
          <w:b w:val="0"/>
        </w:rPr>
      </w:pPr>
      <w:bookmarkStart w:id="62" w:name="_Toc462060589"/>
      <w:bookmarkStart w:id="63" w:name="_Toc462066828"/>
      <w:r w:rsidRPr="00A95CE3">
        <w:t>Equity and Using Land Taxes to Achieve Equity Objectives</w:t>
      </w:r>
      <w:bookmarkEnd w:id="62"/>
      <w:bookmarkEnd w:id="63"/>
      <w:r w:rsidRPr="00A95CE3">
        <w:t xml:space="preserve"> </w:t>
      </w:r>
    </w:p>
    <w:p w14:paraId="125D3D0C" w14:textId="77777777" w:rsidR="008B23DA" w:rsidRDefault="008B23DA" w:rsidP="008F6D00"/>
    <w:p w14:paraId="62FE5A8D" w14:textId="587DF219" w:rsidR="008F6D00" w:rsidRDefault="008F6D00" w:rsidP="008F6D00">
      <w:r>
        <w:t xml:space="preserve">The fundamental principles involved in considering the equity of rating systems are the principles of wealth tax, benefit and capacity to pay. </w:t>
      </w:r>
    </w:p>
    <w:p w14:paraId="728DB468" w14:textId="77777777" w:rsidR="008B23DA" w:rsidRDefault="008B23DA" w:rsidP="008F6D00"/>
    <w:p w14:paraId="52E4CD21" w14:textId="0B58C864" w:rsidR="008F6D00" w:rsidRPr="0061494D" w:rsidRDefault="008F6D00" w:rsidP="00E84BF5">
      <w:pPr>
        <w:pStyle w:val="Heading3"/>
      </w:pPr>
      <w:r>
        <w:t>W</w:t>
      </w:r>
      <w:r w:rsidRPr="0061494D">
        <w:t>ealth Tax Principle</w:t>
      </w:r>
    </w:p>
    <w:p w14:paraId="13646A31" w14:textId="77777777" w:rsidR="008B23DA" w:rsidRDefault="008B23DA" w:rsidP="008F6D00"/>
    <w:p w14:paraId="2E9E5922" w14:textId="2C7C8F6F" w:rsidR="008F6D00" w:rsidRDefault="008F6D00" w:rsidP="008F6D00">
      <w:r w:rsidRPr="0061494D">
        <w:t>Local Government does not have access to income tax or indirect taxes like the Commonwealth and State Governments. It is limited to property taxes with which to tax wealth. Wealth may be considered in terms of financial assets and non-financial assets. Local government is limited to taxing one component of wealth – real property. Council rates are a tax on the stored “wealth” or unrealised capital gains inherent in land and buildings. They are also a tax on the gross value of real property wealth rather than a tax on real property equity.</w:t>
      </w:r>
    </w:p>
    <w:p w14:paraId="3BE67BD9" w14:textId="77777777" w:rsidR="008B23DA" w:rsidRPr="0061494D" w:rsidRDefault="008B23DA" w:rsidP="008F6D00"/>
    <w:p w14:paraId="0BCE47A5" w14:textId="77777777" w:rsidR="008F6D00" w:rsidRDefault="008F6D00" w:rsidP="008F6D00">
      <w:r w:rsidRPr="0061494D">
        <w:t>The “wealth tax” principle implies that the rates paid are dependent upon the value of a ratepayer’s real property and have no correlation with the individual ratepayer’s consumption of services or the perceived benefits derived by individual ratepayers from the expenditures funded from rates.</w:t>
      </w:r>
    </w:p>
    <w:p w14:paraId="705A792D" w14:textId="77777777" w:rsidR="008B23DA" w:rsidRDefault="008B23DA" w:rsidP="008F6D00"/>
    <w:p w14:paraId="039F33B3" w14:textId="77777777" w:rsidR="008F6D00" w:rsidRDefault="008F6D00" w:rsidP="008F6D00">
      <w:r>
        <w:t xml:space="preserve">Data indicate that home equity is the largest contributor to household wealth. The fundamental issue with respect to housing wealth is the extent to which property values i.e. council valuations, directly reflect net worth. There may be some logic to the proposition that, on balance, this would be the case given that affordability considerations influence purchase decisions, more highly-valued homes are purchased with higher deposit requirements and redemption amounts on them are higher for any standard loan terms. </w:t>
      </w:r>
    </w:p>
    <w:p w14:paraId="70C76697" w14:textId="77777777" w:rsidR="008B23DA" w:rsidRDefault="008B23DA" w:rsidP="008F6D00"/>
    <w:p w14:paraId="0D8F1AB2" w14:textId="419751CB" w:rsidR="008F6D00" w:rsidRDefault="008F6D00" w:rsidP="008F6D00">
      <w:r w:rsidRPr="00365384">
        <w:t xml:space="preserve">Data on gross household income and dwelling CIVs </w:t>
      </w:r>
      <w:r>
        <w:t xml:space="preserve">plotted at </w:t>
      </w:r>
      <w:r w:rsidRPr="00365384">
        <w:t>C</w:t>
      </w:r>
      <w:r>
        <w:t xml:space="preserve">ensus Collection District </w:t>
      </w:r>
      <w:r w:rsidRPr="00365384">
        <w:t xml:space="preserve">level can be plotted give an idea of correlation between regional income and housing wealth. The data show a trend that as gross household incomes increase so too do dwelling values, although the predictive value of the relationship is not particularly strong. However, this provides some general support for the notion that </w:t>
      </w:r>
      <w:r w:rsidRPr="00365384">
        <w:lastRenderedPageBreak/>
        <w:t xml:space="preserve">there is a greater ability for higher valued properties to pay rates because they </w:t>
      </w:r>
      <w:r>
        <w:t>tend</w:t>
      </w:r>
      <w:r w:rsidRPr="00365384">
        <w:t xml:space="preserve"> </w:t>
      </w:r>
      <w:r>
        <w:t>to be</w:t>
      </w:r>
      <w:r w:rsidRPr="00365384">
        <w:t xml:space="preserve"> occupied by households with greater income.</w:t>
      </w:r>
    </w:p>
    <w:p w14:paraId="7008808B" w14:textId="77777777" w:rsidR="008B23DA" w:rsidRDefault="008B23DA" w:rsidP="008F6D00"/>
    <w:p w14:paraId="45FFC8C6" w14:textId="0FAD9E36" w:rsidR="008F6D00" w:rsidRPr="009D6FBD" w:rsidRDefault="008F6D00" w:rsidP="00E84BF5">
      <w:pPr>
        <w:pStyle w:val="Heading3"/>
      </w:pPr>
      <w:r w:rsidRPr="009D6FBD">
        <w:t>Benefit Principle</w:t>
      </w:r>
    </w:p>
    <w:p w14:paraId="2ABB8D66" w14:textId="77777777" w:rsidR="008B23DA" w:rsidRDefault="008B23DA" w:rsidP="008F6D00"/>
    <w:p w14:paraId="00C630EB" w14:textId="0611644A" w:rsidR="008F6D00" w:rsidRDefault="008F6D00" w:rsidP="008F6D00">
      <w:r>
        <w:t>Reconciling the rating burden with benefit is problematic. The analysis of benefit is often reduced to arguments of what services are consumed by different classes of property (such as residences, farms and businesses) and between towns. A simplistic determination of rates based on where services are located ignores the fact that:</w:t>
      </w:r>
    </w:p>
    <w:p w14:paraId="61CE6544" w14:textId="77777777" w:rsidR="008B23DA" w:rsidRDefault="008B23DA" w:rsidP="008F6D00"/>
    <w:p w14:paraId="4E4F6ACE" w14:textId="77777777" w:rsidR="008F6D00" w:rsidRDefault="008F6D00" w:rsidP="008F6D00">
      <w:pPr>
        <w:numPr>
          <w:ilvl w:val="0"/>
          <w:numId w:val="14"/>
        </w:numPr>
      </w:pPr>
      <w:r>
        <w:t>some services are not location specific;</w:t>
      </w:r>
    </w:p>
    <w:p w14:paraId="57C14CF5" w14:textId="77777777" w:rsidR="008F6D00" w:rsidRDefault="008F6D00" w:rsidP="008F6D00"/>
    <w:p w14:paraId="2DB23C6E" w14:textId="77777777" w:rsidR="008F6D00" w:rsidRDefault="008F6D00" w:rsidP="008F6D00">
      <w:pPr>
        <w:numPr>
          <w:ilvl w:val="0"/>
          <w:numId w:val="14"/>
        </w:numPr>
      </w:pPr>
      <w:r>
        <w:t>access is not synonymous with consumption;</w:t>
      </w:r>
    </w:p>
    <w:p w14:paraId="29C5113E" w14:textId="77777777" w:rsidR="008F6D00" w:rsidRDefault="008F6D00" w:rsidP="008F6D00"/>
    <w:p w14:paraId="083343BB" w14:textId="77777777" w:rsidR="008F6D00" w:rsidRDefault="008F6D00" w:rsidP="008F6D00">
      <w:pPr>
        <w:numPr>
          <w:ilvl w:val="0"/>
          <w:numId w:val="14"/>
        </w:numPr>
      </w:pPr>
      <w:r>
        <w:t xml:space="preserve">residents can travel or use technology to access many services; </w:t>
      </w:r>
    </w:p>
    <w:p w14:paraId="31BA05FF" w14:textId="77777777" w:rsidR="008F6D00" w:rsidRDefault="008F6D00" w:rsidP="008F6D00"/>
    <w:p w14:paraId="4884CFCB" w14:textId="77777777" w:rsidR="008F6D00" w:rsidRDefault="008F6D00" w:rsidP="008F6D00">
      <w:pPr>
        <w:numPr>
          <w:ilvl w:val="0"/>
          <w:numId w:val="14"/>
        </w:numPr>
      </w:pPr>
      <w:r>
        <w:t>benefits are consumed by ratepayers in differing quantities over their lives; and</w:t>
      </w:r>
    </w:p>
    <w:p w14:paraId="2A247584" w14:textId="77777777" w:rsidR="008F6D00" w:rsidRDefault="008F6D00" w:rsidP="008F6D00"/>
    <w:p w14:paraId="53BD0977" w14:textId="64411CDC" w:rsidR="008F6D00" w:rsidRDefault="008F6D00" w:rsidP="008F6D00">
      <w:pPr>
        <w:numPr>
          <w:ilvl w:val="0"/>
          <w:numId w:val="14"/>
        </w:numPr>
      </w:pPr>
      <w:r>
        <w:t xml:space="preserve">perhaps more significantly, service levels provided in different locations within a municipality have different costs. For example, the actual cost of providing the same or a lesser level of service to a more remote or less central location may be higher when calculated on a per head or per assessment basis due to economies of scale or logistical reasons. </w:t>
      </w:r>
    </w:p>
    <w:p w14:paraId="16210322" w14:textId="77777777" w:rsidR="008F6D00" w:rsidRDefault="008F6D00" w:rsidP="008F6D00">
      <w:pPr>
        <w:pStyle w:val="ListParagraph"/>
      </w:pPr>
    </w:p>
    <w:p w14:paraId="0B81EE38" w14:textId="5706BC24" w:rsidR="008F6D00" w:rsidRDefault="008F6D00" w:rsidP="008F6D00">
      <w:pPr>
        <w:pStyle w:val="ListParagraph"/>
        <w:ind w:left="0"/>
      </w:pPr>
      <w:r>
        <w:t xml:space="preserve">Proponents of the wealth tax principal would argue strongly that property value already incorporates benefit because things like better roads, street lighting and proximity to council facilities translate into higher property prices and hence the valuation used for rating purposes. In some ways the arguing of the benefit principle with respect to council rates is like trying to do the same for income tax that is used to fund a wide range of universally accessed services. It is likely to be quite costly to undertake in-depth analyses regularly on service access, consumption patterns and costs in an attempt to review the level of benefit. In any event many subjective assumptions will have to be introduced. Taken to its logical extreme it would be very complex and onerous to use this approach over all council expenditures at activity level. It would require identifying the range and types of beneficiaries and involve a detailed annual allocation of council’s budget. </w:t>
      </w:r>
    </w:p>
    <w:p w14:paraId="129C9D08" w14:textId="77777777" w:rsidR="008F6D00" w:rsidRDefault="008F6D00" w:rsidP="008F6D00">
      <w:pPr>
        <w:pStyle w:val="ListParagraph"/>
      </w:pPr>
    </w:p>
    <w:p w14:paraId="1D4108B6" w14:textId="386C8C7E" w:rsidR="008F6D00" w:rsidRDefault="008F6D00" w:rsidP="008F6D00">
      <w:pPr>
        <w:pStyle w:val="ListParagraph"/>
        <w:ind w:left="0"/>
      </w:pPr>
      <w:r>
        <w:t>The relationship between the level of rates paid can only be presumptive and crude. In the final analysis the level of rates paid is directly linked to property value not the volume or quality of services consumed. Given situations where benefit can be attributed accurately to consumers based on consumption, user charges are a more appropriate instrument to use as long as related collection costs are not prohibitive.</w:t>
      </w:r>
    </w:p>
    <w:p w14:paraId="62F7E88F" w14:textId="77777777" w:rsidR="008F6D00" w:rsidRDefault="008F6D00" w:rsidP="008F6D00">
      <w:pPr>
        <w:pStyle w:val="ListParagraph"/>
        <w:ind w:left="0"/>
      </w:pPr>
    </w:p>
    <w:p w14:paraId="5BA1A9DD" w14:textId="05C71E74" w:rsidR="008F6D00" w:rsidRDefault="008F6D00" w:rsidP="008F6D00">
      <w:pPr>
        <w:pStyle w:val="ListParagraph"/>
        <w:ind w:left="0"/>
      </w:pPr>
      <w:r>
        <w:t xml:space="preserve">It is more practical to limit the benefit principle to assess the rating burden where the expenditures that benefit each class of property are more limited and clearer. In such cases the use of more targeted instruments like special rates and charges are more appropriate, for example with respect to private street schemes. </w:t>
      </w:r>
    </w:p>
    <w:p w14:paraId="63FE5D0C" w14:textId="77777777" w:rsidR="008F6D00" w:rsidRDefault="008F6D00" w:rsidP="008F6D00">
      <w:pPr>
        <w:pStyle w:val="ListParagraph"/>
        <w:ind w:left="0"/>
      </w:pPr>
    </w:p>
    <w:p w14:paraId="3044866D" w14:textId="77777777" w:rsidR="008F6D00" w:rsidRDefault="008F6D00" w:rsidP="008F6D00">
      <w:pPr>
        <w:rPr>
          <w:b/>
        </w:rPr>
      </w:pPr>
      <w:r>
        <w:rPr>
          <w:b/>
        </w:rPr>
        <w:br w:type="page"/>
      </w:r>
    </w:p>
    <w:p w14:paraId="4FE5E11C" w14:textId="3A26F8CA" w:rsidR="008F6D00" w:rsidRDefault="008F6D00" w:rsidP="00E84BF5">
      <w:pPr>
        <w:pStyle w:val="Heading3"/>
      </w:pPr>
      <w:r w:rsidRPr="00E704CE">
        <w:lastRenderedPageBreak/>
        <w:t>Capacity to Pay</w:t>
      </w:r>
    </w:p>
    <w:p w14:paraId="40F9BD06" w14:textId="77777777" w:rsidR="008F6D00" w:rsidRDefault="008F6D00" w:rsidP="008F6D00">
      <w:pPr>
        <w:pStyle w:val="ListParagraph"/>
        <w:ind w:left="0"/>
        <w:rPr>
          <w:b/>
        </w:rPr>
      </w:pPr>
    </w:p>
    <w:p w14:paraId="47D55E74" w14:textId="77777777" w:rsidR="008F6D00" w:rsidRDefault="008F6D00" w:rsidP="008F6D00">
      <w:pPr>
        <w:pStyle w:val="ListParagraph"/>
        <w:ind w:left="0"/>
      </w:pPr>
      <w:r>
        <w:t xml:space="preserve">A council may determine that results from the application of the wealth tax and benefit principles would lead to outcomes where property classes and individual ratepayers would have difficulty meeting their obligations because of their capacity to pay rates. A fundamental issue is that any departure from a uniform (pure wealth tax) system requires making assessments about factors that are not necessarily related to property type and applying them to a property-based system. </w:t>
      </w:r>
    </w:p>
    <w:p w14:paraId="01DF6038" w14:textId="77777777" w:rsidR="008F6D00" w:rsidRDefault="008F6D00" w:rsidP="008F6D00">
      <w:pPr>
        <w:pStyle w:val="ListParagraph"/>
        <w:ind w:left="0"/>
      </w:pPr>
    </w:p>
    <w:p w14:paraId="717B041B" w14:textId="60021352" w:rsidR="008F6D00" w:rsidRPr="00EE23D6" w:rsidRDefault="008F6D00" w:rsidP="00E84BF5">
      <w:pPr>
        <w:pStyle w:val="Heading3"/>
      </w:pPr>
      <w:r w:rsidRPr="00EE23D6">
        <w:t xml:space="preserve">Whose Capacity to Pay? – </w:t>
      </w:r>
      <w:r>
        <w:t xml:space="preserve">The </w:t>
      </w:r>
      <w:r w:rsidRPr="00EE23D6">
        <w:t>Incidence of Rates</w:t>
      </w:r>
    </w:p>
    <w:p w14:paraId="17596FC2" w14:textId="77777777" w:rsidR="008F6D00" w:rsidRDefault="008F6D00" w:rsidP="008F6D00">
      <w:pPr>
        <w:pStyle w:val="ListParagraph"/>
        <w:ind w:left="0"/>
      </w:pPr>
    </w:p>
    <w:p w14:paraId="5D2117C1" w14:textId="4AAC1E1C" w:rsidR="008F6D00" w:rsidRDefault="008F6D00" w:rsidP="008F6D00">
      <w:pPr>
        <w:pStyle w:val="ListParagraph"/>
        <w:ind w:left="0"/>
      </w:pPr>
      <w:r>
        <w:t xml:space="preserve">An issue councils face in assessing “capacity to pay” relates to the landlord-tenant relationship and the fundamental distinction between who is legally liable to pay rates and the economic incidence of rates. The economic incidence of rates reflects who ultimately bears the cost of rates through higher prices, lower wages or lower returns on assets. Liability for rates exists with property owners. Hence council is required to assess fundamentally the capacity to pay of the property owner and not the tenant, although council may legitimately have concerns for the latter. Property owners are not just individuals but individual investors represented by superannuation funds, insurance companies, property trusts, banks and other financial institutions. </w:t>
      </w:r>
    </w:p>
    <w:p w14:paraId="59991C61" w14:textId="77777777" w:rsidR="008F6D00" w:rsidRDefault="008F6D00" w:rsidP="008F6D00">
      <w:pPr>
        <w:pStyle w:val="ListParagraph"/>
        <w:ind w:left="0"/>
      </w:pPr>
    </w:p>
    <w:p w14:paraId="4FA8551F" w14:textId="5C0BAD76" w:rsidR="008F6D00" w:rsidRDefault="008F6D00" w:rsidP="008F6D00">
      <w:pPr>
        <w:pStyle w:val="ListParagraph"/>
        <w:ind w:left="0"/>
      </w:pPr>
      <w:r>
        <w:t xml:space="preserve">Economic theory argues that property taxes have negligible effects on the rents that properties can earn because rent is determined by the demand of actual and potential users against a fixed land supply. Therefore even if increased taxes were passed onto renters via increased rents, this would lead to reduced demand for these properties and as a result push rents back down. </w:t>
      </w:r>
    </w:p>
    <w:p w14:paraId="07D66400" w14:textId="77777777" w:rsidR="008F6D00" w:rsidRDefault="008F6D00" w:rsidP="008F6D00">
      <w:pPr>
        <w:pStyle w:val="ListParagraph"/>
        <w:ind w:left="0"/>
      </w:pPr>
    </w:p>
    <w:p w14:paraId="46C71064" w14:textId="77777777" w:rsidR="008F6D00" w:rsidRDefault="008F6D00" w:rsidP="008F6D00">
      <w:pPr>
        <w:pStyle w:val="ListParagraph"/>
        <w:ind w:left="0"/>
      </w:pPr>
      <w:r>
        <w:t>In response to this it could be argued that:</w:t>
      </w:r>
    </w:p>
    <w:p w14:paraId="5DCCB59A" w14:textId="77777777" w:rsidR="008F6D00" w:rsidRDefault="008F6D00" w:rsidP="008F6D00">
      <w:pPr>
        <w:pStyle w:val="ListParagraph"/>
        <w:ind w:left="0"/>
      </w:pPr>
    </w:p>
    <w:p w14:paraId="115FB6A8" w14:textId="1A279C5C" w:rsidR="008F6D00" w:rsidRDefault="008F6D00" w:rsidP="008F6D00">
      <w:pPr>
        <w:pStyle w:val="ListParagraph"/>
        <w:numPr>
          <w:ilvl w:val="0"/>
          <w:numId w:val="15"/>
        </w:numPr>
        <w:spacing w:after="200" w:line="276" w:lineRule="auto"/>
      </w:pPr>
      <w:r>
        <w:t>this theory ignores the potential for landlords to pass on costs during periods where rental markets are tight (local data tend to show that vacancy rates for residential rentals are low in historical terms);</w:t>
      </w:r>
    </w:p>
    <w:p w14:paraId="1FEEF91D" w14:textId="77777777" w:rsidR="008F6D00" w:rsidRDefault="008F6D00" w:rsidP="008F6D00">
      <w:pPr>
        <w:pStyle w:val="ListParagraph"/>
        <w:ind w:left="0"/>
      </w:pPr>
    </w:p>
    <w:p w14:paraId="2DD79C36" w14:textId="77777777" w:rsidR="008F6D00" w:rsidRDefault="008F6D00" w:rsidP="008F6D00">
      <w:pPr>
        <w:pStyle w:val="ListParagraph"/>
        <w:numPr>
          <w:ilvl w:val="0"/>
          <w:numId w:val="15"/>
        </w:numPr>
        <w:spacing w:after="200" w:line="276" w:lineRule="auto"/>
      </w:pPr>
      <w:r>
        <w:t>markets are not perfect and may take considerable time to adjust;</w:t>
      </w:r>
    </w:p>
    <w:p w14:paraId="439092D1" w14:textId="77777777" w:rsidR="008F6D00" w:rsidRDefault="008F6D00" w:rsidP="008F6D00">
      <w:pPr>
        <w:pStyle w:val="ListParagraph"/>
        <w:ind w:left="0"/>
      </w:pPr>
    </w:p>
    <w:p w14:paraId="1C5D358B" w14:textId="77777777" w:rsidR="008F6D00" w:rsidRDefault="008F6D00" w:rsidP="008F6D00">
      <w:pPr>
        <w:pStyle w:val="ListParagraph"/>
        <w:numPr>
          <w:ilvl w:val="0"/>
          <w:numId w:val="15"/>
        </w:numPr>
        <w:spacing w:after="200" w:line="276" w:lineRule="auto"/>
      </w:pPr>
      <w:r>
        <w:t>rental needs are not homogeneous;</w:t>
      </w:r>
    </w:p>
    <w:p w14:paraId="3EDBD243" w14:textId="77777777" w:rsidR="008F6D00" w:rsidRDefault="008F6D00" w:rsidP="008F6D00">
      <w:pPr>
        <w:pStyle w:val="ListParagraph"/>
        <w:ind w:left="0"/>
      </w:pPr>
    </w:p>
    <w:p w14:paraId="121E3A18" w14:textId="77777777" w:rsidR="008F6D00" w:rsidRDefault="008F6D00" w:rsidP="008F6D00">
      <w:pPr>
        <w:pStyle w:val="ListParagraph"/>
        <w:numPr>
          <w:ilvl w:val="0"/>
          <w:numId w:val="15"/>
        </w:numPr>
        <w:spacing w:after="200" w:line="276" w:lineRule="auto"/>
      </w:pPr>
      <w:r>
        <w:t>people have special reasons for wanting to (ties to) live in a certain house/area, e.g. because they need to live close to a relative, convenient to schools and services;</w:t>
      </w:r>
    </w:p>
    <w:p w14:paraId="2CA777D2" w14:textId="77777777" w:rsidR="008F6D00" w:rsidRDefault="008F6D00" w:rsidP="008F6D00">
      <w:pPr>
        <w:pStyle w:val="ListParagraph"/>
        <w:ind w:left="0"/>
      </w:pPr>
    </w:p>
    <w:p w14:paraId="2FAC899C" w14:textId="77777777" w:rsidR="008F6D00" w:rsidRDefault="008F6D00" w:rsidP="008F6D00">
      <w:pPr>
        <w:pStyle w:val="ListParagraph"/>
        <w:numPr>
          <w:ilvl w:val="0"/>
          <w:numId w:val="15"/>
        </w:numPr>
        <w:spacing w:after="200" w:line="276" w:lineRule="auto"/>
      </w:pPr>
      <w:r>
        <w:t xml:space="preserve">there are often strategic, logistic and other important factors such as visibility and location why businesses are committed to a particular premises; </w:t>
      </w:r>
    </w:p>
    <w:p w14:paraId="0927E2BE" w14:textId="77777777" w:rsidR="008F6D00" w:rsidRDefault="008F6D00" w:rsidP="008F6D00">
      <w:pPr>
        <w:pStyle w:val="ListParagraph"/>
        <w:ind w:left="0"/>
      </w:pPr>
    </w:p>
    <w:p w14:paraId="5A3247EC" w14:textId="77777777" w:rsidR="008F6D00" w:rsidRDefault="008F6D00" w:rsidP="008F6D00">
      <w:pPr>
        <w:pStyle w:val="ListParagraph"/>
        <w:numPr>
          <w:ilvl w:val="0"/>
          <w:numId w:val="15"/>
        </w:numPr>
        <w:spacing w:after="200" w:line="276" w:lineRule="auto"/>
      </w:pPr>
      <w:r>
        <w:t>rental agreements for business premises may be entered into for a number of years that often specify that tenants are responsible for all outgoings including rates;</w:t>
      </w:r>
    </w:p>
    <w:p w14:paraId="55FE0BB7" w14:textId="77777777" w:rsidR="008F6D00" w:rsidRDefault="008F6D00" w:rsidP="008F6D00">
      <w:pPr>
        <w:pStyle w:val="ListParagraph"/>
        <w:ind w:left="0"/>
      </w:pPr>
    </w:p>
    <w:p w14:paraId="0E14434D" w14:textId="77777777" w:rsidR="008F6D00" w:rsidRDefault="008F6D00" w:rsidP="008F6D00">
      <w:pPr>
        <w:pStyle w:val="ListParagraph"/>
        <w:numPr>
          <w:ilvl w:val="0"/>
          <w:numId w:val="15"/>
        </w:numPr>
        <w:spacing w:after="200" w:line="276" w:lineRule="auto"/>
      </w:pPr>
      <w:r>
        <w:t>businesses may have considerable investments in terms of fixtures and plant that have been added to rental premises;</w:t>
      </w:r>
    </w:p>
    <w:p w14:paraId="3A668FF4" w14:textId="77777777" w:rsidR="008F6D00" w:rsidRDefault="008F6D00" w:rsidP="008F6D00">
      <w:pPr>
        <w:pStyle w:val="ListParagraph"/>
        <w:ind w:left="0"/>
      </w:pPr>
    </w:p>
    <w:p w14:paraId="0BAD5936" w14:textId="77777777" w:rsidR="008F6D00" w:rsidRDefault="008F6D00" w:rsidP="008F6D00">
      <w:pPr>
        <w:pStyle w:val="ListParagraph"/>
        <w:numPr>
          <w:ilvl w:val="0"/>
          <w:numId w:val="15"/>
        </w:numPr>
        <w:spacing w:after="200" w:line="276" w:lineRule="auto"/>
      </w:pPr>
      <w:r>
        <w:lastRenderedPageBreak/>
        <w:t>where renters elect to move because rents have become too expensive they will still incur search and relocation costs.</w:t>
      </w:r>
    </w:p>
    <w:p w14:paraId="144430BB" w14:textId="77777777" w:rsidR="008F6D00" w:rsidRDefault="008F6D00" w:rsidP="008F6D00">
      <w:pPr>
        <w:pStyle w:val="ListParagraph"/>
        <w:ind w:left="0"/>
      </w:pPr>
    </w:p>
    <w:p w14:paraId="170E2DAF" w14:textId="196CFBC7" w:rsidR="008F6D00" w:rsidRPr="00BA54F3" w:rsidRDefault="008F6D00" w:rsidP="00E84BF5">
      <w:pPr>
        <w:pStyle w:val="Heading3"/>
      </w:pPr>
      <w:r w:rsidRPr="00BA54F3">
        <w:t>Who Are the Most Financially Stressed People in the Community?</w:t>
      </w:r>
    </w:p>
    <w:p w14:paraId="15FB4B73" w14:textId="77777777" w:rsidR="008F6D00" w:rsidRDefault="008F6D00" w:rsidP="008F6D00">
      <w:pPr>
        <w:pStyle w:val="ListParagraph"/>
        <w:ind w:left="0"/>
      </w:pPr>
    </w:p>
    <w:p w14:paraId="648A2915" w14:textId="77777777" w:rsidR="008F6D00" w:rsidRDefault="008F6D00" w:rsidP="008F6D00">
      <w:pPr>
        <w:pStyle w:val="ListParagraph"/>
        <w:ind w:left="0"/>
      </w:pPr>
      <w:r>
        <w:t xml:space="preserve">Data show that single elderly persons, particularly females, who are renters are the most financially stressed of all households and that </w:t>
      </w:r>
      <w:r w:rsidRPr="0072506D">
        <w:t>non-elderly couples without dependent children at the top</w:t>
      </w:r>
      <w:r>
        <w:t xml:space="preserve"> of the rankings of </w:t>
      </w:r>
      <w:proofErr w:type="spellStart"/>
      <w:r>
        <w:t>equivalised</w:t>
      </w:r>
      <w:proofErr w:type="spellEnd"/>
      <w:r>
        <w:t xml:space="preserve"> household disposable income.</w:t>
      </w:r>
    </w:p>
    <w:p w14:paraId="1A27E94A" w14:textId="77777777" w:rsidR="008B23DA" w:rsidRDefault="008B23DA" w:rsidP="008F6D00">
      <w:pPr>
        <w:pStyle w:val="ListParagraph"/>
        <w:ind w:left="0"/>
      </w:pPr>
    </w:p>
    <w:p w14:paraId="2356EE36" w14:textId="77777777" w:rsidR="008F6D00" w:rsidRDefault="008F6D00" w:rsidP="008F6D00">
      <w:pPr>
        <w:autoSpaceDE w:val="0"/>
        <w:autoSpaceDN w:val="0"/>
        <w:adjustRightInd w:val="0"/>
        <w:rPr>
          <w:lang w:val="en-US"/>
        </w:rPr>
      </w:pPr>
      <w:r>
        <w:rPr>
          <w:lang w:val="en-US"/>
        </w:rPr>
        <w:t xml:space="preserve">Various reports have identified groups that are particularly at </w:t>
      </w:r>
      <w:r w:rsidRPr="000D66B7">
        <w:rPr>
          <w:lang w:val="en-US"/>
        </w:rPr>
        <w:t xml:space="preserve">risk of poverty due to a combination of inadequate income, a lack of other resources, and/or </w:t>
      </w:r>
      <w:r>
        <w:rPr>
          <w:lang w:val="en-US"/>
        </w:rPr>
        <w:t>p</w:t>
      </w:r>
      <w:r w:rsidRPr="000D66B7">
        <w:rPr>
          <w:lang w:val="en-US"/>
        </w:rPr>
        <w:t xml:space="preserve">articularly high essential living expenses </w:t>
      </w:r>
      <w:r>
        <w:rPr>
          <w:lang w:val="en-US"/>
        </w:rPr>
        <w:t xml:space="preserve">which leaves them particularly </w:t>
      </w:r>
      <w:r w:rsidRPr="000D66B7">
        <w:rPr>
          <w:lang w:val="en-US"/>
        </w:rPr>
        <w:t>vulnerable to increases in costs of living</w:t>
      </w:r>
      <w:r>
        <w:rPr>
          <w:lang w:val="en-US"/>
        </w:rPr>
        <w:t xml:space="preserve"> and crises because t</w:t>
      </w:r>
      <w:r w:rsidRPr="000D66B7">
        <w:rPr>
          <w:lang w:val="en-US"/>
        </w:rPr>
        <w:t>hey are less likely to have ‘safety net’ resources such as insurance</w:t>
      </w:r>
      <w:r>
        <w:rPr>
          <w:lang w:val="en-US"/>
        </w:rPr>
        <w:t xml:space="preserve"> </w:t>
      </w:r>
      <w:r w:rsidRPr="000D66B7">
        <w:rPr>
          <w:lang w:val="en-US"/>
        </w:rPr>
        <w:t>or money set aside for an emergency</w:t>
      </w:r>
      <w:r>
        <w:rPr>
          <w:lang w:val="en-US"/>
        </w:rPr>
        <w:t xml:space="preserve">. </w:t>
      </w:r>
      <w:r w:rsidRPr="00E41094">
        <w:rPr>
          <w:lang w:val="en-US"/>
        </w:rPr>
        <w:t>Th</w:t>
      </w:r>
      <w:r>
        <w:rPr>
          <w:lang w:val="en-US"/>
        </w:rPr>
        <w:t>ose commonly identified under most pressure</w:t>
      </w:r>
      <w:r w:rsidRPr="00E41094">
        <w:rPr>
          <w:lang w:val="en-US"/>
        </w:rPr>
        <w:t xml:space="preserve"> include</w:t>
      </w:r>
      <w:r>
        <w:rPr>
          <w:lang w:val="en-US"/>
        </w:rPr>
        <w:t>:</w:t>
      </w:r>
    </w:p>
    <w:p w14:paraId="58FD5074" w14:textId="77777777" w:rsidR="008F6D00" w:rsidRDefault="008F6D00" w:rsidP="008F6D00">
      <w:pPr>
        <w:autoSpaceDE w:val="0"/>
        <w:autoSpaceDN w:val="0"/>
        <w:adjustRightInd w:val="0"/>
        <w:rPr>
          <w:lang w:val="en-US"/>
        </w:rPr>
      </w:pPr>
    </w:p>
    <w:p w14:paraId="09044CE2" w14:textId="77777777" w:rsidR="008F6D00" w:rsidRDefault="008F6D00" w:rsidP="008F6D00">
      <w:pPr>
        <w:numPr>
          <w:ilvl w:val="0"/>
          <w:numId w:val="16"/>
        </w:numPr>
        <w:autoSpaceDE w:val="0"/>
        <w:autoSpaceDN w:val="0"/>
        <w:adjustRightInd w:val="0"/>
        <w:rPr>
          <w:lang w:val="en-US"/>
        </w:rPr>
      </w:pPr>
      <w:r w:rsidRPr="00E41094">
        <w:rPr>
          <w:lang w:val="en-US"/>
        </w:rPr>
        <w:t>unemployed people,</w:t>
      </w:r>
      <w:r w:rsidRPr="00CA6E38">
        <w:rPr>
          <w:lang w:val="en-US"/>
        </w:rPr>
        <w:t xml:space="preserve"> particularly</w:t>
      </w:r>
      <w:r>
        <w:rPr>
          <w:lang w:val="en-US"/>
        </w:rPr>
        <w:t xml:space="preserve"> singles and long-term unemployed;</w:t>
      </w:r>
    </w:p>
    <w:p w14:paraId="05062C4F" w14:textId="77777777" w:rsidR="008F6D00" w:rsidRDefault="008F6D00" w:rsidP="008F6D00">
      <w:pPr>
        <w:autoSpaceDE w:val="0"/>
        <w:autoSpaceDN w:val="0"/>
        <w:adjustRightInd w:val="0"/>
        <w:rPr>
          <w:lang w:val="en-US"/>
        </w:rPr>
      </w:pPr>
    </w:p>
    <w:p w14:paraId="58DE7AA3" w14:textId="77777777" w:rsidR="008F6D00" w:rsidRDefault="008F6D00" w:rsidP="008F6D00">
      <w:pPr>
        <w:numPr>
          <w:ilvl w:val="0"/>
          <w:numId w:val="16"/>
        </w:numPr>
        <w:autoSpaceDE w:val="0"/>
        <w:autoSpaceDN w:val="0"/>
        <w:adjustRightInd w:val="0"/>
        <w:rPr>
          <w:lang w:val="en-US"/>
        </w:rPr>
      </w:pPr>
      <w:r w:rsidRPr="00CA6E38">
        <w:rPr>
          <w:lang w:val="en-US"/>
        </w:rPr>
        <w:t>s</w:t>
      </w:r>
      <w:r>
        <w:rPr>
          <w:lang w:val="en-US"/>
        </w:rPr>
        <w:t>ole parents, particularly women;</w:t>
      </w:r>
    </w:p>
    <w:p w14:paraId="6A1391EF" w14:textId="77777777" w:rsidR="008F6D00" w:rsidRDefault="008F6D00" w:rsidP="008F6D00">
      <w:pPr>
        <w:autoSpaceDE w:val="0"/>
        <w:autoSpaceDN w:val="0"/>
        <w:adjustRightInd w:val="0"/>
        <w:rPr>
          <w:lang w:val="en-US"/>
        </w:rPr>
      </w:pPr>
    </w:p>
    <w:p w14:paraId="0BD26C0C" w14:textId="77777777" w:rsidR="008F6D00" w:rsidRDefault="008F6D00" w:rsidP="008F6D00">
      <w:pPr>
        <w:numPr>
          <w:ilvl w:val="0"/>
          <w:numId w:val="16"/>
        </w:numPr>
        <w:autoSpaceDE w:val="0"/>
        <w:autoSpaceDN w:val="0"/>
        <w:adjustRightInd w:val="0"/>
        <w:rPr>
          <w:lang w:val="en-US"/>
        </w:rPr>
      </w:pPr>
      <w:r>
        <w:rPr>
          <w:lang w:val="en-US"/>
        </w:rPr>
        <w:t>pensioners particularly single/living alone;</w:t>
      </w:r>
    </w:p>
    <w:p w14:paraId="2287C341" w14:textId="77777777" w:rsidR="008F6D00" w:rsidRDefault="008F6D00" w:rsidP="008F6D00">
      <w:pPr>
        <w:autoSpaceDE w:val="0"/>
        <w:autoSpaceDN w:val="0"/>
        <w:adjustRightInd w:val="0"/>
        <w:rPr>
          <w:lang w:val="en-US"/>
        </w:rPr>
      </w:pPr>
    </w:p>
    <w:p w14:paraId="4D5A659C" w14:textId="77777777" w:rsidR="008F6D00" w:rsidRDefault="008F6D00" w:rsidP="008F6D00">
      <w:pPr>
        <w:numPr>
          <w:ilvl w:val="0"/>
          <w:numId w:val="16"/>
        </w:numPr>
        <w:autoSpaceDE w:val="0"/>
        <w:autoSpaceDN w:val="0"/>
        <w:adjustRightInd w:val="0"/>
        <w:rPr>
          <w:lang w:val="en-US"/>
        </w:rPr>
      </w:pPr>
      <w:r>
        <w:rPr>
          <w:lang w:val="en-US"/>
        </w:rPr>
        <w:t>i</w:t>
      </w:r>
      <w:r w:rsidRPr="00CA6E38">
        <w:rPr>
          <w:lang w:val="en-US"/>
        </w:rPr>
        <w:t>ndigenous people</w:t>
      </w:r>
      <w:r>
        <w:rPr>
          <w:lang w:val="en-US"/>
        </w:rPr>
        <w:t>;</w:t>
      </w:r>
    </w:p>
    <w:p w14:paraId="1FF8F913" w14:textId="77777777" w:rsidR="008F6D00" w:rsidRDefault="008F6D00" w:rsidP="008F6D00">
      <w:pPr>
        <w:autoSpaceDE w:val="0"/>
        <w:autoSpaceDN w:val="0"/>
        <w:adjustRightInd w:val="0"/>
        <w:rPr>
          <w:lang w:val="en-US"/>
        </w:rPr>
      </w:pPr>
    </w:p>
    <w:p w14:paraId="2D781ADB" w14:textId="77777777" w:rsidR="008F6D00" w:rsidRDefault="008F6D00" w:rsidP="008F6D00">
      <w:pPr>
        <w:numPr>
          <w:ilvl w:val="0"/>
          <w:numId w:val="16"/>
        </w:numPr>
        <w:autoSpaceDE w:val="0"/>
        <w:autoSpaceDN w:val="0"/>
        <w:adjustRightInd w:val="0"/>
        <w:rPr>
          <w:lang w:val="en-US"/>
        </w:rPr>
      </w:pPr>
      <w:r>
        <w:rPr>
          <w:lang w:val="en-US"/>
        </w:rPr>
        <w:t>y</w:t>
      </w:r>
      <w:r w:rsidRPr="00CA6E38">
        <w:rPr>
          <w:lang w:val="en-US"/>
        </w:rPr>
        <w:t>oung people</w:t>
      </w:r>
      <w:r>
        <w:rPr>
          <w:lang w:val="en-US"/>
        </w:rPr>
        <w:t xml:space="preserve"> living without the support of family; and</w:t>
      </w:r>
    </w:p>
    <w:p w14:paraId="73AB0BF0" w14:textId="77777777" w:rsidR="008F6D00" w:rsidRDefault="008F6D00" w:rsidP="008F6D00">
      <w:pPr>
        <w:autoSpaceDE w:val="0"/>
        <w:autoSpaceDN w:val="0"/>
        <w:adjustRightInd w:val="0"/>
        <w:rPr>
          <w:lang w:val="en-US"/>
        </w:rPr>
      </w:pPr>
    </w:p>
    <w:p w14:paraId="03F5E1DD" w14:textId="77777777" w:rsidR="008F6D00" w:rsidRDefault="008F6D00" w:rsidP="008F6D00">
      <w:pPr>
        <w:numPr>
          <w:ilvl w:val="0"/>
          <w:numId w:val="16"/>
        </w:numPr>
        <w:autoSpaceDE w:val="0"/>
        <w:autoSpaceDN w:val="0"/>
        <w:adjustRightInd w:val="0"/>
        <w:rPr>
          <w:lang w:val="en-US"/>
        </w:rPr>
      </w:pPr>
      <w:r>
        <w:rPr>
          <w:lang w:val="en-US"/>
        </w:rPr>
        <w:t>people with a disability.</w:t>
      </w:r>
    </w:p>
    <w:p w14:paraId="0AE68F84" w14:textId="77777777" w:rsidR="008F6D00" w:rsidRDefault="008F6D00" w:rsidP="008F6D00">
      <w:pPr>
        <w:pStyle w:val="ListParagraph"/>
        <w:rPr>
          <w:lang w:val="en-US"/>
        </w:rPr>
      </w:pPr>
    </w:p>
    <w:p w14:paraId="4A1C5F38" w14:textId="7CA636C2" w:rsidR="008F6D00" w:rsidRDefault="008F6D00" w:rsidP="008F6D00">
      <w:pPr>
        <w:autoSpaceDE w:val="0"/>
        <w:autoSpaceDN w:val="0"/>
        <w:adjustRightInd w:val="0"/>
        <w:ind w:left="720"/>
        <w:rPr>
          <w:lang w:val="en-US"/>
        </w:rPr>
      </w:pPr>
    </w:p>
    <w:p w14:paraId="3D7DBDE3" w14:textId="77777777" w:rsidR="008F6D00" w:rsidRDefault="008F6D00" w:rsidP="008F6D00">
      <w:pPr>
        <w:autoSpaceDE w:val="0"/>
        <w:autoSpaceDN w:val="0"/>
        <w:adjustRightInd w:val="0"/>
        <w:rPr>
          <w:lang w:val="en-US"/>
        </w:rPr>
      </w:pPr>
      <w:r>
        <w:rPr>
          <w:lang w:val="en-US"/>
        </w:rPr>
        <w:t xml:space="preserve">The HILDA surveys note the </w:t>
      </w:r>
      <w:r w:rsidRPr="001652A1">
        <w:rPr>
          <w:lang w:val="en-US"/>
        </w:rPr>
        <w:t>clear evidence that sole parent families typically experience much more financial difficulty than either couple or single households</w:t>
      </w:r>
      <w:r>
        <w:rPr>
          <w:lang w:val="en-US"/>
        </w:rPr>
        <w:t>.</w:t>
      </w:r>
    </w:p>
    <w:p w14:paraId="1BEA7F70" w14:textId="77777777" w:rsidR="008F6D00" w:rsidRDefault="008F6D00" w:rsidP="008F6D00">
      <w:pPr>
        <w:pStyle w:val="ListParagraph"/>
        <w:ind w:left="0"/>
        <w:rPr>
          <w:lang w:val="en-US"/>
        </w:rPr>
      </w:pPr>
    </w:p>
    <w:p w14:paraId="0E27BA97" w14:textId="0F8F994E" w:rsidR="008F6D00" w:rsidRDefault="008F6D00" w:rsidP="008F6D00">
      <w:pPr>
        <w:pStyle w:val="ListParagraph"/>
        <w:ind w:left="0"/>
      </w:pPr>
      <w:r>
        <w:rPr>
          <w:lang w:val="en-US"/>
        </w:rPr>
        <w:t>With the exception of aged pensioners, the preceding groups are represented largely as renters rather than home owners. Arguably because they are property owners, aged pensioners often receive special attention.</w:t>
      </w:r>
    </w:p>
    <w:p w14:paraId="252DF099" w14:textId="77777777" w:rsidR="008F6D00" w:rsidRDefault="008F6D00" w:rsidP="008F6D00">
      <w:pPr>
        <w:pStyle w:val="ListParagraph"/>
        <w:ind w:left="0"/>
      </w:pPr>
    </w:p>
    <w:p w14:paraId="6E73EAD5" w14:textId="77777777" w:rsidR="008F6D00" w:rsidRDefault="008F6D00" w:rsidP="008F6D00">
      <w:pPr>
        <w:pStyle w:val="ListParagraph"/>
        <w:ind w:left="0"/>
      </w:pPr>
    </w:p>
    <w:p w14:paraId="7004D1A1" w14:textId="77777777" w:rsidR="008F6D00" w:rsidRPr="005A607B" w:rsidRDefault="008F6D00" w:rsidP="008F6D00">
      <w:pPr>
        <w:pStyle w:val="ListParagraph"/>
        <w:ind w:left="0"/>
        <w:rPr>
          <w:b/>
        </w:rPr>
      </w:pPr>
      <w:r>
        <w:rPr>
          <w:b/>
        </w:rPr>
        <w:t>3.6</w:t>
      </w:r>
      <w:r>
        <w:rPr>
          <w:b/>
        </w:rPr>
        <w:tab/>
      </w:r>
      <w:r w:rsidRPr="005A607B">
        <w:rPr>
          <w:b/>
        </w:rPr>
        <w:t>The Issue of Diversity</w:t>
      </w:r>
    </w:p>
    <w:p w14:paraId="03EB0F0B" w14:textId="77777777" w:rsidR="008F6D00" w:rsidRDefault="008F6D00" w:rsidP="008F6D00">
      <w:pPr>
        <w:pStyle w:val="ListParagraph"/>
        <w:ind w:left="0"/>
      </w:pPr>
    </w:p>
    <w:p w14:paraId="6BACCEB8" w14:textId="12F8FD4F" w:rsidR="008F6D00" w:rsidRDefault="008F6D00" w:rsidP="008F6D00">
      <w:pPr>
        <w:pStyle w:val="ListParagraph"/>
        <w:ind w:left="0"/>
      </w:pPr>
      <w:r>
        <w:t xml:space="preserve">There is no way of getting around the fact that despite the “likeness” of members of property classes, there will also be considerable diversity. There is considerable diversity in the economic circumstances of households to pay rates related to household income, the number of breadwinners and members, expenditure patterns and debt levels. </w:t>
      </w:r>
    </w:p>
    <w:p w14:paraId="5F834BBF" w14:textId="77777777" w:rsidR="008F6D00" w:rsidRDefault="008F6D00" w:rsidP="008F6D00">
      <w:pPr>
        <w:pStyle w:val="ListParagraph"/>
        <w:ind w:left="0"/>
      </w:pPr>
    </w:p>
    <w:p w14:paraId="4AFDD599" w14:textId="3EE5B603" w:rsidR="008F6D00" w:rsidRDefault="008F6D00" w:rsidP="008F6D00">
      <w:pPr>
        <w:pStyle w:val="ListParagraph"/>
        <w:ind w:left="0"/>
      </w:pPr>
      <w:r>
        <w:t xml:space="preserve">Similarly, enormous diversity exists within business – local businesses range from small businesses with owner operators and few employees to multinational corporations. They may take a variety of forms – sole operators, companies, partnerships, cooperatives and trusts. Production may cover a diverse range of goods and services for local, national or overseas markets. They may vary considerably in terms of turnover, net worth, profitability and gearing – just to name a </w:t>
      </w:r>
      <w:r>
        <w:lastRenderedPageBreak/>
        <w:t xml:space="preserve">few characteristics. Businesses may be “price takers” with little market power or “price makers” operating in oligopolistic markets. </w:t>
      </w:r>
    </w:p>
    <w:p w14:paraId="06F8280D" w14:textId="77777777" w:rsidR="008F6D00" w:rsidRDefault="008F6D00" w:rsidP="008F6D00">
      <w:pPr>
        <w:pStyle w:val="ListParagraph"/>
        <w:ind w:left="0"/>
      </w:pPr>
    </w:p>
    <w:p w14:paraId="7925298D" w14:textId="0D845BDF" w:rsidR="008F6D00" w:rsidRDefault="008F6D00" w:rsidP="008F6D00">
      <w:pPr>
        <w:pStyle w:val="ListParagraph"/>
        <w:ind w:left="0"/>
      </w:pPr>
      <w:r>
        <w:t xml:space="preserve">A perception of size and market power might be considered relevant. For example, size and form of company (e.g. large, multinational) may confer economic advantages over other businesses and industries in </w:t>
      </w:r>
      <w:r w:rsidR="00A4522C">
        <w:t xml:space="preserve">terms of their capacity to pay </w:t>
      </w:r>
      <w:r>
        <w:t>by virtue of the benefits of:</w:t>
      </w:r>
    </w:p>
    <w:p w14:paraId="21B7F438" w14:textId="77777777" w:rsidR="008F6D00" w:rsidRDefault="008F6D00" w:rsidP="008F6D00">
      <w:pPr>
        <w:pStyle w:val="ListParagraph"/>
        <w:ind w:left="0"/>
      </w:pPr>
    </w:p>
    <w:p w14:paraId="2920D4B3" w14:textId="09FE12F6" w:rsidR="008F6D00" w:rsidRDefault="008F6D00" w:rsidP="008B23DA">
      <w:pPr>
        <w:pStyle w:val="ListParagraph"/>
        <w:numPr>
          <w:ilvl w:val="0"/>
          <w:numId w:val="26"/>
        </w:numPr>
      </w:pPr>
      <w:r>
        <w:t>vertical and horizontal economies of scale;</w:t>
      </w:r>
    </w:p>
    <w:p w14:paraId="6B8C8E06" w14:textId="408C497E" w:rsidR="008F6D00" w:rsidRDefault="008F6D00" w:rsidP="008B23DA">
      <w:pPr>
        <w:pStyle w:val="ListParagraph"/>
        <w:numPr>
          <w:ilvl w:val="0"/>
          <w:numId w:val="26"/>
        </w:numPr>
      </w:pPr>
      <w:r>
        <w:t xml:space="preserve">market power – including the ability to negotiate favourable prices on key inputs e.g. energy and the ability to shift rates to consumers through prices; </w:t>
      </w:r>
    </w:p>
    <w:p w14:paraId="0A316276" w14:textId="32B3525D" w:rsidR="008F6D00" w:rsidRDefault="008F6D00" w:rsidP="008B23DA">
      <w:pPr>
        <w:pStyle w:val="ListParagraph"/>
        <w:numPr>
          <w:ilvl w:val="0"/>
          <w:numId w:val="26"/>
        </w:numPr>
      </w:pPr>
      <w:r>
        <w:t>greater potential for expanding output, reducing unit costs and increasing market share;</w:t>
      </w:r>
    </w:p>
    <w:p w14:paraId="239AFA19" w14:textId="246B8F21" w:rsidR="008F6D00" w:rsidRDefault="008F6D00" w:rsidP="008B23DA">
      <w:pPr>
        <w:pStyle w:val="ListParagraph"/>
        <w:numPr>
          <w:ilvl w:val="0"/>
          <w:numId w:val="26"/>
        </w:numPr>
      </w:pPr>
      <w:r>
        <w:t>the ability to minimise tax through transfer pricing;</w:t>
      </w:r>
    </w:p>
    <w:p w14:paraId="0B795186" w14:textId="4D5EBA8E" w:rsidR="008F6D00" w:rsidRDefault="008F6D00" w:rsidP="008B23DA">
      <w:pPr>
        <w:pStyle w:val="ListParagraph"/>
        <w:numPr>
          <w:ilvl w:val="0"/>
          <w:numId w:val="26"/>
        </w:numPr>
      </w:pPr>
      <w:r>
        <w:t>greater ability to access new technologies and methods;</w:t>
      </w:r>
    </w:p>
    <w:p w14:paraId="48393D3F" w14:textId="4627C40F" w:rsidR="008F6D00" w:rsidRDefault="008F6D00" w:rsidP="008B23DA">
      <w:pPr>
        <w:pStyle w:val="ListParagraph"/>
        <w:numPr>
          <w:ilvl w:val="0"/>
          <w:numId w:val="26"/>
        </w:numPr>
      </w:pPr>
      <w:r>
        <w:t>the ability to spread overheads and risk, for example the pooling of insurance requirements;</w:t>
      </w:r>
    </w:p>
    <w:p w14:paraId="56EF833C" w14:textId="7E99518E" w:rsidR="008F6D00" w:rsidRDefault="008F6D00" w:rsidP="008B23DA">
      <w:pPr>
        <w:pStyle w:val="ListParagraph"/>
        <w:numPr>
          <w:ilvl w:val="0"/>
          <w:numId w:val="26"/>
        </w:numPr>
      </w:pPr>
      <w:r>
        <w:t>the ability to raise capital at cheaper cost;</w:t>
      </w:r>
    </w:p>
    <w:p w14:paraId="3D8A7D79" w14:textId="5ADABA2F" w:rsidR="008F6D00" w:rsidRDefault="008F6D00" w:rsidP="008B23DA">
      <w:pPr>
        <w:pStyle w:val="ListParagraph"/>
        <w:numPr>
          <w:ilvl w:val="0"/>
          <w:numId w:val="26"/>
        </w:numPr>
      </w:pPr>
      <w:r>
        <w:t>greater ability to merge and acquire other entities;</w:t>
      </w:r>
    </w:p>
    <w:p w14:paraId="04FC5B49" w14:textId="142571D2" w:rsidR="008F6D00" w:rsidRDefault="008F6D00" w:rsidP="008B23DA">
      <w:pPr>
        <w:pStyle w:val="ListParagraph"/>
        <w:numPr>
          <w:ilvl w:val="0"/>
          <w:numId w:val="26"/>
        </w:numPr>
      </w:pPr>
      <w:r>
        <w:t>greater potential for the sale of assets, including the sale of non-core downstream business;</w:t>
      </w:r>
    </w:p>
    <w:p w14:paraId="6046A834" w14:textId="7B8C4978" w:rsidR="008F6D00" w:rsidRDefault="008F6D00" w:rsidP="008B23DA">
      <w:pPr>
        <w:pStyle w:val="ListParagraph"/>
        <w:numPr>
          <w:ilvl w:val="0"/>
          <w:numId w:val="26"/>
        </w:numPr>
      </w:pPr>
      <w:r>
        <w:t>the formation of beneficial strategic alliances with other businesses;</w:t>
      </w:r>
    </w:p>
    <w:p w14:paraId="11AFC4EF" w14:textId="26FDFA72" w:rsidR="008F6D00" w:rsidRDefault="008F6D00" w:rsidP="008B23DA">
      <w:pPr>
        <w:pStyle w:val="ListParagraph"/>
        <w:numPr>
          <w:ilvl w:val="0"/>
          <w:numId w:val="26"/>
        </w:numPr>
      </w:pPr>
      <w:r>
        <w:t>a greater ability to adapt to economic shifts than corporations that function in a single locality;</w:t>
      </w:r>
    </w:p>
    <w:p w14:paraId="1F22C9D6" w14:textId="1A681076" w:rsidR="008F6D00" w:rsidRDefault="008F6D00" w:rsidP="008B23DA">
      <w:pPr>
        <w:pStyle w:val="ListParagraph"/>
        <w:numPr>
          <w:ilvl w:val="0"/>
          <w:numId w:val="26"/>
        </w:numPr>
      </w:pPr>
      <w:r>
        <w:t>a greater ability for diversification and integration of other activities; and</w:t>
      </w:r>
    </w:p>
    <w:p w14:paraId="14A5D563" w14:textId="254C3485" w:rsidR="008F6D00" w:rsidRDefault="008F6D00" w:rsidP="008B23DA">
      <w:pPr>
        <w:pStyle w:val="ListParagraph"/>
        <w:numPr>
          <w:ilvl w:val="0"/>
          <w:numId w:val="26"/>
        </w:numPr>
      </w:pPr>
      <w:r>
        <w:t>a lesser chance of going bankrupt than smaller companies.</w:t>
      </w:r>
    </w:p>
    <w:p w14:paraId="190F4C8E" w14:textId="77777777" w:rsidR="008F6D00" w:rsidRDefault="008F6D00" w:rsidP="008F6D00">
      <w:pPr>
        <w:pStyle w:val="ListParagraph"/>
        <w:ind w:left="0"/>
      </w:pPr>
    </w:p>
    <w:p w14:paraId="7AF89CE7" w14:textId="1372253A" w:rsidR="008F6D00" w:rsidRDefault="008F6D00" w:rsidP="008F6D00">
      <w:pPr>
        <w:pStyle w:val="ListParagraph"/>
        <w:ind w:left="0"/>
      </w:pPr>
      <w:r>
        <w:t>Rate setting for different groups needs to have regard to the general capacity of those classes of property to pay rates. There are practical limits to the extent that classes may be differentiated because of impacts on efficiency and simplicity – and the broader a property class, the more general are the assumptions about capacity to pay. Some may argue, for example that a small family farm producing for a local market has more in common with other small business than large farms. Clearly, there is an issue of how well the assumptions made about a large class of ratepayers accurately reflect the circumstances of most or large numbers of its members.</w:t>
      </w:r>
    </w:p>
    <w:p w14:paraId="2EA84866" w14:textId="77777777" w:rsidR="008F6D00" w:rsidRDefault="008F6D00" w:rsidP="008F6D00">
      <w:pPr>
        <w:pStyle w:val="ListParagraph"/>
        <w:ind w:left="0"/>
      </w:pPr>
    </w:p>
    <w:p w14:paraId="08EE3BE9" w14:textId="77777777" w:rsidR="008F6D00" w:rsidRDefault="008F6D00" w:rsidP="008F6D00">
      <w:pPr>
        <w:pStyle w:val="ListParagraph"/>
        <w:ind w:left="0"/>
      </w:pPr>
    </w:p>
    <w:p w14:paraId="367D1EBB" w14:textId="5C46A763" w:rsidR="008F6D00" w:rsidRPr="0043791A" w:rsidRDefault="008F6D00" w:rsidP="00E84BF5">
      <w:pPr>
        <w:pStyle w:val="Heading3"/>
      </w:pPr>
      <w:r w:rsidRPr="0043791A">
        <w:t xml:space="preserve">How </w:t>
      </w:r>
      <w:r>
        <w:t xml:space="preserve">Difficult is it to Assess </w:t>
      </w:r>
      <w:r w:rsidRPr="0043791A">
        <w:t>Capacity to Pay?</w:t>
      </w:r>
    </w:p>
    <w:p w14:paraId="7910B18A" w14:textId="77777777" w:rsidR="008F6D00" w:rsidRDefault="008F6D00" w:rsidP="008F6D00">
      <w:pPr>
        <w:pStyle w:val="ListParagraph"/>
        <w:ind w:left="0"/>
      </w:pPr>
    </w:p>
    <w:p w14:paraId="1077F186" w14:textId="1D906B97" w:rsidR="008F6D00" w:rsidRDefault="008F6D00" w:rsidP="008F6D00">
      <w:pPr>
        <w:pStyle w:val="ListParagraph"/>
        <w:ind w:left="0"/>
      </w:pPr>
      <w:r>
        <w:t>Historically, councils have used the term capacity to pay as a primary argument in the setting of varying rates. There has, however, been a lack of transparency concerning the basis for the views held about capacity to pay and their translation into a hierarchy of rates. More often than not substantive and evidence-based reasons have not been provided why the rate in the dollar on one type of property is higher/lower than another (or for that matter why a uniform rate system exists) or to explain the basis for the difference.</w:t>
      </w:r>
    </w:p>
    <w:p w14:paraId="647954DB" w14:textId="77777777" w:rsidR="008F6D00" w:rsidRDefault="008F6D00" w:rsidP="008F6D00">
      <w:pPr>
        <w:pStyle w:val="ListParagraph"/>
        <w:ind w:left="0"/>
      </w:pPr>
    </w:p>
    <w:p w14:paraId="1DB931B9" w14:textId="44F3FEEB" w:rsidR="008F6D00" w:rsidRDefault="008F6D00" w:rsidP="008F6D00">
      <w:pPr>
        <w:pStyle w:val="ListParagraph"/>
        <w:ind w:left="0"/>
      </w:pPr>
      <w:r>
        <w:t>On equity and good public policy grounds, it is appropriate that the meaning and assessment of capacity to pay is agreed, at least from a practical point of view, and that decisions are influenced by a strong understanding of the factors relevant to particular property classes in order to make informed, albeit, generalised observations about their capacity to pay rates.</w:t>
      </w:r>
    </w:p>
    <w:p w14:paraId="64B549B7" w14:textId="77777777" w:rsidR="008F6D00" w:rsidRDefault="008F6D00" w:rsidP="008F6D00">
      <w:pPr>
        <w:pStyle w:val="ListParagraph"/>
        <w:ind w:left="0"/>
      </w:pPr>
    </w:p>
    <w:p w14:paraId="19D9E493" w14:textId="13801F0C" w:rsidR="008F6D00" w:rsidRDefault="008F6D00" w:rsidP="008F6D00">
      <w:pPr>
        <w:pStyle w:val="ListParagraph"/>
        <w:ind w:left="0"/>
      </w:pPr>
      <w:r>
        <w:lastRenderedPageBreak/>
        <w:t xml:space="preserve">Capacity to pay can be assessed in different ways. This raises the issue of what specific measure or indicators best reflect capacity to pay, their availability and whether they could be applied consistently across all ratepayers/ property classes. </w:t>
      </w:r>
    </w:p>
    <w:p w14:paraId="57228EE1" w14:textId="77777777" w:rsidR="008F6D00" w:rsidRDefault="008F6D00" w:rsidP="008F6D00">
      <w:pPr>
        <w:pStyle w:val="ListParagraph"/>
        <w:ind w:left="0"/>
      </w:pPr>
    </w:p>
    <w:p w14:paraId="63D01F69" w14:textId="7C47F4B3" w:rsidR="008F6D00" w:rsidRDefault="008F6D00" w:rsidP="008F6D00">
      <w:pPr>
        <w:pStyle w:val="ListParagraph"/>
        <w:ind w:left="0"/>
      </w:pPr>
      <w:r>
        <w:t>Critics of property taxation draw attention to its limitation in recognising the situation where ratepayers are “asset rich” and “income poor”. It is argued that in these cases ratepayers may have considerable stored wealth in the property they own but have a low level of income and therefore a low capacity to pay rates. The position of pensioners is often raised in relation to this. On the other hand, attention has been increasingly drawn to the significant levels of unrealised wealth in low income households that could be accessed to pay for services, for example, the Productivity Commission in relation to the aged care costs.</w:t>
      </w:r>
    </w:p>
    <w:p w14:paraId="4251D889" w14:textId="77777777" w:rsidR="008F6D00" w:rsidRDefault="008F6D00" w:rsidP="008F6D00">
      <w:pPr>
        <w:pStyle w:val="ListParagraph"/>
        <w:ind w:left="0"/>
      </w:pPr>
    </w:p>
    <w:p w14:paraId="58ECCDFE" w14:textId="77777777" w:rsidR="008F6D00" w:rsidRDefault="008F6D00" w:rsidP="008F6D00">
      <w:pPr>
        <w:pStyle w:val="ListParagraph"/>
        <w:ind w:left="0"/>
      </w:pPr>
      <w:r w:rsidRPr="00F5730F">
        <w:t xml:space="preserve">It could be argued that elevating the importance of the “disposable” income of households takes a limited view about capacity to pay. The aged pensioner with very little disposable income but a very expensive house is a good example. </w:t>
      </w:r>
      <w:r>
        <w:t xml:space="preserve">Modelling can be used to illustrate the weaker financial position of households with different income and housing wealth profiles. </w:t>
      </w:r>
      <w:r w:rsidRPr="00F5730F">
        <w:t>It is difficult to argue that an aged pensioner who owns a substantial property has a lower capacity to pay their rates than a single income family including a couple of children on average weekly earnings and with a substantial mortgage on a modestly valued home</w:t>
      </w:r>
      <w:r>
        <w:rPr>
          <w:rStyle w:val="FootnoteReference"/>
        </w:rPr>
        <w:footnoteReference w:id="5"/>
      </w:r>
      <w:r w:rsidRPr="00F5730F">
        <w:t>. This ignores housing wealth.</w:t>
      </w:r>
      <w:r>
        <w:t xml:space="preserve"> </w:t>
      </w:r>
    </w:p>
    <w:p w14:paraId="0FA77B64" w14:textId="77777777" w:rsidR="008F6D00" w:rsidRDefault="008F6D00" w:rsidP="008F6D00">
      <w:pPr>
        <w:pStyle w:val="ListParagraph"/>
        <w:ind w:left="0"/>
      </w:pPr>
    </w:p>
    <w:p w14:paraId="2735774F" w14:textId="6F838431" w:rsidR="008F6D00" w:rsidRDefault="008F6D00" w:rsidP="008F6D00">
      <w:pPr>
        <w:pStyle w:val="ListParagraph"/>
        <w:ind w:left="0"/>
      </w:pPr>
      <w:r>
        <w:t>Such examples show the difficulties of making assumptions and generalising about the capacity of groups to pay rates. A number of related issues exist. The sustainability of providing any additional assistance to aged pensioners over the long term should be seen in the context of the ageing of the population. The inter-generational issue may a relevant one to consider – it could be argued that the ultimate beneficiaries of pensioner rate subsidisation are children of these ratepayers at the expense of other current ratepayers. Attention might also be drawn to the mismatch of accommodation requirements and housing assets in times of lack of housing supply and reduced housing affordability with pensioners living in premises far larger (and more valuable) than they require.</w:t>
      </w:r>
    </w:p>
    <w:p w14:paraId="492ECC38" w14:textId="77777777" w:rsidR="008F6D00" w:rsidRDefault="008F6D00" w:rsidP="008F6D00">
      <w:pPr>
        <w:pStyle w:val="ListParagraph"/>
        <w:ind w:left="0"/>
      </w:pPr>
    </w:p>
    <w:p w14:paraId="235D54DD" w14:textId="7D1ABAB3" w:rsidR="008F6D00" w:rsidRDefault="008F6D00" w:rsidP="008F6D00">
      <w:pPr>
        <w:pStyle w:val="ListParagraph"/>
        <w:ind w:left="0"/>
      </w:pPr>
      <w:r>
        <w:t xml:space="preserve">It might be argued that resistance to the accessing of wealth to pay rates has more to do with cultural attitudes than capacity to pay. These cultural attitudes are reflected in views that pensioners’ homes are where they raised their kids and lived most of their lives, that houses have many memories for them and having to move would be extremely emotionally difficult. There is also a strongly held view that all that some pensioners have to pass onto their families is through inheritance and that is why they sacrificed and saved over the years. However, the image created of age pensioners being forced to sell homes in order to pay council rates is an emotive one that arguably has little to do with reality. </w:t>
      </w:r>
    </w:p>
    <w:p w14:paraId="4E8D77ED" w14:textId="77777777" w:rsidR="008F6D00" w:rsidRDefault="008F6D00" w:rsidP="008F6D00">
      <w:pPr>
        <w:pStyle w:val="ListParagraph"/>
        <w:ind w:left="0"/>
      </w:pPr>
    </w:p>
    <w:p w14:paraId="243EB08B" w14:textId="77777777" w:rsidR="008F6D00" w:rsidRDefault="008F6D00" w:rsidP="008F6D00">
      <w:pPr>
        <w:pStyle w:val="ListParagraph"/>
        <w:ind w:left="0"/>
      </w:pPr>
      <w:r>
        <w:t xml:space="preserve">One issue that has gained attention is the higher interest rate applicable to reverse equity products compared with home loan rates, particularly given the level of security offered by the borrower, however the differential between these products and other loan rates appears to have narrowed more recently. </w:t>
      </w:r>
    </w:p>
    <w:p w14:paraId="14077820" w14:textId="77777777" w:rsidR="008F6D00" w:rsidRDefault="008F6D00" w:rsidP="008F6D00">
      <w:pPr>
        <w:pStyle w:val="ListParagraph"/>
        <w:ind w:left="0"/>
      </w:pPr>
    </w:p>
    <w:p w14:paraId="7D981CDE" w14:textId="1CF75ABA" w:rsidR="008F6D00" w:rsidRDefault="008F6D00" w:rsidP="008F6D00">
      <w:pPr>
        <w:pStyle w:val="ListParagraph"/>
        <w:ind w:left="0"/>
      </w:pPr>
      <w:r>
        <w:t>It is not possible to expect a property tax system to deal practically with the issue of capacity to pay based on the circumstances of individual households and businesses. In fact the issue takes up considerable time and resources of Governments with more diverse taxing and investigative powers and resources.</w:t>
      </w:r>
    </w:p>
    <w:p w14:paraId="4F986829" w14:textId="77777777" w:rsidR="008F6D00" w:rsidRDefault="008F6D00" w:rsidP="008F6D00">
      <w:pPr>
        <w:pStyle w:val="ListParagraph"/>
        <w:ind w:left="0"/>
      </w:pPr>
    </w:p>
    <w:p w14:paraId="24E0BBF2" w14:textId="63E75664" w:rsidR="008F6D00" w:rsidRPr="0043791A" w:rsidRDefault="008F6D00" w:rsidP="00E84BF5">
      <w:pPr>
        <w:pStyle w:val="Heading3"/>
      </w:pPr>
      <w:r w:rsidRPr="0043791A">
        <w:t>Data Issues</w:t>
      </w:r>
    </w:p>
    <w:p w14:paraId="5C96FE97" w14:textId="77777777" w:rsidR="008F6D00" w:rsidRDefault="008F6D00" w:rsidP="008F6D00">
      <w:pPr>
        <w:pStyle w:val="ListParagraph"/>
        <w:ind w:left="0"/>
      </w:pPr>
    </w:p>
    <w:p w14:paraId="27B1D23B" w14:textId="77777777" w:rsidR="008F6D00" w:rsidRDefault="008F6D00" w:rsidP="008F6D00">
      <w:pPr>
        <w:pStyle w:val="ListParagraph"/>
        <w:ind w:left="0"/>
      </w:pPr>
      <w:r>
        <w:t xml:space="preserve">This challenge of giving effect to capacity to pay is not assisted by the data that is available to councils. </w:t>
      </w:r>
    </w:p>
    <w:p w14:paraId="6BDAE012" w14:textId="77777777" w:rsidR="008F6D00" w:rsidRDefault="008F6D00" w:rsidP="008F6D00">
      <w:pPr>
        <w:pStyle w:val="ListParagraph"/>
        <w:ind w:left="0"/>
      </w:pPr>
    </w:p>
    <w:p w14:paraId="46D30D0C" w14:textId="3CEA2F24" w:rsidR="008F6D00" w:rsidRDefault="008F6D00" w:rsidP="008F6D00">
      <w:pPr>
        <w:pStyle w:val="ListParagraph"/>
        <w:ind w:left="0"/>
      </w:pPr>
      <w:r>
        <w:t>Ideally, the best data to be used in considering capacity to pay is that which relates to the municipality. However data may not be available at council level. For example, data on a whole range of aggregates and ratios for business sectors are obtainable for Australia and the States, but how well do these reflect the situation in Local Government Areas?</w:t>
      </w:r>
    </w:p>
    <w:p w14:paraId="29A85E9A" w14:textId="77777777" w:rsidR="008F6D00" w:rsidRDefault="008F6D00" w:rsidP="008F6D00">
      <w:pPr>
        <w:pStyle w:val="ListParagraph"/>
        <w:ind w:left="0"/>
      </w:pPr>
    </w:p>
    <w:p w14:paraId="3B41FA3C" w14:textId="77777777" w:rsidR="008F6D00" w:rsidRDefault="008F6D00" w:rsidP="008F6D00">
      <w:pPr>
        <w:pStyle w:val="ListParagraph"/>
        <w:ind w:left="0"/>
      </w:pPr>
      <w:r>
        <w:t>More tends to be known about income than wealth at a local level. Income and wealth data are available from the ATO sourced from tax returns, the ABS Census of Population and Housing and Industry Surveys. The ATO provides data on personal income at a postcode level and business income at a national and industry level. The ABS provides personal and household income data at small area levels but business data is also generally provided at broad industry, State and national level.</w:t>
      </w:r>
    </w:p>
    <w:p w14:paraId="6D29A3CA" w14:textId="77777777" w:rsidR="008F6D00" w:rsidRDefault="008F6D00" w:rsidP="008F6D00">
      <w:pPr>
        <w:pStyle w:val="ListParagraph"/>
        <w:ind w:left="0"/>
      </w:pPr>
    </w:p>
    <w:p w14:paraId="717D6DF9" w14:textId="25D56DD3" w:rsidR="008F6D00" w:rsidRDefault="008F6D00" w:rsidP="008F6D00">
      <w:pPr>
        <w:pStyle w:val="ListParagraph"/>
        <w:ind w:left="0"/>
      </w:pPr>
      <w:r>
        <w:t xml:space="preserve">Data is lagged. Differences between the dates to which data relate and when data becomes available may be considerable. For example census data, other Australian Bureau of Statistics (ABS) publications and ATO data may be several years out of date by the time it can be used. Consistency with the date of property (re)valuation may be highly desirable. Census data may be up to five years old. </w:t>
      </w:r>
    </w:p>
    <w:p w14:paraId="73F0D161" w14:textId="77777777" w:rsidR="008F6D00" w:rsidRDefault="008F6D00" w:rsidP="008F6D00">
      <w:pPr>
        <w:pStyle w:val="ListParagraph"/>
        <w:ind w:left="0"/>
      </w:pPr>
    </w:p>
    <w:p w14:paraId="789D740A" w14:textId="07E2FCF7" w:rsidR="008F6D00" w:rsidRDefault="008F6D00" w:rsidP="008F6D00">
      <w:pPr>
        <w:pStyle w:val="ListParagraph"/>
        <w:ind w:left="0"/>
      </w:pPr>
      <w:r>
        <w:t xml:space="preserve">Although less an issue, inconsistencies may exist between data sources. Changing definitions and methodologies and survey populations, differences in sampling errors and incomplete time series and discontinued statistics may pose difficulties. Inconsistencies may also show across data sources. </w:t>
      </w:r>
    </w:p>
    <w:p w14:paraId="4B79A2F0" w14:textId="77777777" w:rsidR="008F6D00" w:rsidRDefault="008F6D00" w:rsidP="008F6D00">
      <w:pPr>
        <w:pStyle w:val="ListParagraph"/>
        <w:ind w:left="0"/>
      </w:pPr>
    </w:p>
    <w:p w14:paraId="146C9C0B" w14:textId="77777777" w:rsidR="008F6D00" w:rsidRDefault="008F6D00" w:rsidP="008F6D00">
      <w:pPr>
        <w:pStyle w:val="ListParagraph"/>
        <w:ind w:left="0"/>
      </w:pPr>
      <w:r>
        <w:t xml:space="preserve">Improvements that may be made to council databases would also assist the process, for example, filters that allow the aggregation of farm assessments into respective farm enterprises. </w:t>
      </w:r>
    </w:p>
    <w:p w14:paraId="25AB1715" w14:textId="77777777" w:rsidR="008F6D00" w:rsidRDefault="008F6D00" w:rsidP="008F6D00">
      <w:pPr>
        <w:pStyle w:val="ListParagraph"/>
        <w:ind w:left="0"/>
      </w:pPr>
    </w:p>
    <w:p w14:paraId="2FA1463D" w14:textId="223ACDD6" w:rsidR="008F6D00" w:rsidRPr="000D1A52" w:rsidRDefault="008F6D00" w:rsidP="00E84BF5">
      <w:pPr>
        <w:pStyle w:val="Heading3"/>
      </w:pPr>
      <w:r>
        <w:t>Fixed Charges</w:t>
      </w:r>
    </w:p>
    <w:p w14:paraId="5910622F" w14:textId="77777777" w:rsidR="008F6D00" w:rsidRDefault="008F6D00" w:rsidP="008F6D00">
      <w:pPr>
        <w:pStyle w:val="ListParagraph"/>
        <w:ind w:left="0"/>
      </w:pPr>
    </w:p>
    <w:p w14:paraId="64937E9D" w14:textId="382D6DF0" w:rsidR="008F6D00" w:rsidRDefault="008F6D00" w:rsidP="008F6D00">
      <w:pPr>
        <w:pStyle w:val="ListParagraph"/>
        <w:ind w:left="0"/>
      </w:pPr>
      <w:r>
        <w:t>The concept of vertical equity is reflected in whether tax systems are progressive, proportional or regressive. It has been argued that a regressive tax regime is least defensible on the basis of capacity to pay. To the extent that one accepts a nexus between property value and income and wealth, fairness would dictate that progressive taxation is favoured over proportional taxation, which in turn, is favoured over regressive taxation.</w:t>
      </w:r>
    </w:p>
    <w:p w14:paraId="096D2933" w14:textId="77777777" w:rsidR="008F6D00" w:rsidRDefault="008F6D00" w:rsidP="008F6D00">
      <w:pPr>
        <w:pStyle w:val="ListParagraph"/>
        <w:ind w:left="0"/>
      </w:pPr>
    </w:p>
    <w:p w14:paraId="3BD24D0A" w14:textId="2DAD3978" w:rsidR="008F6D00" w:rsidRDefault="008F6D00" w:rsidP="008F6D00">
      <w:pPr>
        <w:pStyle w:val="ListParagraph"/>
        <w:ind w:left="0"/>
      </w:pPr>
      <w:r>
        <w:t>Fixed charges reduce</w:t>
      </w:r>
      <w:r w:rsidRPr="004B2BC5">
        <w:t xml:space="preserve"> the importance of the property valuation in determining the amount of rates paid. </w:t>
      </w:r>
      <w:r>
        <w:t>They are</w:t>
      </w:r>
      <w:r w:rsidRPr="004B2BC5">
        <w:t xml:space="preserve"> regressive by nature - as the value of properties decrease the amount of revenue raised from them increases as a percentage of that value. As a result, the burden is reduced on higher value properties. The percentage of total rate revenue paid by each individual property or each class of property is no </w:t>
      </w:r>
      <w:r w:rsidRPr="004B2BC5">
        <w:lastRenderedPageBreak/>
        <w:t>longer identical to its percentage of total property valuation as is the case with a uniform or differential rate.</w:t>
      </w:r>
    </w:p>
    <w:p w14:paraId="0DE2455D" w14:textId="77777777" w:rsidR="008F6D00" w:rsidRDefault="008F6D00" w:rsidP="008F6D00">
      <w:pPr>
        <w:pStyle w:val="ListParagraph"/>
        <w:ind w:left="0"/>
      </w:pPr>
    </w:p>
    <w:p w14:paraId="3C8BB443" w14:textId="69827719" w:rsidR="008F6D00" w:rsidRPr="004B2BC5" w:rsidRDefault="008F6D00" w:rsidP="008F6D00">
      <w:pPr>
        <w:pStyle w:val="ListParagraph"/>
        <w:ind w:left="0"/>
      </w:pPr>
      <w:r>
        <w:t xml:space="preserve">Fixed charges like the </w:t>
      </w:r>
      <w:r w:rsidRPr="004B2BC5">
        <w:t>municipal charge</w:t>
      </w:r>
      <w:r>
        <w:t xml:space="preserve"> available to councils</w:t>
      </w:r>
      <w:r w:rsidRPr="004B2BC5">
        <w:t xml:space="preserve"> </w:t>
      </w:r>
      <w:r>
        <w:t xml:space="preserve">add to the </w:t>
      </w:r>
      <w:proofErr w:type="spellStart"/>
      <w:r>
        <w:t>regressivity</w:t>
      </w:r>
      <w:proofErr w:type="spellEnd"/>
      <w:r>
        <w:t xml:space="preserve"> of tax systems. It</w:t>
      </w:r>
      <w:r w:rsidRPr="004B2BC5">
        <w:t xml:space="preserve"> results in a greater “compression” of rates bills by reducing the extent of differences in the amounts of rates payable across the range of properties within a municipality. The municipal charge results in greater similarity in the rates payable by dissimilarly valued property.</w:t>
      </w:r>
    </w:p>
    <w:p w14:paraId="568F4003" w14:textId="77777777" w:rsidR="008F6D00" w:rsidRDefault="008F6D00" w:rsidP="008F6D00">
      <w:pPr>
        <w:pStyle w:val="ListParagraph"/>
        <w:ind w:left="0"/>
      </w:pPr>
    </w:p>
    <w:p w14:paraId="50978C7B" w14:textId="5ECE153C" w:rsidR="008F6D00" w:rsidRDefault="008F6D00" w:rsidP="008F6D00">
      <w:pPr>
        <w:pStyle w:val="ListParagraph"/>
        <w:ind w:left="0"/>
      </w:pPr>
      <w:r w:rsidRPr="004B2BC5">
        <w:t xml:space="preserve">Properties of relatively higher value benefit from the application of the municipal charge. The impact of the municipal charge is property specific rather than class specific. Municipal charge outcomes for classes will reflect the extent to which higher-valued or lower-valued properties are more concentrated in a particular class. </w:t>
      </w:r>
    </w:p>
    <w:p w14:paraId="60F518E8" w14:textId="77777777" w:rsidR="008F6D00" w:rsidRDefault="008F6D00" w:rsidP="008F6D00">
      <w:pPr>
        <w:pStyle w:val="ListParagraph"/>
        <w:ind w:left="0"/>
      </w:pPr>
    </w:p>
    <w:p w14:paraId="35C96E66" w14:textId="0E8EC239" w:rsidR="008F6D00" w:rsidRDefault="008F6D00" w:rsidP="008F6D00">
      <w:pPr>
        <w:pStyle w:val="ListParagraph"/>
        <w:ind w:left="0"/>
      </w:pPr>
      <w:r w:rsidRPr="00493158">
        <w:t xml:space="preserve">For each combination of municipal charge and rate in the dollar there will be break-even property value. Break-even values can be calculated for every combination of rates and/or municipal charge because relationships are linear. All other things being equal, properties above the break-even value are favoured by the application of (increase in) the municipal charge while properties below this value are worse off. </w:t>
      </w:r>
    </w:p>
    <w:p w14:paraId="0B9D0B09" w14:textId="77777777" w:rsidR="008F6D00" w:rsidRDefault="008F6D00" w:rsidP="008F6D00">
      <w:pPr>
        <w:pStyle w:val="ListParagraph"/>
        <w:ind w:left="0"/>
      </w:pPr>
      <w:r w:rsidRPr="007E7D2A">
        <w:rPr>
          <w:noProof/>
          <w:lang w:eastAsia="en-AU"/>
        </w:rPr>
        <w:drawing>
          <wp:inline distT="0" distB="0" distL="0" distR="0" wp14:anchorId="51C3963F" wp14:editId="5767C966">
            <wp:extent cx="5476875" cy="2971800"/>
            <wp:effectExtent l="0" t="0" r="0" b="0"/>
            <wp:docPr id="7" name="Objec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Pr="004B2BC5">
        <w:t xml:space="preserve"> </w:t>
      </w:r>
    </w:p>
    <w:p w14:paraId="22BD12CA" w14:textId="77777777" w:rsidR="008F6D00" w:rsidRDefault="008F6D00" w:rsidP="008F6D00">
      <w:pPr>
        <w:pStyle w:val="ListParagraph"/>
        <w:ind w:left="0"/>
      </w:pPr>
    </w:p>
    <w:p w14:paraId="4A86A3E7" w14:textId="77777777" w:rsidR="008F6D00" w:rsidRPr="004B2BC5" w:rsidRDefault="008F6D00" w:rsidP="008F6D00">
      <w:pPr>
        <w:pStyle w:val="ListParagraph"/>
        <w:ind w:left="0"/>
      </w:pPr>
      <w:r w:rsidRPr="004B2BC5">
        <w:t>The frequency distributions of broad property classes are likely to include a complement of both high and low-valued properties and therefore comprise properties for which the effect of the municipal charge may be favourable or unfavourable.</w:t>
      </w:r>
    </w:p>
    <w:p w14:paraId="2A4AAA90" w14:textId="77777777" w:rsidR="008F6D00" w:rsidRDefault="008F6D00" w:rsidP="008F6D00">
      <w:pPr>
        <w:pStyle w:val="ListParagraph"/>
        <w:ind w:left="0"/>
      </w:pPr>
    </w:p>
    <w:p w14:paraId="0D7E2165" w14:textId="77777777" w:rsidR="008F6D00" w:rsidRDefault="008F6D00" w:rsidP="008F6D00">
      <w:pPr>
        <w:pStyle w:val="ListParagraph"/>
        <w:ind w:left="0"/>
      </w:pPr>
    </w:p>
    <w:p w14:paraId="3AD3D351" w14:textId="04507F7B" w:rsidR="008F6D00" w:rsidRDefault="008F6D00" w:rsidP="001171E8">
      <w:pPr>
        <w:pStyle w:val="Heading2"/>
        <w:rPr>
          <w:b w:val="0"/>
        </w:rPr>
      </w:pPr>
      <w:bookmarkStart w:id="64" w:name="_Toc462060590"/>
      <w:bookmarkStart w:id="65" w:name="_Toc462066829"/>
      <w:r>
        <w:t>The Rating Framework</w:t>
      </w:r>
      <w:bookmarkEnd w:id="64"/>
      <w:bookmarkEnd w:id="65"/>
    </w:p>
    <w:p w14:paraId="6B5EAA08" w14:textId="77777777" w:rsidR="008F6D00" w:rsidRDefault="008F6D00" w:rsidP="008F6D00">
      <w:pPr>
        <w:pStyle w:val="ListParagraph"/>
        <w:ind w:left="0"/>
        <w:rPr>
          <w:b/>
        </w:rPr>
      </w:pPr>
    </w:p>
    <w:p w14:paraId="29ADEC6B" w14:textId="7C09B786" w:rsidR="008F6D00" w:rsidRDefault="008F6D00" w:rsidP="008F6D00">
      <w:pPr>
        <w:pStyle w:val="ListParagraph"/>
        <w:ind w:left="0"/>
      </w:pPr>
      <w:r w:rsidRPr="00505190">
        <w:t xml:space="preserve">The Local Government </w:t>
      </w:r>
      <w:r>
        <w:t xml:space="preserve">Act </w:t>
      </w:r>
      <w:r w:rsidRPr="00505190">
        <w:t>determin</w:t>
      </w:r>
      <w:r>
        <w:t>es</w:t>
      </w:r>
      <w:r w:rsidRPr="00505190">
        <w:t xml:space="preserve"> who can be rate</w:t>
      </w:r>
      <w:r>
        <w:t>d</w:t>
      </w:r>
      <w:r w:rsidRPr="00505190">
        <w:t xml:space="preserve"> and how they can be rated</w:t>
      </w:r>
      <w:r>
        <w:t>. It positively discriminates in favour of certain groups by providing exemptions for certain classes of property and sets out the armoury of instruments that may be used to spread the burden across ratepayers including the valuation base, ad valorem rates and fixed charges.</w:t>
      </w:r>
      <w:r w:rsidRPr="00505190">
        <w:t xml:space="preserve"> </w:t>
      </w:r>
      <w:r>
        <w:t>A number of controls are placed with respect to these namely;</w:t>
      </w:r>
    </w:p>
    <w:p w14:paraId="105393EC" w14:textId="77777777" w:rsidR="008F6D00" w:rsidRDefault="008F6D00" w:rsidP="008F6D00">
      <w:pPr>
        <w:pStyle w:val="ListParagraph"/>
        <w:ind w:left="0"/>
      </w:pPr>
    </w:p>
    <w:p w14:paraId="715E9069" w14:textId="77777777" w:rsidR="008F6D00" w:rsidRDefault="008F6D00" w:rsidP="008F6D00">
      <w:pPr>
        <w:pStyle w:val="ListParagraph"/>
        <w:numPr>
          <w:ilvl w:val="0"/>
          <w:numId w:val="22"/>
        </w:numPr>
        <w:spacing w:after="200" w:line="276" w:lineRule="auto"/>
      </w:pPr>
      <w:r>
        <w:t>the valuation base that may be used (three choices) ;</w:t>
      </w:r>
    </w:p>
    <w:p w14:paraId="53D6F784" w14:textId="77777777" w:rsidR="008F6D00" w:rsidRDefault="008F6D00" w:rsidP="008F6D00">
      <w:pPr>
        <w:pStyle w:val="ListParagraph"/>
        <w:numPr>
          <w:ilvl w:val="0"/>
          <w:numId w:val="22"/>
        </w:numPr>
        <w:spacing w:after="200" w:line="276" w:lineRule="auto"/>
      </w:pPr>
      <w:r>
        <w:t>the type of ad valorem rates that can be used dependent on the base chosen and the range of these from highest to lowest (the highest can be no more than 4 times the lowest); and</w:t>
      </w:r>
    </w:p>
    <w:p w14:paraId="78E26807" w14:textId="77777777" w:rsidR="008F6D00" w:rsidRPr="00505190" w:rsidRDefault="008F6D00" w:rsidP="008F6D00">
      <w:pPr>
        <w:pStyle w:val="ListParagraph"/>
        <w:numPr>
          <w:ilvl w:val="0"/>
          <w:numId w:val="22"/>
        </w:numPr>
        <w:spacing w:after="200" w:line="276" w:lineRule="auto"/>
      </w:pPr>
      <w:r>
        <w:t>the option to use a fixed charge component (the municipal charge) and the limit applicable to this component (up to 20% of the total from ad valorem rate plus the municipal charge).</w:t>
      </w:r>
    </w:p>
    <w:p w14:paraId="20BDD605" w14:textId="77777777" w:rsidR="008F6D00" w:rsidRDefault="008F6D00" w:rsidP="008F6D00">
      <w:pPr>
        <w:pStyle w:val="ListParagraph"/>
        <w:ind w:left="0"/>
        <w:rPr>
          <w:b/>
        </w:rPr>
      </w:pPr>
    </w:p>
    <w:p w14:paraId="2DC852DD" w14:textId="3BFE7CE1" w:rsidR="008F6D00" w:rsidRDefault="008F6D00" w:rsidP="008F6D00">
      <w:pPr>
        <w:pStyle w:val="ListParagraph"/>
        <w:ind w:left="0"/>
      </w:pPr>
      <w:r w:rsidRPr="00E240E9">
        <w:t xml:space="preserve">The choice between </w:t>
      </w:r>
      <w:r>
        <w:t xml:space="preserve">valuation bases is between two improved bases - the full value including land and all improvements [Capital Improved Value] or the net annual rental value [Net Annual Value] and an unimproved land only base [Site Value].A strong argument can be made for the use of CIV as the most equitable of these as it includes the full value of the property and therefore more closely reflects financial capacity. The Legislation limits access to differential rates to those councils using the CIV </w:t>
      </w:r>
      <w:proofErr w:type="spellStart"/>
      <w:r>
        <w:t>base.It</w:t>
      </w:r>
      <w:proofErr w:type="spellEnd"/>
      <w:r>
        <w:t xml:space="preserve"> is assumed that the favouring of CIV is reflective of a general view about it being more equitable in combination with the greater flexibility offered – all councils use CIV except the few using NAV. </w:t>
      </w:r>
    </w:p>
    <w:p w14:paraId="791FA1FA" w14:textId="77777777" w:rsidR="008F6D00" w:rsidRDefault="008F6D00" w:rsidP="008F6D00">
      <w:pPr>
        <w:pStyle w:val="ListParagraph"/>
        <w:ind w:left="0"/>
      </w:pPr>
    </w:p>
    <w:p w14:paraId="4D95EEC7" w14:textId="7A153464" w:rsidR="008F6D00" w:rsidRDefault="008F6D00" w:rsidP="001171E8">
      <w:pPr>
        <w:pStyle w:val="Heading3"/>
      </w:pPr>
      <w:r w:rsidRPr="00C567D7">
        <w:t>Rating Exemptions</w:t>
      </w:r>
      <w:r>
        <w:t xml:space="preserve"> </w:t>
      </w:r>
    </w:p>
    <w:p w14:paraId="61AAE879" w14:textId="77777777" w:rsidR="008B23DA" w:rsidRDefault="008B23DA" w:rsidP="008F6D00"/>
    <w:p w14:paraId="0BF624FC" w14:textId="2D099988" w:rsidR="008F6D00" w:rsidRDefault="008F6D00" w:rsidP="008F6D00">
      <w:r>
        <w:t xml:space="preserve">The Local Government Act specifically exempts certain land from paying rates including </w:t>
      </w:r>
      <w:r w:rsidRPr="00FF56D0">
        <w:t xml:space="preserve">land </w:t>
      </w:r>
      <w:r>
        <w:t>that</w:t>
      </w:r>
      <w:r w:rsidRPr="00FF56D0">
        <w:t xml:space="preserve"> is </w:t>
      </w:r>
      <w:r>
        <w:t>exclusively used by RSL and o</w:t>
      </w:r>
      <w:r w:rsidRPr="00776EF1">
        <w:t xml:space="preserve">ther Services </w:t>
      </w:r>
      <w:r>
        <w:t xml:space="preserve">Clubs and </w:t>
      </w:r>
      <w:r w:rsidRPr="00FF56D0">
        <w:t>for mining purposes</w:t>
      </w:r>
      <w:r>
        <w:t>.</w:t>
      </w:r>
    </w:p>
    <w:p w14:paraId="1765C375" w14:textId="77777777" w:rsidR="008B23DA" w:rsidRDefault="008B23DA" w:rsidP="008F6D00"/>
    <w:p w14:paraId="7CF57F1B" w14:textId="625234E7" w:rsidR="008F6D00" w:rsidRPr="001171E8" w:rsidRDefault="008F6D00" w:rsidP="001171E8">
      <w:pPr>
        <w:pStyle w:val="Heading4"/>
      </w:pPr>
      <w:r w:rsidRPr="001171E8">
        <w:t>Services Clubs</w:t>
      </w:r>
    </w:p>
    <w:p w14:paraId="799482EE" w14:textId="77777777" w:rsidR="008B23DA" w:rsidRDefault="008B23DA" w:rsidP="008F6D00"/>
    <w:p w14:paraId="711A2B69" w14:textId="479DC26C" w:rsidR="008F6D00" w:rsidRDefault="008F6D00" w:rsidP="008F6D00">
      <w:r>
        <w:t>Most major regional centres have services clubs of one form or another including RSLs. The non-rateability of services clubs is one that concerns many councils in terms of equity as they compete with restaurants, cafes, hotels, gambling establishments and other businesses in the hospitality sector. There appears no valid reason why these clubs should be treated any differently to similar businesses and at least on the same terms as those classifiable as cultural and recreational lands that can be offered rate relief on the basis they also provide some level of community benefit (either recreational, cultural and/or social).</w:t>
      </w:r>
    </w:p>
    <w:p w14:paraId="005B1B1B" w14:textId="77777777" w:rsidR="008B23DA" w:rsidRDefault="008B23DA" w:rsidP="008F6D00"/>
    <w:p w14:paraId="14005E0C" w14:textId="5AA9172B" w:rsidR="008F6D00" w:rsidRDefault="008F6D00" w:rsidP="001171E8">
      <w:pPr>
        <w:pStyle w:val="Heading4"/>
      </w:pPr>
      <w:r>
        <w:t>Mining</w:t>
      </w:r>
    </w:p>
    <w:p w14:paraId="79FBC0EA" w14:textId="77777777" w:rsidR="008B23DA" w:rsidRDefault="008B23DA" w:rsidP="008F6D00"/>
    <w:p w14:paraId="6D24B26C" w14:textId="77777777" w:rsidR="008F6D00" w:rsidRDefault="008F6D00" w:rsidP="008F6D00">
      <w:r w:rsidRPr="00947176">
        <w:t>Mining is an industrial activity that takes place predominantly in rural and regional areas.</w:t>
      </w:r>
    </w:p>
    <w:p w14:paraId="534A8EEE" w14:textId="77777777" w:rsidR="008B23DA" w:rsidRPr="00947176" w:rsidRDefault="008B23DA" w:rsidP="008F6D00"/>
    <w:p w14:paraId="33DDBEB0" w14:textId="77777777" w:rsidR="008F6D00" w:rsidRDefault="008F6D00" w:rsidP="008F6D00">
      <w:r>
        <w:t>Mining is subject to rates in all other States and Territories. It is largely unfettered in all States</w:t>
      </w:r>
      <w:r>
        <w:rPr>
          <w:rStyle w:val="FootnoteReference"/>
        </w:rPr>
        <w:footnoteReference w:id="6"/>
      </w:r>
      <w:r>
        <w:t xml:space="preserve"> with the exception of WA where it applies only in </w:t>
      </w:r>
      <w:r w:rsidRPr="00CF72D5">
        <w:t xml:space="preserve">respect of certain </w:t>
      </w:r>
      <w:r w:rsidRPr="00CF72D5">
        <w:lastRenderedPageBreak/>
        <w:t>improvements including permanent accommodation, recreation and administration facilities, and maintenance workshops within 100 metres of these facilities.</w:t>
      </w:r>
    </w:p>
    <w:p w14:paraId="6B08DCC8" w14:textId="77777777" w:rsidR="001C5E78" w:rsidRDefault="001C5E78" w:rsidP="008F6D00"/>
    <w:p w14:paraId="5CE93D87" w14:textId="7E4933FA" w:rsidR="008F6D00" w:rsidRDefault="008F6D00" w:rsidP="008F6D00">
      <w:r>
        <w:t>The rationale for the non-rateability of mining land in Victoria is unclear – whether it arises because it may involve large tracts of land, because it may be highly capital intensive where land values are low and e</w:t>
      </w:r>
      <w:r w:rsidRPr="00544C38">
        <w:t xml:space="preserve">xtraction, conveying and crushing plant may </w:t>
      </w:r>
      <w:r>
        <w:t xml:space="preserve">be </w:t>
      </w:r>
      <w:r w:rsidRPr="00544C38">
        <w:t xml:space="preserve">substantial </w:t>
      </w:r>
      <w:r>
        <w:t>or some “throwback” to providing encouragement for gold exploration.</w:t>
      </w:r>
    </w:p>
    <w:p w14:paraId="4D2872A8" w14:textId="77777777" w:rsidR="008B23DA" w:rsidRDefault="008B23DA" w:rsidP="008F6D00"/>
    <w:p w14:paraId="7AEA4AD7" w14:textId="0101F2E3" w:rsidR="008F6D00" w:rsidRDefault="008F6D00" w:rsidP="008F6D00">
      <w:r>
        <w:t xml:space="preserve">Councils have responsibility for the equitable imposition of rate and charges. This is prejudiced by the exclusion of mining land, </w:t>
      </w:r>
      <w:r w:rsidRPr="007922B0">
        <w:t xml:space="preserve">particularly given the demands mining places on local infrastructure in depreciating local road assets and </w:t>
      </w:r>
      <w:r>
        <w:t xml:space="preserve">pressure on services arising from </w:t>
      </w:r>
      <w:r w:rsidRPr="007922B0">
        <w:t>demographic and population changes</w:t>
      </w:r>
      <w:r>
        <w:t xml:space="preserve">. Mines also </w:t>
      </w:r>
      <w:r w:rsidRPr="007922B0">
        <w:t>operate for private profit.</w:t>
      </w:r>
      <w:r>
        <w:t xml:space="preserve"> </w:t>
      </w:r>
      <w:r w:rsidRPr="00041410">
        <w:t xml:space="preserve">The fact that mining </w:t>
      </w:r>
      <w:r>
        <w:t xml:space="preserve">operations generate State </w:t>
      </w:r>
      <w:r w:rsidRPr="00041410">
        <w:t>royalties or that mining is undertaken on Crown</w:t>
      </w:r>
      <w:r>
        <w:t xml:space="preserve"> Land</w:t>
      </w:r>
      <w:r w:rsidRPr="00041410">
        <w:t>, is irrelevant to the costs being borne by local governments and because other crown lease tenants are generally liable.</w:t>
      </w:r>
    </w:p>
    <w:p w14:paraId="3A755979" w14:textId="77777777" w:rsidR="008B23DA" w:rsidRDefault="008B23DA" w:rsidP="008F6D00"/>
    <w:p w14:paraId="09462267" w14:textId="42CF9C79" w:rsidR="008F6D00" w:rsidRDefault="008F6D00" w:rsidP="008F6D00">
      <w:r>
        <w:t>The non-rateability of mines in Victoria is also inconsistent. While the State Government continues to provide exclusions to some private operations including rail freight and passenger transport because of their deemed “public purpose”, the exclusion is believed to have been removed for gas pipelines. The contradictory approach of the State Government is also exampled with respect to electricity where it provides a legislated arrangement where electricity generators either pay rates or opt to make a payment in lieu of rates according to a specific formula. As coal mining forms a significant part of the operation of electricity generators it may be interpreted that (coal) mining is already being indirectly taxed in some instances in Victoria. Ironically, the State Government is largely unfettered in its taxing of coal mines having trebled Victoria’s Brown Coal Royalty rate on the basis of bringing the rate</w:t>
      </w:r>
      <w:r w:rsidRPr="006F5BA9">
        <w:t xml:space="preserve"> into line with </w:t>
      </w:r>
      <w:r>
        <w:t>other States (</w:t>
      </w:r>
      <w:r w:rsidRPr="006F5BA9">
        <w:t>NSW, Queensland, and Western Australia</w:t>
      </w:r>
      <w:r>
        <w:t>).</w:t>
      </w:r>
    </w:p>
    <w:p w14:paraId="226FC095" w14:textId="77777777" w:rsidR="008B23DA" w:rsidRDefault="008B23DA" w:rsidP="008F6D00"/>
    <w:p w14:paraId="62A28C7A" w14:textId="711894F6" w:rsidR="008F6D00" w:rsidRDefault="008F6D00" w:rsidP="008F6D00">
      <w:r>
        <w:t>Capital intensity, in itself, should not be regarded as a rationale for the exclusion of mining. There are numerous industrial operations run for private profit that comprise significant plant. In a number of councils such operations attract higher rates. It is difficult to see how the argument differs.</w:t>
      </w:r>
    </w:p>
    <w:p w14:paraId="2132C717" w14:textId="77777777" w:rsidR="008B23DA" w:rsidRDefault="008B23DA" w:rsidP="008F6D00"/>
    <w:p w14:paraId="10F413F7" w14:textId="57178279" w:rsidR="008F6D00" w:rsidRDefault="008F6D00" w:rsidP="008F6D00">
      <w:r>
        <w:t>Given the above, and the likelihood of growth in mining arising from coal-seam gas and other activity, the State should consider making mining land rateable (one could reason to “bring it in line with other States”) or ensuring some form of payment in lieu of rates as in the case of electricity generation. The fact that the Ministerial Guidelines on Differential Rating do not preclude “extractive industry” confuses the issue.</w:t>
      </w:r>
    </w:p>
    <w:p w14:paraId="7EAEB6EE" w14:textId="77777777" w:rsidR="008F6D00" w:rsidRDefault="008F6D00" w:rsidP="008F6D00">
      <w:pPr>
        <w:rPr>
          <w:b/>
        </w:rPr>
      </w:pPr>
    </w:p>
    <w:p w14:paraId="0FACBE40" w14:textId="552230A8" w:rsidR="008F6D00" w:rsidRPr="00D75909" w:rsidRDefault="008F6D00" w:rsidP="001171E8">
      <w:pPr>
        <w:pStyle w:val="Heading3"/>
      </w:pPr>
      <w:r w:rsidRPr="00D75909">
        <w:t>Special Arrangement for Electricity Generation</w:t>
      </w:r>
    </w:p>
    <w:p w14:paraId="3A16B679" w14:textId="77777777" w:rsidR="008B23DA" w:rsidRDefault="008B23DA" w:rsidP="008F6D00"/>
    <w:p w14:paraId="710B6567" w14:textId="77777777" w:rsidR="008F6D00" w:rsidRDefault="008F6D00" w:rsidP="008F6D00">
      <w:r>
        <w:t>The ability to levy rates with respect to electricity generators is also subject to regulation.</w:t>
      </w:r>
    </w:p>
    <w:p w14:paraId="414CC3B5" w14:textId="77777777" w:rsidR="008B23DA" w:rsidRDefault="008B23DA" w:rsidP="008F6D00"/>
    <w:p w14:paraId="5D3E1D8C" w14:textId="77777777" w:rsidR="008F6D00" w:rsidRDefault="008F6D00" w:rsidP="008F6D00">
      <w:r>
        <w:t>Preferences for gas fired generators being located in closer proximity to consumers, expected increases in the number of windfarms and power generation plants based on other renewable technologies means that there will be many smaller developments affecting an increasing number of councils in the future. Windfarms in particular tend to be a rural phenomenon.</w:t>
      </w:r>
    </w:p>
    <w:p w14:paraId="33006ABD" w14:textId="77777777" w:rsidR="008F6D00" w:rsidRDefault="008F6D00" w:rsidP="008F6D00"/>
    <w:p w14:paraId="320B9733" w14:textId="70A3ADA9" w:rsidR="008F6D00" w:rsidRDefault="008F6D00" w:rsidP="008F6D00">
      <w:r>
        <w:lastRenderedPageBreak/>
        <w:t>The Electricity Industry Act 2000 and related Orders in Council associated with S.94 provide that councils may either enter rating agreements with electricity generators or pay rates based on a fixed base amount plus a rate for each MW of name</w:t>
      </w:r>
      <w:r w:rsidR="001171E8">
        <w:t>-</w:t>
      </w:r>
      <w:r>
        <w:t xml:space="preserve">plated generating capacity of each unit comprising a power station. In the former case there is an expectation that the methodology adopted for the rating agreement struck years ago for Loy Yang B in the Latrobe Valley be used as a precedent which, compared with the rates payable by any other private company , are considered very favourable to the generator. </w:t>
      </w:r>
    </w:p>
    <w:p w14:paraId="01B43E65" w14:textId="77777777" w:rsidR="008F6D00" w:rsidRDefault="008F6D00" w:rsidP="008F6D00"/>
    <w:p w14:paraId="7ACA6B60" w14:textId="77777777" w:rsidR="008F6D00" w:rsidRDefault="008F6D00" w:rsidP="008F6D00">
      <w:r w:rsidRPr="00B10369">
        <w:t>The principles that underpin the discounting of rates to electricity generators run</w:t>
      </w:r>
      <w:r>
        <w:t xml:space="preserve"> </w:t>
      </w:r>
      <w:r w:rsidRPr="00B10369">
        <w:t>contrary to the principles of the National Competition Policy and in particular,</w:t>
      </w:r>
      <w:r>
        <w:t xml:space="preserve"> </w:t>
      </w:r>
      <w:r w:rsidRPr="00B10369">
        <w:t>competitive neutrality, which should provide an equal footing for all commercial</w:t>
      </w:r>
      <w:r>
        <w:t xml:space="preserve"> </w:t>
      </w:r>
      <w:r w:rsidRPr="00B10369">
        <w:t>operators. Despite these policy constraints, the State Government appears to accept</w:t>
      </w:r>
      <w:r>
        <w:t xml:space="preserve"> </w:t>
      </w:r>
      <w:r w:rsidRPr="00B10369">
        <w:t>electricity generation should be provided with a mandatory</w:t>
      </w:r>
      <w:r>
        <w:t xml:space="preserve"> </w:t>
      </w:r>
      <w:r w:rsidRPr="00B10369">
        <w:t>discount of a legitimate cost of business.</w:t>
      </w:r>
      <w:r>
        <w:t xml:space="preserve"> </w:t>
      </w:r>
    </w:p>
    <w:p w14:paraId="4286350B" w14:textId="77777777" w:rsidR="008F6D00" w:rsidRDefault="008F6D00" w:rsidP="008F6D00"/>
    <w:p w14:paraId="31ADB872" w14:textId="111DC046" w:rsidR="008F6D00" w:rsidRDefault="008F6D00" w:rsidP="008F6D00">
      <w:pPr>
        <w:rPr>
          <w:b/>
        </w:rPr>
      </w:pPr>
      <w:r>
        <w:t xml:space="preserve">The argument can be made that all commercial and industrial ratepayers should be treated equitably by councils, that rates are fundamentally a wealth tax and the value of the asset is the determinant of the quantum of payments made. This is the basis for the treatment of the vast majority of non-farm business in Victoria. It should be noted that across the State and within respective council areas that other commercial operations are paying full ad valorem rates on valuations that exceed the values of power stations. There is certainly a different State focus here with part of the energy industry being singled out for favourable treatment and the burden being linked to productive capacity. This can be contrasted with Ministerial Guidelines for Differential Rating aimed at discouraging different treatment for narrowly definable land types. </w:t>
      </w:r>
    </w:p>
    <w:p w14:paraId="7089B1E5" w14:textId="77777777" w:rsidR="008F6D00" w:rsidRDefault="008F6D00" w:rsidP="008F6D00">
      <w:pPr>
        <w:rPr>
          <w:b/>
        </w:rPr>
      </w:pPr>
    </w:p>
    <w:p w14:paraId="6D7A9F24" w14:textId="3BA64659" w:rsidR="008F6D00" w:rsidRDefault="008F6D00" w:rsidP="001171E8">
      <w:pPr>
        <w:pStyle w:val="Heading3"/>
      </w:pPr>
      <w:r w:rsidRPr="00C40A33">
        <w:t>Ministerial Guidelines</w:t>
      </w:r>
      <w:r>
        <w:t xml:space="preserve"> for the Use of Differential Rates</w:t>
      </w:r>
    </w:p>
    <w:p w14:paraId="4BA48789" w14:textId="77777777" w:rsidR="008B23DA" w:rsidRDefault="008B23DA" w:rsidP="008F6D00"/>
    <w:p w14:paraId="14381926" w14:textId="1138FED3" w:rsidR="008F6D00" w:rsidRDefault="008F6D00" w:rsidP="008F6D00">
      <w:r w:rsidRPr="00282602">
        <w:t xml:space="preserve">No other level of government has </w:t>
      </w:r>
      <w:r>
        <w:t>their</w:t>
      </w:r>
      <w:r w:rsidRPr="00282602">
        <w:t xml:space="preserve"> decisions on taxes and charges subject to the same level</w:t>
      </w:r>
      <w:r>
        <w:t xml:space="preserve"> of official public scrutiny, </w:t>
      </w:r>
      <w:r w:rsidRPr="00282602">
        <w:t>input</w:t>
      </w:r>
      <w:r>
        <w:t>,</w:t>
      </w:r>
      <w:r w:rsidRPr="00282602">
        <w:t xml:space="preserve"> justification</w:t>
      </w:r>
      <w:r>
        <w:t xml:space="preserve"> and restriction as local government</w:t>
      </w:r>
      <w:r w:rsidRPr="00282602">
        <w:t xml:space="preserve">. </w:t>
      </w:r>
    </w:p>
    <w:p w14:paraId="763F02DF" w14:textId="77777777" w:rsidR="008B23DA" w:rsidRPr="00282602" w:rsidRDefault="008B23DA" w:rsidP="008F6D00"/>
    <w:p w14:paraId="47297E07" w14:textId="74E58DD5" w:rsidR="008F6D00" w:rsidRDefault="008F6D00" w:rsidP="008F6D00">
      <w:r>
        <w:t>Ministerial Guidelines for Differential Rating came into force in April 2013. The Guidelines are an imposition on the political autonomy of councils to develop the most equitable rating system given their own local circumstances. By reducing flexibility the guidelines limit the ability to tailor local rating systems to achieve equity, are contradictory and give mixed messages.</w:t>
      </w:r>
    </w:p>
    <w:p w14:paraId="5C27C6FA" w14:textId="77777777" w:rsidR="008B23DA" w:rsidRDefault="008B23DA" w:rsidP="008F6D00"/>
    <w:p w14:paraId="1DD4A75D" w14:textId="21836642" w:rsidR="008F6D00" w:rsidRDefault="008F6D00" w:rsidP="008F6D00">
      <w:r>
        <w:t xml:space="preserve">The Guidelines were introduced in order to address a perceived issue with different rating practices in and a need for greater consistency, transparency and certainty across, the 79 municipalities in Victoria. The fact was that </w:t>
      </w:r>
      <w:r w:rsidRPr="00343AA1">
        <w:t xml:space="preserve">close to 80% of councils used 5 or fewer differential rates </w:t>
      </w:r>
      <w:r>
        <w:t>at the time. Logic suggests that variation in rating systems around Victoria is reflective of the fact that different but legitimate views of equity may be held and it is unclear why variation should be discouraged. Clearly, rates and charges vary between the Australian States.</w:t>
      </w:r>
    </w:p>
    <w:p w14:paraId="71696ADC" w14:textId="77777777" w:rsidR="008B23DA" w:rsidRDefault="008B23DA" w:rsidP="008F6D00"/>
    <w:p w14:paraId="022565F1" w14:textId="13F398E0" w:rsidR="008F6D00" w:rsidRDefault="008F6D00" w:rsidP="008F6D00">
      <w:r>
        <w:t xml:space="preserve">An inference from the Guidelines is that commonality is preferable, and the State’s assumption that it is better to have things neater, easier and that at least on the surface, enable cross-council comparisons. However, there is no compelling reason why the rates paid in one municipality should be of great significance to other councils particularly given councils’ different structural characteristics, varying </w:t>
      </w:r>
      <w:r>
        <w:lastRenderedPageBreak/>
        <w:t>reliance on non-rate revenues and because, when made, such comparisons are usually statistically unsound.</w:t>
      </w:r>
    </w:p>
    <w:p w14:paraId="0E0F9C32" w14:textId="77777777" w:rsidR="008B23DA" w:rsidRDefault="008B23DA" w:rsidP="008F6D00"/>
    <w:p w14:paraId="6FC48924" w14:textId="0310D7ED" w:rsidR="008F6D00" w:rsidRDefault="008F6D00" w:rsidP="008F6D00">
      <w:r>
        <w:t xml:space="preserve">Implicit in the Guidelines is a specific requirement for councils to have regard to the issue of benefit and they actually identify two types of land where benefit must be considered. In relation to the former they are suitable “in the case of circumstances whereby common types and classes of land use consistently demonstrate significant relative rate disparities, </w:t>
      </w:r>
      <w:r w:rsidRPr="00325A01">
        <w:t>including access to services</w:t>
      </w:r>
      <w:r>
        <w:t xml:space="preserve"> arising from the use of a uniform rate, may be addressed by use of the differential rate powers”. They further state “Common types and classes of land use where such circumstance can arise and where a Council must give consideration to reducing the rate burden through use of a reduced differential rate include (but are not limited to):</w:t>
      </w:r>
    </w:p>
    <w:p w14:paraId="377D66AE" w14:textId="77777777" w:rsidR="008B23DA" w:rsidRDefault="008B23DA" w:rsidP="008F6D00"/>
    <w:p w14:paraId="61CE2BEE" w14:textId="77777777" w:rsidR="008F6D00" w:rsidRDefault="008F6D00" w:rsidP="008F6D00">
      <w:pPr>
        <w:pStyle w:val="ListParagraph"/>
        <w:numPr>
          <w:ilvl w:val="0"/>
          <w:numId w:val="17"/>
        </w:numPr>
        <w:spacing w:after="200" w:line="276" w:lineRule="auto"/>
      </w:pPr>
      <w:r>
        <w:t>Farm land (as defined by the Valuation of Land Act 1960); and</w:t>
      </w:r>
    </w:p>
    <w:p w14:paraId="3D7831FD" w14:textId="77777777" w:rsidR="008F6D00" w:rsidRDefault="008F6D00" w:rsidP="008F6D00">
      <w:pPr>
        <w:pStyle w:val="ListParagraph"/>
        <w:numPr>
          <w:ilvl w:val="0"/>
          <w:numId w:val="17"/>
        </w:numPr>
        <w:spacing w:after="200" w:line="276" w:lineRule="auto"/>
      </w:pPr>
      <w:r>
        <w:t>Retirement village land (as defined by the Retirement Villages Act 1986)”.</w:t>
      </w:r>
    </w:p>
    <w:p w14:paraId="4722794C" w14:textId="77777777" w:rsidR="008F6D00" w:rsidRDefault="008F6D00" w:rsidP="008F6D00">
      <w:r>
        <w:t xml:space="preserve">The Guidelines also suggest the consideration of geographic differential rates on a broad geographic basis such as a town may be appropriate but </w:t>
      </w:r>
      <w:r w:rsidRPr="003279DD">
        <w:rPr>
          <w:b/>
        </w:rPr>
        <w:t>not</w:t>
      </w:r>
      <w:r>
        <w:t xml:space="preserve"> where they would </w:t>
      </w:r>
      <w:r w:rsidRPr="003279DD">
        <w:t>apply to very few assessments</w:t>
      </w:r>
      <w:r>
        <w:t xml:space="preserve">. </w:t>
      </w:r>
    </w:p>
    <w:p w14:paraId="15577646" w14:textId="77777777" w:rsidR="008B23DA" w:rsidRDefault="008B23DA" w:rsidP="008F6D00"/>
    <w:p w14:paraId="10942FE7" w14:textId="77777777" w:rsidR="008F6D00" w:rsidRDefault="008F6D00" w:rsidP="008F6D00">
      <w:r>
        <w:t>The MAV believes that this advice is inappropriate because:</w:t>
      </w:r>
    </w:p>
    <w:p w14:paraId="2E49D5D1" w14:textId="77777777" w:rsidR="008B23DA" w:rsidRDefault="008B23DA" w:rsidP="008F6D00"/>
    <w:p w14:paraId="1FFE7BD9" w14:textId="3838502D" w:rsidR="008F6D00" w:rsidRDefault="008F6D00" w:rsidP="008F6D00">
      <w:pPr>
        <w:pStyle w:val="ListParagraph"/>
        <w:numPr>
          <w:ilvl w:val="0"/>
          <w:numId w:val="18"/>
        </w:numPr>
        <w:spacing w:after="200" w:line="276" w:lineRule="auto"/>
      </w:pPr>
      <w:r>
        <w:t xml:space="preserve">there is great difficulty in determining the relative benefits of ratepayers; </w:t>
      </w:r>
    </w:p>
    <w:p w14:paraId="00E1FFE3" w14:textId="77777777" w:rsidR="008F6D00" w:rsidRDefault="008F6D00" w:rsidP="008F6D00">
      <w:pPr>
        <w:pStyle w:val="ListParagraph"/>
        <w:numPr>
          <w:ilvl w:val="0"/>
          <w:numId w:val="18"/>
        </w:numPr>
        <w:spacing w:after="200" w:line="276" w:lineRule="auto"/>
      </w:pPr>
      <w:r>
        <w:t>councils should be left to independently determine the appropriateness and importance of the benefit principle in the determination of rating equity; and</w:t>
      </w:r>
    </w:p>
    <w:p w14:paraId="792268F3" w14:textId="1D39CF13" w:rsidR="008F6D00" w:rsidRDefault="008F6D00" w:rsidP="008F6D00">
      <w:pPr>
        <w:pStyle w:val="ListParagraph"/>
        <w:numPr>
          <w:ilvl w:val="0"/>
          <w:numId w:val="18"/>
        </w:numPr>
        <w:spacing w:after="200" w:line="276" w:lineRule="auto"/>
      </w:pPr>
      <w:r>
        <w:t>the elevation of specific groups that must be considered in relation to benefit gives the appearance of parochialism and undue influence of certain interests and an impression that councils should be more sensitive to these groups because their perceived (lack of) benefit is more clear cut</w:t>
      </w:r>
      <w:r>
        <w:rPr>
          <w:rStyle w:val="FootnoteReference"/>
        </w:rPr>
        <w:footnoteReference w:id="7"/>
      </w:r>
      <w:r>
        <w:t xml:space="preserve">. </w:t>
      </w:r>
    </w:p>
    <w:p w14:paraId="3821290A" w14:textId="77777777" w:rsidR="008F6D00" w:rsidRDefault="008F6D00" w:rsidP="008F6D00">
      <w:r>
        <w:t xml:space="preserve">One could be forgiven for thinking that pressure from the farming and retirement housing lobbies was a significant factor in triggering the Guidelines. </w:t>
      </w:r>
    </w:p>
    <w:p w14:paraId="6B30461D" w14:textId="77777777" w:rsidR="008F6D00" w:rsidRDefault="008F6D00" w:rsidP="008F6D00"/>
    <w:p w14:paraId="35FEAC70" w14:textId="77777777" w:rsidR="008F6D00" w:rsidRDefault="008F6D00" w:rsidP="008F6D00">
      <w:r>
        <w:t xml:space="preserve">The Guidelines also recommend that “circumstances whereby significant rate volatility occurs as a result of large movements in valuation may be more appropriately addressed through the use of other revenue instruments such as a rebate or deferred payment, instead of through the use of differential rating”. The MAV acknowledges the potential for dramatic short-term shifts in valuations, the range of changes that can occur even in small property sub-markets as a result of revaluation but the tendency for such changes to even-out to some extent over the longer to medium term as markets adjust. The use of rebates and deferred payments as a means of addressing this is however questioned, particularly the provision of relief for large numbers of properties that may be affected by revaluations. The use of “softeners” such as arrangements should be considered on a case by case basis. </w:t>
      </w:r>
    </w:p>
    <w:p w14:paraId="062A1FBB" w14:textId="77777777" w:rsidR="008F6D00" w:rsidRDefault="008F6D00" w:rsidP="008F6D00"/>
    <w:p w14:paraId="190FF0A6" w14:textId="4DC9DAA7" w:rsidR="008F6D00" w:rsidRDefault="008F6D00" w:rsidP="008F6D00">
      <w:r>
        <w:t xml:space="preserve">The Guidelines set out the classes of land which are either appropriate, require careful consideration or inappropriate for differential rating. </w:t>
      </w:r>
      <w:r w:rsidRPr="00325A01">
        <w:rPr>
          <w:b/>
        </w:rPr>
        <w:t>Appropriate</w:t>
      </w:r>
      <w:r>
        <w:t xml:space="preserve"> land classes include: </w:t>
      </w:r>
    </w:p>
    <w:p w14:paraId="138FCE20" w14:textId="77777777" w:rsidR="008F6D00" w:rsidRDefault="008F6D00" w:rsidP="008F6D00"/>
    <w:p w14:paraId="0EE34F7C" w14:textId="77777777" w:rsidR="008F6D00" w:rsidRDefault="008F6D00" w:rsidP="008F6D00">
      <w:pPr>
        <w:pStyle w:val="ListParagraph"/>
        <w:numPr>
          <w:ilvl w:val="0"/>
          <w:numId w:val="18"/>
        </w:numPr>
        <w:spacing w:line="276" w:lineRule="auto"/>
        <w:ind w:left="0" w:firstLine="0"/>
      </w:pPr>
      <w:r>
        <w:t>general;</w:t>
      </w:r>
    </w:p>
    <w:p w14:paraId="416D01D1" w14:textId="77777777" w:rsidR="008F6D00" w:rsidRDefault="008F6D00" w:rsidP="008F6D00">
      <w:pPr>
        <w:pStyle w:val="ListParagraph"/>
        <w:numPr>
          <w:ilvl w:val="0"/>
          <w:numId w:val="18"/>
        </w:numPr>
        <w:spacing w:line="276" w:lineRule="auto"/>
        <w:ind w:left="0" w:firstLine="0"/>
      </w:pPr>
      <w:r>
        <w:t>residential;</w:t>
      </w:r>
    </w:p>
    <w:p w14:paraId="0DEB8A7E" w14:textId="77777777" w:rsidR="008F6D00" w:rsidRDefault="008F6D00" w:rsidP="008F6D00">
      <w:pPr>
        <w:pStyle w:val="ListParagraph"/>
        <w:numPr>
          <w:ilvl w:val="0"/>
          <w:numId w:val="18"/>
        </w:numPr>
        <w:spacing w:line="276" w:lineRule="auto"/>
        <w:ind w:left="0" w:firstLine="0"/>
      </w:pPr>
      <w:r>
        <w:t>farm;</w:t>
      </w:r>
    </w:p>
    <w:p w14:paraId="202CB5E7" w14:textId="77777777" w:rsidR="008F6D00" w:rsidRDefault="008F6D00" w:rsidP="008F6D00">
      <w:pPr>
        <w:pStyle w:val="ListParagraph"/>
        <w:numPr>
          <w:ilvl w:val="0"/>
          <w:numId w:val="18"/>
        </w:numPr>
        <w:spacing w:line="276" w:lineRule="auto"/>
        <w:ind w:left="0" w:firstLine="0"/>
      </w:pPr>
      <w:r>
        <w:t>commercial;</w:t>
      </w:r>
    </w:p>
    <w:p w14:paraId="6E4B263F" w14:textId="77777777" w:rsidR="008F6D00" w:rsidRDefault="008F6D00" w:rsidP="008F6D00">
      <w:pPr>
        <w:pStyle w:val="ListParagraph"/>
        <w:numPr>
          <w:ilvl w:val="0"/>
          <w:numId w:val="18"/>
        </w:numPr>
        <w:spacing w:line="276" w:lineRule="auto"/>
        <w:ind w:left="0" w:firstLine="0"/>
      </w:pPr>
      <w:r>
        <w:t>industrial;</w:t>
      </w:r>
    </w:p>
    <w:p w14:paraId="54073C17" w14:textId="77777777" w:rsidR="008F6D00" w:rsidRDefault="008F6D00" w:rsidP="008F6D00">
      <w:pPr>
        <w:pStyle w:val="ListParagraph"/>
        <w:numPr>
          <w:ilvl w:val="0"/>
          <w:numId w:val="18"/>
        </w:numPr>
        <w:spacing w:line="276" w:lineRule="auto"/>
        <w:ind w:left="0" w:firstLine="0"/>
      </w:pPr>
      <w:r>
        <w:t>retirement village;</w:t>
      </w:r>
    </w:p>
    <w:p w14:paraId="34992C47" w14:textId="77777777" w:rsidR="008F6D00" w:rsidRDefault="008F6D00" w:rsidP="008F6D00">
      <w:pPr>
        <w:pStyle w:val="ListParagraph"/>
        <w:numPr>
          <w:ilvl w:val="0"/>
          <w:numId w:val="18"/>
        </w:numPr>
        <w:spacing w:line="276" w:lineRule="auto"/>
        <w:ind w:left="0" w:firstLine="0"/>
      </w:pPr>
      <w:r>
        <w:t>vacant;</w:t>
      </w:r>
    </w:p>
    <w:p w14:paraId="7344652C" w14:textId="77777777" w:rsidR="008F6D00" w:rsidRDefault="008F6D00" w:rsidP="008F6D00">
      <w:pPr>
        <w:pStyle w:val="ListParagraph"/>
        <w:numPr>
          <w:ilvl w:val="0"/>
          <w:numId w:val="18"/>
        </w:numPr>
        <w:spacing w:line="276" w:lineRule="auto"/>
        <w:ind w:left="0" w:firstLine="0"/>
      </w:pPr>
      <w:r>
        <w:t>derelict; and</w:t>
      </w:r>
    </w:p>
    <w:p w14:paraId="21EA50D5" w14:textId="77777777" w:rsidR="008F6D00" w:rsidRDefault="008F6D00" w:rsidP="008F6D00">
      <w:pPr>
        <w:pStyle w:val="ListParagraph"/>
        <w:numPr>
          <w:ilvl w:val="0"/>
          <w:numId w:val="18"/>
        </w:numPr>
        <w:spacing w:line="276" w:lineRule="auto"/>
        <w:ind w:left="0" w:firstLine="0"/>
      </w:pPr>
      <w:r>
        <w:t>cultural and recreational.</w:t>
      </w:r>
    </w:p>
    <w:p w14:paraId="352BBAFE" w14:textId="77777777" w:rsidR="008F6D00" w:rsidRDefault="008F6D00" w:rsidP="008F6D00"/>
    <w:p w14:paraId="69B18447" w14:textId="77777777" w:rsidR="008F6D00" w:rsidRDefault="008F6D00" w:rsidP="008F6D00">
      <w:r>
        <w:t xml:space="preserve">Interestingly, the appropriate categories include both broad (general, residential, farm, commercial and industrial) and narrower categories, and do not give any guidance with respect to the overlay of these categories on a geographic (town) basis. </w:t>
      </w:r>
    </w:p>
    <w:p w14:paraId="5A2C881C" w14:textId="77777777" w:rsidR="008F6D00" w:rsidRDefault="008F6D00" w:rsidP="008F6D00"/>
    <w:p w14:paraId="796E7EB9" w14:textId="77777777" w:rsidR="008F6D00" w:rsidRDefault="008F6D00" w:rsidP="008F6D00">
      <w:r>
        <w:t xml:space="preserve">Types and classes of land categories that must be </w:t>
      </w:r>
      <w:r w:rsidRPr="00325A01">
        <w:rPr>
          <w:b/>
        </w:rPr>
        <w:t>carefully considered</w:t>
      </w:r>
      <w:r>
        <w:t xml:space="preserve"> include (but are not limited to):</w:t>
      </w:r>
    </w:p>
    <w:p w14:paraId="1F007645" w14:textId="77777777" w:rsidR="008F6D00" w:rsidRDefault="008F6D00" w:rsidP="008F6D00">
      <w:pPr>
        <w:pStyle w:val="ListParagraph"/>
        <w:numPr>
          <w:ilvl w:val="0"/>
          <w:numId w:val="18"/>
        </w:numPr>
        <w:spacing w:line="276" w:lineRule="auto"/>
      </w:pPr>
      <w:r>
        <w:t>holiday rental;</w:t>
      </w:r>
    </w:p>
    <w:p w14:paraId="6FC600AB" w14:textId="77777777" w:rsidR="008F6D00" w:rsidRDefault="008F6D00" w:rsidP="008F6D00">
      <w:pPr>
        <w:pStyle w:val="ListParagraph"/>
        <w:numPr>
          <w:ilvl w:val="0"/>
          <w:numId w:val="18"/>
        </w:numPr>
        <w:spacing w:line="276" w:lineRule="auto"/>
      </w:pPr>
      <w:r>
        <w:t>extractive;</w:t>
      </w:r>
    </w:p>
    <w:p w14:paraId="1A148487" w14:textId="77777777" w:rsidR="008F6D00" w:rsidRDefault="008F6D00" w:rsidP="008F6D00">
      <w:pPr>
        <w:pStyle w:val="ListParagraph"/>
        <w:numPr>
          <w:ilvl w:val="0"/>
          <w:numId w:val="18"/>
        </w:numPr>
        <w:spacing w:line="276" w:lineRule="auto"/>
      </w:pPr>
      <w:r>
        <w:t>landfill;</w:t>
      </w:r>
    </w:p>
    <w:p w14:paraId="202CF1CE" w14:textId="77777777" w:rsidR="008F6D00" w:rsidRDefault="008F6D00" w:rsidP="008F6D00">
      <w:pPr>
        <w:pStyle w:val="ListParagraph"/>
        <w:numPr>
          <w:ilvl w:val="0"/>
          <w:numId w:val="18"/>
        </w:numPr>
        <w:spacing w:line="276" w:lineRule="auto"/>
      </w:pPr>
      <w:r>
        <w:t>dryland farming;</w:t>
      </w:r>
    </w:p>
    <w:p w14:paraId="77453F9A" w14:textId="77777777" w:rsidR="008F6D00" w:rsidRDefault="008F6D00" w:rsidP="008F6D00">
      <w:pPr>
        <w:pStyle w:val="ListParagraph"/>
        <w:numPr>
          <w:ilvl w:val="0"/>
          <w:numId w:val="18"/>
        </w:numPr>
        <w:spacing w:line="276" w:lineRule="auto"/>
      </w:pPr>
      <w:r>
        <w:t>irrigated farm;</w:t>
      </w:r>
    </w:p>
    <w:p w14:paraId="36A5F9FF" w14:textId="77777777" w:rsidR="008F6D00" w:rsidRDefault="008F6D00" w:rsidP="008F6D00">
      <w:pPr>
        <w:pStyle w:val="ListParagraph"/>
        <w:numPr>
          <w:ilvl w:val="0"/>
          <w:numId w:val="18"/>
        </w:numPr>
        <w:spacing w:line="276" w:lineRule="auto"/>
      </w:pPr>
      <w:r>
        <w:t>automobile manufacture;</w:t>
      </w:r>
    </w:p>
    <w:p w14:paraId="187479A4" w14:textId="77777777" w:rsidR="008F6D00" w:rsidRDefault="008F6D00" w:rsidP="008F6D00">
      <w:pPr>
        <w:pStyle w:val="ListParagraph"/>
        <w:numPr>
          <w:ilvl w:val="0"/>
          <w:numId w:val="18"/>
        </w:numPr>
        <w:spacing w:line="276" w:lineRule="auto"/>
      </w:pPr>
      <w:r>
        <w:t>petroleum production; and</w:t>
      </w:r>
    </w:p>
    <w:p w14:paraId="476B3F6D" w14:textId="77777777" w:rsidR="008F6D00" w:rsidRDefault="008F6D00" w:rsidP="008F6D00">
      <w:pPr>
        <w:pStyle w:val="ListParagraph"/>
        <w:numPr>
          <w:ilvl w:val="0"/>
          <w:numId w:val="18"/>
        </w:numPr>
        <w:spacing w:line="276" w:lineRule="auto"/>
      </w:pPr>
      <w:r>
        <w:t>aluminium production.</w:t>
      </w:r>
    </w:p>
    <w:p w14:paraId="786D10EF" w14:textId="77777777" w:rsidR="008F6D00" w:rsidRDefault="008F6D00" w:rsidP="008F6D00">
      <w:pPr>
        <w:pStyle w:val="ListParagraph"/>
      </w:pPr>
    </w:p>
    <w:p w14:paraId="0B2FA6F3" w14:textId="77777777" w:rsidR="008F6D00" w:rsidRDefault="008F6D00" w:rsidP="008F6D00">
      <w:r>
        <w:t xml:space="preserve">The Guidelines seek to dissuade councils from applying different rates to narrowly or specifically defined activities or land use types stating that it would </w:t>
      </w:r>
      <w:r w:rsidRPr="00325A01">
        <w:rPr>
          <w:b/>
        </w:rPr>
        <w:t>inappropriate</w:t>
      </w:r>
      <w:r>
        <w:t xml:space="preserve"> to declare a differential rate applicable to:</w:t>
      </w:r>
    </w:p>
    <w:p w14:paraId="3E247100" w14:textId="77777777" w:rsidR="008F6D00" w:rsidRDefault="008F6D00" w:rsidP="008F6D00"/>
    <w:p w14:paraId="170FD3BC" w14:textId="77777777" w:rsidR="008F6D00" w:rsidRDefault="008F6D00" w:rsidP="008F6D00">
      <w:pPr>
        <w:pStyle w:val="ListParagraph"/>
        <w:numPr>
          <w:ilvl w:val="0"/>
          <w:numId w:val="18"/>
        </w:numPr>
        <w:spacing w:line="276" w:lineRule="auto"/>
      </w:pPr>
      <w:r>
        <w:t>electronic gaming machine venues or casinos;</w:t>
      </w:r>
    </w:p>
    <w:p w14:paraId="553A98C1" w14:textId="77777777" w:rsidR="008F6D00" w:rsidRDefault="008F6D00" w:rsidP="008F6D00">
      <w:pPr>
        <w:pStyle w:val="ListParagraph"/>
        <w:numPr>
          <w:ilvl w:val="0"/>
          <w:numId w:val="18"/>
        </w:numPr>
        <w:spacing w:line="276" w:lineRule="auto"/>
      </w:pPr>
      <w:r>
        <w:t>liquor licensed venues or liquor outlet premises;</w:t>
      </w:r>
    </w:p>
    <w:p w14:paraId="44030C90" w14:textId="77777777" w:rsidR="008F6D00" w:rsidRDefault="008F6D00" w:rsidP="008F6D00">
      <w:pPr>
        <w:pStyle w:val="ListParagraph"/>
        <w:numPr>
          <w:ilvl w:val="0"/>
          <w:numId w:val="18"/>
        </w:numPr>
        <w:spacing w:line="276" w:lineRule="auto"/>
      </w:pPr>
      <w:r>
        <w:t>business premises defined whole or in part by hours of trade;</w:t>
      </w:r>
    </w:p>
    <w:p w14:paraId="4405D218" w14:textId="77777777" w:rsidR="008F6D00" w:rsidRDefault="008F6D00" w:rsidP="008F6D00">
      <w:pPr>
        <w:pStyle w:val="ListParagraph"/>
        <w:numPr>
          <w:ilvl w:val="0"/>
          <w:numId w:val="18"/>
        </w:numPr>
        <w:spacing w:line="276" w:lineRule="auto"/>
      </w:pPr>
      <w:r>
        <w:t>fast food franchises or premises;</w:t>
      </w:r>
    </w:p>
    <w:p w14:paraId="2E59BE22" w14:textId="77777777" w:rsidR="008F6D00" w:rsidRDefault="008F6D00" w:rsidP="008F6D00">
      <w:pPr>
        <w:pStyle w:val="ListParagraph"/>
        <w:numPr>
          <w:ilvl w:val="0"/>
          <w:numId w:val="18"/>
        </w:numPr>
        <w:spacing w:line="276" w:lineRule="auto"/>
      </w:pPr>
      <w:r>
        <w:t>tree plantations in the farming and rural activity zones; and</w:t>
      </w:r>
    </w:p>
    <w:p w14:paraId="43DFE8E8" w14:textId="77777777" w:rsidR="008F6D00" w:rsidRDefault="008F6D00" w:rsidP="008F6D00">
      <w:pPr>
        <w:pStyle w:val="ListParagraph"/>
        <w:numPr>
          <w:ilvl w:val="0"/>
          <w:numId w:val="19"/>
        </w:numPr>
        <w:spacing w:line="276" w:lineRule="auto"/>
      </w:pPr>
      <w:r>
        <w:t>land within the Urban Growth Zone without an approved Precinct Structure Plan in place.</w:t>
      </w:r>
    </w:p>
    <w:p w14:paraId="7FF6DBDA" w14:textId="77777777" w:rsidR="008F6D00" w:rsidRDefault="008F6D00" w:rsidP="008F6D00"/>
    <w:p w14:paraId="3C5D36A7" w14:textId="77777777" w:rsidR="008F6D00" w:rsidRDefault="008F6D00" w:rsidP="008F6D00">
      <w:r>
        <w:t xml:space="preserve">In relation to the last group, the Guidelines state further that the use of differential rating powers to lessen the impact of externalities arising from the use of land or to fund actions intended to ameliorate the externalities arising from business undertaken on the land is not appropriate. </w:t>
      </w:r>
    </w:p>
    <w:p w14:paraId="5F067344" w14:textId="77777777" w:rsidR="008F6D00" w:rsidRDefault="008F6D00" w:rsidP="008F6D00"/>
    <w:p w14:paraId="1580E64D" w14:textId="7216CA4D" w:rsidR="008F6D00" w:rsidRDefault="008F6D00" w:rsidP="008F6D00">
      <w:r>
        <w:t xml:space="preserve">The MAV submits that </w:t>
      </w:r>
      <w:r w:rsidRPr="00810444">
        <w:rPr>
          <w:b/>
        </w:rPr>
        <w:t xml:space="preserve">all </w:t>
      </w:r>
      <w:r>
        <w:t xml:space="preserve">differentials should be considered after careful consideration. The wording and lack of the qualifier, “but are not limited to” in relation to the </w:t>
      </w:r>
      <w:r w:rsidRPr="00FE453F">
        <w:rPr>
          <w:i/>
        </w:rPr>
        <w:t>appropriate</w:t>
      </w:r>
      <w:r>
        <w:t xml:space="preserve"> category, give the impression that the level of rigour and justification required with this group may be lower and, in any case, acceptable </w:t>
      </w:r>
      <w:r>
        <w:lastRenderedPageBreak/>
        <w:t>without any rationale being provided as to why the use of these very broad or specific classes leads to greater equity. There is a lack of clarity about the ambit between those requiring careful consideration and those that that are deemed appropriate and what level of specificity puts a category in the risky zone. For example, automobile manufacture land is possibly contentious but what is the view with respect to transport equipment manufacture or manufacturing generally?</w:t>
      </w:r>
    </w:p>
    <w:p w14:paraId="0D0FCF59" w14:textId="77777777" w:rsidR="008F6D00" w:rsidRDefault="008F6D00" w:rsidP="008F6D00"/>
    <w:p w14:paraId="329245BA" w14:textId="49AD8522" w:rsidR="008F6D00" w:rsidRDefault="008F6D00" w:rsidP="008F6D00">
      <w:r>
        <w:t xml:space="preserve">The Guidelines do not provide any advice with respect to differential rates being used to assist objectives other than those related to equity except in relation to those identified as inappropriate. The MAV does not necessarily agree that rates should not be used to influence any such objectives however stress that this would always have to be assessed on the basis of cost effectiveness against other options (e.g. planning controls, local laws, educational programs, grants programs), the superior objective of rating equity and the primary roles of local government. The inclusion of vacant land in the appropriate category is curious given that the common reason cited for a higher rate on this land is to encourage development rather than benefit or capacity to pay. The latter two are clearly very difficult arguments to argue for this type of land. It is clear vacant land is due as much </w:t>
      </w:r>
      <w:r w:rsidRPr="003907FF">
        <w:rPr>
          <w:i/>
        </w:rPr>
        <w:t>careful consideration</w:t>
      </w:r>
      <w:r>
        <w:t xml:space="preserve"> as any of the others nominated in this cohort. </w:t>
      </w:r>
    </w:p>
    <w:p w14:paraId="3089B37C" w14:textId="77777777" w:rsidR="008F6D00" w:rsidRDefault="008F6D00" w:rsidP="008F6D00"/>
    <w:p w14:paraId="2DB75764" w14:textId="77777777" w:rsidR="008F6D00" w:rsidRDefault="008F6D00" w:rsidP="008F6D00">
      <w:r>
        <w:t xml:space="preserve">There also appears to be a contradiction by the inclusion of derelict land in the “appropriate” category given the stance on externalities and the ability of councils to use other instruments to deal with this issue. </w:t>
      </w:r>
    </w:p>
    <w:p w14:paraId="3D36619D" w14:textId="77777777" w:rsidR="008B23DA" w:rsidRDefault="008B23DA" w:rsidP="008F6D00"/>
    <w:p w14:paraId="6DA06BC5" w14:textId="77777777" w:rsidR="008F6D00" w:rsidRDefault="008F6D00" w:rsidP="008F6D00">
      <w:r>
        <w:t>The guidelines are not particularly instructive in relation to a number of areas of interest to councils including the treatment of not-for-profits, Central Business/Activity Districts and mixed uses (e.g. combined residential and businesses use) and urban farms and farms distinguished by size (area) which have shown to be of particular interest to rural and regional councils.</w:t>
      </w:r>
    </w:p>
    <w:p w14:paraId="3E53599B" w14:textId="77777777" w:rsidR="008F6D00" w:rsidRDefault="008F6D00" w:rsidP="008F6D00"/>
    <w:p w14:paraId="1EA15E83" w14:textId="20D941EB" w:rsidR="008F6D00" w:rsidRDefault="008F6D00" w:rsidP="008F6D00">
      <w:r>
        <w:t xml:space="preserve">They are silent with respect to the possibility of separating assessments into parcels or portions to which different rates may be applied. It is believed many councils may be ignorant of, or reticent without official State advice, to consider this option which gives councils the potential to separate among other things farm from curtilage and social/sporting areas from hospitality areas. Cultural and recreation land rates are identified as an appropriate category for differential rating but social and sporting clubs often have associated gaming, bistros and liquor licences. Rate relief may be provided by councils in recognition of the community benefits offered by this land however there are a range of issues including whether the main focus is commercial or recreational/social, profit is private or used for the benefit of members/recreational users, the level of public access involved and how this sits with competitive neutrality given that the hospitality side of these operations is in essence no different from other businesses. </w:t>
      </w:r>
    </w:p>
    <w:p w14:paraId="2FB37AD8" w14:textId="77777777" w:rsidR="008F6D00" w:rsidRDefault="008F6D00" w:rsidP="008F6D00"/>
    <w:p w14:paraId="137C6D3D" w14:textId="2C3B801D" w:rsidR="008F6D00" w:rsidRDefault="008F6D00" w:rsidP="008F6D00">
      <w:r>
        <w:t>The Guidelines argue “that the</w:t>
      </w:r>
      <w:r w:rsidRPr="000D1A52">
        <w:t xml:space="preserve"> ‘progressive’ use of differential rates applicable at specified property valuation bands to a certain type and class of property within a municipality should be considered with great caution and have regard to the impact of the rating decision on those rated differentially</w:t>
      </w:r>
      <w:r>
        <w:t>”</w:t>
      </w:r>
      <w:r w:rsidRPr="000D1A52">
        <w:t>.</w:t>
      </w:r>
      <w:r>
        <w:t xml:space="preserve"> It should be noted that the state Government applies progressive rates with respect to State Land Tax.</w:t>
      </w:r>
    </w:p>
    <w:p w14:paraId="27777C8D" w14:textId="77777777" w:rsidR="008F6D00" w:rsidRDefault="008F6D00" w:rsidP="008F6D00"/>
    <w:p w14:paraId="2DF1FA53" w14:textId="77777777" w:rsidR="008F6D00" w:rsidRDefault="008F6D00" w:rsidP="008F6D00">
      <w:pPr>
        <w:pStyle w:val="ListParagraph"/>
        <w:ind w:left="0"/>
        <w:rPr>
          <w:b/>
        </w:rPr>
      </w:pPr>
    </w:p>
    <w:p w14:paraId="371D1878" w14:textId="2F915C12" w:rsidR="008F6D00" w:rsidRDefault="008F6D00" w:rsidP="001171E8">
      <w:pPr>
        <w:pStyle w:val="Heading3"/>
      </w:pPr>
      <w:r>
        <w:t>Municipal Charge</w:t>
      </w:r>
    </w:p>
    <w:p w14:paraId="72409705" w14:textId="77777777" w:rsidR="008F6D00" w:rsidRDefault="008F6D00" w:rsidP="008F6D00">
      <w:pPr>
        <w:pStyle w:val="ListParagraph"/>
        <w:ind w:left="0"/>
      </w:pPr>
    </w:p>
    <w:p w14:paraId="32EE9C72" w14:textId="7685DF20" w:rsidR="008F6D00" w:rsidRDefault="008F6D00" w:rsidP="008F6D00">
      <w:pPr>
        <w:pStyle w:val="ListParagraph"/>
        <w:ind w:left="0"/>
      </w:pPr>
      <w:r w:rsidRPr="006A3A15">
        <w:lastRenderedPageBreak/>
        <w:t xml:space="preserve">The municipal charge is a flat, identical charge that </w:t>
      </w:r>
      <w:r>
        <w:t>may be</w:t>
      </w:r>
      <w:r w:rsidRPr="006A3A15">
        <w:t xml:space="preserve"> used to offset some of the administrative costs” of the council. The legislation is not definitive on what comprises “administrative costs”</w:t>
      </w:r>
      <w:r>
        <w:t xml:space="preserve"> and councils are not required to indicate which costs are hypothecated to the municipal charge</w:t>
      </w:r>
      <w:r w:rsidRPr="006A3A15">
        <w:t xml:space="preserve">. </w:t>
      </w:r>
      <w:r>
        <w:t>There is certainly a good deal of arbitrariness around the municipal charge and why some or some portion of particular administrative costs, particularly as they relate to the financing of public goods is appropriately covered by fixed charges.</w:t>
      </w:r>
    </w:p>
    <w:p w14:paraId="06F47E09" w14:textId="77777777" w:rsidR="008F6D00" w:rsidRDefault="008F6D00" w:rsidP="008F6D00">
      <w:pPr>
        <w:pStyle w:val="ListParagraph"/>
      </w:pPr>
    </w:p>
    <w:p w14:paraId="6C93D0B8" w14:textId="6F6BFD08" w:rsidR="008F6D00" w:rsidRDefault="008F6D00" w:rsidP="008F6D00">
      <w:pPr>
        <w:pStyle w:val="ListParagraph"/>
        <w:ind w:left="0"/>
      </w:pPr>
      <w:r w:rsidRPr="004B2BC5">
        <w:t>Although one of the legislated objectives for local government is the “equitable imposition of rates and charges” there is no legislative requirement for councils to justify the level of the municipal charge in the same way as differential rates.</w:t>
      </w:r>
      <w:r>
        <w:t xml:space="preserve"> </w:t>
      </w:r>
      <w:r w:rsidRPr="004B2BC5">
        <w:t>Depending on the value of a property and the relative levels of differential rates the combined effects of the municipal charge and rate in the dollar may be reinforcing or offsetting for specific properties. For example, reinforcing effects occur where relatively higher-valued properties that benefit from the municipal charge are also subject to lower rates in the dollar. Offsetting effects, for example, include impacts on relatively low(</w:t>
      </w:r>
      <w:proofErr w:type="spellStart"/>
      <w:r w:rsidRPr="004B2BC5">
        <w:t>er</w:t>
      </w:r>
      <w:proofErr w:type="spellEnd"/>
      <w:r w:rsidRPr="004B2BC5">
        <w:t>)-valued properties that are subject to relatively low rates in the dollar and a municipal charge</w:t>
      </w:r>
      <w:r>
        <w:t>.</w:t>
      </w:r>
    </w:p>
    <w:p w14:paraId="7DBB1E8C" w14:textId="77777777" w:rsidR="008F6D00" w:rsidRDefault="008F6D00" w:rsidP="008F6D00">
      <w:pPr>
        <w:pStyle w:val="ListParagraph"/>
        <w:ind w:left="0"/>
      </w:pPr>
    </w:p>
    <w:p w14:paraId="0E8FDCDE" w14:textId="1CD71C30" w:rsidR="008F6D00" w:rsidRDefault="008F6D00" w:rsidP="008F6D00">
      <w:pPr>
        <w:pStyle w:val="ListParagraph"/>
        <w:ind w:left="0"/>
      </w:pPr>
      <w:r>
        <w:t xml:space="preserve">If one accepts the general proposition that, households with lesser financial capacity reside in lower valued residences and smaller businesses tend to be under more pressure than larger ones, the application of the municipal charge, particularly at high levels, runs counter to the capacity to pay principle. </w:t>
      </w:r>
    </w:p>
    <w:p w14:paraId="4018FBCD" w14:textId="77777777" w:rsidR="008F6D00" w:rsidRDefault="008F6D00" w:rsidP="008F6D00">
      <w:pPr>
        <w:pStyle w:val="ListParagraph"/>
        <w:ind w:left="0"/>
      </w:pPr>
      <w:r>
        <w:t xml:space="preserve"> </w:t>
      </w:r>
    </w:p>
    <w:p w14:paraId="1980C86F" w14:textId="72B6F859" w:rsidR="008F6D00" w:rsidRDefault="008F6D00" w:rsidP="008F6D00">
      <w:pPr>
        <w:pStyle w:val="ListParagraph"/>
        <w:ind w:left="0"/>
      </w:pPr>
      <w:r>
        <w:t>On the other hand, an objective may be to specifically reduce the rates paid by higher-valued properties. The VFF for example, is a strong adherent of the municipal charge being levied at the highest levels possible and in combination with lower- than-general differential rates which has the effect of providing significant relief to larger farms at the expense of lower- valued properties (residences, non-farm businesses and low valued farms).</w:t>
      </w:r>
    </w:p>
    <w:p w14:paraId="554422FC" w14:textId="77777777" w:rsidR="008B23DA" w:rsidRPr="004B2BC5" w:rsidRDefault="008B23DA" w:rsidP="008F6D00">
      <w:pPr>
        <w:pStyle w:val="ListParagraph"/>
        <w:ind w:left="0"/>
      </w:pPr>
    </w:p>
    <w:p w14:paraId="7C95FF72" w14:textId="294C4736" w:rsidR="008F6D00" w:rsidRDefault="008F6D00" w:rsidP="008F6D00">
      <w:r>
        <w:t>Equity</w:t>
      </w:r>
      <w:r w:rsidRPr="00676598">
        <w:t xml:space="preserve"> </w:t>
      </w:r>
      <w:r>
        <w:t xml:space="preserve">is given as a chief consideration. Section </w:t>
      </w:r>
      <w:r w:rsidRPr="00676598">
        <w:t>3C</w:t>
      </w:r>
      <w:r>
        <w:t xml:space="preserve">, </w:t>
      </w:r>
      <w:r w:rsidRPr="00676598">
        <w:t>Objectives of a Council (f)</w:t>
      </w:r>
      <w:r>
        <w:t xml:space="preserve"> in the LG Act requires councils to “</w:t>
      </w:r>
      <w:r w:rsidRPr="00676598">
        <w:t>ensure the equitable imposition of rates and charges</w:t>
      </w:r>
      <w:r>
        <w:t xml:space="preserve">”. However, no specific legislative guidance is provided with respect to this. In effect, the declaration process regarding differential rates set out under S.161 of the Act stands as the only reference, oblique as it is, that requires councils to give the reasons for differential rates and any ministerial guidelines which councils need to have regard. </w:t>
      </w:r>
    </w:p>
    <w:p w14:paraId="706493B6" w14:textId="77777777" w:rsidR="008B23DA" w:rsidRDefault="008B23DA" w:rsidP="008F6D00"/>
    <w:p w14:paraId="2175B04D" w14:textId="77777777" w:rsidR="008F6D00" w:rsidRDefault="008F6D00" w:rsidP="008F6D00">
      <w:r>
        <w:t xml:space="preserve">The assumption that could be drawn is that the State considers equity less an issue around a uniform rate and/or municipal charge than differential rates although there is no logic in this reasoning particularly given it is the municipal charge and ad valorem rates </w:t>
      </w:r>
      <w:r w:rsidRPr="00805918">
        <w:rPr>
          <w:b/>
        </w:rPr>
        <w:t>in combination</w:t>
      </w:r>
      <w:r>
        <w:t xml:space="preserve"> that determines the rating burden and the reasoning process should reflect this. </w:t>
      </w:r>
    </w:p>
    <w:p w14:paraId="3AF9456D" w14:textId="77777777" w:rsidR="008F6D00" w:rsidRDefault="008F6D00" w:rsidP="008F6D00">
      <w:pPr>
        <w:rPr>
          <w:b/>
        </w:rPr>
      </w:pPr>
    </w:p>
    <w:p w14:paraId="07E93D12" w14:textId="0F637D51" w:rsidR="008F6D00" w:rsidRPr="00C4730E" w:rsidRDefault="008F6D00" w:rsidP="001171E8">
      <w:pPr>
        <w:pStyle w:val="Heading3"/>
      </w:pPr>
      <w:r w:rsidRPr="00C4730E">
        <w:t>Rating Strategies</w:t>
      </w:r>
    </w:p>
    <w:p w14:paraId="71C36EAA" w14:textId="77777777" w:rsidR="008B23DA" w:rsidRDefault="008B23DA" w:rsidP="008F6D00"/>
    <w:p w14:paraId="19D8802F" w14:textId="76CB5328" w:rsidR="008F6D00" w:rsidRDefault="008F6D00" w:rsidP="008F6D00">
      <w:r>
        <w:t xml:space="preserve">There is an expectation that all will be revealed in councils’ “rating strategies”. These are documents expected to be produced by councils that underpin the decisions about the rating system and specifically consider local factors and conditions, establish rationales, model impacts, provide for community consultation and input and ultimately determine the final decisions about the numbers. Attempts have been made by the State to provide best practice notes on this process and while borrowing </w:t>
      </w:r>
      <w:r>
        <w:lastRenderedPageBreak/>
        <w:t xml:space="preserve">heavily on MAV material at times the final products have been deemed to be less than ideal. </w:t>
      </w:r>
    </w:p>
    <w:p w14:paraId="16457A06" w14:textId="77777777" w:rsidR="008B23DA" w:rsidRDefault="008B23DA" w:rsidP="008F6D00"/>
    <w:p w14:paraId="21BA37BC" w14:textId="46A54888" w:rsidR="008F6D00" w:rsidRDefault="008F6D00" w:rsidP="008F6D00">
      <w:r>
        <w:t xml:space="preserve">All councils produce periodically what they call rating strategies, although they differ considerably in terms of quality. Some are more in the form of statements with reasons but without accompanying discussion or evidence that solidly establish a rationale for decisions and there has been a tendency for oft -quoted assumptions about different groups of ratepayers to have become perpetuated in some of these documents without being tested in any way. Additionally, the modelling of impacts of decisions tends to be generally </w:t>
      </w:r>
      <w:r w:rsidR="00404471">
        <w:t>limited</w:t>
      </w:r>
      <w:r>
        <w:t xml:space="preserve"> – in many cases it is unsophisticated, piecemeal and unrealistic. Many are preoccupied with “average rate bills” and the shares of aggregate rates paid by large classes of ratepayers which tell very little about the true incidence of rates.</w:t>
      </w:r>
    </w:p>
    <w:p w14:paraId="60B031E4" w14:textId="77777777" w:rsidR="008B23DA" w:rsidRDefault="008B23DA" w:rsidP="008F6D00"/>
    <w:p w14:paraId="7FF8E4A9" w14:textId="5F78E338" w:rsidR="008F6D00" w:rsidRDefault="008F6D00" w:rsidP="008F6D00">
      <w:r>
        <w:t xml:space="preserve">Influencing this are two main factors - the complexity of rates and the resources that can reasonably be dedicated to the process. It is hard to be critical of councillors, the ultimate decision-makers on rates, because the development of a rating system based on best practice is very difficult and time consuming. Not only do they have to weigh-up the evidence and arguments with some objectivity, they have to understand the mechanics of how rating instruments work. Often councillors are new with little experience and rely exclusively or largely on what officers have assembled. They may have had little experience in or understanding of policy development, research data, statistical analysis and valuation principle – all requirements in the rating strategy process. Similarly, council officers with other competing responsibilities have a considerable workload in this task. Their experience as well as their time may be limited and their abilities vary. </w:t>
      </w:r>
    </w:p>
    <w:p w14:paraId="75EE390F" w14:textId="77777777" w:rsidR="008B23DA" w:rsidRDefault="008B23DA" w:rsidP="008F6D00"/>
    <w:p w14:paraId="0A691E89" w14:textId="1692AA85" w:rsidR="008F6D00" w:rsidRDefault="008F6D00" w:rsidP="008F6D00">
      <w:r>
        <w:t>It is quite obvious that the general public finds it difficult to fully understand the way rates work and this extends as far as State bureaucrats with responsibilities in the area. Often councils are faced with seeking external consultancy assistance to undertake the process because of the difficulty involved.</w:t>
      </w:r>
    </w:p>
    <w:p w14:paraId="408056E7" w14:textId="77777777" w:rsidR="008B23DA" w:rsidRDefault="008B23DA" w:rsidP="008F6D00"/>
    <w:p w14:paraId="7DC519E6" w14:textId="2C942B18" w:rsidR="008F6D00" w:rsidRDefault="008F6D00" w:rsidP="008F6D00">
      <w:r>
        <w:t>Many of the rate systems currently in place in councils have a strong historical basis and have been subject to “</w:t>
      </w:r>
      <w:proofErr w:type="spellStart"/>
      <w:r>
        <w:t>incrementalism”.The</w:t>
      </w:r>
      <w:proofErr w:type="spellEnd"/>
      <w:r>
        <w:t xml:space="preserve"> legacy of minimum rates and traditional revenue shares (even pre-amalgamation) are traceable because of the factors that work against councils making substantial changes. A premium is placed on the objective of rate stability and this works to constrain the development of rating systems from first principle as if they were a greenfield – what system would you have in place if you were starting from scratch? This is not assisted by things like councillor turnover, frequent revaluation, inconsistencies in the rating framework and uncertainties as to what can and </w:t>
      </w:r>
      <w:r w:rsidR="006F774E">
        <w:t>cannot</w:t>
      </w:r>
      <w:r>
        <w:t xml:space="preserve"> or should not be done.</w:t>
      </w:r>
    </w:p>
    <w:p w14:paraId="0D7F8C3C" w14:textId="77777777" w:rsidR="008F6D00" w:rsidRDefault="008F6D00" w:rsidP="008F6D00">
      <w:pPr>
        <w:rPr>
          <w:b/>
        </w:rPr>
      </w:pPr>
    </w:p>
    <w:p w14:paraId="7133A10D" w14:textId="77777777" w:rsidR="008F6D00" w:rsidRDefault="008F6D00" w:rsidP="008F6D00">
      <w:pPr>
        <w:rPr>
          <w:b/>
        </w:rPr>
      </w:pPr>
      <w:r>
        <w:rPr>
          <w:b/>
        </w:rPr>
        <w:t>5.0</w:t>
      </w:r>
      <w:r>
        <w:rPr>
          <w:b/>
        </w:rPr>
        <w:tab/>
        <w:t>Interest Groups</w:t>
      </w:r>
    </w:p>
    <w:p w14:paraId="7C3D8EBA" w14:textId="77777777" w:rsidR="008B23DA" w:rsidRDefault="008B23DA" w:rsidP="008F6D00"/>
    <w:p w14:paraId="64B665F5" w14:textId="4B45FD8D" w:rsidR="008F6D00" w:rsidRDefault="008F6D00" w:rsidP="008F6D00">
      <w:r w:rsidRPr="00EE307E">
        <w:t xml:space="preserve">In a democratic society </w:t>
      </w:r>
      <w:r>
        <w:t xml:space="preserve">it is appropriate that ratepayers are able to question their rating system and the rates they are paying. A number of interest groups are particularly active in this area including the VFF, BOMA, the Property Council, Retirement Village </w:t>
      </w:r>
      <w:r w:rsidR="00404471">
        <w:t>groups</w:t>
      </w:r>
      <w:r>
        <w:t xml:space="preserve"> and various Ratepayer and Business Associations that have sprung-up. Some property types are more amorphous and ratepayers largely unorganised or disconnected – for example in relation to vacant l</w:t>
      </w:r>
      <w:r w:rsidRPr="00301E25">
        <w:t xml:space="preserve">and </w:t>
      </w:r>
      <w:r>
        <w:t>which attracts higher rates in a number of municipalities.</w:t>
      </w:r>
    </w:p>
    <w:p w14:paraId="71E0A1DA" w14:textId="77777777" w:rsidR="008B23DA" w:rsidRDefault="008B23DA" w:rsidP="008F6D00"/>
    <w:p w14:paraId="447259F8" w14:textId="77777777" w:rsidR="008F6D00" w:rsidRDefault="008F6D00" w:rsidP="008F6D00">
      <w:r>
        <w:lastRenderedPageBreak/>
        <w:t>Of course such groups will present cases which best represent their interests and it is incumbent upon councils to consider these with objectivity and in their considerations of how these accord with their corporate view of equity including the flow-on effects for other ratepayers. The example below distils the equity arguments put by the VFF and farming interests for lower rates being paid by farmers and the competing arguments that may be put in response.</w:t>
      </w:r>
    </w:p>
    <w:p w14:paraId="0273B65C" w14:textId="77777777" w:rsidR="008B23DA" w:rsidRDefault="008B23DA" w:rsidP="008F6D00"/>
    <w:tbl>
      <w:tblPr>
        <w:tblStyle w:val="TableGrid"/>
        <w:tblW w:w="5000" w:type="pct"/>
        <w:tblLook w:val="04A0" w:firstRow="1" w:lastRow="0" w:firstColumn="1" w:lastColumn="0" w:noHBand="0" w:noVBand="1"/>
      </w:tblPr>
      <w:tblGrid>
        <w:gridCol w:w="4264"/>
        <w:gridCol w:w="4265"/>
      </w:tblGrid>
      <w:tr w:rsidR="008F6D00" w:rsidRPr="00B8358F" w14:paraId="7ADE262E" w14:textId="77777777" w:rsidTr="008F6D00">
        <w:tc>
          <w:tcPr>
            <w:tcW w:w="2500" w:type="pct"/>
          </w:tcPr>
          <w:p w14:paraId="71F2637F" w14:textId="77777777" w:rsidR="008F6D00" w:rsidRPr="00B8358F" w:rsidRDefault="008F6D00" w:rsidP="008F6D00">
            <w:pPr>
              <w:rPr>
                <w:b/>
              </w:rPr>
            </w:pPr>
            <w:r>
              <w:rPr>
                <w:b/>
              </w:rPr>
              <w:t>Arguments For Rate Assistance to Farms</w:t>
            </w:r>
          </w:p>
        </w:tc>
        <w:tc>
          <w:tcPr>
            <w:tcW w:w="2500" w:type="pct"/>
          </w:tcPr>
          <w:p w14:paraId="7ADFE842" w14:textId="77777777" w:rsidR="008F6D00" w:rsidRPr="00B8358F" w:rsidRDefault="008F6D00" w:rsidP="008F6D00">
            <w:pPr>
              <w:rPr>
                <w:b/>
              </w:rPr>
            </w:pPr>
            <w:r>
              <w:rPr>
                <w:b/>
              </w:rPr>
              <w:t>Arguments Against Rates Assistance to Farms</w:t>
            </w:r>
          </w:p>
        </w:tc>
      </w:tr>
      <w:tr w:rsidR="008F6D00" w:rsidRPr="00D835E7" w14:paraId="3C67FF6A" w14:textId="77777777" w:rsidTr="008F6D00">
        <w:tc>
          <w:tcPr>
            <w:tcW w:w="2500" w:type="pct"/>
          </w:tcPr>
          <w:p w14:paraId="376BBCCE" w14:textId="77777777" w:rsidR="008F6D00" w:rsidRDefault="008F6D00" w:rsidP="008F6D00">
            <w:r>
              <w:t>Farmers use fewer services than other ratepayers. Farmers face geographic impediments in terms of access to council services, which are primarily located in urban areas.</w:t>
            </w:r>
          </w:p>
          <w:p w14:paraId="3B36FBAF" w14:textId="77777777" w:rsidR="008F6D00" w:rsidRDefault="008F6D00" w:rsidP="008F6D00"/>
          <w:p w14:paraId="4762420A" w14:textId="77777777" w:rsidR="008F6D00" w:rsidRDefault="008F6D00" w:rsidP="008F6D00"/>
          <w:p w14:paraId="1F8C4ED4" w14:textId="77777777" w:rsidR="008F6D00" w:rsidRDefault="008F6D00" w:rsidP="008F6D00"/>
          <w:p w14:paraId="64B8E2A5" w14:textId="77777777" w:rsidR="008F6D00" w:rsidRDefault="008F6D00" w:rsidP="008F6D00"/>
          <w:p w14:paraId="23DBC6A9" w14:textId="77777777" w:rsidR="008F6D00" w:rsidRDefault="008F6D00" w:rsidP="008F6D00"/>
          <w:p w14:paraId="4160F864" w14:textId="77777777" w:rsidR="008F6D00" w:rsidRDefault="008F6D00" w:rsidP="008F6D00"/>
          <w:p w14:paraId="4025FA9B" w14:textId="77777777" w:rsidR="008F6D00" w:rsidRDefault="008F6D00" w:rsidP="008F6D00"/>
          <w:p w14:paraId="0C0BE3D4" w14:textId="77777777" w:rsidR="008F6D00" w:rsidRDefault="008F6D00" w:rsidP="008F6D00"/>
          <w:p w14:paraId="3F2FF57C" w14:textId="77777777" w:rsidR="008F6D00" w:rsidRDefault="008F6D00" w:rsidP="008F6D00"/>
          <w:p w14:paraId="2DE97C1A" w14:textId="77777777" w:rsidR="008F6D00" w:rsidRDefault="008F6D00" w:rsidP="008F6D00"/>
          <w:p w14:paraId="714AB40E" w14:textId="77777777" w:rsidR="008F6D00" w:rsidRDefault="008F6D00" w:rsidP="008F6D00"/>
          <w:p w14:paraId="59EA6948" w14:textId="77777777" w:rsidR="008F6D00" w:rsidRDefault="008F6D00" w:rsidP="008F6D00"/>
          <w:p w14:paraId="10D5D416" w14:textId="77777777" w:rsidR="008F6D00" w:rsidRDefault="008F6D00" w:rsidP="008F6D00">
            <w:r>
              <w:t>The farming sector has relatively low incomes and return on assets. F</w:t>
            </w:r>
            <w:r w:rsidRPr="001B50BA">
              <w:t>arming is the only “occupation” dependent on a land asset for earning an income</w:t>
            </w:r>
            <w:r>
              <w:t xml:space="preserve"> - the higher land component inherent in farming properties and proximity to urban development contributes to their relatively higher values and results in farmers having to pay disproportionately high rates in relation to their income or the surplus able to be generated from their properties.</w:t>
            </w:r>
          </w:p>
          <w:p w14:paraId="76361D2A" w14:textId="77777777" w:rsidR="008F6D00" w:rsidRDefault="008F6D00" w:rsidP="008F6D00"/>
          <w:p w14:paraId="1509D7E9" w14:textId="77777777" w:rsidR="008F6D00" w:rsidRDefault="008F6D00" w:rsidP="008F6D00"/>
          <w:p w14:paraId="35ACBEAA" w14:textId="77777777" w:rsidR="008F6D00" w:rsidRDefault="008F6D00" w:rsidP="008F6D00"/>
          <w:p w14:paraId="3F1B625D" w14:textId="77777777" w:rsidR="008F6D00" w:rsidRDefault="008F6D00" w:rsidP="008F6D00"/>
          <w:p w14:paraId="18996520" w14:textId="77777777" w:rsidR="008F6D00" w:rsidRDefault="008F6D00" w:rsidP="008F6D00"/>
          <w:p w14:paraId="4FC94036" w14:textId="77777777" w:rsidR="008F6D00" w:rsidRDefault="008F6D00" w:rsidP="008F6D00"/>
          <w:p w14:paraId="76B12B4F" w14:textId="77777777" w:rsidR="008F6D00" w:rsidRDefault="008F6D00" w:rsidP="008F6D00"/>
          <w:p w14:paraId="05D771C9" w14:textId="77777777" w:rsidR="008F6D00" w:rsidRDefault="008F6D00" w:rsidP="008F6D00"/>
          <w:p w14:paraId="3534D7B4" w14:textId="77777777" w:rsidR="008F6D00" w:rsidRDefault="008F6D00" w:rsidP="008F6D00">
            <w:r>
              <w:t>Data show that council rates account for a higher proportion of the business expenses of farms than non-farm business.</w:t>
            </w:r>
          </w:p>
          <w:p w14:paraId="4743EA42" w14:textId="77777777" w:rsidR="008F6D00" w:rsidRDefault="008F6D00" w:rsidP="008F6D00"/>
          <w:p w14:paraId="137EC5F6" w14:textId="77777777" w:rsidR="008F6D00" w:rsidRDefault="008F6D00" w:rsidP="008F6D00"/>
          <w:p w14:paraId="017D3BFF" w14:textId="77777777" w:rsidR="008F6D00" w:rsidRDefault="008F6D00" w:rsidP="008F6D00"/>
          <w:p w14:paraId="3C736002" w14:textId="77777777" w:rsidR="008F6D00" w:rsidRDefault="008F6D00" w:rsidP="008F6D00"/>
          <w:p w14:paraId="3136F350" w14:textId="77777777" w:rsidR="008F6D00" w:rsidRDefault="008F6D00" w:rsidP="008F6D00"/>
          <w:p w14:paraId="2421070D" w14:textId="77777777" w:rsidR="008F6D00" w:rsidRDefault="008F6D00" w:rsidP="008F6D00"/>
          <w:p w14:paraId="22184009" w14:textId="77777777" w:rsidR="008F6D00" w:rsidRDefault="008F6D00" w:rsidP="008F6D00"/>
          <w:p w14:paraId="175D6998" w14:textId="77777777" w:rsidR="008F6D00" w:rsidRDefault="008F6D00" w:rsidP="008F6D00"/>
          <w:p w14:paraId="75A8BB44" w14:textId="77777777" w:rsidR="008F6D00" w:rsidRDefault="008F6D00" w:rsidP="008F6D00"/>
          <w:p w14:paraId="652511BE" w14:textId="77777777" w:rsidR="008F6D00" w:rsidRDefault="008F6D00" w:rsidP="008F6D00"/>
          <w:p w14:paraId="5A269165" w14:textId="77777777" w:rsidR="008F6D00" w:rsidRDefault="008F6D00" w:rsidP="008F6D00"/>
          <w:p w14:paraId="14A4B4B3" w14:textId="77777777" w:rsidR="008F6D00" w:rsidRDefault="008F6D00" w:rsidP="008F6D00"/>
          <w:p w14:paraId="0DB4E4D0" w14:textId="77777777" w:rsidR="008F6D00" w:rsidRDefault="008F6D00" w:rsidP="008F6D00"/>
          <w:p w14:paraId="6FBAB25C" w14:textId="77777777" w:rsidR="008F6D00" w:rsidRDefault="008F6D00" w:rsidP="008F6D00"/>
          <w:p w14:paraId="68597977" w14:textId="77777777" w:rsidR="008F6D00" w:rsidRDefault="008F6D00" w:rsidP="008F6D00"/>
          <w:p w14:paraId="4B95C8C9" w14:textId="77777777" w:rsidR="008F6D00" w:rsidRDefault="008F6D00" w:rsidP="008F6D00"/>
          <w:p w14:paraId="4C4498D7" w14:textId="77777777" w:rsidR="008F6D00" w:rsidRDefault="008F6D00" w:rsidP="008F6D00"/>
          <w:p w14:paraId="7EA8576E" w14:textId="77777777" w:rsidR="008F6D00" w:rsidRDefault="008F6D00" w:rsidP="008F6D00"/>
          <w:p w14:paraId="1B2F034F" w14:textId="77777777" w:rsidR="008F6D00" w:rsidRDefault="008F6D00" w:rsidP="008F6D00"/>
          <w:p w14:paraId="759EBA33" w14:textId="77777777" w:rsidR="008F6D00" w:rsidRDefault="008F6D00" w:rsidP="008F6D00">
            <w:r>
              <w:t>Farmers are more heavily impacted by environmental factors such as drought, water security and global warming.</w:t>
            </w:r>
          </w:p>
          <w:p w14:paraId="655A21D3" w14:textId="77777777" w:rsidR="008F6D00" w:rsidRDefault="008F6D00" w:rsidP="008F6D00"/>
          <w:p w14:paraId="4DD079B0" w14:textId="77777777" w:rsidR="008F6D00" w:rsidRDefault="008F6D00" w:rsidP="008F6D00">
            <w:r>
              <w:t>F</w:t>
            </w:r>
            <w:r w:rsidRPr="008726F5">
              <w:t xml:space="preserve">armers have little market power and </w:t>
            </w:r>
            <w:r>
              <w:t xml:space="preserve">are </w:t>
            </w:r>
            <w:r w:rsidRPr="008726F5">
              <w:t xml:space="preserve">unable to pass on increases in costs like other </w:t>
            </w:r>
            <w:r>
              <w:t>b</w:t>
            </w:r>
            <w:r w:rsidRPr="008726F5">
              <w:t>usinesses</w:t>
            </w:r>
            <w:r>
              <w:t>.</w:t>
            </w:r>
          </w:p>
          <w:p w14:paraId="51D92D34" w14:textId="77777777" w:rsidR="008F6D00" w:rsidRDefault="008F6D00" w:rsidP="008F6D00"/>
          <w:p w14:paraId="13A7FCAF" w14:textId="77777777" w:rsidR="008F6D00" w:rsidRDefault="008F6D00" w:rsidP="008F6D00">
            <w:r>
              <w:t>A</w:t>
            </w:r>
            <w:r w:rsidRPr="008726F5">
              <w:t>gricultural producers must contend with</w:t>
            </w:r>
            <w:r>
              <w:rPr>
                <w:b/>
              </w:rPr>
              <w:t xml:space="preserve"> </w:t>
            </w:r>
            <w:r>
              <w:t>tariffs on Australian exports in importing countries, subsidies to farmers in other countries, currency fluctuations and volatility in prices.</w:t>
            </w:r>
          </w:p>
          <w:p w14:paraId="2E95826B" w14:textId="77777777" w:rsidR="008F6D00" w:rsidRDefault="008F6D00" w:rsidP="008F6D00"/>
          <w:p w14:paraId="38B9093B" w14:textId="77777777" w:rsidR="008F6D00" w:rsidRDefault="008F6D00" w:rsidP="008F6D00">
            <w:r>
              <w:t xml:space="preserve">Farming is seasonal and often affected by the long lead times before output is traded (e.g. agroforestry) and this impacts cash-flow and returns. </w:t>
            </w:r>
          </w:p>
          <w:p w14:paraId="2DA3E56A" w14:textId="77777777" w:rsidR="008F6D00" w:rsidRDefault="008F6D00" w:rsidP="008F6D00"/>
          <w:p w14:paraId="03A4EA34" w14:textId="77777777" w:rsidR="008F6D00" w:rsidRDefault="008F6D00" w:rsidP="008F6D00"/>
          <w:p w14:paraId="68B9866F" w14:textId="77777777" w:rsidR="008F6D00" w:rsidRDefault="008F6D00" w:rsidP="008F6D00"/>
          <w:p w14:paraId="30673D59" w14:textId="77777777" w:rsidR="008F6D00" w:rsidRDefault="008F6D00" w:rsidP="008F6D00"/>
          <w:p w14:paraId="03A93DD4" w14:textId="77777777" w:rsidR="008F6D00" w:rsidRDefault="008F6D00" w:rsidP="008F6D00"/>
          <w:p w14:paraId="0EB58DDD" w14:textId="77777777" w:rsidR="008F6D00" w:rsidRDefault="008F6D00" w:rsidP="008F6D00"/>
          <w:p w14:paraId="66101254" w14:textId="77777777" w:rsidR="008F6D00" w:rsidRDefault="008F6D00" w:rsidP="008F6D00"/>
          <w:p w14:paraId="119BFF74" w14:textId="77777777" w:rsidR="008F6D00" w:rsidRDefault="008F6D00" w:rsidP="008F6D00"/>
          <w:p w14:paraId="28A3BDF0" w14:textId="77777777" w:rsidR="008F6D00" w:rsidRDefault="008F6D00" w:rsidP="008F6D00"/>
          <w:p w14:paraId="2CBA6DE4" w14:textId="77777777" w:rsidR="008F6D00" w:rsidRDefault="008F6D00" w:rsidP="008F6D00"/>
          <w:p w14:paraId="0716852B" w14:textId="77777777" w:rsidR="008F6D00" w:rsidRDefault="008F6D00" w:rsidP="008F6D00"/>
          <w:p w14:paraId="05FF8516" w14:textId="77777777" w:rsidR="008F6D00" w:rsidRDefault="008F6D00" w:rsidP="008F6D00"/>
          <w:p w14:paraId="36A154E4" w14:textId="77777777" w:rsidR="008F6D00" w:rsidRDefault="008F6D00" w:rsidP="008F6D00"/>
          <w:p w14:paraId="664275A2" w14:textId="77777777" w:rsidR="008F6D00" w:rsidRDefault="008F6D00" w:rsidP="008F6D00"/>
          <w:p w14:paraId="1EA7BAA5" w14:textId="77777777" w:rsidR="008F6D00" w:rsidRDefault="008F6D00" w:rsidP="008F6D00"/>
          <w:p w14:paraId="23B009E9" w14:textId="77777777" w:rsidR="008F6D00" w:rsidRDefault="008F6D00" w:rsidP="008F6D00"/>
          <w:p w14:paraId="3378EB70" w14:textId="77777777" w:rsidR="008F6D00" w:rsidRDefault="008F6D00" w:rsidP="008F6D00"/>
          <w:p w14:paraId="40ECFF94" w14:textId="77777777" w:rsidR="008F6D00" w:rsidRDefault="008F6D00" w:rsidP="008F6D00"/>
          <w:p w14:paraId="5F15AD13" w14:textId="77777777" w:rsidR="008F6D00" w:rsidRDefault="008F6D00" w:rsidP="008F6D00"/>
          <w:p w14:paraId="5D9DA9B6" w14:textId="77777777" w:rsidR="008F6D00" w:rsidRDefault="008F6D00" w:rsidP="008F6D00"/>
          <w:p w14:paraId="048495F8" w14:textId="77777777" w:rsidR="008F6D00" w:rsidRDefault="008F6D00" w:rsidP="008F6D00"/>
          <w:p w14:paraId="6D79FF51" w14:textId="77777777" w:rsidR="008F6D00" w:rsidRDefault="008F6D00" w:rsidP="008F6D00"/>
          <w:p w14:paraId="7C44B76A" w14:textId="77777777" w:rsidR="008F6D00" w:rsidRDefault="008F6D00" w:rsidP="008F6D00"/>
          <w:p w14:paraId="733D5A69" w14:textId="77777777" w:rsidR="008F6D00" w:rsidRDefault="008F6D00" w:rsidP="008F6D00"/>
          <w:p w14:paraId="13C2668F" w14:textId="77777777" w:rsidR="008F6D00" w:rsidRDefault="008F6D00" w:rsidP="008F6D00"/>
          <w:p w14:paraId="23E52B88" w14:textId="77777777" w:rsidR="008F6D00" w:rsidRDefault="008F6D00" w:rsidP="008F6D00"/>
          <w:p w14:paraId="29C3C0FF" w14:textId="77777777" w:rsidR="008F6D00" w:rsidRDefault="008F6D00" w:rsidP="008F6D00"/>
          <w:p w14:paraId="55CFC024" w14:textId="77777777" w:rsidR="008F6D00" w:rsidRDefault="008F6D00" w:rsidP="008F6D00"/>
          <w:p w14:paraId="1E0B0630" w14:textId="77777777" w:rsidR="008F6D00" w:rsidRDefault="008F6D00" w:rsidP="008F6D00"/>
          <w:p w14:paraId="27F92280" w14:textId="77777777" w:rsidR="008F6D00" w:rsidRDefault="008F6D00" w:rsidP="008F6D00"/>
          <w:p w14:paraId="1BAD51C8" w14:textId="77777777" w:rsidR="008F6D00" w:rsidRDefault="008F6D00" w:rsidP="008F6D00"/>
          <w:p w14:paraId="632731DB" w14:textId="77777777" w:rsidR="008F6D00" w:rsidRDefault="008F6D00" w:rsidP="008F6D00"/>
          <w:p w14:paraId="71B09458" w14:textId="77777777" w:rsidR="008F6D00" w:rsidRDefault="008F6D00" w:rsidP="008F6D00"/>
          <w:p w14:paraId="1E37E27E" w14:textId="77777777" w:rsidR="008F6D00" w:rsidRDefault="008F6D00" w:rsidP="008F6D00"/>
          <w:p w14:paraId="60F8AC40" w14:textId="77777777" w:rsidR="008F6D00" w:rsidRDefault="008F6D00" w:rsidP="008F6D00"/>
          <w:p w14:paraId="3EF50118" w14:textId="77777777" w:rsidR="008F6D00" w:rsidRDefault="008F6D00" w:rsidP="008F6D00"/>
          <w:p w14:paraId="5837DA7F" w14:textId="77777777" w:rsidR="008F6D00" w:rsidRDefault="008F6D00" w:rsidP="008F6D00"/>
          <w:p w14:paraId="71C61FBD" w14:textId="77777777" w:rsidR="008F6D00" w:rsidRDefault="008F6D00" w:rsidP="008F6D00"/>
          <w:p w14:paraId="58BC7B30" w14:textId="77777777" w:rsidR="008F6D00" w:rsidRDefault="008F6D00" w:rsidP="008F6D00"/>
          <w:p w14:paraId="51CEBF12" w14:textId="77777777" w:rsidR="008F6D00" w:rsidRDefault="008F6D00" w:rsidP="008F6D00"/>
          <w:p w14:paraId="0384FF31" w14:textId="77777777" w:rsidR="008F6D00" w:rsidRDefault="008F6D00" w:rsidP="008F6D00"/>
          <w:p w14:paraId="203EB2A0" w14:textId="77777777" w:rsidR="008F6D00" w:rsidRDefault="008F6D00" w:rsidP="008F6D00"/>
          <w:p w14:paraId="205763F7" w14:textId="77777777" w:rsidR="008F6D00" w:rsidRDefault="008F6D00" w:rsidP="008F6D00"/>
          <w:p w14:paraId="53A2CB47" w14:textId="77777777" w:rsidR="008F6D00" w:rsidRDefault="008F6D00" w:rsidP="008F6D00">
            <w:r>
              <w:t>Assistance will reduce the potential for the loss and fragmentation of highly valued agricultural land and promote food security.</w:t>
            </w:r>
          </w:p>
          <w:p w14:paraId="275D46C0" w14:textId="77777777" w:rsidR="008F6D00" w:rsidRDefault="008F6D00" w:rsidP="008F6D00"/>
        </w:tc>
        <w:tc>
          <w:tcPr>
            <w:tcW w:w="2500" w:type="pct"/>
          </w:tcPr>
          <w:p w14:paraId="406FF311" w14:textId="289585F9" w:rsidR="008F6D00" w:rsidRDefault="008F6D00" w:rsidP="008F6D00">
            <w:r>
              <w:lastRenderedPageBreak/>
              <w:t xml:space="preserve">Impossible to accurately and efficiently determine and value levels of service </w:t>
            </w:r>
            <w:r w:rsidRPr="00D5276E">
              <w:rPr>
                <w:i/>
              </w:rPr>
              <w:t>use</w:t>
            </w:r>
            <w:r>
              <w:t xml:space="preserve"> by consumers. Rates are used to fund public goods and services where cross-subsidies cannot be avoided and to provide universal </w:t>
            </w:r>
            <w:r w:rsidRPr="00D5276E">
              <w:rPr>
                <w:i/>
              </w:rPr>
              <w:t>access</w:t>
            </w:r>
            <w:r>
              <w:t>. In that sense they are comparable to income taxes. Access to services is not restricted and has been made easier by improvements in transport and technology. Farming families use urban-based services when they visit service centres. Expenditures largely benefitting farmers may be very costly when considered on the basis of the cost per beneficiary e.g. spending on local roads and bridges over which supplies and produce are moved and in servicing smaller and more remote centres.</w:t>
            </w:r>
          </w:p>
          <w:p w14:paraId="21CC9950" w14:textId="77777777" w:rsidR="008F6D00" w:rsidRDefault="008F6D00" w:rsidP="008F6D00"/>
          <w:p w14:paraId="41224623" w14:textId="026566DA" w:rsidR="008F6D00" w:rsidRDefault="008F6D00" w:rsidP="008F6D00">
            <w:r>
              <w:t>Agriculture includes a wide range of activities and returns to sectors vary enormously. Returns for non-farm business sectors may be lower. Given levels of asset intensity returns may still be monetarily significant for farms when compared with other small businesses and households.</w:t>
            </w:r>
          </w:p>
          <w:p w14:paraId="5AE98FC5" w14:textId="77777777" w:rsidR="008F6D00" w:rsidRDefault="008F6D00" w:rsidP="008F6D00">
            <w:pPr>
              <w:autoSpaceDE w:val="0"/>
              <w:autoSpaceDN w:val="0"/>
              <w:adjustRightInd w:val="0"/>
            </w:pPr>
          </w:p>
          <w:p w14:paraId="4D3D575A" w14:textId="77777777" w:rsidR="008F6D00" w:rsidRDefault="008F6D00" w:rsidP="008F6D00">
            <w:r>
              <w:t>Many agricultural businesses have objectives other than profit including lifestyle, capital gains and the ability to decrease income tax by shifting losses to profitable non-farm enterprises. There is also a tendency for farmers to reinvest in the business to provide for retirement rather than divert income to personal superannuation.</w:t>
            </w:r>
          </w:p>
          <w:p w14:paraId="454CE8EB" w14:textId="77777777" w:rsidR="008F6D00" w:rsidRDefault="008F6D00" w:rsidP="008F6D00">
            <w:pPr>
              <w:autoSpaceDE w:val="0"/>
              <w:autoSpaceDN w:val="0"/>
              <w:adjustRightInd w:val="0"/>
            </w:pPr>
          </w:p>
          <w:p w14:paraId="32905551" w14:textId="77777777" w:rsidR="008F6D00" w:rsidRDefault="008F6D00" w:rsidP="008F6D00">
            <w:pPr>
              <w:autoSpaceDE w:val="0"/>
              <w:autoSpaceDN w:val="0"/>
              <w:adjustRightInd w:val="0"/>
            </w:pPr>
          </w:p>
          <w:p w14:paraId="6625C503" w14:textId="77777777" w:rsidR="008F6D00" w:rsidRDefault="008F6D00" w:rsidP="008F6D00">
            <w:pPr>
              <w:autoSpaceDE w:val="0"/>
              <w:autoSpaceDN w:val="0"/>
              <w:adjustRightInd w:val="0"/>
            </w:pPr>
          </w:p>
          <w:p w14:paraId="5203F3F5" w14:textId="07277A50" w:rsidR="008F6D00" w:rsidRDefault="008F6D00" w:rsidP="008F6D00">
            <w:pPr>
              <w:autoSpaceDE w:val="0"/>
              <w:autoSpaceDN w:val="0"/>
              <w:adjustRightInd w:val="0"/>
            </w:pPr>
            <w:r>
              <w:t xml:space="preserve">Unfair comparisons are often made. Land is an input to the operations of all business not just farms. The relevant factor is not the size of land holdings, but value, and it is not unusual for commercial land values to be </w:t>
            </w:r>
            <w:r>
              <w:lastRenderedPageBreak/>
              <w:t xml:space="preserve">significant relative to the business operations that take place on them. </w:t>
            </w:r>
          </w:p>
          <w:p w14:paraId="7CB2DF1C" w14:textId="77777777" w:rsidR="008F6D00" w:rsidRDefault="008F6D00" w:rsidP="008F6D00">
            <w:pPr>
              <w:autoSpaceDE w:val="0"/>
              <w:autoSpaceDN w:val="0"/>
              <w:adjustRightInd w:val="0"/>
            </w:pPr>
          </w:p>
          <w:p w14:paraId="75261E98" w14:textId="77777777" w:rsidR="008F6D00" w:rsidRDefault="008F6D00" w:rsidP="008F6D00">
            <w:r>
              <w:t xml:space="preserve">Farms may be regarded generally as taking two forms– those that are purely commercial in nature and those that include farmhouse and a commercial operation. Rates on family farming operations (including farmhouse) should be compared to the combined burden of a non-farm business and household. While rates generally account for a higher proportion of total business costs of farms the figure is skewed by the significant labour and plant and equipment costs of larger employers and higher labour intensities of non-farm businesses. </w:t>
            </w:r>
          </w:p>
          <w:p w14:paraId="52709CF0" w14:textId="77777777" w:rsidR="008F6D00" w:rsidRDefault="008F6D00" w:rsidP="008F6D00"/>
          <w:p w14:paraId="4541766F" w14:textId="77777777" w:rsidR="008F6D00" w:rsidRDefault="008F6D00" w:rsidP="008F6D00">
            <w:pPr>
              <w:pStyle w:val="FootnoteText"/>
              <w:rPr>
                <w:rFonts w:eastAsiaTheme="minorHAnsi"/>
                <w:sz w:val="22"/>
                <w:szCs w:val="22"/>
              </w:rPr>
            </w:pPr>
          </w:p>
          <w:p w14:paraId="7B695298" w14:textId="4BBFF518" w:rsidR="008F6D00" w:rsidRDefault="008F6D00" w:rsidP="008F6D00">
            <w:pPr>
              <w:pStyle w:val="FootnoteText"/>
              <w:rPr>
                <w:sz w:val="22"/>
                <w:szCs w:val="22"/>
              </w:rPr>
            </w:pPr>
            <w:r>
              <w:rPr>
                <w:sz w:val="22"/>
                <w:szCs w:val="22"/>
              </w:rPr>
              <w:t>N</w:t>
            </w:r>
            <w:r w:rsidRPr="007160A2">
              <w:rPr>
                <w:sz w:val="22"/>
                <w:szCs w:val="22"/>
              </w:rPr>
              <w:t xml:space="preserve">on-farm small businesses may have little market power and be subject to considerable fluctuation in </w:t>
            </w:r>
            <w:proofErr w:type="spellStart"/>
            <w:r w:rsidRPr="007160A2">
              <w:rPr>
                <w:sz w:val="22"/>
                <w:szCs w:val="22"/>
              </w:rPr>
              <w:t>fortunes.</w:t>
            </w:r>
            <w:r>
              <w:rPr>
                <w:sz w:val="22"/>
                <w:szCs w:val="22"/>
              </w:rPr>
              <w:t>The</w:t>
            </w:r>
            <w:proofErr w:type="spellEnd"/>
            <w:r>
              <w:rPr>
                <w:sz w:val="22"/>
                <w:szCs w:val="22"/>
              </w:rPr>
              <w:t xml:space="preserve"> </w:t>
            </w:r>
            <w:r w:rsidRPr="007160A2">
              <w:rPr>
                <w:sz w:val="22"/>
                <w:szCs w:val="22"/>
              </w:rPr>
              <w:t xml:space="preserve">rhetoric </w:t>
            </w:r>
            <w:r>
              <w:rPr>
                <w:sz w:val="22"/>
                <w:szCs w:val="22"/>
              </w:rPr>
              <w:t xml:space="preserve">implies that </w:t>
            </w:r>
            <w:r w:rsidRPr="007160A2">
              <w:rPr>
                <w:sz w:val="22"/>
                <w:szCs w:val="22"/>
              </w:rPr>
              <w:t>while farmers are price-takers</w:t>
            </w:r>
            <w:r>
              <w:rPr>
                <w:sz w:val="22"/>
                <w:szCs w:val="22"/>
              </w:rPr>
              <w:t>,</w:t>
            </w:r>
            <w:r w:rsidRPr="007160A2">
              <w:rPr>
                <w:sz w:val="22"/>
                <w:szCs w:val="22"/>
              </w:rPr>
              <w:t xml:space="preserve"> non-farm businesses are </w:t>
            </w:r>
            <w:proofErr w:type="spellStart"/>
            <w:r w:rsidRPr="007160A2">
              <w:rPr>
                <w:sz w:val="22"/>
                <w:szCs w:val="22"/>
              </w:rPr>
              <w:t>not.</w:t>
            </w:r>
            <w:r>
              <w:rPr>
                <w:sz w:val="22"/>
                <w:szCs w:val="22"/>
              </w:rPr>
              <w:t>Farming</w:t>
            </w:r>
            <w:proofErr w:type="spellEnd"/>
            <w:r>
              <w:rPr>
                <w:sz w:val="22"/>
                <w:szCs w:val="22"/>
              </w:rPr>
              <w:t xml:space="preserve"> is </w:t>
            </w:r>
            <w:r w:rsidRPr="007160A2">
              <w:rPr>
                <w:sz w:val="22"/>
                <w:szCs w:val="22"/>
              </w:rPr>
              <w:t>generally more “open” but agriculturalists produce for local, interstate and national as well as overseas markets depending on the segment. The competition that other non-farm businesses face from abroad (e.g. cheap imports from Asia) should not be understated.</w:t>
            </w:r>
            <w:r>
              <w:rPr>
                <w:sz w:val="22"/>
                <w:szCs w:val="22"/>
              </w:rPr>
              <w:t xml:space="preserve"> </w:t>
            </w:r>
            <w:r w:rsidRPr="007160A2">
              <w:rPr>
                <w:sz w:val="22"/>
                <w:szCs w:val="22"/>
              </w:rPr>
              <w:t>Many non-farm business</w:t>
            </w:r>
            <w:r>
              <w:rPr>
                <w:sz w:val="22"/>
                <w:szCs w:val="22"/>
              </w:rPr>
              <w:t>es</w:t>
            </w:r>
            <w:r w:rsidRPr="007160A2">
              <w:rPr>
                <w:sz w:val="22"/>
                <w:szCs w:val="22"/>
              </w:rPr>
              <w:t xml:space="preserve"> </w:t>
            </w:r>
            <w:r>
              <w:rPr>
                <w:sz w:val="22"/>
                <w:szCs w:val="22"/>
              </w:rPr>
              <w:t>are focused on local markets</w:t>
            </w:r>
            <w:r w:rsidRPr="007160A2">
              <w:rPr>
                <w:sz w:val="22"/>
                <w:szCs w:val="22"/>
              </w:rPr>
              <w:t xml:space="preserve"> or tourist trade – in other words, it could be argued that they face more restricted markets than many </w:t>
            </w:r>
            <w:proofErr w:type="spellStart"/>
            <w:r w:rsidRPr="007160A2">
              <w:rPr>
                <w:sz w:val="22"/>
                <w:szCs w:val="22"/>
              </w:rPr>
              <w:t>farmers.Just</w:t>
            </w:r>
            <w:proofErr w:type="spellEnd"/>
            <w:r w:rsidRPr="007160A2">
              <w:rPr>
                <w:sz w:val="22"/>
                <w:szCs w:val="22"/>
              </w:rPr>
              <w:t xml:space="preserve"> as farming is affected by the vagaries of weather and international markets, local non-farm businesses will be affected by their own unique circumstances – strong local competition in a small market, changes in the cost of inputs, reduced protection, staff/skill shor</w:t>
            </w:r>
            <w:r>
              <w:rPr>
                <w:sz w:val="22"/>
                <w:szCs w:val="22"/>
              </w:rPr>
              <w:t xml:space="preserve">tages and </w:t>
            </w:r>
            <w:r w:rsidRPr="007160A2">
              <w:rPr>
                <w:sz w:val="22"/>
                <w:szCs w:val="22"/>
              </w:rPr>
              <w:t>technological change.</w:t>
            </w:r>
          </w:p>
          <w:p w14:paraId="12927BFF" w14:textId="444FDC30" w:rsidR="008F6D00" w:rsidRDefault="008F6D00" w:rsidP="008F6D00">
            <w:pPr>
              <w:pStyle w:val="FootnoteText"/>
              <w:rPr>
                <w:rFonts w:eastAsiaTheme="minorHAnsi"/>
                <w:sz w:val="22"/>
                <w:szCs w:val="22"/>
              </w:rPr>
            </w:pPr>
            <w:r w:rsidRPr="007160A2">
              <w:rPr>
                <w:sz w:val="22"/>
                <w:szCs w:val="22"/>
              </w:rPr>
              <w:t xml:space="preserve">Farmers pay less tax than most other businesses and </w:t>
            </w:r>
            <w:r>
              <w:rPr>
                <w:sz w:val="22"/>
                <w:szCs w:val="22"/>
              </w:rPr>
              <w:t xml:space="preserve">are eligible for </w:t>
            </w:r>
            <w:r w:rsidRPr="007160A2">
              <w:rPr>
                <w:sz w:val="22"/>
                <w:szCs w:val="22"/>
              </w:rPr>
              <w:t xml:space="preserve">things like income averaging, the farm management deposits </w:t>
            </w:r>
            <w:proofErr w:type="spellStart"/>
            <w:r w:rsidRPr="007160A2">
              <w:rPr>
                <w:sz w:val="22"/>
                <w:szCs w:val="22"/>
              </w:rPr>
              <w:t>scheme,the</w:t>
            </w:r>
            <w:proofErr w:type="spellEnd"/>
            <w:r w:rsidRPr="007160A2">
              <w:rPr>
                <w:sz w:val="22"/>
                <w:szCs w:val="22"/>
              </w:rPr>
              <w:t xml:space="preserve"> highest level of diesel fuel tax credit, immediate deductions for </w:t>
            </w:r>
            <w:proofErr w:type="spellStart"/>
            <w:r w:rsidRPr="007160A2">
              <w:rPr>
                <w:sz w:val="22"/>
                <w:szCs w:val="22"/>
              </w:rPr>
              <w:t>landcare</w:t>
            </w:r>
            <w:proofErr w:type="spellEnd"/>
            <w:r w:rsidRPr="007160A2">
              <w:rPr>
                <w:sz w:val="22"/>
                <w:szCs w:val="22"/>
              </w:rPr>
              <w:t xml:space="preserve"> operations, three-year write-off for water facilities, ten year write-off for electricity connections and telephone lines, </w:t>
            </w:r>
            <w:r w:rsidRPr="007160A2">
              <w:rPr>
                <w:sz w:val="22"/>
                <w:szCs w:val="22"/>
              </w:rPr>
              <w:lastRenderedPageBreak/>
              <w:t>accelerated depreciation for horticultural plants, deferral of profit on forced disposal or death of livestock, deferral of profit on insurance recoveries, deferral of profit on double wool clips and greater leniency with respect to non-commercial business loss rules.</w:t>
            </w:r>
            <w:r>
              <w:rPr>
                <w:sz w:val="22"/>
                <w:szCs w:val="22"/>
              </w:rPr>
              <w:t xml:space="preserve"> They are often supported by assistance programs e.g. Commonwealth exceptional circumstances rebate during drought. </w:t>
            </w:r>
            <w:r w:rsidRPr="007160A2">
              <w:rPr>
                <w:rFonts w:eastAsiaTheme="minorHAnsi"/>
                <w:sz w:val="22"/>
                <w:szCs w:val="22"/>
              </w:rPr>
              <w:t xml:space="preserve">For a salary, tax is often paid on the basis of one person earning the gross salary but farmers often split the profits amongst partners or trust beneficiaries to reduce tax liability. Unlike other businesses farms are also exempt from State land tax. </w:t>
            </w:r>
          </w:p>
          <w:p w14:paraId="18AB92F9" w14:textId="77777777" w:rsidR="008F6D00" w:rsidRDefault="008F6D00" w:rsidP="008F6D00">
            <w:pPr>
              <w:pStyle w:val="FootnoteText"/>
              <w:rPr>
                <w:sz w:val="22"/>
                <w:szCs w:val="22"/>
              </w:rPr>
            </w:pPr>
          </w:p>
          <w:p w14:paraId="093209D1" w14:textId="77777777" w:rsidR="008F6D00" w:rsidRPr="007160A2" w:rsidRDefault="008F6D00" w:rsidP="008F6D00">
            <w:pPr>
              <w:pStyle w:val="FootnoteText"/>
              <w:rPr>
                <w:sz w:val="22"/>
                <w:szCs w:val="22"/>
              </w:rPr>
            </w:pPr>
            <w:r>
              <w:rPr>
                <w:sz w:val="22"/>
                <w:szCs w:val="22"/>
              </w:rPr>
              <w:t>The level of consolidation in agriculture is resulting in an increasing turnover from smaller family-run farming operations into relatively large corporates.</w:t>
            </w:r>
          </w:p>
          <w:p w14:paraId="5FAF429B" w14:textId="77777777" w:rsidR="008F6D00" w:rsidRDefault="008F6D00" w:rsidP="008F6D00"/>
          <w:p w14:paraId="619B308A" w14:textId="77777777" w:rsidR="008F6D00" w:rsidRDefault="008F6D00" w:rsidP="008F6D00">
            <w:pPr>
              <w:spacing w:after="240"/>
              <w:rPr>
                <w:bCs/>
                <w:color w:val="000000"/>
                <w:lang w:val="en-US"/>
              </w:rPr>
            </w:pPr>
            <w:r>
              <w:rPr>
                <w:bCs/>
                <w:color w:val="000000"/>
                <w:lang w:val="en-US"/>
              </w:rPr>
              <w:t>The diversity of many non-farm small businesses means that representation and assistance provided by a peak body is not available. Primary producers receive advice, support and membership discounts (including energy prices and vehicles) via membership with the VFF.</w:t>
            </w:r>
          </w:p>
          <w:p w14:paraId="19A1FE1E" w14:textId="77777777" w:rsidR="008F6D00" w:rsidRDefault="008F6D00" w:rsidP="008F6D00">
            <w:pPr>
              <w:spacing w:after="240"/>
              <w:rPr>
                <w:bCs/>
                <w:color w:val="000000"/>
                <w:lang w:val="en-US"/>
              </w:rPr>
            </w:pPr>
            <w:r>
              <w:rPr>
                <w:bCs/>
                <w:color w:val="000000"/>
                <w:lang w:val="en-US"/>
              </w:rPr>
              <w:t>Rates account for a small proportion of the operating costs of farms and are unlikely to materially change the viability of marginal farming enterprises.</w:t>
            </w:r>
          </w:p>
          <w:p w14:paraId="769E9285" w14:textId="77777777" w:rsidR="008F6D00" w:rsidRPr="00D835E7" w:rsidRDefault="008F6D00" w:rsidP="008F6D00">
            <w:pPr>
              <w:spacing w:after="240"/>
              <w:rPr>
                <w:bCs/>
                <w:color w:val="000000"/>
                <w:lang w:val="en-US"/>
              </w:rPr>
            </w:pPr>
            <w:r>
              <w:rPr>
                <w:bCs/>
                <w:color w:val="000000"/>
                <w:lang w:val="en-US"/>
              </w:rPr>
              <w:t>Protection for farming land is better addressed through planning provisions.</w:t>
            </w:r>
          </w:p>
        </w:tc>
      </w:tr>
    </w:tbl>
    <w:p w14:paraId="7CBE4C29" w14:textId="77777777" w:rsidR="008F6D00" w:rsidRDefault="008F6D00" w:rsidP="008F6D00"/>
    <w:p w14:paraId="2B7CCC1D" w14:textId="303F0B88" w:rsidR="008F6D00" w:rsidRDefault="008F6D00" w:rsidP="008F6D00">
      <w:pPr>
        <w:rPr>
          <w:i/>
        </w:rPr>
      </w:pPr>
      <w:r>
        <w:t xml:space="preserve">The influence of an interest group like the VFF in rural areas should not be understated, but claims from such organisations need to be critically evaluated. In March 2015 the VFF produced the Report, “Inequities in Rural Rating - A Comparison of the Rates on Businesses in Rural and Regional Victoria” which attempted to show that </w:t>
      </w:r>
      <w:r w:rsidRPr="00DB294D">
        <w:t>the significant disparity between rates paid by farm businesses compared to other commercial ratepayers.</w:t>
      </w:r>
      <w:r>
        <w:t xml:space="preserve"> The findings were based on a comparison of the </w:t>
      </w:r>
      <w:r w:rsidRPr="00810890">
        <w:rPr>
          <w:i/>
        </w:rPr>
        <w:t xml:space="preserve">average </w:t>
      </w:r>
      <w:r>
        <w:t xml:space="preserve">rates paid between farm </w:t>
      </w:r>
      <w:r>
        <w:rPr>
          <w:i/>
        </w:rPr>
        <w:t>businesses</w:t>
      </w:r>
      <w:r>
        <w:t xml:space="preserve"> and commercial </w:t>
      </w:r>
      <w:r w:rsidRPr="00810890">
        <w:rPr>
          <w:i/>
        </w:rPr>
        <w:t>assessments</w:t>
      </w:r>
      <w:r>
        <w:rPr>
          <w:i/>
        </w:rPr>
        <w:t xml:space="preserve"> </w:t>
      </w:r>
      <w:r w:rsidRPr="00CD0435">
        <w:t>in local government areas</w:t>
      </w:r>
      <w:r>
        <w:rPr>
          <w:i/>
        </w:rPr>
        <w:t xml:space="preserve">. </w:t>
      </w:r>
    </w:p>
    <w:p w14:paraId="5BDFB567" w14:textId="77777777" w:rsidR="006F774E" w:rsidRDefault="006F774E" w:rsidP="008F6D00">
      <w:pPr>
        <w:rPr>
          <w:i/>
        </w:rPr>
      </w:pPr>
    </w:p>
    <w:p w14:paraId="6DAF3ABE" w14:textId="7253BE61" w:rsidR="008F6D00" w:rsidRDefault="008F6D00" w:rsidP="008F6D00">
      <w:r w:rsidRPr="002B722D">
        <w:t xml:space="preserve">First, average rates are a poor indicator of the level of rates being paid across the frequency distribution of property values. No property </w:t>
      </w:r>
      <w:r>
        <w:t xml:space="preserve">actually </w:t>
      </w:r>
      <w:r w:rsidRPr="002B722D">
        <w:t>pays average rate</w:t>
      </w:r>
      <w:r>
        <w:t>s</w:t>
      </w:r>
      <w:r w:rsidRPr="002B722D">
        <w:t xml:space="preserve"> and </w:t>
      </w:r>
      <w:r>
        <w:t xml:space="preserve">average </w:t>
      </w:r>
      <w:r w:rsidRPr="002B722D">
        <w:t xml:space="preserve">levels are influenced by extreme values. </w:t>
      </w:r>
      <w:r>
        <w:t xml:space="preserve">Second, the comparison effectively compares multiple assessments for farms and single assessments for </w:t>
      </w:r>
      <w:r>
        <w:lastRenderedPageBreak/>
        <w:t xml:space="preserve">non-farm businesses ignoring the fact that while farm ratepayers often reside on farms, non-farm business owners may have businesses that involve more than one assessment and are also paying rates on their residences. The Report also purports to show </w:t>
      </w:r>
      <w:r w:rsidRPr="00CD0435">
        <w:t>the discrepancy between agricultural businesses and other commercial businesses in dollars of economic o</w:t>
      </w:r>
      <w:r>
        <w:t>utput per dollar of rates payed. The VFF has yet to respond to a MAV request made some time ago to clarify the basis and currency of the small area data used to establish the value of production in local government areas, which appears to have been extrapolated in some way.</w:t>
      </w:r>
    </w:p>
    <w:p w14:paraId="1A7E1518" w14:textId="77777777" w:rsidR="008B23DA" w:rsidRPr="002B722D" w:rsidRDefault="008B23DA" w:rsidP="008F6D00"/>
    <w:p w14:paraId="766D6C6D" w14:textId="77777777" w:rsidR="008F6D00" w:rsidRDefault="008F6D00" w:rsidP="006F774E">
      <w:pPr>
        <w:pStyle w:val="Heading2"/>
        <w:rPr>
          <w:b w:val="0"/>
        </w:rPr>
      </w:pPr>
      <w:r>
        <w:t xml:space="preserve"> </w:t>
      </w:r>
      <w:bookmarkStart w:id="66" w:name="_Toc462060591"/>
      <w:bookmarkStart w:id="67" w:name="_Toc462066830"/>
      <w:r>
        <w:t>Summary</w:t>
      </w:r>
      <w:bookmarkEnd w:id="66"/>
      <w:bookmarkEnd w:id="67"/>
    </w:p>
    <w:p w14:paraId="602AA074" w14:textId="77777777" w:rsidR="008B23DA" w:rsidRDefault="008B23DA" w:rsidP="008F6D00"/>
    <w:p w14:paraId="5EE596E5" w14:textId="03D3AF4C" w:rsidR="008F6D00" w:rsidRDefault="008F6D00" w:rsidP="008F6D00">
      <w:r w:rsidRPr="00A071F9">
        <w:t>Rates are an extremely complex area</w:t>
      </w:r>
      <w:r>
        <w:t>,</w:t>
      </w:r>
      <w:r w:rsidRPr="00A071F9">
        <w:t xml:space="preserve"> both to understand and explain</w:t>
      </w:r>
      <w:r>
        <w:t>,</w:t>
      </w:r>
      <w:r w:rsidRPr="00A071F9">
        <w:t xml:space="preserve"> and in most cases subject to undeserved bad press.</w:t>
      </w:r>
    </w:p>
    <w:p w14:paraId="3F81735B" w14:textId="77777777" w:rsidR="008B23DA" w:rsidRDefault="008B23DA" w:rsidP="008F6D00"/>
    <w:p w14:paraId="28DAAE6D" w14:textId="77777777" w:rsidR="008F6D00" w:rsidRDefault="008F6D00" w:rsidP="008F6D00">
      <w:r>
        <w:t xml:space="preserve">The homogeneity of council rating systems should not be an end or considered reflective that council rating systems are more equitable. </w:t>
      </w:r>
    </w:p>
    <w:p w14:paraId="32F06A73" w14:textId="77777777" w:rsidR="008B23DA" w:rsidRPr="00A071F9" w:rsidRDefault="008B23DA" w:rsidP="008F6D00"/>
    <w:p w14:paraId="68626044" w14:textId="6AF8A8BC" w:rsidR="008F6D00" w:rsidRDefault="008F6D00" w:rsidP="008F6D00">
      <w:r w:rsidRPr="00A071F9">
        <w:t>A system based on CIV, a uniform rate and no municipal charge is the easiest to justify in a holistic and consistent way. However this may not be consistent with council views of rating equity.</w:t>
      </w:r>
    </w:p>
    <w:p w14:paraId="60FB18C9" w14:textId="77777777" w:rsidR="008B23DA" w:rsidRPr="00A071F9" w:rsidRDefault="008B23DA" w:rsidP="008F6D00"/>
    <w:p w14:paraId="2113F449" w14:textId="52C450D8" w:rsidR="008F6D00" w:rsidRDefault="008F6D00" w:rsidP="008F6D00">
      <w:r w:rsidRPr="00A071F9">
        <w:t>Councils should not be restricted in their use of differential rates provided they undertake the work justifying the</w:t>
      </w:r>
      <w:r>
        <w:t>m</w:t>
      </w:r>
      <w:r w:rsidRPr="00A071F9">
        <w:t xml:space="preserve"> and they are subject to public scrutiny.</w:t>
      </w:r>
      <w:r w:rsidR="008B23DA">
        <w:br/>
      </w:r>
    </w:p>
    <w:p w14:paraId="158F575C" w14:textId="77777777" w:rsidR="008F6D00" w:rsidRDefault="008F6D00" w:rsidP="008F6D00">
      <w:r w:rsidRPr="00A071F9">
        <w:t>Fixed charge components are appropriately constrained under the rating framework because th</w:t>
      </w:r>
      <w:r>
        <w:t>ey are regressive and, if used, should be required to be justified in the same way as differential rates.</w:t>
      </w:r>
    </w:p>
    <w:p w14:paraId="2A9BD0F3" w14:textId="77777777" w:rsidR="008B23DA" w:rsidRDefault="008B23DA" w:rsidP="008F6D00"/>
    <w:p w14:paraId="371718CC" w14:textId="77777777" w:rsidR="008F6D00" w:rsidRDefault="008F6D00" w:rsidP="008F6D00">
      <w:r>
        <w:t xml:space="preserve">Less well-resourced councils find it more difficult to deal with the rate strategy development process. </w:t>
      </w:r>
    </w:p>
    <w:p w14:paraId="5939F89D" w14:textId="77777777" w:rsidR="008B23DA" w:rsidRPr="00D61CCA" w:rsidRDefault="008B23DA" w:rsidP="008F6D00"/>
    <w:p w14:paraId="0C1F22AE" w14:textId="77777777" w:rsidR="008F6D00" w:rsidRDefault="008F6D00" w:rsidP="008F6D00">
      <w:r>
        <w:t>Interest groups should be required to convince councils of the validity of their arguments for special treatment rather than have their case prosecuted by the State Government.</w:t>
      </w:r>
    </w:p>
    <w:p w14:paraId="3AE28C8A" w14:textId="77777777" w:rsidR="008B23DA" w:rsidRPr="00A071F9" w:rsidRDefault="008B23DA" w:rsidP="008F6D00"/>
    <w:p w14:paraId="21821526" w14:textId="6377C640" w:rsidR="008F6D00" w:rsidRDefault="008F6D00" w:rsidP="008F6D00">
      <w:r w:rsidRPr="00A071F9">
        <w:t>The current framework provided by Stat</w:t>
      </w:r>
      <w:r>
        <w:t xml:space="preserve">e legislation and associated guidelines is in places contradictory, confusing, </w:t>
      </w:r>
      <w:r w:rsidRPr="00A071F9">
        <w:t>inequitable</w:t>
      </w:r>
      <w:r>
        <w:t xml:space="preserve"> and overly interventionist. In particular, exemptions and special arrangements should be reviewed and a more hands-off approach to differential rating taken.</w:t>
      </w:r>
    </w:p>
    <w:p w14:paraId="0CA6CA3F" w14:textId="77777777" w:rsidR="008B23DA" w:rsidRDefault="008B23DA" w:rsidP="008F6D00"/>
    <w:p w14:paraId="16722587" w14:textId="221E931A" w:rsidR="008F6D00" w:rsidRDefault="008F6D00" w:rsidP="008F6D00">
      <w:r>
        <w:t xml:space="preserve">Less well-resourced councils find it more difficult to deal with the rate strategy development process. Nevertheless there is room for improvement in </w:t>
      </w:r>
      <w:r w:rsidR="006F774E">
        <w:t>c</w:t>
      </w:r>
      <w:r>
        <w:t>ouncils</w:t>
      </w:r>
      <w:r w:rsidR="006F774E">
        <w:t>’</w:t>
      </w:r>
      <w:r>
        <w:t xml:space="preserve"> performance in rate strategy development. </w:t>
      </w:r>
    </w:p>
    <w:p w14:paraId="341673E6" w14:textId="02E38929" w:rsidR="008F6D00" w:rsidRDefault="008F6D00" w:rsidP="008F6D00">
      <w:pPr>
        <w:rPr>
          <w:b/>
        </w:rPr>
      </w:pPr>
    </w:p>
    <w:sectPr w:rsidR="008F6D00" w:rsidSect="0074440B">
      <w:headerReference w:type="even" r:id="rId26"/>
      <w:headerReference w:type="default" r:id="rId27"/>
      <w:footerReference w:type="default" r:id="rId28"/>
      <w:headerReference w:type="first" r:id="rId29"/>
      <w:footerReference w:type="first" r:id="rId30"/>
      <w:pgSz w:w="11907" w:h="16840" w:code="9"/>
      <w:pgMar w:top="1440" w:right="1797" w:bottom="1440" w:left="1797"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EF492F" w14:textId="77777777" w:rsidR="007B7335" w:rsidRDefault="007B7335">
      <w:r>
        <w:separator/>
      </w:r>
    </w:p>
  </w:endnote>
  <w:endnote w:type="continuationSeparator" w:id="0">
    <w:p w14:paraId="128109D3" w14:textId="77777777" w:rsidR="007B7335" w:rsidRDefault="007B7335">
      <w:r>
        <w:continuationSeparator/>
      </w:r>
    </w:p>
  </w:endnote>
  <w:endnote w:type="continuationNotice" w:id="1">
    <w:p w14:paraId="113E13CD" w14:textId="77777777" w:rsidR="007B7335" w:rsidRDefault="007B73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882892" w14:textId="77777777" w:rsidR="007376A2" w:rsidRDefault="007376A2">
    <w:pPr>
      <w:pStyle w:val="Footer"/>
      <w:tabs>
        <w:tab w:val="clear" w:pos="4320"/>
        <w:tab w:val="clear" w:pos="8640"/>
      </w:tabs>
    </w:pPr>
    <w:r>
      <w:rPr>
        <w:rStyle w:val="PageNumber"/>
      </w:rPr>
      <w:tab/>
    </w:r>
    <w:r>
      <w:rPr>
        <w:rStyle w:val="PageNumber"/>
        <w:sz w:val="16"/>
      </w:rPr>
      <w:t>Current Practices in Councillor Training: June 2006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6CFCB0" w14:textId="77777777" w:rsidR="007376A2" w:rsidRDefault="007376A2">
    <w:pPr>
      <w:pStyle w:val="Footer"/>
      <w:tabs>
        <w:tab w:val="clear" w:pos="4320"/>
        <w:tab w:val="clear" w:pos="8640"/>
      </w:tabs>
      <w:rPr>
        <w:color w:val="FFFFFF"/>
      </w:rPr>
    </w:pPr>
    <w:r>
      <w:rPr>
        <w:rStyle w:val="PageNumber"/>
        <w:color w:val="FFFFFF"/>
      </w:rPr>
      <w:t>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9B25A1" w14:textId="1E611329" w:rsidR="007376A2" w:rsidRPr="007D5FD6" w:rsidRDefault="007376A2" w:rsidP="0074440B">
    <w:pPr>
      <w:pStyle w:val="Footer"/>
      <w:tabs>
        <w:tab w:val="clear" w:pos="8640"/>
        <w:tab w:val="right" w:pos="8364"/>
      </w:tabs>
      <w:rPr>
        <w:rStyle w:val="FooterChar"/>
      </w:rPr>
    </w:pPr>
    <w:r w:rsidRPr="002907FD">
      <w:rPr>
        <w:rFonts w:cs="Arial"/>
      </w:rPr>
      <w:fldChar w:fldCharType="begin"/>
    </w:r>
    <w:r w:rsidRPr="002907FD">
      <w:rPr>
        <w:rFonts w:cs="Arial"/>
      </w:rPr>
      <w:instrText xml:space="preserve"> PAGE </w:instrText>
    </w:r>
    <w:r w:rsidRPr="002907FD">
      <w:rPr>
        <w:rFonts w:cs="Arial"/>
      </w:rPr>
      <w:fldChar w:fldCharType="separate"/>
    </w:r>
    <w:r w:rsidR="00B448BC">
      <w:rPr>
        <w:rFonts w:cs="Arial"/>
        <w:noProof/>
      </w:rPr>
      <w:t>64</w:t>
    </w:r>
    <w:r w:rsidRPr="002907FD">
      <w:rPr>
        <w:rFonts w:cs="Arial"/>
      </w:rPr>
      <w:fldChar w:fldCharType="end"/>
    </w:r>
    <w:r w:rsidRPr="002907FD">
      <w:rPr>
        <w:rFonts w:ascii="Book Antiqua" w:hAnsi="Book Antiqua"/>
        <w:sz w:val="16"/>
        <w:szCs w:val="24"/>
      </w:rPr>
      <w:tab/>
    </w:r>
    <w:r>
      <w:rPr>
        <w:rFonts w:ascii="Book Antiqua" w:hAnsi="Book Antiqua"/>
        <w:sz w:val="16"/>
        <w:szCs w:val="24"/>
      </w:rPr>
      <w:tab/>
    </w:r>
    <w:sdt>
      <w:sdtPr>
        <w:rPr>
          <w:rStyle w:val="FooterChar"/>
        </w:rPr>
        <w:alias w:val="Title"/>
        <w:tag w:val=""/>
        <w:id w:val="527459822"/>
        <w:dataBinding w:prefixMappings="xmlns:ns0='http://purl.org/dc/elements/1.1/' xmlns:ns1='http://schemas.openxmlformats.org/package/2006/metadata/core-properties' " w:xpath="/ns1:coreProperties[1]/ns0:title[1]" w:storeItemID="{6C3C8BC8-F283-45AE-878A-BAB7291924A1}"/>
        <w:text/>
      </w:sdtPr>
      <w:sdtEndPr>
        <w:rPr>
          <w:rStyle w:val="FooterChar"/>
        </w:rPr>
      </w:sdtEndPr>
      <w:sdtContent>
        <w:r>
          <w:rPr>
            <w:rStyle w:val="FooterChar"/>
          </w:rPr>
          <w:t>Parliamentary Inquiry into Rural and Regional Councils</w:t>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2BE743" w14:textId="77777777" w:rsidR="007376A2" w:rsidRPr="00CC322A" w:rsidRDefault="007376A2">
    <w:pPr>
      <w:pStyle w:val="Footer"/>
      <w:rPr>
        <w:rFonts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1A8DE3" w14:textId="77777777" w:rsidR="007B7335" w:rsidRDefault="007B7335">
      <w:r>
        <w:separator/>
      </w:r>
    </w:p>
  </w:footnote>
  <w:footnote w:type="continuationSeparator" w:id="0">
    <w:p w14:paraId="33969CF0" w14:textId="77777777" w:rsidR="007B7335" w:rsidRDefault="007B7335">
      <w:r>
        <w:continuationSeparator/>
      </w:r>
    </w:p>
  </w:footnote>
  <w:footnote w:type="continuationNotice" w:id="1">
    <w:p w14:paraId="50986E96" w14:textId="77777777" w:rsidR="007B7335" w:rsidRDefault="007B7335"/>
  </w:footnote>
  <w:footnote w:id="2">
    <w:p w14:paraId="30385F0E" w14:textId="77777777" w:rsidR="007376A2" w:rsidRDefault="007376A2" w:rsidP="009A356E">
      <w:pPr>
        <w:pStyle w:val="FootnoteText"/>
      </w:pPr>
      <w:r>
        <w:rPr>
          <w:rStyle w:val="FootnoteReference"/>
        </w:rPr>
        <w:footnoteRef/>
      </w:r>
      <w:r>
        <w:t xml:space="preserve"> For the purposes of this analyses capex excludes funds spent on collections</w:t>
      </w:r>
    </w:p>
  </w:footnote>
  <w:footnote w:id="3">
    <w:p w14:paraId="7DA35BB2" w14:textId="77777777" w:rsidR="007376A2" w:rsidRDefault="007376A2" w:rsidP="009A356E">
      <w:pPr>
        <w:pStyle w:val="FootnoteText"/>
      </w:pPr>
      <w:r>
        <w:rPr>
          <w:rStyle w:val="FootnoteReference"/>
        </w:rPr>
        <w:footnoteRef/>
      </w:r>
      <w:r>
        <w:t xml:space="preserve"> Other liabilities under the scheme are related to Water Authorities</w:t>
      </w:r>
    </w:p>
  </w:footnote>
  <w:footnote w:id="4">
    <w:p w14:paraId="7F01C408" w14:textId="77777777" w:rsidR="007376A2" w:rsidRDefault="007376A2" w:rsidP="009A356E">
      <w:pPr>
        <w:pStyle w:val="FootnoteText"/>
      </w:pPr>
      <w:r>
        <w:rPr>
          <w:rStyle w:val="FootnoteReference"/>
        </w:rPr>
        <w:footnoteRef/>
      </w:r>
      <w:r>
        <w:t>Moving averages for asset renewal and rates covering  a number of years has been used to address the issue of lumpiness in renewal spending</w:t>
      </w:r>
    </w:p>
  </w:footnote>
  <w:footnote w:id="5">
    <w:p w14:paraId="43A63814" w14:textId="77777777" w:rsidR="007376A2" w:rsidRPr="00F5730F" w:rsidRDefault="007376A2" w:rsidP="008F6D00">
      <w:pPr>
        <w:pStyle w:val="ListParagraph"/>
        <w:ind w:left="0"/>
        <w:rPr>
          <w:sz w:val="18"/>
          <w:szCs w:val="18"/>
        </w:rPr>
      </w:pPr>
      <w:r w:rsidRPr="00F5730F">
        <w:rPr>
          <w:rStyle w:val="FootnoteReference"/>
          <w:sz w:val="18"/>
          <w:szCs w:val="18"/>
        </w:rPr>
        <w:footnoteRef/>
      </w:r>
      <w:r>
        <w:rPr>
          <w:sz w:val="18"/>
          <w:szCs w:val="18"/>
        </w:rPr>
        <w:t xml:space="preserve"> Comparison of</w:t>
      </w:r>
      <w:r w:rsidRPr="00F5730F">
        <w:rPr>
          <w:sz w:val="18"/>
          <w:szCs w:val="18"/>
        </w:rPr>
        <w:t xml:space="preserve"> a household comprising a male breadwinner on AWE with a dependent spouse, </w:t>
      </w:r>
      <w:r>
        <w:rPr>
          <w:sz w:val="18"/>
          <w:szCs w:val="18"/>
        </w:rPr>
        <w:t xml:space="preserve">two </w:t>
      </w:r>
      <w:r w:rsidRPr="00F5730F">
        <w:rPr>
          <w:sz w:val="18"/>
          <w:szCs w:val="18"/>
        </w:rPr>
        <w:t xml:space="preserve">infant children and home mortgage can be shown to have a “financially poorer” position than both single and couple pensioners fully or part reliant on the age pension owning their home outright and using a flexible draw down reverse mortgage to pay council rates. </w:t>
      </w:r>
    </w:p>
    <w:p w14:paraId="5AC231ED" w14:textId="77777777" w:rsidR="007376A2" w:rsidRDefault="007376A2" w:rsidP="008F6D00">
      <w:pPr>
        <w:pStyle w:val="FootnoteText"/>
      </w:pPr>
    </w:p>
  </w:footnote>
  <w:footnote w:id="6">
    <w:p w14:paraId="6702490E" w14:textId="77777777" w:rsidR="007376A2" w:rsidRDefault="007376A2" w:rsidP="008F6D00">
      <w:pPr>
        <w:pStyle w:val="FootnoteText"/>
      </w:pPr>
      <w:r>
        <w:rPr>
          <w:rStyle w:val="FootnoteReference"/>
        </w:rPr>
        <w:footnoteRef/>
      </w:r>
      <w:r>
        <w:t xml:space="preserve"> </w:t>
      </w:r>
      <w:r w:rsidRPr="00CF72D5">
        <w:t>In South Australia, the Local Government Act 1999 has provision for an exemption from rates on land that is within the area of the District Council of Coober Pedy</w:t>
      </w:r>
      <w:r>
        <w:t xml:space="preserve">. </w:t>
      </w:r>
      <w:r w:rsidRPr="00CF72D5">
        <w:t xml:space="preserve">In the NT all Mining Land mining operations are rated through a provision </w:t>
      </w:r>
      <w:r>
        <w:t xml:space="preserve">that </w:t>
      </w:r>
      <w:r w:rsidRPr="00CF72D5">
        <w:t>involv</w:t>
      </w:r>
      <w:r>
        <w:t>es an application process by c</w:t>
      </w:r>
      <w:r w:rsidRPr="00CF72D5">
        <w:t>ouncil</w:t>
      </w:r>
      <w:r>
        <w:t>s</w:t>
      </w:r>
      <w:r w:rsidRPr="00CF72D5">
        <w:t xml:space="preserve"> a</w:t>
      </w:r>
      <w:r>
        <w:t>nd</w:t>
      </w:r>
      <w:r w:rsidRPr="00CF72D5">
        <w:t xml:space="preserve"> consultative process between the </w:t>
      </w:r>
      <w:r>
        <w:t>councils, Minister and mine o</w:t>
      </w:r>
      <w:r w:rsidRPr="00CF72D5">
        <w:t>wner</w:t>
      </w:r>
      <w:r>
        <w:t>s</w:t>
      </w:r>
    </w:p>
  </w:footnote>
  <w:footnote w:id="7">
    <w:p w14:paraId="5DB996DE" w14:textId="77777777" w:rsidR="007376A2" w:rsidRDefault="007376A2" w:rsidP="008F6D00">
      <w:pPr>
        <w:pStyle w:val="FootnoteText"/>
      </w:pPr>
      <w:r>
        <w:rPr>
          <w:rStyle w:val="FootnoteReference"/>
        </w:rPr>
        <w:footnoteRef/>
      </w:r>
      <w:r>
        <w:t xml:space="preserve"> For example why would the benefit argument be any more valid with respect to retirement villages than other gated developments/resorts with common property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DA36B2" w14:textId="77777777" w:rsidR="007376A2" w:rsidRDefault="007376A2"/>
  <w:p w14:paraId="14714BC5" w14:textId="77777777" w:rsidR="007376A2" w:rsidRDefault="007376A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0011BC" w14:textId="136402FA" w:rsidR="007376A2" w:rsidRDefault="007376A2" w:rsidP="0074440B">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0E9C8A" w14:textId="77777777" w:rsidR="007376A2" w:rsidRDefault="007376A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3FB270" w14:textId="0F956532" w:rsidR="007376A2" w:rsidRDefault="007376A2" w:rsidP="0074440B">
    <w:pPr>
      <w:pStyle w:val="Header"/>
      <w:jc w:val="right"/>
    </w:pPr>
    <w:r>
      <w:rPr>
        <w:noProof/>
        <w:lang w:eastAsia="en-AU"/>
      </w:rPr>
      <w:drawing>
        <wp:inline distT="0" distB="0" distL="0" distR="0" wp14:anchorId="286CB991" wp14:editId="5C42A0AF">
          <wp:extent cx="1524000" cy="502920"/>
          <wp:effectExtent l="0" t="0" r="0" b="0"/>
          <wp:docPr id="3" name="Picture 3" descr="mav_b&amp;w_logo_for_docs" title="Municipal Association of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v_b&amp;w_logo_for_doc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502920"/>
                  </a:xfrm>
                  <a:prstGeom prst="rect">
                    <a:avLst/>
                  </a:prstGeom>
                  <a:noFill/>
                  <a:ln>
                    <a:noFill/>
                  </a:ln>
                </pic:spPr>
              </pic:pic>
            </a:graphicData>
          </a:graphic>
        </wp:inline>
      </w:drawing>
    </w:r>
  </w:p>
  <w:p w14:paraId="4BAD6840" w14:textId="77777777" w:rsidR="007376A2" w:rsidRPr="002907FD" w:rsidRDefault="007376A2" w:rsidP="0074440B">
    <w:pPr>
      <w:pStyle w:val="Heade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0D4F77" w14:textId="77777777" w:rsidR="007376A2" w:rsidRDefault="007376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4F34"/>
    <w:multiLevelType w:val="hybridMultilevel"/>
    <w:tmpl w:val="ADA893D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A84C88"/>
    <w:multiLevelType w:val="hybridMultilevel"/>
    <w:tmpl w:val="37A89B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nsid w:val="0ADA7830"/>
    <w:multiLevelType w:val="hybridMultilevel"/>
    <w:tmpl w:val="45EA8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B032B00"/>
    <w:multiLevelType w:val="hybridMultilevel"/>
    <w:tmpl w:val="ADEE30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B3B0BAD"/>
    <w:multiLevelType w:val="hybridMultilevel"/>
    <w:tmpl w:val="244E08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C2B1035"/>
    <w:multiLevelType w:val="hybridMultilevel"/>
    <w:tmpl w:val="53AAFD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C751235"/>
    <w:multiLevelType w:val="hybridMultilevel"/>
    <w:tmpl w:val="5A42ED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148A179A"/>
    <w:multiLevelType w:val="hybridMultilevel"/>
    <w:tmpl w:val="ED94F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5865D7A"/>
    <w:multiLevelType w:val="hybridMultilevel"/>
    <w:tmpl w:val="C51443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CC202C2"/>
    <w:multiLevelType w:val="hybridMultilevel"/>
    <w:tmpl w:val="E15E8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FEE1A92"/>
    <w:multiLevelType w:val="hybridMultilevel"/>
    <w:tmpl w:val="8552FE9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A7E50DD"/>
    <w:multiLevelType w:val="hybridMultilevel"/>
    <w:tmpl w:val="03BE0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CC37394"/>
    <w:multiLevelType w:val="hybridMultilevel"/>
    <w:tmpl w:val="79A87FFC"/>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0BF5872"/>
    <w:multiLevelType w:val="hybridMultilevel"/>
    <w:tmpl w:val="BC323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0F845A6"/>
    <w:multiLevelType w:val="hybridMultilevel"/>
    <w:tmpl w:val="5762E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1110716"/>
    <w:multiLevelType w:val="hybridMultilevel"/>
    <w:tmpl w:val="11FC71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51C4372"/>
    <w:multiLevelType w:val="hybridMultilevel"/>
    <w:tmpl w:val="7E2608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6F8070F"/>
    <w:multiLevelType w:val="hybridMultilevel"/>
    <w:tmpl w:val="5D3671C0"/>
    <w:lvl w:ilvl="0" w:tplc="0C090001">
      <w:start w:val="1"/>
      <w:numFmt w:val="bullet"/>
      <w:lvlText w:val=""/>
      <w:lvlJc w:val="left"/>
      <w:pPr>
        <w:ind w:left="720" w:hanging="360"/>
      </w:pPr>
      <w:rPr>
        <w:rFonts w:ascii="Symbol" w:hAnsi="Symbol" w:hint="default"/>
      </w:rPr>
    </w:lvl>
    <w:lvl w:ilvl="1" w:tplc="5FD4D32C">
      <w:numFmt w:val="bullet"/>
      <w:lvlText w:val="•"/>
      <w:lvlJc w:val="left"/>
      <w:pPr>
        <w:ind w:left="1440" w:hanging="360"/>
      </w:pPr>
      <w:rPr>
        <w:rFonts w:ascii="Arial" w:eastAsia="Calibr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A53536F"/>
    <w:multiLevelType w:val="hybridMultilevel"/>
    <w:tmpl w:val="07E64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672DD8"/>
    <w:multiLevelType w:val="hybridMultilevel"/>
    <w:tmpl w:val="C74E83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C315A15"/>
    <w:multiLevelType w:val="hybridMultilevel"/>
    <w:tmpl w:val="627A4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E016915"/>
    <w:multiLevelType w:val="hybridMultilevel"/>
    <w:tmpl w:val="09AE9E34"/>
    <w:lvl w:ilvl="0" w:tplc="0C090001">
      <w:start w:val="1"/>
      <w:numFmt w:val="bullet"/>
      <w:lvlText w:val=""/>
      <w:lvlJc w:val="left"/>
      <w:pPr>
        <w:ind w:left="786" w:hanging="360"/>
      </w:pPr>
      <w:rPr>
        <w:rFonts w:ascii="Symbol" w:hAnsi="Symbol" w:hint="default"/>
      </w:rPr>
    </w:lvl>
    <w:lvl w:ilvl="1" w:tplc="0C090003">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2">
    <w:nsid w:val="40814DE6"/>
    <w:multiLevelType w:val="hybridMultilevel"/>
    <w:tmpl w:val="89A85232"/>
    <w:lvl w:ilvl="0" w:tplc="0C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3393467"/>
    <w:multiLevelType w:val="hybridMultilevel"/>
    <w:tmpl w:val="226868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7652F95"/>
    <w:multiLevelType w:val="hybridMultilevel"/>
    <w:tmpl w:val="6BBC6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83A2741"/>
    <w:multiLevelType w:val="hybridMultilevel"/>
    <w:tmpl w:val="5540E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0AD3467"/>
    <w:multiLevelType w:val="hybridMultilevel"/>
    <w:tmpl w:val="31D873F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0C67BF9"/>
    <w:multiLevelType w:val="hybridMultilevel"/>
    <w:tmpl w:val="C888B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24D1891"/>
    <w:multiLevelType w:val="hybridMultilevel"/>
    <w:tmpl w:val="7660A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89047CE"/>
    <w:multiLevelType w:val="hybridMultilevel"/>
    <w:tmpl w:val="BDA293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A5F4577"/>
    <w:multiLevelType w:val="hybridMultilevel"/>
    <w:tmpl w:val="64B4AB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B867924"/>
    <w:multiLevelType w:val="hybridMultilevel"/>
    <w:tmpl w:val="5A3662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DE56F36"/>
    <w:multiLevelType w:val="multilevel"/>
    <w:tmpl w:val="5966311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nsid w:val="5F4118A8"/>
    <w:multiLevelType w:val="hybridMultilevel"/>
    <w:tmpl w:val="97981CB2"/>
    <w:lvl w:ilvl="0" w:tplc="FEBC0798">
      <w:start w:val="1"/>
      <w:numFmt w:val="lowerLetter"/>
      <w:lvlText w:val="(%1)"/>
      <w:lvlJc w:val="left"/>
      <w:pPr>
        <w:ind w:left="720" w:hanging="360"/>
      </w:pPr>
      <w:rPr>
        <w:u w:val="single"/>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4">
    <w:nsid w:val="66813EF7"/>
    <w:multiLevelType w:val="hybridMultilevel"/>
    <w:tmpl w:val="BDB8CC28"/>
    <w:lvl w:ilvl="0" w:tplc="7DACB434">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683782F"/>
    <w:multiLevelType w:val="multilevel"/>
    <w:tmpl w:val="7C30DEC4"/>
    <w:lvl w:ilvl="0">
      <w:start w:val="1"/>
      <w:numFmt w:val="decimal"/>
      <w:lvlRestart w:val="0"/>
      <w:pStyle w:val="Heading1"/>
      <w:lvlText w:val="%1"/>
      <w:lvlJc w:val="left"/>
      <w:pPr>
        <w:tabs>
          <w:tab w:val="num" w:pos="431"/>
        </w:tabs>
        <w:ind w:left="431" w:hanging="431"/>
      </w:pPr>
      <w:rPr>
        <w:rFonts w:hint="default"/>
      </w:rPr>
    </w:lvl>
    <w:lvl w:ilvl="1">
      <w:start w:val="1"/>
      <w:numFmt w:val="decimal"/>
      <w:pStyle w:val="Heading2"/>
      <w:lvlText w:val="%1.%2"/>
      <w:lvlJc w:val="left"/>
      <w:pPr>
        <w:tabs>
          <w:tab w:val="num" w:pos="578"/>
        </w:tabs>
        <w:ind w:left="578" w:hanging="578"/>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862"/>
        </w:tabs>
        <w:ind w:left="862" w:hanging="862"/>
      </w:pPr>
      <w:rPr>
        <w:rFonts w:hint="default"/>
      </w:rPr>
    </w:lvl>
    <w:lvl w:ilvl="4">
      <w:start w:val="1"/>
      <w:numFmt w:val="decimal"/>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36">
    <w:nsid w:val="6A9B1D30"/>
    <w:multiLevelType w:val="hybridMultilevel"/>
    <w:tmpl w:val="DAEE8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B3C3758"/>
    <w:multiLevelType w:val="hybridMultilevel"/>
    <w:tmpl w:val="EAAA0C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68E64DF"/>
    <w:multiLevelType w:val="hybridMultilevel"/>
    <w:tmpl w:val="17D46C3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nsid w:val="770F5A43"/>
    <w:multiLevelType w:val="hybridMultilevel"/>
    <w:tmpl w:val="2B560DEE"/>
    <w:lvl w:ilvl="0" w:tplc="D2A0BF12">
      <w:start w:val="1"/>
      <w:numFmt w:val="bullet"/>
      <w:lvlText w:val=""/>
      <w:lvlJc w:val="left"/>
      <w:pPr>
        <w:tabs>
          <w:tab w:val="num" w:pos="360"/>
        </w:tabs>
        <w:ind w:left="360" w:hanging="360"/>
      </w:pPr>
      <w:rPr>
        <w:rFonts w:ascii="Wingdings" w:hAnsi="Wingdings"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926685A"/>
    <w:multiLevelType w:val="hybridMultilevel"/>
    <w:tmpl w:val="19BA49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F507D0D"/>
    <w:multiLevelType w:val="hybridMultilevel"/>
    <w:tmpl w:val="A9583CC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2"/>
  </w:num>
  <w:num w:numId="2">
    <w:abstractNumId w:val="39"/>
  </w:num>
  <w:num w:numId="3">
    <w:abstractNumId w:val="35"/>
  </w:num>
  <w:num w:numId="4">
    <w:abstractNumId w:val="15"/>
  </w:num>
  <w:num w:numId="5">
    <w:abstractNumId w:val="6"/>
  </w:num>
  <w:num w:numId="6">
    <w:abstractNumId w:val="1"/>
  </w:num>
  <w:num w:numId="7">
    <w:abstractNumId w:val="30"/>
  </w:num>
  <w:num w:numId="8">
    <w:abstractNumId w:val="16"/>
  </w:num>
  <w:num w:numId="9">
    <w:abstractNumId w:val="8"/>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27"/>
  </w:num>
  <w:num w:numId="13">
    <w:abstractNumId w:val="19"/>
  </w:num>
  <w:num w:numId="14">
    <w:abstractNumId w:val="0"/>
  </w:num>
  <w:num w:numId="15">
    <w:abstractNumId w:val="3"/>
  </w:num>
  <w:num w:numId="16">
    <w:abstractNumId w:val="18"/>
  </w:num>
  <w:num w:numId="17">
    <w:abstractNumId w:val="36"/>
  </w:num>
  <w:num w:numId="18">
    <w:abstractNumId w:val="5"/>
  </w:num>
  <w:num w:numId="19">
    <w:abstractNumId w:val="7"/>
  </w:num>
  <w:num w:numId="20">
    <w:abstractNumId w:val="11"/>
  </w:num>
  <w:num w:numId="21">
    <w:abstractNumId w:val="28"/>
  </w:num>
  <w:num w:numId="22">
    <w:abstractNumId w:val="24"/>
  </w:num>
  <w:num w:numId="23">
    <w:abstractNumId w:val="32"/>
  </w:num>
  <w:num w:numId="24">
    <w:abstractNumId w:val="41"/>
  </w:num>
  <w:num w:numId="25">
    <w:abstractNumId w:val="2"/>
  </w:num>
  <w:num w:numId="26">
    <w:abstractNumId w:val="17"/>
  </w:num>
  <w:num w:numId="27">
    <w:abstractNumId w:val="21"/>
  </w:num>
  <w:num w:numId="28">
    <w:abstractNumId w:val="38"/>
  </w:num>
  <w:num w:numId="29">
    <w:abstractNumId w:val="29"/>
  </w:num>
  <w:num w:numId="30">
    <w:abstractNumId w:val="4"/>
  </w:num>
  <w:num w:numId="31">
    <w:abstractNumId w:val="14"/>
  </w:num>
  <w:num w:numId="32">
    <w:abstractNumId w:val="20"/>
  </w:num>
  <w:num w:numId="33">
    <w:abstractNumId w:val="10"/>
  </w:num>
  <w:num w:numId="34">
    <w:abstractNumId w:val="12"/>
  </w:num>
  <w:num w:numId="35">
    <w:abstractNumId w:val="25"/>
  </w:num>
  <w:num w:numId="36">
    <w:abstractNumId w:val="40"/>
  </w:num>
  <w:num w:numId="37">
    <w:abstractNumId w:val="31"/>
  </w:num>
  <w:num w:numId="38">
    <w:abstractNumId w:val="23"/>
  </w:num>
  <w:num w:numId="39">
    <w:abstractNumId w:val="13"/>
  </w:num>
  <w:num w:numId="40">
    <w:abstractNumId w:val="9"/>
  </w:num>
  <w:num w:numId="41">
    <w:abstractNumId w:val="37"/>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912"/>
    <w:rsid w:val="000246F3"/>
    <w:rsid w:val="0002562F"/>
    <w:rsid w:val="00045984"/>
    <w:rsid w:val="000555C6"/>
    <w:rsid w:val="00067A5A"/>
    <w:rsid w:val="00071A5B"/>
    <w:rsid w:val="00072AD7"/>
    <w:rsid w:val="00094AAB"/>
    <w:rsid w:val="000B0A57"/>
    <w:rsid w:val="000E21C3"/>
    <w:rsid w:val="000E33A5"/>
    <w:rsid w:val="001171E8"/>
    <w:rsid w:val="0012356D"/>
    <w:rsid w:val="00125D13"/>
    <w:rsid w:val="001435AC"/>
    <w:rsid w:val="0014441B"/>
    <w:rsid w:val="00151362"/>
    <w:rsid w:val="00155CD5"/>
    <w:rsid w:val="001716C3"/>
    <w:rsid w:val="001C5E78"/>
    <w:rsid w:val="001D699A"/>
    <w:rsid w:val="001E6907"/>
    <w:rsid w:val="001F2BCA"/>
    <w:rsid w:val="00263D8F"/>
    <w:rsid w:val="00283BBB"/>
    <w:rsid w:val="002D1E45"/>
    <w:rsid w:val="0030496D"/>
    <w:rsid w:val="00337032"/>
    <w:rsid w:val="00357AC2"/>
    <w:rsid w:val="00361B4A"/>
    <w:rsid w:val="00370D38"/>
    <w:rsid w:val="00371D42"/>
    <w:rsid w:val="00380D46"/>
    <w:rsid w:val="003B6397"/>
    <w:rsid w:val="003C7794"/>
    <w:rsid w:val="003F2115"/>
    <w:rsid w:val="00404471"/>
    <w:rsid w:val="004247B0"/>
    <w:rsid w:val="00424A4B"/>
    <w:rsid w:val="00432FCB"/>
    <w:rsid w:val="004365E9"/>
    <w:rsid w:val="00437C6F"/>
    <w:rsid w:val="0045607D"/>
    <w:rsid w:val="00463AAA"/>
    <w:rsid w:val="0048076B"/>
    <w:rsid w:val="004C0DA0"/>
    <w:rsid w:val="004C5818"/>
    <w:rsid w:val="004D136F"/>
    <w:rsid w:val="00513352"/>
    <w:rsid w:val="00516578"/>
    <w:rsid w:val="005335B3"/>
    <w:rsid w:val="00542559"/>
    <w:rsid w:val="00561EAB"/>
    <w:rsid w:val="00572C53"/>
    <w:rsid w:val="0057339F"/>
    <w:rsid w:val="005B7428"/>
    <w:rsid w:val="005C3C5C"/>
    <w:rsid w:val="005C66A5"/>
    <w:rsid w:val="005D09A8"/>
    <w:rsid w:val="005E1192"/>
    <w:rsid w:val="005F223A"/>
    <w:rsid w:val="00614A75"/>
    <w:rsid w:val="00624E7A"/>
    <w:rsid w:val="0063731C"/>
    <w:rsid w:val="00662565"/>
    <w:rsid w:val="00671FD6"/>
    <w:rsid w:val="00687C51"/>
    <w:rsid w:val="006908EB"/>
    <w:rsid w:val="006F774E"/>
    <w:rsid w:val="00700B72"/>
    <w:rsid w:val="00707885"/>
    <w:rsid w:val="00725B17"/>
    <w:rsid w:val="00736C83"/>
    <w:rsid w:val="007376A2"/>
    <w:rsid w:val="0074440B"/>
    <w:rsid w:val="00754011"/>
    <w:rsid w:val="007636A8"/>
    <w:rsid w:val="00781DB5"/>
    <w:rsid w:val="007973A9"/>
    <w:rsid w:val="00797440"/>
    <w:rsid w:val="007A3DDF"/>
    <w:rsid w:val="007B7335"/>
    <w:rsid w:val="007C1073"/>
    <w:rsid w:val="007E5060"/>
    <w:rsid w:val="007E7AFE"/>
    <w:rsid w:val="00817E1F"/>
    <w:rsid w:val="00825303"/>
    <w:rsid w:val="008A2FFE"/>
    <w:rsid w:val="008A695E"/>
    <w:rsid w:val="008A711B"/>
    <w:rsid w:val="008B23DA"/>
    <w:rsid w:val="008C598C"/>
    <w:rsid w:val="008F6D00"/>
    <w:rsid w:val="00902216"/>
    <w:rsid w:val="009029FF"/>
    <w:rsid w:val="00902F5B"/>
    <w:rsid w:val="009261D9"/>
    <w:rsid w:val="009369A4"/>
    <w:rsid w:val="009440FD"/>
    <w:rsid w:val="00971C69"/>
    <w:rsid w:val="00984C7B"/>
    <w:rsid w:val="0099636F"/>
    <w:rsid w:val="009A00B6"/>
    <w:rsid w:val="009A356E"/>
    <w:rsid w:val="009E36C3"/>
    <w:rsid w:val="009F49E1"/>
    <w:rsid w:val="009F6F52"/>
    <w:rsid w:val="00A0005B"/>
    <w:rsid w:val="00A0067D"/>
    <w:rsid w:val="00A10461"/>
    <w:rsid w:val="00A10F97"/>
    <w:rsid w:val="00A14ADF"/>
    <w:rsid w:val="00A15B3E"/>
    <w:rsid w:val="00A4522C"/>
    <w:rsid w:val="00A868E1"/>
    <w:rsid w:val="00A91959"/>
    <w:rsid w:val="00AA21C8"/>
    <w:rsid w:val="00AB10DC"/>
    <w:rsid w:val="00AF34D6"/>
    <w:rsid w:val="00AF5799"/>
    <w:rsid w:val="00B10727"/>
    <w:rsid w:val="00B121D0"/>
    <w:rsid w:val="00B3513E"/>
    <w:rsid w:val="00B37A23"/>
    <w:rsid w:val="00B42361"/>
    <w:rsid w:val="00B448BC"/>
    <w:rsid w:val="00BB2DE5"/>
    <w:rsid w:val="00BB2E7E"/>
    <w:rsid w:val="00BE1D43"/>
    <w:rsid w:val="00C05912"/>
    <w:rsid w:val="00C13939"/>
    <w:rsid w:val="00C322D2"/>
    <w:rsid w:val="00C32BD4"/>
    <w:rsid w:val="00C4565E"/>
    <w:rsid w:val="00C62F85"/>
    <w:rsid w:val="00C66D33"/>
    <w:rsid w:val="00C81EE4"/>
    <w:rsid w:val="00C836B5"/>
    <w:rsid w:val="00CC6507"/>
    <w:rsid w:val="00CE28B5"/>
    <w:rsid w:val="00CF545E"/>
    <w:rsid w:val="00CF5B39"/>
    <w:rsid w:val="00CF6D72"/>
    <w:rsid w:val="00D074ED"/>
    <w:rsid w:val="00D20723"/>
    <w:rsid w:val="00D471B2"/>
    <w:rsid w:val="00D569B4"/>
    <w:rsid w:val="00D574B1"/>
    <w:rsid w:val="00D65200"/>
    <w:rsid w:val="00D81848"/>
    <w:rsid w:val="00D83AC1"/>
    <w:rsid w:val="00DB0758"/>
    <w:rsid w:val="00DC3C7A"/>
    <w:rsid w:val="00DC506E"/>
    <w:rsid w:val="00E33DF0"/>
    <w:rsid w:val="00E4247A"/>
    <w:rsid w:val="00E46A2B"/>
    <w:rsid w:val="00E54990"/>
    <w:rsid w:val="00E714E8"/>
    <w:rsid w:val="00E8259F"/>
    <w:rsid w:val="00E82FBD"/>
    <w:rsid w:val="00E84BF5"/>
    <w:rsid w:val="00EA1089"/>
    <w:rsid w:val="00EB53E6"/>
    <w:rsid w:val="00EE2D4D"/>
    <w:rsid w:val="00F0714B"/>
    <w:rsid w:val="00F26DC0"/>
    <w:rsid w:val="00F351D9"/>
    <w:rsid w:val="00F41949"/>
    <w:rsid w:val="00F4638D"/>
    <w:rsid w:val="00F54145"/>
    <w:rsid w:val="00F56663"/>
    <w:rsid w:val="00F56A65"/>
    <w:rsid w:val="00F60D5F"/>
    <w:rsid w:val="00F94420"/>
    <w:rsid w:val="00FA5021"/>
    <w:rsid w:val="00FE22A5"/>
    <w:rsid w:val="00FE4B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56387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912"/>
    <w:rPr>
      <w:rFonts w:eastAsia="Times New Roman" w:cs="Times New Roman"/>
      <w:szCs w:val="20"/>
    </w:rPr>
  </w:style>
  <w:style w:type="paragraph" w:styleId="Heading1">
    <w:name w:val="heading 1"/>
    <w:basedOn w:val="Normal"/>
    <w:next w:val="Normal"/>
    <w:link w:val="Heading1Char"/>
    <w:qFormat/>
    <w:rsid w:val="00C05912"/>
    <w:pPr>
      <w:keepNext/>
      <w:numPr>
        <w:numId w:val="3"/>
      </w:numPr>
      <w:outlineLvl w:val="0"/>
    </w:pPr>
    <w:rPr>
      <w:kern w:val="28"/>
      <w:sz w:val="28"/>
    </w:rPr>
  </w:style>
  <w:style w:type="paragraph" w:styleId="Heading2">
    <w:name w:val="heading 2"/>
    <w:basedOn w:val="Normal"/>
    <w:next w:val="Normal"/>
    <w:link w:val="Heading2Char"/>
    <w:qFormat/>
    <w:rsid w:val="00C05912"/>
    <w:pPr>
      <w:keepNext/>
      <w:numPr>
        <w:ilvl w:val="1"/>
        <w:numId w:val="3"/>
      </w:numPr>
      <w:outlineLvl w:val="1"/>
    </w:pPr>
    <w:rPr>
      <w:b/>
    </w:rPr>
  </w:style>
  <w:style w:type="paragraph" w:styleId="Heading3">
    <w:name w:val="heading 3"/>
    <w:basedOn w:val="Normal"/>
    <w:next w:val="Normal"/>
    <w:link w:val="Heading3Char"/>
    <w:qFormat/>
    <w:rsid w:val="00C05912"/>
    <w:pPr>
      <w:keepNext/>
      <w:numPr>
        <w:ilvl w:val="2"/>
        <w:numId w:val="3"/>
      </w:numPr>
      <w:outlineLvl w:val="2"/>
    </w:pPr>
    <w:rPr>
      <w:rFonts w:cs="Arial"/>
      <w:u w:val="single"/>
    </w:rPr>
  </w:style>
  <w:style w:type="paragraph" w:styleId="Heading4">
    <w:name w:val="heading 4"/>
    <w:basedOn w:val="Normal"/>
    <w:next w:val="Normal"/>
    <w:link w:val="Heading4Char"/>
    <w:uiPriority w:val="9"/>
    <w:unhideWhenUsed/>
    <w:qFormat/>
    <w:rsid w:val="00984C7B"/>
    <w:pPr>
      <w:keepNext/>
      <w:keepLines/>
      <w:spacing w:before="200"/>
      <w:outlineLvl w:val="3"/>
    </w:pPr>
    <w:rPr>
      <w:rFonts w:eastAsiaTheme="majorEastAsia" w:cstheme="majorBidi"/>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5912"/>
    <w:rPr>
      <w:rFonts w:eastAsia="Times New Roman" w:cs="Times New Roman"/>
      <w:kern w:val="28"/>
      <w:sz w:val="28"/>
      <w:szCs w:val="20"/>
    </w:rPr>
  </w:style>
  <w:style w:type="character" w:customStyle="1" w:styleId="Heading2Char">
    <w:name w:val="Heading 2 Char"/>
    <w:basedOn w:val="DefaultParagraphFont"/>
    <w:link w:val="Heading2"/>
    <w:rsid w:val="00C05912"/>
    <w:rPr>
      <w:rFonts w:eastAsia="Times New Roman" w:cs="Times New Roman"/>
      <w:b/>
      <w:szCs w:val="20"/>
    </w:rPr>
  </w:style>
  <w:style w:type="character" w:customStyle="1" w:styleId="Heading3Char">
    <w:name w:val="Heading 3 Char"/>
    <w:basedOn w:val="DefaultParagraphFont"/>
    <w:link w:val="Heading3"/>
    <w:rsid w:val="00C05912"/>
    <w:rPr>
      <w:rFonts w:eastAsia="Times New Roman" w:cs="Arial"/>
      <w:szCs w:val="20"/>
      <w:u w:val="single"/>
    </w:rPr>
  </w:style>
  <w:style w:type="character" w:styleId="Hyperlink">
    <w:name w:val="Hyperlink"/>
    <w:basedOn w:val="DefaultParagraphFont"/>
    <w:uiPriority w:val="99"/>
    <w:rsid w:val="00C05912"/>
    <w:rPr>
      <w:color w:val="0000FF"/>
      <w:u w:val="single"/>
    </w:rPr>
  </w:style>
  <w:style w:type="paragraph" w:styleId="Header">
    <w:name w:val="header"/>
    <w:basedOn w:val="Normal"/>
    <w:link w:val="HeaderChar"/>
    <w:rsid w:val="00C05912"/>
    <w:pPr>
      <w:tabs>
        <w:tab w:val="center" w:pos="4320"/>
        <w:tab w:val="right" w:pos="8640"/>
      </w:tabs>
    </w:pPr>
  </w:style>
  <w:style w:type="character" w:customStyle="1" w:styleId="HeaderChar">
    <w:name w:val="Header Char"/>
    <w:basedOn w:val="DefaultParagraphFont"/>
    <w:link w:val="Header"/>
    <w:rsid w:val="00C05912"/>
    <w:rPr>
      <w:rFonts w:eastAsia="Times New Roman" w:cs="Times New Roman"/>
      <w:szCs w:val="20"/>
    </w:rPr>
  </w:style>
  <w:style w:type="paragraph" w:styleId="Footer">
    <w:name w:val="footer"/>
    <w:basedOn w:val="Normal"/>
    <w:link w:val="FooterChar"/>
    <w:rsid w:val="00C05912"/>
    <w:pPr>
      <w:tabs>
        <w:tab w:val="center" w:pos="4320"/>
        <w:tab w:val="right" w:pos="8640"/>
      </w:tabs>
    </w:pPr>
    <w:rPr>
      <w:sz w:val="20"/>
    </w:rPr>
  </w:style>
  <w:style w:type="character" w:customStyle="1" w:styleId="FooterChar">
    <w:name w:val="Footer Char"/>
    <w:basedOn w:val="DefaultParagraphFont"/>
    <w:link w:val="Footer"/>
    <w:rsid w:val="00C05912"/>
    <w:rPr>
      <w:rFonts w:eastAsia="Times New Roman" w:cs="Times New Roman"/>
      <w:sz w:val="20"/>
      <w:szCs w:val="20"/>
    </w:rPr>
  </w:style>
  <w:style w:type="character" w:styleId="PageNumber">
    <w:name w:val="page number"/>
    <w:basedOn w:val="DefaultParagraphFont"/>
    <w:rsid w:val="00C05912"/>
  </w:style>
  <w:style w:type="paragraph" w:styleId="TOC1">
    <w:name w:val="toc 1"/>
    <w:basedOn w:val="Normal"/>
    <w:next w:val="Normal"/>
    <w:autoRedefine/>
    <w:uiPriority w:val="39"/>
    <w:rsid w:val="00C05912"/>
    <w:pPr>
      <w:tabs>
        <w:tab w:val="left" w:pos="400"/>
        <w:tab w:val="right" w:leader="dot" w:pos="8636"/>
      </w:tabs>
      <w:spacing w:before="120"/>
    </w:pPr>
    <w:rPr>
      <w:bCs/>
      <w:i/>
      <w:iCs/>
      <w:szCs w:val="28"/>
    </w:rPr>
  </w:style>
  <w:style w:type="paragraph" w:styleId="TOC2">
    <w:name w:val="toc 2"/>
    <w:basedOn w:val="Normal"/>
    <w:next w:val="Normal"/>
    <w:autoRedefine/>
    <w:uiPriority w:val="39"/>
    <w:rsid w:val="00C05912"/>
    <w:pPr>
      <w:tabs>
        <w:tab w:val="left" w:pos="600"/>
        <w:tab w:val="right" w:leader="dot" w:pos="8636"/>
      </w:tabs>
      <w:spacing w:before="120"/>
      <w:ind w:left="198"/>
    </w:pPr>
    <w:rPr>
      <w:rFonts w:cs="Arial"/>
      <w:i/>
      <w:noProof/>
      <w:szCs w:val="26"/>
    </w:rPr>
  </w:style>
  <w:style w:type="paragraph" w:customStyle="1" w:styleId="TableHeading">
    <w:name w:val="Table Heading"/>
    <w:basedOn w:val="Normal"/>
    <w:rsid w:val="00C05912"/>
    <w:pPr>
      <w:spacing w:before="40" w:after="40"/>
    </w:pPr>
    <w:rPr>
      <w:rFonts w:cs="Arial"/>
      <w:b/>
      <w:szCs w:val="22"/>
    </w:rPr>
  </w:style>
  <w:style w:type="paragraph" w:customStyle="1" w:styleId="Tabletext">
    <w:name w:val="Table text"/>
    <w:basedOn w:val="Normal"/>
    <w:rsid w:val="00C05912"/>
    <w:pPr>
      <w:spacing w:before="40" w:after="40"/>
    </w:pPr>
    <w:rPr>
      <w:rFonts w:cs="Arial"/>
      <w:szCs w:val="22"/>
    </w:rPr>
  </w:style>
  <w:style w:type="paragraph" w:customStyle="1" w:styleId="Source">
    <w:name w:val="Source"/>
    <w:basedOn w:val="Normal"/>
    <w:rsid w:val="00C05912"/>
    <w:pPr>
      <w:spacing w:before="120" w:after="120"/>
      <w:jc w:val="both"/>
    </w:pPr>
    <w:rPr>
      <w:rFonts w:cs="Arial"/>
      <w:i/>
      <w:iCs/>
      <w:sz w:val="16"/>
    </w:rPr>
  </w:style>
  <w:style w:type="paragraph" w:customStyle="1" w:styleId="References">
    <w:name w:val="References"/>
    <w:basedOn w:val="Normal"/>
    <w:rsid w:val="00C05912"/>
    <w:pPr>
      <w:spacing w:before="120" w:after="120"/>
      <w:ind w:left="567" w:hanging="567"/>
      <w:jc w:val="both"/>
    </w:pPr>
    <w:rPr>
      <w:rFonts w:cs="Arial"/>
    </w:rPr>
  </w:style>
  <w:style w:type="character" w:customStyle="1" w:styleId="StyleBold">
    <w:name w:val="Style Bold"/>
    <w:basedOn w:val="DefaultParagraphFont"/>
    <w:rsid w:val="00C05912"/>
    <w:rPr>
      <w:rFonts w:ascii="Arial" w:hAnsi="Arial"/>
      <w:bCs/>
      <w:sz w:val="28"/>
    </w:rPr>
  </w:style>
  <w:style w:type="paragraph" w:customStyle="1" w:styleId="Disclaimer">
    <w:name w:val="Disclaimer"/>
    <w:basedOn w:val="Normal"/>
    <w:rsid w:val="00C05912"/>
    <w:pPr>
      <w:autoSpaceDE w:val="0"/>
      <w:autoSpaceDN w:val="0"/>
      <w:adjustRightInd w:val="0"/>
      <w:ind w:left="720"/>
    </w:pPr>
    <w:rPr>
      <w:rFonts w:cs="Arial"/>
      <w:i/>
      <w:iCs/>
      <w:color w:val="000000"/>
      <w:sz w:val="20"/>
    </w:rPr>
  </w:style>
  <w:style w:type="paragraph" w:customStyle="1" w:styleId="DisclaimerBold">
    <w:name w:val="Disclaimer Bold"/>
    <w:basedOn w:val="Disclaimer"/>
    <w:rsid w:val="00C05912"/>
    <w:rPr>
      <w:b/>
    </w:rPr>
  </w:style>
  <w:style w:type="paragraph" w:styleId="BalloonText">
    <w:name w:val="Balloon Text"/>
    <w:basedOn w:val="Normal"/>
    <w:link w:val="BalloonTextChar"/>
    <w:uiPriority w:val="99"/>
    <w:semiHidden/>
    <w:unhideWhenUsed/>
    <w:rsid w:val="00C05912"/>
    <w:rPr>
      <w:rFonts w:ascii="Tahoma" w:hAnsi="Tahoma" w:cs="Tahoma"/>
      <w:sz w:val="16"/>
      <w:szCs w:val="16"/>
    </w:rPr>
  </w:style>
  <w:style w:type="character" w:customStyle="1" w:styleId="BalloonTextChar">
    <w:name w:val="Balloon Text Char"/>
    <w:basedOn w:val="DefaultParagraphFont"/>
    <w:link w:val="BalloonText"/>
    <w:uiPriority w:val="99"/>
    <w:semiHidden/>
    <w:rsid w:val="00C05912"/>
    <w:rPr>
      <w:rFonts w:ascii="Tahoma" w:eastAsia="Times New Roman" w:hAnsi="Tahoma" w:cs="Tahoma"/>
      <w:sz w:val="16"/>
      <w:szCs w:val="16"/>
    </w:rPr>
  </w:style>
  <w:style w:type="character" w:styleId="Emphasis">
    <w:name w:val="Emphasis"/>
    <w:basedOn w:val="DefaultParagraphFont"/>
    <w:uiPriority w:val="20"/>
    <w:qFormat/>
    <w:rsid w:val="00EB53E6"/>
    <w:rPr>
      <w:i/>
      <w:iCs/>
    </w:rPr>
  </w:style>
  <w:style w:type="paragraph" w:styleId="Title">
    <w:name w:val="Title"/>
    <w:basedOn w:val="Header"/>
    <w:next w:val="Normal"/>
    <w:link w:val="TitleChar"/>
    <w:uiPriority w:val="10"/>
    <w:qFormat/>
    <w:rsid w:val="00B448BC"/>
    <w:pPr>
      <w:tabs>
        <w:tab w:val="clear" w:pos="4320"/>
        <w:tab w:val="clear" w:pos="8640"/>
      </w:tabs>
      <w:jc w:val="right"/>
    </w:pPr>
    <w:rPr>
      <w:rFonts w:cs="Arial"/>
      <w:b/>
      <w:bCs/>
      <w:sz w:val="36"/>
      <w:szCs w:val="36"/>
    </w:rPr>
  </w:style>
  <w:style w:type="character" w:customStyle="1" w:styleId="TitleChar">
    <w:name w:val="Title Char"/>
    <w:basedOn w:val="DefaultParagraphFont"/>
    <w:link w:val="Title"/>
    <w:uiPriority w:val="10"/>
    <w:rsid w:val="00B448BC"/>
    <w:rPr>
      <w:rFonts w:eastAsia="Times New Roman" w:cs="Arial"/>
      <w:b/>
      <w:bCs/>
      <w:sz w:val="36"/>
      <w:szCs w:val="36"/>
    </w:rPr>
  </w:style>
  <w:style w:type="character" w:styleId="PlaceholderText">
    <w:name w:val="Placeholder Text"/>
    <w:basedOn w:val="DefaultParagraphFont"/>
    <w:uiPriority w:val="99"/>
    <w:semiHidden/>
    <w:rsid w:val="0030496D"/>
    <w:rPr>
      <w:color w:val="808080"/>
    </w:rPr>
  </w:style>
  <w:style w:type="paragraph" w:styleId="Subtitle">
    <w:name w:val="Subtitle"/>
    <w:basedOn w:val="Title"/>
    <w:next w:val="Normal"/>
    <w:link w:val="SubtitleChar"/>
    <w:uiPriority w:val="11"/>
    <w:qFormat/>
    <w:rsid w:val="007E5060"/>
    <w:pPr>
      <w:framePr w:wrap="around" w:hAnchor="text"/>
    </w:pPr>
    <w:rPr>
      <w:sz w:val="28"/>
      <w:szCs w:val="28"/>
    </w:rPr>
  </w:style>
  <w:style w:type="character" w:customStyle="1" w:styleId="SubtitleChar">
    <w:name w:val="Subtitle Char"/>
    <w:basedOn w:val="DefaultParagraphFont"/>
    <w:link w:val="Subtitle"/>
    <w:uiPriority w:val="11"/>
    <w:rsid w:val="007E5060"/>
    <w:rPr>
      <w:rFonts w:eastAsia="Times New Roman" w:cs="Arial"/>
      <w:b/>
      <w:bCs/>
      <w:sz w:val="28"/>
      <w:szCs w:val="28"/>
    </w:rPr>
  </w:style>
  <w:style w:type="paragraph" w:styleId="Revision">
    <w:name w:val="Revision"/>
    <w:hidden/>
    <w:uiPriority w:val="99"/>
    <w:semiHidden/>
    <w:rsid w:val="00E714E8"/>
    <w:rPr>
      <w:rFonts w:eastAsia="Times New Roman" w:cs="Times New Roman"/>
      <w:szCs w:val="20"/>
    </w:rPr>
  </w:style>
  <w:style w:type="paragraph" w:styleId="NormalWeb">
    <w:name w:val="Normal (Web)"/>
    <w:basedOn w:val="Normal"/>
    <w:uiPriority w:val="99"/>
    <w:unhideWhenUsed/>
    <w:rsid w:val="00700B72"/>
    <w:pPr>
      <w:spacing w:after="240"/>
    </w:pPr>
    <w:rPr>
      <w:rFonts w:ascii="Times New Roman" w:hAnsi="Times New Roman"/>
      <w:sz w:val="24"/>
      <w:szCs w:val="24"/>
      <w:lang w:eastAsia="en-AU"/>
    </w:rPr>
  </w:style>
  <w:style w:type="paragraph" w:styleId="NoSpacing">
    <w:name w:val="No Spacing"/>
    <w:uiPriority w:val="1"/>
    <w:qFormat/>
    <w:rsid w:val="00700B72"/>
    <w:rPr>
      <w:rFonts w:eastAsia="Times New Roman" w:cs="Times New Roman"/>
      <w:szCs w:val="20"/>
    </w:rPr>
  </w:style>
  <w:style w:type="paragraph" w:styleId="ListParagraph">
    <w:name w:val="List Paragraph"/>
    <w:basedOn w:val="Normal"/>
    <w:uiPriority w:val="34"/>
    <w:qFormat/>
    <w:rsid w:val="00C4565E"/>
    <w:pPr>
      <w:ind w:left="720"/>
      <w:contextualSpacing/>
    </w:pPr>
  </w:style>
  <w:style w:type="paragraph" w:customStyle="1" w:styleId="Default">
    <w:name w:val="Default"/>
    <w:basedOn w:val="Normal"/>
    <w:rsid w:val="00C81EE4"/>
    <w:pPr>
      <w:autoSpaceDE w:val="0"/>
      <w:autoSpaceDN w:val="0"/>
    </w:pPr>
    <w:rPr>
      <w:rFonts w:eastAsiaTheme="minorHAnsi" w:cs="Arial"/>
      <w:color w:val="000000"/>
      <w:sz w:val="24"/>
      <w:szCs w:val="24"/>
    </w:rPr>
  </w:style>
  <w:style w:type="paragraph" w:styleId="Caption">
    <w:name w:val="caption"/>
    <w:basedOn w:val="Normal"/>
    <w:uiPriority w:val="35"/>
    <w:unhideWhenUsed/>
    <w:qFormat/>
    <w:rsid w:val="00DC3C7A"/>
    <w:pPr>
      <w:spacing w:after="200"/>
    </w:pPr>
    <w:rPr>
      <w:rFonts w:eastAsiaTheme="minorHAnsi" w:cs="Arial"/>
      <w:b/>
      <w:bCs/>
      <w:color w:val="4F81BD"/>
      <w:sz w:val="18"/>
      <w:szCs w:val="18"/>
    </w:rPr>
  </w:style>
  <w:style w:type="paragraph" w:styleId="FootnoteText">
    <w:name w:val="footnote text"/>
    <w:basedOn w:val="Normal"/>
    <w:link w:val="FootnoteTextChar"/>
    <w:semiHidden/>
    <w:unhideWhenUsed/>
    <w:rsid w:val="00AB10DC"/>
    <w:rPr>
      <w:sz w:val="20"/>
    </w:rPr>
  </w:style>
  <w:style w:type="character" w:customStyle="1" w:styleId="FootnoteTextChar">
    <w:name w:val="Footnote Text Char"/>
    <w:basedOn w:val="DefaultParagraphFont"/>
    <w:link w:val="FootnoteText"/>
    <w:semiHidden/>
    <w:rsid w:val="00AB10DC"/>
    <w:rPr>
      <w:rFonts w:eastAsia="Times New Roman" w:cs="Times New Roman"/>
      <w:sz w:val="20"/>
      <w:szCs w:val="20"/>
    </w:rPr>
  </w:style>
  <w:style w:type="character" w:styleId="FootnoteReference">
    <w:name w:val="footnote reference"/>
    <w:basedOn w:val="DefaultParagraphFont"/>
    <w:semiHidden/>
    <w:unhideWhenUsed/>
    <w:rsid w:val="00AB10DC"/>
    <w:rPr>
      <w:vertAlign w:val="superscript"/>
    </w:rPr>
  </w:style>
  <w:style w:type="table" w:styleId="TableGrid">
    <w:name w:val="Table Grid"/>
    <w:basedOn w:val="TableNormal"/>
    <w:uiPriority w:val="59"/>
    <w:rsid w:val="008F6D00"/>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2">
    <w:name w:val="Text 2"/>
    <w:qFormat/>
    <w:rsid w:val="009261D9"/>
    <w:pPr>
      <w:spacing w:line="264" w:lineRule="auto"/>
    </w:pPr>
    <w:rPr>
      <w:b/>
    </w:rPr>
  </w:style>
  <w:style w:type="character" w:styleId="CommentReference">
    <w:name w:val="annotation reference"/>
    <w:basedOn w:val="DefaultParagraphFont"/>
    <w:uiPriority w:val="99"/>
    <w:semiHidden/>
    <w:unhideWhenUsed/>
    <w:rsid w:val="009261D9"/>
    <w:rPr>
      <w:sz w:val="16"/>
      <w:szCs w:val="16"/>
    </w:rPr>
  </w:style>
  <w:style w:type="paragraph" w:styleId="CommentText">
    <w:name w:val="annotation text"/>
    <w:basedOn w:val="Normal"/>
    <w:link w:val="CommentTextChar"/>
    <w:uiPriority w:val="99"/>
    <w:semiHidden/>
    <w:unhideWhenUsed/>
    <w:rsid w:val="009261D9"/>
    <w:rPr>
      <w:rFonts w:eastAsiaTheme="minorHAnsi" w:cstheme="minorBidi"/>
      <w:sz w:val="20"/>
    </w:rPr>
  </w:style>
  <w:style w:type="character" w:customStyle="1" w:styleId="CommentTextChar">
    <w:name w:val="Comment Text Char"/>
    <w:basedOn w:val="DefaultParagraphFont"/>
    <w:link w:val="CommentText"/>
    <w:uiPriority w:val="99"/>
    <w:semiHidden/>
    <w:rsid w:val="009261D9"/>
    <w:rPr>
      <w:sz w:val="20"/>
      <w:szCs w:val="20"/>
    </w:rPr>
  </w:style>
  <w:style w:type="paragraph" w:styleId="PlainText">
    <w:name w:val="Plain Text"/>
    <w:basedOn w:val="Normal"/>
    <w:link w:val="PlainTextChar"/>
    <w:uiPriority w:val="99"/>
    <w:semiHidden/>
    <w:unhideWhenUsed/>
    <w:rsid w:val="00542559"/>
    <w:rPr>
      <w:szCs w:val="21"/>
      <w:lang w:eastAsia="en-AU"/>
    </w:rPr>
  </w:style>
  <w:style w:type="character" w:customStyle="1" w:styleId="PlainTextChar">
    <w:name w:val="Plain Text Char"/>
    <w:basedOn w:val="DefaultParagraphFont"/>
    <w:link w:val="PlainText"/>
    <w:uiPriority w:val="99"/>
    <w:semiHidden/>
    <w:rsid w:val="00542559"/>
    <w:rPr>
      <w:rFonts w:eastAsia="Times New Roman" w:cs="Times New Roman"/>
      <w:szCs w:val="21"/>
      <w:lang w:eastAsia="en-AU"/>
    </w:rPr>
  </w:style>
  <w:style w:type="paragraph" w:styleId="CommentSubject">
    <w:name w:val="annotation subject"/>
    <w:basedOn w:val="CommentText"/>
    <w:next w:val="CommentText"/>
    <w:link w:val="CommentSubjectChar"/>
    <w:uiPriority w:val="99"/>
    <w:semiHidden/>
    <w:unhideWhenUsed/>
    <w:rsid w:val="0014441B"/>
    <w:rPr>
      <w:rFonts w:eastAsia="Times New Roman" w:cs="Times New Roman"/>
      <w:b/>
      <w:bCs/>
    </w:rPr>
  </w:style>
  <w:style w:type="character" w:customStyle="1" w:styleId="CommentSubjectChar">
    <w:name w:val="Comment Subject Char"/>
    <w:basedOn w:val="CommentTextChar"/>
    <w:link w:val="CommentSubject"/>
    <w:uiPriority w:val="99"/>
    <w:semiHidden/>
    <w:rsid w:val="0014441B"/>
    <w:rPr>
      <w:rFonts w:eastAsia="Times New Roman" w:cs="Times New Roman"/>
      <w:b/>
      <w:bCs/>
      <w:sz w:val="20"/>
      <w:szCs w:val="20"/>
    </w:rPr>
  </w:style>
  <w:style w:type="character" w:customStyle="1" w:styleId="Heading4Char">
    <w:name w:val="Heading 4 Char"/>
    <w:basedOn w:val="DefaultParagraphFont"/>
    <w:link w:val="Heading4"/>
    <w:uiPriority w:val="9"/>
    <w:rsid w:val="00984C7B"/>
    <w:rPr>
      <w:rFonts w:eastAsiaTheme="majorEastAsia" w:cstheme="majorBidi"/>
      <w:bCs/>
      <w:i/>
      <w:iC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912"/>
    <w:rPr>
      <w:rFonts w:eastAsia="Times New Roman" w:cs="Times New Roman"/>
      <w:szCs w:val="20"/>
    </w:rPr>
  </w:style>
  <w:style w:type="paragraph" w:styleId="Heading1">
    <w:name w:val="heading 1"/>
    <w:basedOn w:val="Normal"/>
    <w:next w:val="Normal"/>
    <w:link w:val="Heading1Char"/>
    <w:qFormat/>
    <w:rsid w:val="00C05912"/>
    <w:pPr>
      <w:keepNext/>
      <w:numPr>
        <w:numId w:val="3"/>
      </w:numPr>
      <w:outlineLvl w:val="0"/>
    </w:pPr>
    <w:rPr>
      <w:kern w:val="28"/>
      <w:sz w:val="28"/>
    </w:rPr>
  </w:style>
  <w:style w:type="paragraph" w:styleId="Heading2">
    <w:name w:val="heading 2"/>
    <w:basedOn w:val="Normal"/>
    <w:next w:val="Normal"/>
    <w:link w:val="Heading2Char"/>
    <w:qFormat/>
    <w:rsid w:val="00C05912"/>
    <w:pPr>
      <w:keepNext/>
      <w:numPr>
        <w:ilvl w:val="1"/>
        <w:numId w:val="3"/>
      </w:numPr>
      <w:outlineLvl w:val="1"/>
    </w:pPr>
    <w:rPr>
      <w:b/>
    </w:rPr>
  </w:style>
  <w:style w:type="paragraph" w:styleId="Heading3">
    <w:name w:val="heading 3"/>
    <w:basedOn w:val="Normal"/>
    <w:next w:val="Normal"/>
    <w:link w:val="Heading3Char"/>
    <w:qFormat/>
    <w:rsid w:val="00C05912"/>
    <w:pPr>
      <w:keepNext/>
      <w:numPr>
        <w:ilvl w:val="2"/>
        <w:numId w:val="3"/>
      </w:numPr>
      <w:outlineLvl w:val="2"/>
    </w:pPr>
    <w:rPr>
      <w:rFonts w:cs="Arial"/>
      <w:u w:val="single"/>
    </w:rPr>
  </w:style>
  <w:style w:type="paragraph" w:styleId="Heading4">
    <w:name w:val="heading 4"/>
    <w:basedOn w:val="Normal"/>
    <w:next w:val="Normal"/>
    <w:link w:val="Heading4Char"/>
    <w:uiPriority w:val="9"/>
    <w:unhideWhenUsed/>
    <w:qFormat/>
    <w:rsid w:val="00984C7B"/>
    <w:pPr>
      <w:keepNext/>
      <w:keepLines/>
      <w:spacing w:before="200"/>
      <w:outlineLvl w:val="3"/>
    </w:pPr>
    <w:rPr>
      <w:rFonts w:eastAsiaTheme="majorEastAsia" w:cstheme="majorBidi"/>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5912"/>
    <w:rPr>
      <w:rFonts w:eastAsia="Times New Roman" w:cs="Times New Roman"/>
      <w:kern w:val="28"/>
      <w:sz w:val="28"/>
      <w:szCs w:val="20"/>
    </w:rPr>
  </w:style>
  <w:style w:type="character" w:customStyle="1" w:styleId="Heading2Char">
    <w:name w:val="Heading 2 Char"/>
    <w:basedOn w:val="DefaultParagraphFont"/>
    <w:link w:val="Heading2"/>
    <w:rsid w:val="00C05912"/>
    <w:rPr>
      <w:rFonts w:eastAsia="Times New Roman" w:cs="Times New Roman"/>
      <w:b/>
      <w:szCs w:val="20"/>
    </w:rPr>
  </w:style>
  <w:style w:type="character" w:customStyle="1" w:styleId="Heading3Char">
    <w:name w:val="Heading 3 Char"/>
    <w:basedOn w:val="DefaultParagraphFont"/>
    <w:link w:val="Heading3"/>
    <w:rsid w:val="00C05912"/>
    <w:rPr>
      <w:rFonts w:eastAsia="Times New Roman" w:cs="Arial"/>
      <w:szCs w:val="20"/>
      <w:u w:val="single"/>
    </w:rPr>
  </w:style>
  <w:style w:type="character" w:styleId="Hyperlink">
    <w:name w:val="Hyperlink"/>
    <w:basedOn w:val="DefaultParagraphFont"/>
    <w:uiPriority w:val="99"/>
    <w:rsid w:val="00C05912"/>
    <w:rPr>
      <w:color w:val="0000FF"/>
      <w:u w:val="single"/>
    </w:rPr>
  </w:style>
  <w:style w:type="paragraph" w:styleId="Header">
    <w:name w:val="header"/>
    <w:basedOn w:val="Normal"/>
    <w:link w:val="HeaderChar"/>
    <w:rsid w:val="00C05912"/>
    <w:pPr>
      <w:tabs>
        <w:tab w:val="center" w:pos="4320"/>
        <w:tab w:val="right" w:pos="8640"/>
      </w:tabs>
    </w:pPr>
  </w:style>
  <w:style w:type="character" w:customStyle="1" w:styleId="HeaderChar">
    <w:name w:val="Header Char"/>
    <w:basedOn w:val="DefaultParagraphFont"/>
    <w:link w:val="Header"/>
    <w:rsid w:val="00C05912"/>
    <w:rPr>
      <w:rFonts w:eastAsia="Times New Roman" w:cs="Times New Roman"/>
      <w:szCs w:val="20"/>
    </w:rPr>
  </w:style>
  <w:style w:type="paragraph" w:styleId="Footer">
    <w:name w:val="footer"/>
    <w:basedOn w:val="Normal"/>
    <w:link w:val="FooterChar"/>
    <w:rsid w:val="00C05912"/>
    <w:pPr>
      <w:tabs>
        <w:tab w:val="center" w:pos="4320"/>
        <w:tab w:val="right" w:pos="8640"/>
      </w:tabs>
    </w:pPr>
    <w:rPr>
      <w:sz w:val="20"/>
    </w:rPr>
  </w:style>
  <w:style w:type="character" w:customStyle="1" w:styleId="FooterChar">
    <w:name w:val="Footer Char"/>
    <w:basedOn w:val="DefaultParagraphFont"/>
    <w:link w:val="Footer"/>
    <w:rsid w:val="00C05912"/>
    <w:rPr>
      <w:rFonts w:eastAsia="Times New Roman" w:cs="Times New Roman"/>
      <w:sz w:val="20"/>
      <w:szCs w:val="20"/>
    </w:rPr>
  </w:style>
  <w:style w:type="character" w:styleId="PageNumber">
    <w:name w:val="page number"/>
    <w:basedOn w:val="DefaultParagraphFont"/>
    <w:rsid w:val="00C05912"/>
  </w:style>
  <w:style w:type="paragraph" w:styleId="TOC1">
    <w:name w:val="toc 1"/>
    <w:basedOn w:val="Normal"/>
    <w:next w:val="Normal"/>
    <w:autoRedefine/>
    <w:uiPriority w:val="39"/>
    <w:rsid w:val="00C05912"/>
    <w:pPr>
      <w:tabs>
        <w:tab w:val="left" w:pos="400"/>
        <w:tab w:val="right" w:leader="dot" w:pos="8636"/>
      </w:tabs>
      <w:spacing w:before="120"/>
    </w:pPr>
    <w:rPr>
      <w:bCs/>
      <w:i/>
      <w:iCs/>
      <w:szCs w:val="28"/>
    </w:rPr>
  </w:style>
  <w:style w:type="paragraph" w:styleId="TOC2">
    <w:name w:val="toc 2"/>
    <w:basedOn w:val="Normal"/>
    <w:next w:val="Normal"/>
    <w:autoRedefine/>
    <w:uiPriority w:val="39"/>
    <w:rsid w:val="00C05912"/>
    <w:pPr>
      <w:tabs>
        <w:tab w:val="left" w:pos="600"/>
        <w:tab w:val="right" w:leader="dot" w:pos="8636"/>
      </w:tabs>
      <w:spacing w:before="120"/>
      <w:ind w:left="198"/>
    </w:pPr>
    <w:rPr>
      <w:rFonts w:cs="Arial"/>
      <w:i/>
      <w:noProof/>
      <w:szCs w:val="26"/>
    </w:rPr>
  </w:style>
  <w:style w:type="paragraph" w:customStyle="1" w:styleId="TableHeading">
    <w:name w:val="Table Heading"/>
    <w:basedOn w:val="Normal"/>
    <w:rsid w:val="00C05912"/>
    <w:pPr>
      <w:spacing w:before="40" w:after="40"/>
    </w:pPr>
    <w:rPr>
      <w:rFonts w:cs="Arial"/>
      <w:b/>
      <w:szCs w:val="22"/>
    </w:rPr>
  </w:style>
  <w:style w:type="paragraph" w:customStyle="1" w:styleId="Tabletext">
    <w:name w:val="Table text"/>
    <w:basedOn w:val="Normal"/>
    <w:rsid w:val="00C05912"/>
    <w:pPr>
      <w:spacing w:before="40" w:after="40"/>
    </w:pPr>
    <w:rPr>
      <w:rFonts w:cs="Arial"/>
      <w:szCs w:val="22"/>
    </w:rPr>
  </w:style>
  <w:style w:type="paragraph" w:customStyle="1" w:styleId="Source">
    <w:name w:val="Source"/>
    <w:basedOn w:val="Normal"/>
    <w:rsid w:val="00C05912"/>
    <w:pPr>
      <w:spacing w:before="120" w:after="120"/>
      <w:jc w:val="both"/>
    </w:pPr>
    <w:rPr>
      <w:rFonts w:cs="Arial"/>
      <w:i/>
      <w:iCs/>
      <w:sz w:val="16"/>
    </w:rPr>
  </w:style>
  <w:style w:type="paragraph" w:customStyle="1" w:styleId="References">
    <w:name w:val="References"/>
    <w:basedOn w:val="Normal"/>
    <w:rsid w:val="00C05912"/>
    <w:pPr>
      <w:spacing w:before="120" w:after="120"/>
      <w:ind w:left="567" w:hanging="567"/>
      <w:jc w:val="both"/>
    </w:pPr>
    <w:rPr>
      <w:rFonts w:cs="Arial"/>
    </w:rPr>
  </w:style>
  <w:style w:type="character" w:customStyle="1" w:styleId="StyleBold">
    <w:name w:val="Style Bold"/>
    <w:basedOn w:val="DefaultParagraphFont"/>
    <w:rsid w:val="00C05912"/>
    <w:rPr>
      <w:rFonts w:ascii="Arial" w:hAnsi="Arial"/>
      <w:bCs/>
      <w:sz w:val="28"/>
    </w:rPr>
  </w:style>
  <w:style w:type="paragraph" w:customStyle="1" w:styleId="Disclaimer">
    <w:name w:val="Disclaimer"/>
    <w:basedOn w:val="Normal"/>
    <w:rsid w:val="00C05912"/>
    <w:pPr>
      <w:autoSpaceDE w:val="0"/>
      <w:autoSpaceDN w:val="0"/>
      <w:adjustRightInd w:val="0"/>
      <w:ind w:left="720"/>
    </w:pPr>
    <w:rPr>
      <w:rFonts w:cs="Arial"/>
      <w:i/>
      <w:iCs/>
      <w:color w:val="000000"/>
      <w:sz w:val="20"/>
    </w:rPr>
  </w:style>
  <w:style w:type="paragraph" w:customStyle="1" w:styleId="DisclaimerBold">
    <w:name w:val="Disclaimer Bold"/>
    <w:basedOn w:val="Disclaimer"/>
    <w:rsid w:val="00C05912"/>
    <w:rPr>
      <w:b/>
    </w:rPr>
  </w:style>
  <w:style w:type="paragraph" w:styleId="BalloonText">
    <w:name w:val="Balloon Text"/>
    <w:basedOn w:val="Normal"/>
    <w:link w:val="BalloonTextChar"/>
    <w:uiPriority w:val="99"/>
    <w:semiHidden/>
    <w:unhideWhenUsed/>
    <w:rsid w:val="00C05912"/>
    <w:rPr>
      <w:rFonts w:ascii="Tahoma" w:hAnsi="Tahoma" w:cs="Tahoma"/>
      <w:sz w:val="16"/>
      <w:szCs w:val="16"/>
    </w:rPr>
  </w:style>
  <w:style w:type="character" w:customStyle="1" w:styleId="BalloonTextChar">
    <w:name w:val="Balloon Text Char"/>
    <w:basedOn w:val="DefaultParagraphFont"/>
    <w:link w:val="BalloonText"/>
    <w:uiPriority w:val="99"/>
    <w:semiHidden/>
    <w:rsid w:val="00C05912"/>
    <w:rPr>
      <w:rFonts w:ascii="Tahoma" w:eastAsia="Times New Roman" w:hAnsi="Tahoma" w:cs="Tahoma"/>
      <w:sz w:val="16"/>
      <w:szCs w:val="16"/>
    </w:rPr>
  </w:style>
  <w:style w:type="character" w:styleId="Emphasis">
    <w:name w:val="Emphasis"/>
    <w:basedOn w:val="DefaultParagraphFont"/>
    <w:uiPriority w:val="20"/>
    <w:qFormat/>
    <w:rsid w:val="00EB53E6"/>
    <w:rPr>
      <w:i/>
      <w:iCs/>
    </w:rPr>
  </w:style>
  <w:style w:type="paragraph" w:styleId="Title">
    <w:name w:val="Title"/>
    <w:basedOn w:val="Header"/>
    <w:next w:val="Normal"/>
    <w:link w:val="TitleChar"/>
    <w:uiPriority w:val="10"/>
    <w:qFormat/>
    <w:rsid w:val="00B448BC"/>
    <w:pPr>
      <w:tabs>
        <w:tab w:val="clear" w:pos="4320"/>
        <w:tab w:val="clear" w:pos="8640"/>
      </w:tabs>
      <w:jc w:val="right"/>
    </w:pPr>
    <w:rPr>
      <w:rFonts w:cs="Arial"/>
      <w:b/>
      <w:bCs/>
      <w:sz w:val="36"/>
      <w:szCs w:val="36"/>
    </w:rPr>
  </w:style>
  <w:style w:type="character" w:customStyle="1" w:styleId="TitleChar">
    <w:name w:val="Title Char"/>
    <w:basedOn w:val="DefaultParagraphFont"/>
    <w:link w:val="Title"/>
    <w:uiPriority w:val="10"/>
    <w:rsid w:val="00B448BC"/>
    <w:rPr>
      <w:rFonts w:eastAsia="Times New Roman" w:cs="Arial"/>
      <w:b/>
      <w:bCs/>
      <w:sz w:val="36"/>
      <w:szCs w:val="36"/>
    </w:rPr>
  </w:style>
  <w:style w:type="character" w:styleId="PlaceholderText">
    <w:name w:val="Placeholder Text"/>
    <w:basedOn w:val="DefaultParagraphFont"/>
    <w:uiPriority w:val="99"/>
    <w:semiHidden/>
    <w:rsid w:val="0030496D"/>
    <w:rPr>
      <w:color w:val="808080"/>
    </w:rPr>
  </w:style>
  <w:style w:type="paragraph" w:styleId="Subtitle">
    <w:name w:val="Subtitle"/>
    <w:basedOn w:val="Title"/>
    <w:next w:val="Normal"/>
    <w:link w:val="SubtitleChar"/>
    <w:uiPriority w:val="11"/>
    <w:qFormat/>
    <w:rsid w:val="007E5060"/>
    <w:pPr>
      <w:framePr w:wrap="around" w:hAnchor="text"/>
    </w:pPr>
    <w:rPr>
      <w:sz w:val="28"/>
      <w:szCs w:val="28"/>
    </w:rPr>
  </w:style>
  <w:style w:type="character" w:customStyle="1" w:styleId="SubtitleChar">
    <w:name w:val="Subtitle Char"/>
    <w:basedOn w:val="DefaultParagraphFont"/>
    <w:link w:val="Subtitle"/>
    <w:uiPriority w:val="11"/>
    <w:rsid w:val="007E5060"/>
    <w:rPr>
      <w:rFonts w:eastAsia="Times New Roman" w:cs="Arial"/>
      <w:b/>
      <w:bCs/>
      <w:sz w:val="28"/>
      <w:szCs w:val="28"/>
    </w:rPr>
  </w:style>
  <w:style w:type="paragraph" w:styleId="Revision">
    <w:name w:val="Revision"/>
    <w:hidden/>
    <w:uiPriority w:val="99"/>
    <w:semiHidden/>
    <w:rsid w:val="00E714E8"/>
    <w:rPr>
      <w:rFonts w:eastAsia="Times New Roman" w:cs="Times New Roman"/>
      <w:szCs w:val="20"/>
    </w:rPr>
  </w:style>
  <w:style w:type="paragraph" w:styleId="NormalWeb">
    <w:name w:val="Normal (Web)"/>
    <w:basedOn w:val="Normal"/>
    <w:uiPriority w:val="99"/>
    <w:unhideWhenUsed/>
    <w:rsid w:val="00700B72"/>
    <w:pPr>
      <w:spacing w:after="240"/>
    </w:pPr>
    <w:rPr>
      <w:rFonts w:ascii="Times New Roman" w:hAnsi="Times New Roman"/>
      <w:sz w:val="24"/>
      <w:szCs w:val="24"/>
      <w:lang w:eastAsia="en-AU"/>
    </w:rPr>
  </w:style>
  <w:style w:type="paragraph" w:styleId="NoSpacing">
    <w:name w:val="No Spacing"/>
    <w:uiPriority w:val="1"/>
    <w:qFormat/>
    <w:rsid w:val="00700B72"/>
    <w:rPr>
      <w:rFonts w:eastAsia="Times New Roman" w:cs="Times New Roman"/>
      <w:szCs w:val="20"/>
    </w:rPr>
  </w:style>
  <w:style w:type="paragraph" w:styleId="ListParagraph">
    <w:name w:val="List Paragraph"/>
    <w:basedOn w:val="Normal"/>
    <w:uiPriority w:val="34"/>
    <w:qFormat/>
    <w:rsid w:val="00C4565E"/>
    <w:pPr>
      <w:ind w:left="720"/>
      <w:contextualSpacing/>
    </w:pPr>
  </w:style>
  <w:style w:type="paragraph" w:customStyle="1" w:styleId="Default">
    <w:name w:val="Default"/>
    <w:basedOn w:val="Normal"/>
    <w:rsid w:val="00C81EE4"/>
    <w:pPr>
      <w:autoSpaceDE w:val="0"/>
      <w:autoSpaceDN w:val="0"/>
    </w:pPr>
    <w:rPr>
      <w:rFonts w:eastAsiaTheme="minorHAnsi" w:cs="Arial"/>
      <w:color w:val="000000"/>
      <w:sz w:val="24"/>
      <w:szCs w:val="24"/>
    </w:rPr>
  </w:style>
  <w:style w:type="paragraph" w:styleId="Caption">
    <w:name w:val="caption"/>
    <w:basedOn w:val="Normal"/>
    <w:uiPriority w:val="35"/>
    <w:unhideWhenUsed/>
    <w:qFormat/>
    <w:rsid w:val="00DC3C7A"/>
    <w:pPr>
      <w:spacing w:after="200"/>
    </w:pPr>
    <w:rPr>
      <w:rFonts w:eastAsiaTheme="minorHAnsi" w:cs="Arial"/>
      <w:b/>
      <w:bCs/>
      <w:color w:val="4F81BD"/>
      <w:sz w:val="18"/>
      <w:szCs w:val="18"/>
    </w:rPr>
  </w:style>
  <w:style w:type="paragraph" w:styleId="FootnoteText">
    <w:name w:val="footnote text"/>
    <w:basedOn w:val="Normal"/>
    <w:link w:val="FootnoteTextChar"/>
    <w:semiHidden/>
    <w:unhideWhenUsed/>
    <w:rsid w:val="00AB10DC"/>
    <w:rPr>
      <w:sz w:val="20"/>
    </w:rPr>
  </w:style>
  <w:style w:type="character" w:customStyle="1" w:styleId="FootnoteTextChar">
    <w:name w:val="Footnote Text Char"/>
    <w:basedOn w:val="DefaultParagraphFont"/>
    <w:link w:val="FootnoteText"/>
    <w:semiHidden/>
    <w:rsid w:val="00AB10DC"/>
    <w:rPr>
      <w:rFonts w:eastAsia="Times New Roman" w:cs="Times New Roman"/>
      <w:sz w:val="20"/>
      <w:szCs w:val="20"/>
    </w:rPr>
  </w:style>
  <w:style w:type="character" w:styleId="FootnoteReference">
    <w:name w:val="footnote reference"/>
    <w:basedOn w:val="DefaultParagraphFont"/>
    <w:semiHidden/>
    <w:unhideWhenUsed/>
    <w:rsid w:val="00AB10DC"/>
    <w:rPr>
      <w:vertAlign w:val="superscript"/>
    </w:rPr>
  </w:style>
  <w:style w:type="table" w:styleId="TableGrid">
    <w:name w:val="Table Grid"/>
    <w:basedOn w:val="TableNormal"/>
    <w:uiPriority w:val="59"/>
    <w:rsid w:val="008F6D00"/>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2">
    <w:name w:val="Text 2"/>
    <w:qFormat/>
    <w:rsid w:val="009261D9"/>
    <w:pPr>
      <w:spacing w:line="264" w:lineRule="auto"/>
    </w:pPr>
    <w:rPr>
      <w:b/>
    </w:rPr>
  </w:style>
  <w:style w:type="character" w:styleId="CommentReference">
    <w:name w:val="annotation reference"/>
    <w:basedOn w:val="DefaultParagraphFont"/>
    <w:uiPriority w:val="99"/>
    <w:semiHidden/>
    <w:unhideWhenUsed/>
    <w:rsid w:val="009261D9"/>
    <w:rPr>
      <w:sz w:val="16"/>
      <w:szCs w:val="16"/>
    </w:rPr>
  </w:style>
  <w:style w:type="paragraph" w:styleId="CommentText">
    <w:name w:val="annotation text"/>
    <w:basedOn w:val="Normal"/>
    <w:link w:val="CommentTextChar"/>
    <w:uiPriority w:val="99"/>
    <w:semiHidden/>
    <w:unhideWhenUsed/>
    <w:rsid w:val="009261D9"/>
    <w:rPr>
      <w:rFonts w:eastAsiaTheme="minorHAnsi" w:cstheme="minorBidi"/>
      <w:sz w:val="20"/>
    </w:rPr>
  </w:style>
  <w:style w:type="character" w:customStyle="1" w:styleId="CommentTextChar">
    <w:name w:val="Comment Text Char"/>
    <w:basedOn w:val="DefaultParagraphFont"/>
    <w:link w:val="CommentText"/>
    <w:uiPriority w:val="99"/>
    <w:semiHidden/>
    <w:rsid w:val="009261D9"/>
    <w:rPr>
      <w:sz w:val="20"/>
      <w:szCs w:val="20"/>
    </w:rPr>
  </w:style>
  <w:style w:type="paragraph" w:styleId="PlainText">
    <w:name w:val="Plain Text"/>
    <w:basedOn w:val="Normal"/>
    <w:link w:val="PlainTextChar"/>
    <w:uiPriority w:val="99"/>
    <w:semiHidden/>
    <w:unhideWhenUsed/>
    <w:rsid w:val="00542559"/>
    <w:rPr>
      <w:szCs w:val="21"/>
      <w:lang w:eastAsia="en-AU"/>
    </w:rPr>
  </w:style>
  <w:style w:type="character" w:customStyle="1" w:styleId="PlainTextChar">
    <w:name w:val="Plain Text Char"/>
    <w:basedOn w:val="DefaultParagraphFont"/>
    <w:link w:val="PlainText"/>
    <w:uiPriority w:val="99"/>
    <w:semiHidden/>
    <w:rsid w:val="00542559"/>
    <w:rPr>
      <w:rFonts w:eastAsia="Times New Roman" w:cs="Times New Roman"/>
      <w:szCs w:val="21"/>
      <w:lang w:eastAsia="en-AU"/>
    </w:rPr>
  </w:style>
  <w:style w:type="paragraph" w:styleId="CommentSubject">
    <w:name w:val="annotation subject"/>
    <w:basedOn w:val="CommentText"/>
    <w:next w:val="CommentText"/>
    <w:link w:val="CommentSubjectChar"/>
    <w:uiPriority w:val="99"/>
    <w:semiHidden/>
    <w:unhideWhenUsed/>
    <w:rsid w:val="0014441B"/>
    <w:rPr>
      <w:rFonts w:eastAsia="Times New Roman" w:cs="Times New Roman"/>
      <w:b/>
      <w:bCs/>
    </w:rPr>
  </w:style>
  <w:style w:type="character" w:customStyle="1" w:styleId="CommentSubjectChar">
    <w:name w:val="Comment Subject Char"/>
    <w:basedOn w:val="CommentTextChar"/>
    <w:link w:val="CommentSubject"/>
    <w:uiPriority w:val="99"/>
    <w:semiHidden/>
    <w:rsid w:val="0014441B"/>
    <w:rPr>
      <w:rFonts w:eastAsia="Times New Roman" w:cs="Times New Roman"/>
      <w:b/>
      <w:bCs/>
      <w:sz w:val="20"/>
      <w:szCs w:val="20"/>
    </w:rPr>
  </w:style>
  <w:style w:type="character" w:customStyle="1" w:styleId="Heading4Char">
    <w:name w:val="Heading 4 Char"/>
    <w:basedOn w:val="DefaultParagraphFont"/>
    <w:link w:val="Heading4"/>
    <w:uiPriority w:val="9"/>
    <w:rsid w:val="00984C7B"/>
    <w:rPr>
      <w:rFonts w:eastAsiaTheme="majorEastAsia" w:cstheme="majorBidi"/>
      <w:bCs/>
      <w:i/>
      <w:i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8227">
      <w:bodyDiv w:val="1"/>
      <w:marLeft w:val="0"/>
      <w:marRight w:val="0"/>
      <w:marTop w:val="0"/>
      <w:marBottom w:val="0"/>
      <w:divBdr>
        <w:top w:val="none" w:sz="0" w:space="0" w:color="auto"/>
        <w:left w:val="none" w:sz="0" w:space="0" w:color="auto"/>
        <w:bottom w:val="none" w:sz="0" w:space="0" w:color="auto"/>
        <w:right w:val="none" w:sz="0" w:space="0" w:color="auto"/>
      </w:divBdr>
    </w:div>
    <w:div w:id="147333485">
      <w:bodyDiv w:val="1"/>
      <w:marLeft w:val="0"/>
      <w:marRight w:val="0"/>
      <w:marTop w:val="0"/>
      <w:marBottom w:val="0"/>
      <w:divBdr>
        <w:top w:val="none" w:sz="0" w:space="0" w:color="auto"/>
        <w:left w:val="none" w:sz="0" w:space="0" w:color="auto"/>
        <w:bottom w:val="none" w:sz="0" w:space="0" w:color="auto"/>
        <w:right w:val="none" w:sz="0" w:space="0" w:color="auto"/>
      </w:divBdr>
    </w:div>
    <w:div w:id="305398897">
      <w:bodyDiv w:val="1"/>
      <w:marLeft w:val="0"/>
      <w:marRight w:val="0"/>
      <w:marTop w:val="0"/>
      <w:marBottom w:val="0"/>
      <w:divBdr>
        <w:top w:val="none" w:sz="0" w:space="0" w:color="auto"/>
        <w:left w:val="none" w:sz="0" w:space="0" w:color="auto"/>
        <w:bottom w:val="none" w:sz="0" w:space="0" w:color="auto"/>
        <w:right w:val="none" w:sz="0" w:space="0" w:color="auto"/>
      </w:divBdr>
    </w:div>
    <w:div w:id="608047056">
      <w:bodyDiv w:val="1"/>
      <w:marLeft w:val="0"/>
      <w:marRight w:val="0"/>
      <w:marTop w:val="0"/>
      <w:marBottom w:val="0"/>
      <w:divBdr>
        <w:top w:val="none" w:sz="0" w:space="0" w:color="auto"/>
        <w:left w:val="none" w:sz="0" w:space="0" w:color="auto"/>
        <w:bottom w:val="none" w:sz="0" w:space="0" w:color="auto"/>
        <w:right w:val="none" w:sz="0" w:space="0" w:color="auto"/>
      </w:divBdr>
    </w:div>
    <w:div w:id="827673532">
      <w:bodyDiv w:val="1"/>
      <w:marLeft w:val="0"/>
      <w:marRight w:val="0"/>
      <w:marTop w:val="0"/>
      <w:marBottom w:val="0"/>
      <w:divBdr>
        <w:top w:val="none" w:sz="0" w:space="0" w:color="auto"/>
        <w:left w:val="none" w:sz="0" w:space="0" w:color="auto"/>
        <w:bottom w:val="none" w:sz="0" w:space="0" w:color="auto"/>
        <w:right w:val="none" w:sz="0" w:space="0" w:color="auto"/>
      </w:divBdr>
    </w:div>
    <w:div w:id="914586252">
      <w:bodyDiv w:val="1"/>
      <w:marLeft w:val="0"/>
      <w:marRight w:val="0"/>
      <w:marTop w:val="0"/>
      <w:marBottom w:val="0"/>
      <w:divBdr>
        <w:top w:val="none" w:sz="0" w:space="0" w:color="auto"/>
        <w:left w:val="none" w:sz="0" w:space="0" w:color="auto"/>
        <w:bottom w:val="none" w:sz="0" w:space="0" w:color="auto"/>
        <w:right w:val="none" w:sz="0" w:space="0" w:color="auto"/>
      </w:divBdr>
    </w:div>
    <w:div w:id="1079903415">
      <w:bodyDiv w:val="1"/>
      <w:marLeft w:val="0"/>
      <w:marRight w:val="0"/>
      <w:marTop w:val="0"/>
      <w:marBottom w:val="0"/>
      <w:divBdr>
        <w:top w:val="none" w:sz="0" w:space="0" w:color="auto"/>
        <w:left w:val="none" w:sz="0" w:space="0" w:color="auto"/>
        <w:bottom w:val="none" w:sz="0" w:space="0" w:color="auto"/>
        <w:right w:val="none" w:sz="0" w:space="0" w:color="auto"/>
      </w:divBdr>
    </w:div>
    <w:div w:id="1172985085">
      <w:bodyDiv w:val="1"/>
      <w:marLeft w:val="0"/>
      <w:marRight w:val="0"/>
      <w:marTop w:val="0"/>
      <w:marBottom w:val="0"/>
      <w:divBdr>
        <w:top w:val="none" w:sz="0" w:space="0" w:color="auto"/>
        <w:left w:val="none" w:sz="0" w:space="0" w:color="auto"/>
        <w:bottom w:val="none" w:sz="0" w:space="0" w:color="auto"/>
        <w:right w:val="none" w:sz="0" w:space="0" w:color="auto"/>
      </w:divBdr>
      <w:divsChild>
        <w:div w:id="580717724">
          <w:marLeft w:val="0"/>
          <w:marRight w:val="0"/>
          <w:marTop w:val="0"/>
          <w:marBottom w:val="0"/>
          <w:divBdr>
            <w:top w:val="none" w:sz="0" w:space="0" w:color="auto"/>
            <w:left w:val="none" w:sz="0" w:space="0" w:color="auto"/>
            <w:bottom w:val="none" w:sz="0" w:space="0" w:color="auto"/>
            <w:right w:val="none" w:sz="0" w:space="0" w:color="auto"/>
          </w:divBdr>
          <w:divsChild>
            <w:div w:id="2021851437">
              <w:marLeft w:val="0"/>
              <w:marRight w:val="0"/>
              <w:marTop w:val="0"/>
              <w:marBottom w:val="0"/>
              <w:divBdr>
                <w:top w:val="none" w:sz="0" w:space="0" w:color="auto"/>
                <w:left w:val="none" w:sz="0" w:space="0" w:color="auto"/>
                <w:bottom w:val="none" w:sz="0" w:space="0" w:color="auto"/>
                <w:right w:val="none" w:sz="0" w:space="0" w:color="auto"/>
              </w:divBdr>
              <w:divsChild>
                <w:div w:id="4333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532233">
      <w:bodyDiv w:val="1"/>
      <w:marLeft w:val="0"/>
      <w:marRight w:val="0"/>
      <w:marTop w:val="0"/>
      <w:marBottom w:val="0"/>
      <w:divBdr>
        <w:top w:val="none" w:sz="0" w:space="0" w:color="auto"/>
        <w:left w:val="none" w:sz="0" w:space="0" w:color="auto"/>
        <w:bottom w:val="none" w:sz="0" w:space="0" w:color="auto"/>
        <w:right w:val="none" w:sz="0" w:space="0" w:color="auto"/>
      </w:divBdr>
    </w:div>
    <w:div w:id="199151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header" Target="header3.xml"/><Relationship Id="rId8" Type="http://schemas.openxmlformats.org/officeDocument/2006/relationships/numbering" Target="numbering.xml"/><Relationship Id="rId3" Type="http://schemas.openxmlformats.org/officeDocument/2006/relationships/customXml" Target="../customXml/item3.xml"/><Relationship Id="rId21" Type="http://schemas.openxmlformats.org/officeDocument/2006/relationships/chart" Target="charts/chart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chart" Target="charts/chart6.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chart" Target="charts/chart1.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chart" Target="charts/chart5.xml"/><Relationship Id="rId32" Type="http://schemas.openxmlformats.org/officeDocument/2006/relationships/glossaryDocument" Target="glossary/document.xml"/><Relationship Id="rId28" Type="http://schemas.openxmlformats.org/officeDocument/2006/relationships/footer" Target="footer3.xml"/><Relationship Id="rId15" Type="http://schemas.openxmlformats.org/officeDocument/2006/relationships/image" Target="media/image1.jpeg"/><Relationship Id="rId23" Type="http://schemas.openxmlformats.org/officeDocument/2006/relationships/chart" Target="charts/chart4.xml"/><Relationship Id="rId10" Type="http://schemas.microsoft.com/office/2007/relationships/stylesWithEffects" Target="stylesWithEffects.xml"/><Relationship Id="rId19" Type="http://schemas.openxmlformats.org/officeDocument/2006/relationships/footer" Target="footer2.xml"/><Relationship Id="rId31" Type="http://schemas.openxmlformats.org/officeDocument/2006/relationships/fontTable" Target="fontTable.xml"/><Relationship Id="rId30" Type="http://schemas.openxmlformats.org/officeDocument/2006/relationships/footer" Target="footer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chart" Target="charts/chart3.xml"/><Relationship Id="rId27" Type="http://schemas.openxmlformats.org/officeDocument/2006/relationships/header" Target="header4.xml"/></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tkoops\Documents\LGDatabase\VGC\untiedpaid.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tkoops\Documents\Libraries\libfund_totals.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tkoops\Documents\LGDatabase\VGC\Partlt_Review_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tkoops\Documents\LGDatabase\VGC\Partlt_Review_1.xlsx" TargetMode="Externa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Move in FAGs per Head</a:t>
            </a:r>
          </a:p>
        </c:rich>
      </c:tx>
      <c:overlay val="0"/>
    </c:title>
    <c:autoTitleDeleted val="0"/>
    <c:plotArea>
      <c:layout/>
      <c:lineChart>
        <c:grouping val="standard"/>
        <c:varyColors val="0"/>
        <c:ser>
          <c:idx val="0"/>
          <c:order val="0"/>
          <c:tx>
            <c:strRef>
              <c:f>Sheet2!$B$3</c:f>
              <c:strCache>
                <c:ptCount val="1"/>
                <c:pt idx="0">
                  <c:v>R&amp;R - FAGs per Head 60% CPI/40% WPI</c:v>
                </c:pt>
              </c:strCache>
            </c:strRef>
          </c:tx>
          <c:marker>
            <c:symbol val="none"/>
          </c:marker>
          <c:cat>
            <c:numRef>
              <c:f>Sheet2!$C$2:$S$2</c:f>
              <c:numCache>
                <c:formatCode>General</c:formatCode>
                <c:ptCount val="17"/>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numCache>
            </c:numRef>
          </c:cat>
          <c:val>
            <c:numRef>
              <c:f>Sheet2!$C$3:$S$3</c:f>
              <c:numCache>
                <c:formatCode>0.0</c:formatCode>
                <c:ptCount val="17"/>
                <c:pt idx="0">
                  <c:v>122.69378079190776</c:v>
                </c:pt>
                <c:pt idx="1">
                  <c:v>124.94254226749936</c:v>
                </c:pt>
                <c:pt idx="2">
                  <c:v>128.80977535137384</c:v>
                </c:pt>
                <c:pt idx="3">
                  <c:v>135.12224721328604</c:v>
                </c:pt>
                <c:pt idx="4">
                  <c:v>137.22818565889295</c:v>
                </c:pt>
                <c:pt idx="5">
                  <c:v>133.01591558614271</c:v>
                </c:pt>
                <c:pt idx="6">
                  <c:v>137.09946513326094</c:v>
                </c:pt>
                <c:pt idx="7">
                  <c:v>138.3938569529287</c:v>
                </c:pt>
                <c:pt idx="8">
                  <c:v>139.22366351184002</c:v>
                </c:pt>
                <c:pt idx="9">
                  <c:v>141.75884383792331</c:v>
                </c:pt>
                <c:pt idx="10">
                  <c:v>139.62679972532229</c:v>
                </c:pt>
                <c:pt idx="11">
                  <c:v>144.38624530190393</c:v>
                </c:pt>
                <c:pt idx="12">
                  <c:v>142.37972456692742</c:v>
                </c:pt>
                <c:pt idx="13">
                  <c:v>138.92536495964879</c:v>
                </c:pt>
                <c:pt idx="14">
                  <c:v>138.41303867416616</c:v>
                </c:pt>
                <c:pt idx="15">
                  <c:v>135.66056574327095</c:v>
                </c:pt>
                <c:pt idx="16">
                  <c:v>131.35904678406249</c:v>
                </c:pt>
              </c:numCache>
            </c:numRef>
          </c:val>
          <c:smooth val="0"/>
        </c:ser>
        <c:ser>
          <c:idx val="1"/>
          <c:order val="1"/>
          <c:tx>
            <c:strRef>
              <c:f>Sheet2!$B$4</c:f>
              <c:strCache>
                <c:ptCount val="1"/>
                <c:pt idx="0">
                  <c:v>R&amp;R - FAGs per Head CPI</c:v>
                </c:pt>
              </c:strCache>
            </c:strRef>
          </c:tx>
          <c:marker>
            <c:symbol val="none"/>
          </c:marker>
          <c:cat>
            <c:numRef>
              <c:f>Sheet2!$C$2:$S$2</c:f>
              <c:numCache>
                <c:formatCode>General</c:formatCode>
                <c:ptCount val="17"/>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numCache>
            </c:numRef>
          </c:cat>
          <c:val>
            <c:numRef>
              <c:f>Sheet2!$C$4:$S$4</c:f>
              <c:numCache>
                <c:formatCode>0.0</c:formatCode>
                <c:ptCount val="17"/>
                <c:pt idx="0">
                  <c:v>122.69378079190776</c:v>
                </c:pt>
                <c:pt idx="1">
                  <c:v>124.46228122185319</c:v>
                </c:pt>
                <c:pt idx="2">
                  <c:v>129.2078671520172</c:v>
                </c:pt>
                <c:pt idx="3">
                  <c:v>135.89551245863916</c:v>
                </c:pt>
                <c:pt idx="4">
                  <c:v>139.23575434965832</c:v>
                </c:pt>
                <c:pt idx="5">
                  <c:v>137.71936291953523</c:v>
                </c:pt>
                <c:pt idx="6">
                  <c:v>142.78257117112392</c:v>
                </c:pt>
                <c:pt idx="7">
                  <c:v>145.43475924951719</c:v>
                </c:pt>
                <c:pt idx="8">
                  <c:v>146.82484662314715</c:v>
                </c:pt>
                <c:pt idx="9">
                  <c:v>151.12032776547804</c:v>
                </c:pt>
                <c:pt idx="10">
                  <c:v>149.87559608618383</c:v>
                </c:pt>
                <c:pt idx="11">
                  <c:v>155.81611129668039</c:v>
                </c:pt>
                <c:pt idx="12">
                  <c:v>155.40263502044058</c:v>
                </c:pt>
                <c:pt idx="13">
                  <c:v>153.2854456578699</c:v>
                </c:pt>
                <c:pt idx="14">
                  <c:v>152.59611116341728</c:v>
                </c:pt>
                <c:pt idx="15">
                  <c:v>151.43684171420691</c:v>
                </c:pt>
                <c:pt idx="16">
                  <c:v>147.77888481900501</c:v>
                </c:pt>
              </c:numCache>
            </c:numRef>
          </c:val>
          <c:smooth val="0"/>
        </c:ser>
        <c:ser>
          <c:idx val="2"/>
          <c:order val="2"/>
          <c:tx>
            <c:strRef>
              <c:f>Sheet2!$B$5</c:f>
              <c:strCache>
                <c:ptCount val="1"/>
                <c:pt idx="0">
                  <c:v>R&amp;R - FAGs per Head Nominal</c:v>
                </c:pt>
              </c:strCache>
            </c:strRef>
          </c:tx>
          <c:marker>
            <c:symbol val="none"/>
          </c:marker>
          <c:cat>
            <c:numRef>
              <c:f>Sheet2!$C$2:$S$2</c:f>
              <c:numCache>
                <c:formatCode>General</c:formatCode>
                <c:ptCount val="17"/>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numCache>
            </c:numRef>
          </c:cat>
          <c:val>
            <c:numRef>
              <c:f>Sheet2!$C$5:$S$5</c:f>
              <c:numCache>
                <c:formatCode>0.0</c:formatCode>
                <c:ptCount val="17"/>
                <c:pt idx="0">
                  <c:v>122.69378079190776</c:v>
                </c:pt>
                <c:pt idx="1">
                  <c:v>129.07857125290624</c:v>
                </c:pt>
                <c:pt idx="2">
                  <c:v>137.87087678988428</c:v>
                </c:pt>
                <c:pt idx="3">
                  <c:v>149.65953725830164</c:v>
                </c:pt>
                <c:pt idx="4">
                  <c:v>156.91333229134105</c:v>
                </c:pt>
                <c:pt idx="5">
                  <c:v>158.1513368762138</c:v>
                </c:pt>
                <c:pt idx="6">
                  <c:v>169.05782321260037</c:v>
                </c:pt>
                <c:pt idx="7">
                  <c:v>176.76236074263718</c:v>
                </c:pt>
                <c:pt idx="8">
                  <c:v>184.73539903226219</c:v>
                </c:pt>
                <c:pt idx="9">
                  <c:v>195.52943977644594</c:v>
                </c:pt>
                <c:pt idx="10">
                  <c:v>197.98117257604315</c:v>
                </c:pt>
                <c:pt idx="11">
                  <c:v>212.49672239604345</c:v>
                </c:pt>
                <c:pt idx="12">
                  <c:v>216.80995299570742</c:v>
                </c:pt>
                <c:pt idx="13">
                  <c:v>218.44816007448225</c:v>
                </c:pt>
                <c:pt idx="14">
                  <c:v>223.56092177579112</c:v>
                </c:pt>
                <c:pt idx="15">
                  <c:v>225.10298012297233</c:v>
                </c:pt>
                <c:pt idx="16">
                  <c:v>223.03860219473228</c:v>
                </c:pt>
              </c:numCache>
            </c:numRef>
          </c:val>
          <c:smooth val="0"/>
        </c:ser>
        <c:ser>
          <c:idx val="3"/>
          <c:order val="3"/>
          <c:tx>
            <c:strRef>
              <c:f>Sheet2!$B$6</c:f>
              <c:strCache>
                <c:ptCount val="1"/>
                <c:pt idx="0">
                  <c:v>All - FAGs per Head 60% CPI/40% WPI</c:v>
                </c:pt>
              </c:strCache>
            </c:strRef>
          </c:tx>
          <c:marker>
            <c:symbol val="none"/>
          </c:marker>
          <c:cat>
            <c:numRef>
              <c:f>Sheet2!$C$2:$S$2</c:f>
              <c:numCache>
                <c:formatCode>General</c:formatCode>
                <c:ptCount val="17"/>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numCache>
            </c:numRef>
          </c:cat>
          <c:val>
            <c:numRef>
              <c:f>Sheet2!$C$6:$S$6</c:f>
              <c:numCache>
                <c:formatCode>0.0</c:formatCode>
                <c:ptCount val="17"/>
                <c:pt idx="0">
                  <c:v>62.947471150007289</c:v>
                </c:pt>
                <c:pt idx="1">
                  <c:v>63.162177509469821</c:v>
                </c:pt>
                <c:pt idx="2">
                  <c:v>63.010225271788748</c:v>
                </c:pt>
                <c:pt idx="3">
                  <c:v>63.735837300848843</c:v>
                </c:pt>
                <c:pt idx="4">
                  <c:v>63.526494051549776</c:v>
                </c:pt>
                <c:pt idx="5">
                  <c:v>61.221898001157804</c:v>
                </c:pt>
                <c:pt idx="6">
                  <c:v>61.486523824175038</c:v>
                </c:pt>
                <c:pt idx="7">
                  <c:v>60.57357725601954</c:v>
                </c:pt>
                <c:pt idx="8">
                  <c:v>60.164290569750627</c:v>
                </c:pt>
                <c:pt idx="9">
                  <c:v>60.617670383835602</c:v>
                </c:pt>
                <c:pt idx="10">
                  <c:v>58.868668986175365</c:v>
                </c:pt>
                <c:pt idx="11">
                  <c:v>60.503462859215524</c:v>
                </c:pt>
                <c:pt idx="12">
                  <c:v>59.599077894926332</c:v>
                </c:pt>
                <c:pt idx="13">
                  <c:v>57.729326887266666</c:v>
                </c:pt>
                <c:pt idx="14">
                  <c:v>57.276018780680118</c:v>
                </c:pt>
                <c:pt idx="15">
                  <c:v>55.457184640217299</c:v>
                </c:pt>
                <c:pt idx="16">
                  <c:v>53.066910789922396</c:v>
                </c:pt>
              </c:numCache>
            </c:numRef>
          </c:val>
          <c:smooth val="0"/>
        </c:ser>
        <c:ser>
          <c:idx val="4"/>
          <c:order val="4"/>
          <c:tx>
            <c:strRef>
              <c:f>Sheet2!$B$7</c:f>
              <c:strCache>
                <c:ptCount val="1"/>
                <c:pt idx="0">
                  <c:v>All - FAGs per Head CPI</c:v>
                </c:pt>
              </c:strCache>
            </c:strRef>
          </c:tx>
          <c:marker>
            <c:symbol val="none"/>
          </c:marker>
          <c:cat>
            <c:numRef>
              <c:f>Sheet2!$C$2:$S$2</c:f>
              <c:numCache>
                <c:formatCode>General</c:formatCode>
                <c:ptCount val="17"/>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numCache>
            </c:numRef>
          </c:cat>
          <c:val>
            <c:numRef>
              <c:f>Sheet2!$C$7:$S$7</c:f>
              <c:numCache>
                <c:formatCode>0.0</c:formatCode>
                <c:ptCount val="17"/>
                <c:pt idx="0">
                  <c:v>62.947471150007289</c:v>
                </c:pt>
                <c:pt idx="1">
                  <c:v>62.919391242554887</c:v>
                </c:pt>
                <c:pt idx="2">
                  <c:v>63.204960911758342</c:v>
                </c:pt>
                <c:pt idx="3">
                  <c:v>64.10057892470914</c:v>
                </c:pt>
                <c:pt idx="4">
                  <c:v>64.455849780328364</c:v>
                </c:pt>
                <c:pt idx="5">
                  <c:v>63.386706412466246</c:v>
                </c:pt>
                <c:pt idx="6">
                  <c:v>64.035289674229418</c:v>
                </c:pt>
                <c:pt idx="7">
                  <c:v>63.655308256258593</c:v>
                </c:pt>
                <c:pt idx="8">
                  <c:v>63.449075482364798</c:v>
                </c:pt>
                <c:pt idx="9">
                  <c:v>64.620745829857825</c:v>
                </c:pt>
                <c:pt idx="10">
                  <c:v>63.189709084932709</c:v>
                </c:pt>
                <c:pt idx="11">
                  <c:v>65.293022081112198</c:v>
                </c:pt>
                <c:pt idx="12">
                  <c:v>65.050369902256634</c:v>
                </c:pt>
                <c:pt idx="13">
                  <c:v>63.6965438385838</c:v>
                </c:pt>
                <c:pt idx="14">
                  <c:v>63.14504625123817</c:v>
                </c:pt>
                <c:pt idx="15">
                  <c:v>61.906426869613036</c:v>
                </c:pt>
                <c:pt idx="16">
                  <c:v>59.700257342883148</c:v>
                </c:pt>
              </c:numCache>
            </c:numRef>
          </c:val>
          <c:smooth val="0"/>
        </c:ser>
        <c:ser>
          <c:idx val="5"/>
          <c:order val="5"/>
          <c:tx>
            <c:strRef>
              <c:f>Sheet2!$B$8</c:f>
              <c:strCache>
                <c:ptCount val="1"/>
                <c:pt idx="0">
                  <c:v>All - FAGs per Head Nominal</c:v>
                </c:pt>
              </c:strCache>
            </c:strRef>
          </c:tx>
          <c:marker>
            <c:symbol val="none"/>
          </c:marker>
          <c:cat>
            <c:numRef>
              <c:f>Sheet2!$C$2:$S$2</c:f>
              <c:numCache>
                <c:formatCode>General</c:formatCode>
                <c:ptCount val="17"/>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numCache>
            </c:numRef>
          </c:cat>
          <c:val>
            <c:numRef>
              <c:f>Sheet2!$C$8:$S$8</c:f>
              <c:numCache>
                <c:formatCode>0.0</c:formatCode>
                <c:ptCount val="17"/>
                <c:pt idx="0">
                  <c:v>62.947471150007289</c:v>
                </c:pt>
                <c:pt idx="1">
                  <c:v>65.253063385645376</c:v>
                </c:pt>
                <c:pt idx="2">
                  <c:v>67.442668704700779</c:v>
                </c:pt>
                <c:pt idx="3">
                  <c:v>70.59293427942292</c:v>
                </c:pt>
                <c:pt idx="4">
                  <c:v>72.639260094806573</c:v>
                </c:pt>
                <c:pt idx="5">
                  <c:v>72.790725623445553</c:v>
                </c:pt>
                <c:pt idx="6">
                  <c:v>75.819244550086182</c:v>
                </c:pt>
                <c:pt idx="7">
                  <c:v>77.367079364240126</c:v>
                </c:pt>
                <c:pt idx="8">
                  <c:v>79.831789693931185</c:v>
                </c:pt>
                <c:pt idx="9">
                  <c:v>83.610579839773251</c:v>
                </c:pt>
                <c:pt idx="10">
                  <c:v>83.471712714190716</c:v>
                </c:pt>
                <c:pt idx="11">
                  <c:v>89.044406718321341</c:v>
                </c:pt>
                <c:pt idx="12">
                  <c:v>90.755009649653346</c:v>
                </c:pt>
                <c:pt idx="13">
                  <c:v>90.774389864115861</c:v>
                </c:pt>
                <c:pt idx="14">
                  <c:v>92.510645506450231</c:v>
                </c:pt>
                <c:pt idx="15">
                  <c:v>92.020680168526084</c:v>
                </c:pt>
                <c:pt idx="16">
                  <c:v>90.103954734337194</c:v>
                </c:pt>
              </c:numCache>
            </c:numRef>
          </c:val>
          <c:smooth val="0"/>
        </c:ser>
        <c:dLbls>
          <c:showLegendKey val="0"/>
          <c:showVal val="0"/>
          <c:showCatName val="0"/>
          <c:showSerName val="0"/>
          <c:showPercent val="0"/>
          <c:showBubbleSize val="0"/>
        </c:dLbls>
        <c:marker val="1"/>
        <c:smooth val="0"/>
        <c:axId val="344672128"/>
        <c:axId val="344673664"/>
      </c:lineChart>
      <c:catAx>
        <c:axId val="344672128"/>
        <c:scaling>
          <c:orientation val="minMax"/>
        </c:scaling>
        <c:delete val="0"/>
        <c:axPos val="b"/>
        <c:numFmt formatCode="General" sourceLinked="1"/>
        <c:majorTickMark val="out"/>
        <c:minorTickMark val="none"/>
        <c:tickLblPos val="nextTo"/>
        <c:txPr>
          <a:bodyPr rot="-2100000"/>
          <a:lstStyle/>
          <a:p>
            <a:pPr>
              <a:defRPr sz="900"/>
            </a:pPr>
            <a:endParaRPr lang="en-US"/>
          </a:p>
        </c:txPr>
        <c:crossAx val="344673664"/>
        <c:crosses val="autoZero"/>
        <c:auto val="1"/>
        <c:lblAlgn val="ctr"/>
        <c:lblOffset val="100"/>
        <c:noMultiLvlLbl val="0"/>
      </c:catAx>
      <c:valAx>
        <c:axId val="344673664"/>
        <c:scaling>
          <c:orientation val="minMax"/>
          <c:max val="230"/>
          <c:min val="50"/>
        </c:scaling>
        <c:delete val="0"/>
        <c:axPos val="l"/>
        <c:majorGridlines/>
        <c:numFmt formatCode="\$#,##0" sourceLinked="0"/>
        <c:majorTickMark val="out"/>
        <c:minorTickMark val="none"/>
        <c:tickLblPos val="nextTo"/>
        <c:txPr>
          <a:bodyPr/>
          <a:lstStyle/>
          <a:p>
            <a:pPr>
              <a:defRPr sz="900"/>
            </a:pPr>
            <a:endParaRPr lang="en-US"/>
          </a:p>
        </c:txPr>
        <c:crossAx val="344672128"/>
        <c:crosses val="autoZero"/>
        <c:crossBetween val="between"/>
      </c:valAx>
    </c:plotArea>
    <c:legend>
      <c:legendPos val="t"/>
      <c:overlay val="0"/>
      <c:txPr>
        <a:bodyPr/>
        <a:lstStyle/>
        <a:p>
          <a:pPr>
            <a:defRPr sz="800"/>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AU" sz="1200"/>
              <a:t>Real Public</a:t>
            </a:r>
            <a:r>
              <a:rPr lang="en-AU" sz="1200" baseline="0"/>
              <a:t> Library Grants per Head ($2002-03) </a:t>
            </a:r>
            <a:endParaRPr lang="en-AU" sz="1200"/>
          </a:p>
        </c:rich>
      </c:tx>
      <c:overlay val="0"/>
    </c:title>
    <c:autoTitleDeleted val="0"/>
    <c:plotArea>
      <c:layout/>
      <c:lineChart>
        <c:grouping val="standard"/>
        <c:varyColors val="0"/>
        <c:ser>
          <c:idx val="0"/>
          <c:order val="0"/>
          <c:tx>
            <c:strRef>
              <c:f>Sheet2!$A$2</c:f>
              <c:strCache>
                <c:ptCount val="1"/>
                <c:pt idx="0">
                  <c:v>Total Grants per Head - All Councils</c:v>
                </c:pt>
              </c:strCache>
            </c:strRef>
          </c:tx>
          <c:marker>
            <c:symbol val="none"/>
          </c:marker>
          <c:cat>
            <c:strRef>
              <c:f>Sheet2!$B$1:$N$1</c:f>
              <c:strCache>
                <c:ptCount val="13"/>
                <c:pt idx="0">
                  <c:v>2002-03</c:v>
                </c:pt>
                <c:pt idx="1">
                  <c:v>2003-04</c:v>
                </c:pt>
                <c:pt idx="2">
                  <c:v>2004-05</c:v>
                </c:pt>
                <c:pt idx="3">
                  <c:v>2005-06</c:v>
                </c:pt>
                <c:pt idx="4">
                  <c:v>2006-07</c:v>
                </c:pt>
                <c:pt idx="5">
                  <c:v>2007-08</c:v>
                </c:pt>
                <c:pt idx="6">
                  <c:v>2008-09</c:v>
                </c:pt>
                <c:pt idx="7">
                  <c:v>2009-10</c:v>
                </c:pt>
                <c:pt idx="8">
                  <c:v>2010-11</c:v>
                </c:pt>
                <c:pt idx="9">
                  <c:v>2011-12</c:v>
                </c:pt>
                <c:pt idx="10">
                  <c:v>2012-13</c:v>
                </c:pt>
                <c:pt idx="11">
                  <c:v>2013-14</c:v>
                </c:pt>
                <c:pt idx="12">
                  <c:v>2014-15</c:v>
                </c:pt>
              </c:strCache>
            </c:strRef>
          </c:cat>
          <c:val>
            <c:numRef>
              <c:f>Sheet2!$B$2:$N$2</c:f>
              <c:numCache>
                <c:formatCode>0.00</c:formatCode>
                <c:ptCount val="13"/>
                <c:pt idx="0">
                  <c:v>5.0254903738978367</c:v>
                </c:pt>
                <c:pt idx="1">
                  <c:v>5.2225015487045541</c:v>
                </c:pt>
                <c:pt idx="2">
                  <c:v>5.322679113688241</c:v>
                </c:pt>
                <c:pt idx="3">
                  <c:v>5.4501254152604321</c:v>
                </c:pt>
                <c:pt idx="4">
                  <c:v>5.3947275829214885</c:v>
                </c:pt>
                <c:pt idx="5">
                  <c:v>5.8846152583482372</c:v>
                </c:pt>
                <c:pt idx="6">
                  <c:v>5.6682621082639413</c:v>
                </c:pt>
                <c:pt idx="7">
                  <c:v>5.3289105897034617</c:v>
                </c:pt>
                <c:pt idx="8">
                  <c:v>5.1201676041650064</c:v>
                </c:pt>
                <c:pt idx="9">
                  <c:v>6.7811716964767044</c:v>
                </c:pt>
                <c:pt idx="10">
                  <c:v>4.7741188517560973</c:v>
                </c:pt>
                <c:pt idx="11">
                  <c:v>5.4173962818726142</c:v>
                </c:pt>
                <c:pt idx="12">
                  <c:v>5.1981867643582609</c:v>
                </c:pt>
              </c:numCache>
            </c:numRef>
          </c:val>
          <c:smooth val="0"/>
        </c:ser>
        <c:ser>
          <c:idx val="1"/>
          <c:order val="1"/>
          <c:tx>
            <c:strRef>
              <c:f>Sheet2!$A$3</c:f>
              <c:strCache>
                <c:ptCount val="1"/>
                <c:pt idx="0">
                  <c:v>Total Grants per Head - R &amp; R</c:v>
                </c:pt>
              </c:strCache>
            </c:strRef>
          </c:tx>
          <c:marker>
            <c:symbol val="none"/>
          </c:marker>
          <c:cat>
            <c:strRef>
              <c:f>Sheet2!$B$1:$N$1</c:f>
              <c:strCache>
                <c:ptCount val="13"/>
                <c:pt idx="0">
                  <c:v>2002-03</c:v>
                </c:pt>
                <c:pt idx="1">
                  <c:v>2003-04</c:v>
                </c:pt>
                <c:pt idx="2">
                  <c:v>2004-05</c:v>
                </c:pt>
                <c:pt idx="3">
                  <c:v>2005-06</c:v>
                </c:pt>
                <c:pt idx="4">
                  <c:v>2006-07</c:v>
                </c:pt>
                <c:pt idx="5">
                  <c:v>2007-08</c:v>
                </c:pt>
                <c:pt idx="6">
                  <c:v>2008-09</c:v>
                </c:pt>
                <c:pt idx="7">
                  <c:v>2009-10</c:v>
                </c:pt>
                <c:pt idx="8">
                  <c:v>2010-11</c:v>
                </c:pt>
                <c:pt idx="9">
                  <c:v>2011-12</c:v>
                </c:pt>
                <c:pt idx="10">
                  <c:v>2012-13</c:v>
                </c:pt>
                <c:pt idx="11">
                  <c:v>2013-14</c:v>
                </c:pt>
                <c:pt idx="12">
                  <c:v>2014-15</c:v>
                </c:pt>
              </c:strCache>
            </c:strRef>
          </c:cat>
          <c:val>
            <c:numRef>
              <c:f>Sheet2!$B$3:$N$3</c:f>
              <c:numCache>
                <c:formatCode>0.00</c:formatCode>
                <c:ptCount val="13"/>
                <c:pt idx="0">
                  <c:v>5.879588563720163</c:v>
                </c:pt>
                <c:pt idx="1">
                  <c:v>6.4362355099530282</c:v>
                </c:pt>
                <c:pt idx="2">
                  <c:v>6.442932810787104</c:v>
                </c:pt>
                <c:pt idx="3">
                  <c:v>6.5157572555142558</c:v>
                </c:pt>
                <c:pt idx="4">
                  <c:v>6.3716762620895171</c:v>
                </c:pt>
                <c:pt idx="5">
                  <c:v>7.2811657122140341</c:v>
                </c:pt>
                <c:pt idx="6">
                  <c:v>6.88494741260876</c:v>
                </c:pt>
                <c:pt idx="7">
                  <c:v>5.9977045965747608</c:v>
                </c:pt>
                <c:pt idx="8">
                  <c:v>5.9058467301361715</c:v>
                </c:pt>
                <c:pt idx="9">
                  <c:v>7.0954156723550561</c:v>
                </c:pt>
                <c:pt idx="10">
                  <c:v>5.6194111930720512</c:v>
                </c:pt>
                <c:pt idx="11">
                  <c:v>5.868021768609518</c:v>
                </c:pt>
                <c:pt idx="12">
                  <c:v>6.4498683863284567</c:v>
                </c:pt>
              </c:numCache>
            </c:numRef>
          </c:val>
          <c:smooth val="0"/>
        </c:ser>
        <c:ser>
          <c:idx val="2"/>
          <c:order val="2"/>
          <c:tx>
            <c:strRef>
              <c:f>Sheet2!$A$4</c:f>
              <c:strCache>
                <c:ptCount val="1"/>
                <c:pt idx="0">
                  <c:v>Recurrent Grants per Head All Councils</c:v>
                </c:pt>
              </c:strCache>
            </c:strRef>
          </c:tx>
          <c:marker>
            <c:symbol val="none"/>
          </c:marker>
          <c:cat>
            <c:strRef>
              <c:f>Sheet2!$B$1:$N$1</c:f>
              <c:strCache>
                <c:ptCount val="13"/>
                <c:pt idx="0">
                  <c:v>2002-03</c:v>
                </c:pt>
                <c:pt idx="1">
                  <c:v>2003-04</c:v>
                </c:pt>
                <c:pt idx="2">
                  <c:v>2004-05</c:v>
                </c:pt>
                <c:pt idx="3">
                  <c:v>2005-06</c:v>
                </c:pt>
                <c:pt idx="4">
                  <c:v>2006-07</c:v>
                </c:pt>
                <c:pt idx="5">
                  <c:v>2007-08</c:v>
                </c:pt>
                <c:pt idx="6">
                  <c:v>2008-09</c:v>
                </c:pt>
                <c:pt idx="7">
                  <c:v>2009-10</c:v>
                </c:pt>
                <c:pt idx="8">
                  <c:v>2010-11</c:v>
                </c:pt>
                <c:pt idx="9">
                  <c:v>2011-12</c:v>
                </c:pt>
                <c:pt idx="10">
                  <c:v>2012-13</c:v>
                </c:pt>
                <c:pt idx="11">
                  <c:v>2013-14</c:v>
                </c:pt>
                <c:pt idx="12">
                  <c:v>2014-15</c:v>
                </c:pt>
              </c:strCache>
            </c:strRef>
          </c:cat>
          <c:val>
            <c:numRef>
              <c:f>Sheet2!$B$4:$N$4</c:f>
              <c:numCache>
                <c:formatCode>0.00</c:formatCode>
                <c:ptCount val="13"/>
                <c:pt idx="0">
                  <c:v>4.8750511593364907</c:v>
                </c:pt>
                <c:pt idx="1">
                  <c:v>4.6602389996124831</c:v>
                </c:pt>
                <c:pt idx="2">
                  <c:v>4.90452786355588</c:v>
                </c:pt>
                <c:pt idx="3">
                  <c:v>4.8588816209741701</c:v>
                </c:pt>
                <c:pt idx="4">
                  <c:v>4.8478487265049752</c:v>
                </c:pt>
                <c:pt idx="5">
                  <c:v>5.0929183323527827</c:v>
                </c:pt>
                <c:pt idx="6">
                  <c:v>5.0073143426777369</c:v>
                </c:pt>
                <c:pt idx="7">
                  <c:v>4.7408178898729521</c:v>
                </c:pt>
                <c:pt idx="8">
                  <c:v>4.7304924952124718</c:v>
                </c:pt>
                <c:pt idx="9">
                  <c:v>4.6662158434080938</c:v>
                </c:pt>
                <c:pt idx="10">
                  <c:v>4.7741188517560973</c:v>
                </c:pt>
                <c:pt idx="11">
                  <c:v>4.8228000272109277</c:v>
                </c:pt>
                <c:pt idx="12">
                  <c:v>4.8186295169175883</c:v>
                </c:pt>
              </c:numCache>
            </c:numRef>
          </c:val>
          <c:smooth val="0"/>
        </c:ser>
        <c:ser>
          <c:idx val="3"/>
          <c:order val="3"/>
          <c:tx>
            <c:strRef>
              <c:f>Sheet2!$A$5</c:f>
              <c:strCache>
                <c:ptCount val="1"/>
                <c:pt idx="0">
                  <c:v>Recurrent Grants per Head R &amp; R</c:v>
                </c:pt>
              </c:strCache>
            </c:strRef>
          </c:tx>
          <c:marker>
            <c:symbol val="none"/>
          </c:marker>
          <c:cat>
            <c:strRef>
              <c:f>Sheet2!$B$1:$N$1</c:f>
              <c:strCache>
                <c:ptCount val="13"/>
                <c:pt idx="0">
                  <c:v>2002-03</c:v>
                </c:pt>
                <c:pt idx="1">
                  <c:v>2003-04</c:v>
                </c:pt>
                <c:pt idx="2">
                  <c:v>2004-05</c:v>
                </c:pt>
                <c:pt idx="3">
                  <c:v>2005-06</c:v>
                </c:pt>
                <c:pt idx="4">
                  <c:v>2006-07</c:v>
                </c:pt>
                <c:pt idx="5">
                  <c:v>2007-08</c:v>
                </c:pt>
                <c:pt idx="6">
                  <c:v>2008-09</c:v>
                </c:pt>
                <c:pt idx="7">
                  <c:v>2009-10</c:v>
                </c:pt>
                <c:pt idx="8">
                  <c:v>2010-11</c:v>
                </c:pt>
                <c:pt idx="9">
                  <c:v>2011-12</c:v>
                </c:pt>
                <c:pt idx="10">
                  <c:v>2012-13</c:v>
                </c:pt>
                <c:pt idx="11">
                  <c:v>2013-14</c:v>
                </c:pt>
                <c:pt idx="12">
                  <c:v>2014-15</c:v>
                </c:pt>
              </c:strCache>
            </c:strRef>
          </c:cat>
          <c:val>
            <c:numRef>
              <c:f>Sheet2!$B$5:$N$5</c:f>
              <c:numCache>
                <c:formatCode>0.00</c:formatCode>
                <c:ptCount val="13"/>
                <c:pt idx="0">
                  <c:v>5.5574534417506651</c:v>
                </c:pt>
                <c:pt idx="1">
                  <c:v>5.103255596401695</c:v>
                </c:pt>
                <c:pt idx="2">
                  <c:v>5.42371179309096</c:v>
                </c:pt>
                <c:pt idx="3">
                  <c:v>5.3450694825894658</c:v>
                </c:pt>
                <c:pt idx="4">
                  <c:v>5.3767072626864962</c:v>
                </c:pt>
                <c:pt idx="5">
                  <c:v>6.1042573578520436</c:v>
                </c:pt>
                <c:pt idx="6">
                  <c:v>5.8913064470444167</c:v>
                </c:pt>
                <c:pt idx="7">
                  <c:v>5.4310613883424512</c:v>
                </c:pt>
                <c:pt idx="8">
                  <c:v>5.5283496343741545</c:v>
                </c:pt>
                <c:pt idx="9">
                  <c:v>5.4839732750432866</c:v>
                </c:pt>
                <c:pt idx="10">
                  <c:v>5.6194111930720512</c:v>
                </c:pt>
                <c:pt idx="11">
                  <c:v>5.6408754477337455</c:v>
                </c:pt>
                <c:pt idx="12">
                  <c:v>5.831309437712255</c:v>
                </c:pt>
              </c:numCache>
            </c:numRef>
          </c:val>
          <c:smooth val="0"/>
        </c:ser>
        <c:dLbls>
          <c:showLegendKey val="0"/>
          <c:showVal val="0"/>
          <c:showCatName val="0"/>
          <c:showSerName val="0"/>
          <c:showPercent val="0"/>
          <c:showBubbleSize val="0"/>
        </c:dLbls>
        <c:marker val="1"/>
        <c:smooth val="0"/>
        <c:axId val="180725632"/>
        <c:axId val="180727168"/>
      </c:lineChart>
      <c:catAx>
        <c:axId val="180725632"/>
        <c:scaling>
          <c:orientation val="minMax"/>
        </c:scaling>
        <c:delete val="0"/>
        <c:axPos val="b"/>
        <c:majorTickMark val="out"/>
        <c:minorTickMark val="none"/>
        <c:tickLblPos val="nextTo"/>
        <c:crossAx val="180727168"/>
        <c:crosses val="autoZero"/>
        <c:auto val="1"/>
        <c:lblAlgn val="ctr"/>
        <c:lblOffset val="100"/>
        <c:noMultiLvlLbl val="0"/>
      </c:catAx>
      <c:valAx>
        <c:axId val="180727168"/>
        <c:scaling>
          <c:orientation val="minMax"/>
          <c:min val="4.5"/>
        </c:scaling>
        <c:delete val="0"/>
        <c:axPos val="l"/>
        <c:majorGridlines/>
        <c:numFmt formatCode="0.0" sourceLinked="0"/>
        <c:majorTickMark val="out"/>
        <c:minorTickMark val="none"/>
        <c:tickLblPos val="nextTo"/>
        <c:crossAx val="180725632"/>
        <c:crosses val="autoZero"/>
        <c:crossBetween val="between"/>
        <c:minorUnit val="0.5"/>
      </c:valAx>
    </c:plotArea>
    <c:legend>
      <c:legendPos val="t"/>
      <c:overlay val="0"/>
      <c:txPr>
        <a:bodyPr/>
        <a:lstStyle/>
        <a:p>
          <a:pPr>
            <a:defRPr sz="900"/>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Sheet2!$C$140</c:f>
              <c:strCache>
                <c:ptCount val="1"/>
                <c:pt idx="0">
                  <c:v>Metropolitan councils</c:v>
                </c:pt>
              </c:strCache>
            </c:strRef>
          </c:tx>
          <c:invertIfNegative val="0"/>
          <c:cat>
            <c:strRef>
              <c:f>Sheet2!$B$141:$B$151</c:f>
              <c:strCache>
                <c:ptCount val="11"/>
                <c:pt idx="0">
                  <c:v>&lt;500</c:v>
                </c:pt>
                <c:pt idx="1">
                  <c:v>&lt;1000</c:v>
                </c:pt>
                <c:pt idx="2">
                  <c:v>&lt;1500</c:v>
                </c:pt>
                <c:pt idx="3">
                  <c:v>&lt;2000</c:v>
                </c:pt>
                <c:pt idx="4">
                  <c:v>&lt;2500</c:v>
                </c:pt>
                <c:pt idx="5">
                  <c:v>&lt;3000</c:v>
                </c:pt>
                <c:pt idx="6">
                  <c:v>&lt;3500</c:v>
                </c:pt>
                <c:pt idx="7">
                  <c:v>&lt;4000</c:v>
                </c:pt>
                <c:pt idx="8">
                  <c:v>&lt;4500</c:v>
                </c:pt>
                <c:pt idx="9">
                  <c:v>&lt;5000</c:v>
                </c:pt>
                <c:pt idx="10">
                  <c:v>&lt;5500</c:v>
                </c:pt>
              </c:strCache>
            </c:strRef>
          </c:cat>
          <c:val>
            <c:numRef>
              <c:f>Sheet2!$C$141:$C$151</c:f>
              <c:numCache>
                <c:formatCode>General</c:formatCode>
                <c:ptCount val="11"/>
                <c:pt idx="0">
                  <c:v>10</c:v>
                </c:pt>
                <c:pt idx="1">
                  <c:v>13</c:v>
                </c:pt>
                <c:pt idx="2">
                  <c:v>5</c:v>
                </c:pt>
                <c:pt idx="3">
                  <c:v>3</c:v>
                </c:pt>
                <c:pt idx="4">
                  <c:v>0</c:v>
                </c:pt>
                <c:pt idx="5">
                  <c:v>0</c:v>
                </c:pt>
                <c:pt idx="6">
                  <c:v>0</c:v>
                </c:pt>
                <c:pt idx="7">
                  <c:v>0</c:v>
                </c:pt>
                <c:pt idx="8">
                  <c:v>0</c:v>
                </c:pt>
                <c:pt idx="9">
                  <c:v>0</c:v>
                </c:pt>
                <c:pt idx="10">
                  <c:v>0</c:v>
                </c:pt>
              </c:numCache>
            </c:numRef>
          </c:val>
        </c:ser>
        <c:ser>
          <c:idx val="1"/>
          <c:order val="1"/>
          <c:tx>
            <c:strRef>
              <c:f>Sheet2!$D$140</c:f>
              <c:strCache>
                <c:ptCount val="1"/>
                <c:pt idx="0">
                  <c:v>Rural and regional councils</c:v>
                </c:pt>
              </c:strCache>
            </c:strRef>
          </c:tx>
          <c:invertIfNegative val="0"/>
          <c:cat>
            <c:strRef>
              <c:f>Sheet2!$B$141:$B$151</c:f>
              <c:strCache>
                <c:ptCount val="11"/>
                <c:pt idx="0">
                  <c:v>&lt;500</c:v>
                </c:pt>
                <c:pt idx="1">
                  <c:v>&lt;1000</c:v>
                </c:pt>
                <c:pt idx="2">
                  <c:v>&lt;1500</c:v>
                </c:pt>
                <c:pt idx="3">
                  <c:v>&lt;2000</c:v>
                </c:pt>
                <c:pt idx="4">
                  <c:v>&lt;2500</c:v>
                </c:pt>
                <c:pt idx="5">
                  <c:v>&lt;3000</c:v>
                </c:pt>
                <c:pt idx="6">
                  <c:v>&lt;3500</c:v>
                </c:pt>
                <c:pt idx="7">
                  <c:v>&lt;4000</c:v>
                </c:pt>
                <c:pt idx="8">
                  <c:v>&lt;4500</c:v>
                </c:pt>
                <c:pt idx="9">
                  <c:v>&lt;5000</c:v>
                </c:pt>
                <c:pt idx="10">
                  <c:v>&lt;5500</c:v>
                </c:pt>
              </c:strCache>
            </c:strRef>
          </c:cat>
          <c:val>
            <c:numRef>
              <c:f>Sheet2!$D$141:$D$151</c:f>
              <c:numCache>
                <c:formatCode>General</c:formatCode>
                <c:ptCount val="11"/>
                <c:pt idx="0">
                  <c:v>3</c:v>
                </c:pt>
                <c:pt idx="1">
                  <c:v>3</c:v>
                </c:pt>
                <c:pt idx="2">
                  <c:v>9</c:v>
                </c:pt>
                <c:pt idx="3">
                  <c:v>8</c:v>
                </c:pt>
                <c:pt idx="4">
                  <c:v>8</c:v>
                </c:pt>
                <c:pt idx="5">
                  <c:v>6</c:v>
                </c:pt>
                <c:pt idx="6">
                  <c:v>5</c:v>
                </c:pt>
                <c:pt idx="7">
                  <c:v>1</c:v>
                </c:pt>
                <c:pt idx="8">
                  <c:v>1</c:v>
                </c:pt>
                <c:pt idx="9">
                  <c:v>2</c:v>
                </c:pt>
                <c:pt idx="10">
                  <c:v>2</c:v>
                </c:pt>
              </c:numCache>
            </c:numRef>
          </c:val>
        </c:ser>
        <c:dLbls>
          <c:showLegendKey val="0"/>
          <c:showVal val="0"/>
          <c:showCatName val="0"/>
          <c:showSerName val="0"/>
          <c:showPercent val="0"/>
          <c:showBubbleSize val="0"/>
        </c:dLbls>
        <c:gapWidth val="150"/>
        <c:axId val="180744576"/>
        <c:axId val="180746496"/>
      </c:barChart>
      <c:catAx>
        <c:axId val="180744576"/>
        <c:scaling>
          <c:orientation val="minMax"/>
        </c:scaling>
        <c:delete val="0"/>
        <c:axPos val="b"/>
        <c:title>
          <c:tx>
            <c:rich>
              <a:bodyPr/>
              <a:lstStyle/>
              <a:p>
                <a:pPr>
                  <a:defRPr/>
                </a:pPr>
                <a:r>
                  <a:rPr lang="en-US"/>
                  <a:t>Road length</a:t>
                </a:r>
              </a:p>
            </c:rich>
          </c:tx>
          <c:overlay val="0"/>
        </c:title>
        <c:majorTickMark val="out"/>
        <c:minorTickMark val="none"/>
        <c:tickLblPos val="nextTo"/>
        <c:crossAx val="180746496"/>
        <c:crosses val="autoZero"/>
        <c:auto val="1"/>
        <c:lblAlgn val="ctr"/>
        <c:lblOffset val="100"/>
        <c:noMultiLvlLbl val="0"/>
      </c:catAx>
      <c:valAx>
        <c:axId val="180746496"/>
        <c:scaling>
          <c:orientation val="minMax"/>
        </c:scaling>
        <c:delete val="0"/>
        <c:axPos val="l"/>
        <c:majorGridlines/>
        <c:title>
          <c:tx>
            <c:rich>
              <a:bodyPr rot="-5400000" vert="horz"/>
              <a:lstStyle/>
              <a:p>
                <a:pPr>
                  <a:defRPr/>
                </a:pPr>
                <a:r>
                  <a:rPr lang="en-US"/>
                  <a:t>Number of councils</a:t>
                </a:r>
              </a:p>
            </c:rich>
          </c:tx>
          <c:overlay val="0"/>
        </c:title>
        <c:numFmt formatCode="General" sourceLinked="1"/>
        <c:majorTickMark val="out"/>
        <c:minorTickMark val="none"/>
        <c:tickLblPos val="nextTo"/>
        <c:crossAx val="180744576"/>
        <c:crosses val="autoZero"/>
        <c:crossBetween val="between"/>
      </c:valAx>
    </c:plotArea>
    <c:legend>
      <c:legendPos val="b"/>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en-US" sz="1100"/>
              <a:t>Rates as % Total Underlying Revenues 2014-15</a:t>
            </a:r>
          </a:p>
        </c:rich>
      </c:tx>
      <c:overlay val="0"/>
    </c:title>
    <c:autoTitleDeleted val="0"/>
    <c:plotArea>
      <c:layout/>
      <c:barChart>
        <c:barDir val="col"/>
        <c:grouping val="clustered"/>
        <c:varyColors val="0"/>
        <c:ser>
          <c:idx val="0"/>
          <c:order val="0"/>
          <c:tx>
            <c:strRef>
              <c:f>Sheet1!$B$2</c:f>
              <c:strCache>
                <c:ptCount val="1"/>
                <c:pt idx="0">
                  <c:v>Rural &amp; Regional</c:v>
                </c:pt>
              </c:strCache>
            </c:strRef>
          </c:tx>
          <c:invertIfNegative val="0"/>
          <c:cat>
            <c:strRef>
              <c:f>Sheet1!$A$3:$A$12</c:f>
              <c:strCache>
                <c:ptCount val="10"/>
                <c:pt idx="0">
                  <c:v>&gt;30% to 35%</c:v>
                </c:pt>
                <c:pt idx="1">
                  <c:v>&gt;35% to 40%</c:v>
                </c:pt>
                <c:pt idx="2">
                  <c:v>&gt;40% to 45%</c:v>
                </c:pt>
                <c:pt idx="3">
                  <c:v>&gt;45% to 50%</c:v>
                </c:pt>
                <c:pt idx="4">
                  <c:v>&gt;50% to 55%</c:v>
                </c:pt>
                <c:pt idx="5">
                  <c:v>&gt;55% to 60%</c:v>
                </c:pt>
                <c:pt idx="6">
                  <c:v>&gt;60% to 65%</c:v>
                </c:pt>
                <c:pt idx="7">
                  <c:v>&gt;65% to 70%</c:v>
                </c:pt>
                <c:pt idx="8">
                  <c:v>&gt;70% to 75%</c:v>
                </c:pt>
                <c:pt idx="9">
                  <c:v>&gt;75% to 80%</c:v>
                </c:pt>
              </c:strCache>
            </c:strRef>
          </c:cat>
          <c:val>
            <c:numRef>
              <c:f>Sheet1!$B$3:$B$12</c:f>
              <c:numCache>
                <c:formatCode>General</c:formatCode>
                <c:ptCount val="10"/>
                <c:pt idx="0">
                  <c:v>2</c:v>
                </c:pt>
                <c:pt idx="1">
                  <c:v>0</c:v>
                </c:pt>
                <c:pt idx="2">
                  <c:v>6</c:v>
                </c:pt>
                <c:pt idx="3">
                  <c:v>9</c:v>
                </c:pt>
                <c:pt idx="4">
                  <c:v>8</c:v>
                </c:pt>
                <c:pt idx="5">
                  <c:v>12</c:v>
                </c:pt>
                <c:pt idx="6">
                  <c:v>6</c:v>
                </c:pt>
                <c:pt idx="7">
                  <c:v>2</c:v>
                </c:pt>
                <c:pt idx="8">
                  <c:v>2</c:v>
                </c:pt>
                <c:pt idx="9">
                  <c:v>0</c:v>
                </c:pt>
              </c:numCache>
            </c:numRef>
          </c:val>
        </c:ser>
        <c:ser>
          <c:idx val="1"/>
          <c:order val="1"/>
          <c:tx>
            <c:strRef>
              <c:f>Sheet1!$C$2</c:f>
              <c:strCache>
                <c:ptCount val="1"/>
                <c:pt idx="0">
                  <c:v>Other</c:v>
                </c:pt>
              </c:strCache>
            </c:strRef>
          </c:tx>
          <c:invertIfNegative val="0"/>
          <c:cat>
            <c:strRef>
              <c:f>Sheet1!$A$3:$A$12</c:f>
              <c:strCache>
                <c:ptCount val="10"/>
                <c:pt idx="0">
                  <c:v>&gt;30% to 35%</c:v>
                </c:pt>
                <c:pt idx="1">
                  <c:v>&gt;35% to 40%</c:v>
                </c:pt>
                <c:pt idx="2">
                  <c:v>&gt;40% to 45%</c:v>
                </c:pt>
                <c:pt idx="3">
                  <c:v>&gt;45% to 50%</c:v>
                </c:pt>
                <c:pt idx="4">
                  <c:v>&gt;50% to 55%</c:v>
                </c:pt>
                <c:pt idx="5">
                  <c:v>&gt;55% to 60%</c:v>
                </c:pt>
                <c:pt idx="6">
                  <c:v>&gt;60% to 65%</c:v>
                </c:pt>
                <c:pt idx="7">
                  <c:v>&gt;65% to 70%</c:v>
                </c:pt>
                <c:pt idx="8">
                  <c:v>&gt;70% to 75%</c:v>
                </c:pt>
                <c:pt idx="9">
                  <c:v>&gt;75% to 80%</c:v>
                </c:pt>
              </c:strCache>
            </c:strRef>
          </c:cat>
          <c:val>
            <c:numRef>
              <c:f>Sheet1!$C$3:$C$12</c:f>
              <c:numCache>
                <c:formatCode>General</c:formatCode>
                <c:ptCount val="10"/>
                <c:pt idx="0">
                  <c:v>0</c:v>
                </c:pt>
                <c:pt idx="1">
                  <c:v>0</c:v>
                </c:pt>
                <c:pt idx="2">
                  <c:v>0</c:v>
                </c:pt>
                <c:pt idx="3">
                  <c:v>1</c:v>
                </c:pt>
                <c:pt idx="4">
                  <c:v>0</c:v>
                </c:pt>
                <c:pt idx="5">
                  <c:v>5</c:v>
                </c:pt>
                <c:pt idx="6">
                  <c:v>6</c:v>
                </c:pt>
                <c:pt idx="7">
                  <c:v>11</c:v>
                </c:pt>
                <c:pt idx="8">
                  <c:v>8</c:v>
                </c:pt>
                <c:pt idx="9">
                  <c:v>3</c:v>
                </c:pt>
              </c:numCache>
            </c:numRef>
          </c:val>
        </c:ser>
        <c:dLbls>
          <c:showLegendKey val="0"/>
          <c:showVal val="0"/>
          <c:showCatName val="0"/>
          <c:showSerName val="0"/>
          <c:showPercent val="0"/>
          <c:showBubbleSize val="0"/>
        </c:dLbls>
        <c:gapWidth val="150"/>
        <c:axId val="182987776"/>
        <c:axId val="182993664"/>
      </c:barChart>
      <c:catAx>
        <c:axId val="182987776"/>
        <c:scaling>
          <c:orientation val="minMax"/>
        </c:scaling>
        <c:delete val="0"/>
        <c:axPos val="b"/>
        <c:majorTickMark val="out"/>
        <c:minorTickMark val="none"/>
        <c:tickLblPos val="nextTo"/>
        <c:txPr>
          <a:bodyPr rot="-1440000"/>
          <a:lstStyle/>
          <a:p>
            <a:pPr>
              <a:defRPr sz="900"/>
            </a:pPr>
            <a:endParaRPr lang="en-US"/>
          </a:p>
        </c:txPr>
        <c:crossAx val="182993664"/>
        <c:crosses val="autoZero"/>
        <c:auto val="1"/>
        <c:lblAlgn val="ctr"/>
        <c:lblOffset val="100"/>
        <c:noMultiLvlLbl val="0"/>
      </c:catAx>
      <c:valAx>
        <c:axId val="182993664"/>
        <c:scaling>
          <c:orientation val="minMax"/>
        </c:scaling>
        <c:delete val="0"/>
        <c:axPos val="l"/>
        <c:majorGridlines/>
        <c:title>
          <c:tx>
            <c:rich>
              <a:bodyPr rot="-5400000" vert="horz"/>
              <a:lstStyle/>
              <a:p>
                <a:pPr>
                  <a:defRPr/>
                </a:pPr>
                <a:r>
                  <a:rPr lang="en-US"/>
                  <a:t>Number of Councils</a:t>
                </a:r>
              </a:p>
            </c:rich>
          </c:tx>
          <c:overlay val="0"/>
        </c:title>
        <c:numFmt formatCode="General" sourceLinked="1"/>
        <c:majorTickMark val="out"/>
        <c:minorTickMark val="none"/>
        <c:tickLblPos val="nextTo"/>
        <c:crossAx val="182987776"/>
        <c:crosses val="autoZero"/>
        <c:crossBetween val="between"/>
      </c:valAx>
    </c:plotArea>
    <c:legend>
      <c:legendPos val="b"/>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en-US" sz="1100"/>
              <a:t>Rates as % of Total Underlying Revenue less Recurrent Grants 2014-15</a:t>
            </a:r>
          </a:p>
        </c:rich>
      </c:tx>
      <c:overlay val="0"/>
    </c:title>
    <c:autoTitleDeleted val="0"/>
    <c:plotArea>
      <c:layout/>
      <c:barChart>
        <c:barDir val="col"/>
        <c:grouping val="clustered"/>
        <c:varyColors val="0"/>
        <c:ser>
          <c:idx val="0"/>
          <c:order val="0"/>
          <c:tx>
            <c:strRef>
              <c:f>Sheet1!$B$20</c:f>
              <c:strCache>
                <c:ptCount val="1"/>
                <c:pt idx="0">
                  <c:v>Rural &amp; Regional</c:v>
                </c:pt>
              </c:strCache>
            </c:strRef>
          </c:tx>
          <c:invertIfNegative val="0"/>
          <c:cat>
            <c:strRef>
              <c:f>Sheet1!$A$21:$A$28</c:f>
              <c:strCache>
                <c:ptCount val="8"/>
                <c:pt idx="0">
                  <c:v>&gt;55% to 60%</c:v>
                </c:pt>
                <c:pt idx="1">
                  <c:v>&gt;60% to 65%</c:v>
                </c:pt>
                <c:pt idx="2">
                  <c:v>&gt;65% to 70%</c:v>
                </c:pt>
                <c:pt idx="3">
                  <c:v>&gt;70% to 75%</c:v>
                </c:pt>
                <c:pt idx="4">
                  <c:v>&gt;75% to 80%</c:v>
                </c:pt>
                <c:pt idx="5">
                  <c:v>&gt;80% to 85%</c:v>
                </c:pt>
                <c:pt idx="6">
                  <c:v>&gt;85% to 90%</c:v>
                </c:pt>
                <c:pt idx="7">
                  <c:v>&gt;90%</c:v>
                </c:pt>
              </c:strCache>
            </c:strRef>
          </c:cat>
          <c:val>
            <c:numRef>
              <c:f>Sheet1!$B$21:$B$28</c:f>
              <c:numCache>
                <c:formatCode>General</c:formatCode>
                <c:ptCount val="8"/>
                <c:pt idx="0">
                  <c:v>0</c:v>
                </c:pt>
                <c:pt idx="1">
                  <c:v>4</c:v>
                </c:pt>
                <c:pt idx="2">
                  <c:v>2</c:v>
                </c:pt>
                <c:pt idx="3">
                  <c:v>9</c:v>
                </c:pt>
                <c:pt idx="4">
                  <c:v>11</c:v>
                </c:pt>
                <c:pt idx="5">
                  <c:v>10</c:v>
                </c:pt>
                <c:pt idx="6">
                  <c:v>10</c:v>
                </c:pt>
                <c:pt idx="7">
                  <c:v>1</c:v>
                </c:pt>
              </c:numCache>
            </c:numRef>
          </c:val>
        </c:ser>
        <c:ser>
          <c:idx val="1"/>
          <c:order val="1"/>
          <c:tx>
            <c:strRef>
              <c:f>Sheet1!$C$20</c:f>
              <c:strCache>
                <c:ptCount val="1"/>
                <c:pt idx="0">
                  <c:v>Other</c:v>
                </c:pt>
              </c:strCache>
            </c:strRef>
          </c:tx>
          <c:invertIfNegative val="0"/>
          <c:cat>
            <c:strRef>
              <c:f>Sheet1!$A$21:$A$28</c:f>
              <c:strCache>
                <c:ptCount val="8"/>
                <c:pt idx="0">
                  <c:v>&gt;55% to 60%</c:v>
                </c:pt>
                <c:pt idx="1">
                  <c:v>&gt;60% to 65%</c:v>
                </c:pt>
                <c:pt idx="2">
                  <c:v>&gt;65% to 70%</c:v>
                </c:pt>
                <c:pt idx="3">
                  <c:v>&gt;70% to 75%</c:v>
                </c:pt>
                <c:pt idx="4">
                  <c:v>&gt;75% to 80%</c:v>
                </c:pt>
                <c:pt idx="5">
                  <c:v>&gt;80% to 85%</c:v>
                </c:pt>
                <c:pt idx="6">
                  <c:v>&gt;85% to 90%</c:v>
                </c:pt>
                <c:pt idx="7">
                  <c:v>&gt;90%</c:v>
                </c:pt>
              </c:strCache>
            </c:strRef>
          </c:cat>
          <c:val>
            <c:numRef>
              <c:f>Sheet1!$C$21:$C$28</c:f>
              <c:numCache>
                <c:formatCode>General</c:formatCode>
                <c:ptCount val="8"/>
                <c:pt idx="0">
                  <c:v>1</c:v>
                </c:pt>
                <c:pt idx="1">
                  <c:v>3</c:v>
                </c:pt>
                <c:pt idx="2">
                  <c:v>3</c:v>
                </c:pt>
                <c:pt idx="3">
                  <c:v>3</c:v>
                </c:pt>
                <c:pt idx="4">
                  <c:v>7</c:v>
                </c:pt>
                <c:pt idx="5">
                  <c:v>11</c:v>
                </c:pt>
                <c:pt idx="6">
                  <c:v>6</c:v>
                </c:pt>
                <c:pt idx="7">
                  <c:v>0</c:v>
                </c:pt>
              </c:numCache>
            </c:numRef>
          </c:val>
        </c:ser>
        <c:dLbls>
          <c:showLegendKey val="0"/>
          <c:showVal val="0"/>
          <c:showCatName val="0"/>
          <c:showSerName val="0"/>
          <c:showPercent val="0"/>
          <c:showBubbleSize val="0"/>
        </c:dLbls>
        <c:gapWidth val="150"/>
        <c:axId val="183006720"/>
        <c:axId val="183008256"/>
      </c:barChart>
      <c:catAx>
        <c:axId val="183006720"/>
        <c:scaling>
          <c:orientation val="minMax"/>
        </c:scaling>
        <c:delete val="0"/>
        <c:axPos val="b"/>
        <c:majorTickMark val="out"/>
        <c:minorTickMark val="none"/>
        <c:tickLblPos val="nextTo"/>
        <c:txPr>
          <a:bodyPr rot="-1020000"/>
          <a:lstStyle/>
          <a:p>
            <a:pPr>
              <a:defRPr sz="900"/>
            </a:pPr>
            <a:endParaRPr lang="en-US"/>
          </a:p>
        </c:txPr>
        <c:crossAx val="183008256"/>
        <c:crosses val="autoZero"/>
        <c:auto val="1"/>
        <c:lblAlgn val="ctr"/>
        <c:lblOffset val="100"/>
        <c:noMultiLvlLbl val="0"/>
      </c:catAx>
      <c:valAx>
        <c:axId val="183008256"/>
        <c:scaling>
          <c:orientation val="minMax"/>
        </c:scaling>
        <c:delete val="0"/>
        <c:axPos val="l"/>
        <c:majorGridlines/>
        <c:title>
          <c:tx>
            <c:rich>
              <a:bodyPr rot="-5400000" vert="horz"/>
              <a:lstStyle/>
              <a:p>
                <a:pPr>
                  <a:defRPr/>
                </a:pPr>
                <a:r>
                  <a:rPr lang="en-US"/>
                  <a:t>Number of Councils</a:t>
                </a:r>
              </a:p>
            </c:rich>
          </c:tx>
          <c:overlay val="0"/>
        </c:title>
        <c:numFmt formatCode="General" sourceLinked="1"/>
        <c:majorTickMark val="out"/>
        <c:minorTickMark val="none"/>
        <c:tickLblPos val="nextTo"/>
        <c:crossAx val="183006720"/>
        <c:crosses val="autoZero"/>
        <c:crossBetween val="between"/>
      </c:valAx>
    </c:plotArea>
    <c:legend>
      <c:legendPos val="b"/>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1.7574692442882255E-2"/>
          <c:y val="3.2894736842105275E-2"/>
          <c:w val="0.82425307557118022"/>
          <c:h val="0.9342105263157896"/>
        </c:manualLayout>
      </c:layout>
      <c:lineChart>
        <c:grouping val="standard"/>
        <c:varyColors val="0"/>
        <c:dLbls>
          <c:showLegendKey val="0"/>
          <c:showVal val="0"/>
          <c:showCatName val="0"/>
          <c:showSerName val="0"/>
          <c:showPercent val="0"/>
          <c:showBubbleSize val="0"/>
        </c:dLbls>
        <c:marker val="1"/>
        <c:smooth val="0"/>
        <c:axId val="179702400"/>
        <c:axId val="179708288"/>
      </c:lineChart>
      <c:catAx>
        <c:axId val="179702400"/>
        <c:scaling>
          <c:orientation val="minMax"/>
        </c:scaling>
        <c:delete val="0"/>
        <c:axPos val="b"/>
        <c:majorTickMark val="out"/>
        <c:minorTickMark val="none"/>
        <c:tickLblPos val="nextTo"/>
        <c:spPr>
          <a:ln w="3115">
            <a:solidFill>
              <a:srgbClr val="000000"/>
            </a:solidFill>
            <a:prstDash val="solid"/>
          </a:ln>
        </c:spPr>
        <c:txPr>
          <a:bodyPr rot="0" vert="horz"/>
          <a:lstStyle/>
          <a:p>
            <a:pPr>
              <a:defRPr sz="515" b="0" i="0" u="none" strike="noStrike" baseline="0">
                <a:solidFill>
                  <a:srgbClr val="000000"/>
                </a:solidFill>
                <a:latin typeface="Arial"/>
                <a:ea typeface="Arial"/>
                <a:cs typeface="Arial"/>
              </a:defRPr>
            </a:pPr>
            <a:endParaRPr lang="en-US"/>
          </a:p>
        </c:txPr>
        <c:crossAx val="179708288"/>
        <c:crosses val="autoZero"/>
        <c:auto val="1"/>
        <c:lblAlgn val="ctr"/>
        <c:lblOffset val="100"/>
        <c:tickMarkSkip val="1"/>
        <c:noMultiLvlLbl val="0"/>
      </c:catAx>
      <c:valAx>
        <c:axId val="179708288"/>
        <c:scaling>
          <c:orientation val="minMax"/>
        </c:scaling>
        <c:delete val="0"/>
        <c:axPos val="l"/>
        <c:majorGridlines>
          <c:spPr>
            <a:ln w="3115">
              <a:solidFill>
                <a:srgbClr val="000000"/>
              </a:solidFill>
              <a:prstDash val="solid"/>
            </a:ln>
          </c:spPr>
        </c:majorGridlines>
        <c:majorTickMark val="out"/>
        <c:minorTickMark val="none"/>
        <c:tickLblPos val="nextTo"/>
        <c:spPr>
          <a:ln w="3115">
            <a:solidFill>
              <a:srgbClr val="000000"/>
            </a:solidFill>
            <a:prstDash val="solid"/>
          </a:ln>
        </c:spPr>
        <c:txPr>
          <a:bodyPr rot="0" vert="horz"/>
          <a:lstStyle/>
          <a:p>
            <a:pPr>
              <a:defRPr sz="515" b="0" i="0" u="none" strike="noStrike" baseline="0">
                <a:solidFill>
                  <a:srgbClr val="000000"/>
                </a:solidFill>
                <a:latin typeface="Arial"/>
                <a:ea typeface="Arial"/>
                <a:cs typeface="Arial"/>
              </a:defRPr>
            </a:pPr>
            <a:endParaRPr lang="en-US"/>
          </a:p>
        </c:txPr>
        <c:crossAx val="179702400"/>
        <c:crosses val="autoZero"/>
        <c:crossBetween val="between"/>
      </c:valAx>
      <c:spPr>
        <a:solidFill>
          <a:srgbClr val="C0C0C0"/>
        </a:solidFill>
        <a:ln w="12459">
          <a:solidFill>
            <a:srgbClr val="808080"/>
          </a:solidFill>
          <a:prstDash val="solid"/>
        </a:ln>
      </c:spPr>
    </c:plotArea>
    <c:legend>
      <c:legendPos val="r"/>
      <c:layout>
        <c:manualLayout>
          <c:xMode val="edge"/>
          <c:yMode val="edge"/>
          <c:x val="0.86115996562376662"/>
          <c:y val="0.40131574462283132"/>
          <c:w val="0.13181018744338346"/>
          <c:h val="0.19736851075433742"/>
        </c:manualLayout>
      </c:layout>
      <c:overlay val="0"/>
      <c:spPr>
        <a:solidFill>
          <a:srgbClr val="FFFFFF"/>
        </a:solidFill>
        <a:ln w="3115">
          <a:solidFill>
            <a:srgbClr val="000000"/>
          </a:solidFill>
          <a:prstDash val="solid"/>
        </a:ln>
      </c:spPr>
      <c:txPr>
        <a:bodyPr/>
        <a:lstStyle/>
        <a:p>
          <a:pPr>
            <a:defRPr lang="en-US" sz="471" b="0" i="0" u="none" strike="noStrike" baseline="0">
              <a:solidFill>
                <a:srgbClr val="000000"/>
              </a:solidFill>
              <a:latin typeface="Arial"/>
              <a:ea typeface="Arial"/>
              <a:cs typeface="Arial"/>
            </a:defRPr>
          </a:pPr>
          <a:endParaRPr lang="en-US"/>
        </a:p>
      </c:txPr>
    </c:legend>
    <c:plotVisOnly val="1"/>
    <c:dispBlanksAs val="gap"/>
    <c:showDLblsOverMax val="0"/>
  </c:chart>
  <c:spPr>
    <a:noFill/>
    <a:ln>
      <a:noFill/>
    </a:ln>
  </c:spPr>
  <c:txPr>
    <a:bodyPr/>
    <a:lstStyle/>
    <a:p>
      <a:pPr>
        <a:defRPr sz="515" b="0" i="0" u="none" strike="noStrike" baseline="0">
          <a:solidFill>
            <a:srgbClr val="000000"/>
          </a:solidFill>
          <a:latin typeface="Arial"/>
          <a:ea typeface="Arial"/>
          <a:cs typeface="Arial"/>
        </a:defRPr>
      </a:pPr>
      <a:endParaRPr lang="en-US"/>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0.123</cdr:x>
      <cdr:y>0.16625</cdr:y>
    </cdr:from>
    <cdr:to>
      <cdr:x>0.123</cdr:x>
      <cdr:y>0.9315</cdr:y>
    </cdr:to>
    <cdr:sp macro="" textlink="">
      <cdr:nvSpPr>
        <cdr:cNvPr id="4097" name="Line 1"/>
        <cdr:cNvSpPr>
          <a:spLocks xmlns:a="http://schemas.openxmlformats.org/drawingml/2006/main" noChangeShapeType="1"/>
        </cdr:cNvSpPr>
      </cdr:nvSpPr>
      <cdr:spPr bwMode="auto">
        <a:xfrm xmlns:a="http://schemas.openxmlformats.org/drawingml/2006/main">
          <a:off x="666626" y="481394"/>
          <a:ext cx="0" cy="2215857"/>
        </a:xfrm>
        <a:prstGeom xmlns:a="http://schemas.openxmlformats.org/drawingml/2006/main" prst="line">
          <a:avLst/>
        </a:prstGeom>
        <a:noFill xmlns:a="http://schemas.openxmlformats.org/drawingml/2006/main"/>
        <a:ln xmlns:a="http://schemas.openxmlformats.org/drawingml/2006/main" w="28575">
          <a:solidFill>
            <a:srgbClr val="000000"/>
          </a:solidFill>
          <a:round/>
          <a:headEnd/>
          <a:tailEnd/>
        </a:ln>
      </cdr:spPr>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0.123</cdr:x>
      <cdr:y>0.9315</cdr:y>
    </cdr:from>
    <cdr:to>
      <cdr:x>0.766</cdr:x>
      <cdr:y>0.9325</cdr:y>
    </cdr:to>
    <cdr:sp macro="" textlink="">
      <cdr:nvSpPr>
        <cdr:cNvPr id="4098" name="Line 2"/>
        <cdr:cNvSpPr>
          <a:spLocks xmlns:a="http://schemas.openxmlformats.org/drawingml/2006/main" noChangeShapeType="1"/>
        </cdr:cNvSpPr>
      </cdr:nvSpPr>
      <cdr:spPr bwMode="auto">
        <a:xfrm xmlns:a="http://schemas.openxmlformats.org/drawingml/2006/main">
          <a:off x="666626" y="2697251"/>
          <a:ext cx="3484883" cy="2896"/>
        </a:xfrm>
        <a:prstGeom xmlns:a="http://schemas.openxmlformats.org/drawingml/2006/main" prst="line">
          <a:avLst/>
        </a:prstGeom>
        <a:noFill xmlns:a="http://schemas.openxmlformats.org/drawingml/2006/main"/>
        <a:ln xmlns:a="http://schemas.openxmlformats.org/drawingml/2006/main" w="28575">
          <a:solidFill>
            <a:srgbClr val="000000"/>
          </a:solidFill>
          <a:round/>
          <a:headEnd/>
          <a:tailEnd/>
        </a:ln>
      </cdr:spPr>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0.123</cdr:x>
      <cdr:y>0.38025</cdr:y>
    </cdr:from>
    <cdr:to>
      <cdr:x>0.766</cdr:x>
      <cdr:y>0.9315</cdr:y>
    </cdr:to>
    <cdr:sp macro="" textlink="">
      <cdr:nvSpPr>
        <cdr:cNvPr id="4099" name="Line 3"/>
        <cdr:cNvSpPr>
          <a:spLocks xmlns:a="http://schemas.openxmlformats.org/drawingml/2006/main" noChangeShapeType="1"/>
        </cdr:cNvSpPr>
      </cdr:nvSpPr>
      <cdr:spPr bwMode="auto">
        <a:xfrm xmlns:a="http://schemas.openxmlformats.org/drawingml/2006/main" flipV="1">
          <a:off x="666626" y="1101052"/>
          <a:ext cx="3484883" cy="1596199"/>
        </a:xfrm>
        <a:prstGeom xmlns:a="http://schemas.openxmlformats.org/drawingml/2006/main" prst="line">
          <a:avLst/>
        </a:prstGeom>
        <a:noFill xmlns:a="http://schemas.openxmlformats.org/drawingml/2006/main"/>
        <a:ln xmlns:a="http://schemas.openxmlformats.org/drawingml/2006/main" w="19050">
          <a:solidFill>
            <a:srgbClr val="000000"/>
          </a:solidFill>
          <a:round/>
          <a:headEnd/>
          <a:tailEnd/>
        </a:ln>
      </cdr:spPr>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0.123</cdr:x>
      <cdr:y>0.80725</cdr:y>
    </cdr:from>
    <cdr:to>
      <cdr:x>0.766</cdr:x>
      <cdr:y>0.80725</cdr:y>
    </cdr:to>
    <cdr:sp macro="" textlink="">
      <cdr:nvSpPr>
        <cdr:cNvPr id="4100" name="Line 4"/>
        <cdr:cNvSpPr>
          <a:spLocks xmlns:a="http://schemas.openxmlformats.org/drawingml/2006/main" noChangeShapeType="1"/>
        </cdr:cNvSpPr>
      </cdr:nvSpPr>
      <cdr:spPr bwMode="auto">
        <a:xfrm xmlns:a="http://schemas.openxmlformats.org/drawingml/2006/main">
          <a:off x="666626" y="2337473"/>
          <a:ext cx="3484883" cy="0"/>
        </a:xfrm>
        <a:prstGeom xmlns:a="http://schemas.openxmlformats.org/drawingml/2006/main" prst="line">
          <a:avLst/>
        </a:prstGeom>
        <a:noFill xmlns:a="http://schemas.openxmlformats.org/drawingml/2006/main"/>
        <a:ln xmlns:a="http://schemas.openxmlformats.org/drawingml/2006/main" w="9525">
          <a:solidFill>
            <a:srgbClr val="000000"/>
          </a:solidFill>
          <a:prstDash val="sysDot"/>
          <a:round/>
          <a:headEnd/>
          <a:tailEnd/>
        </a:ln>
      </cdr:spPr>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0.123</cdr:x>
      <cdr:y>0.80725</cdr:y>
    </cdr:from>
    <cdr:to>
      <cdr:x>0.123</cdr:x>
      <cdr:y>0.80725</cdr:y>
    </cdr:to>
    <cdr:sp macro="" textlink="">
      <cdr:nvSpPr>
        <cdr:cNvPr id="4101" name="Line 5"/>
        <cdr:cNvSpPr>
          <a:spLocks xmlns:a="http://schemas.openxmlformats.org/drawingml/2006/main" noChangeShapeType="1"/>
        </cdr:cNvSpPr>
      </cdr:nvSpPr>
      <cdr:spPr bwMode="auto">
        <a:xfrm xmlns:a="http://schemas.openxmlformats.org/drawingml/2006/main">
          <a:off x="666626" y="2337473"/>
          <a:ext cx="0" cy="0"/>
        </a:xfrm>
        <a:prstGeom xmlns:a="http://schemas.openxmlformats.org/drawingml/2006/main" prst="line">
          <a:avLst/>
        </a:prstGeom>
        <a:noFill xmlns:a="http://schemas.openxmlformats.org/drawingml/2006/main"/>
        <a:ln xmlns:a="http://schemas.openxmlformats.org/drawingml/2006/main" w="9525">
          <a:solidFill>
            <a:srgbClr val="000000"/>
          </a:solidFill>
          <a:round/>
          <a:headEnd/>
          <a:tailEnd/>
        </a:ln>
      </cdr:spPr>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0.123</cdr:x>
      <cdr:y>0.80725</cdr:y>
    </cdr:from>
    <cdr:to>
      <cdr:x>0.123</cdr:x>
      <cdr:y>0.80725</cdr:y>
    </cdr:to>
    <cdr:sp macro="" textlink="">
      <cdr:nvSpPr>
        <cdr:cNvPr id="4102" name="Line 6"/>
        <cdr:cNvSpPr>
          <a:spLocks xmlns:a="http://schemas.openxmlformats.org/drawingml/2006/main" noChangeShapeType="1"/>
        </cdr:cNvSpPr>
      </cdr:nvSpPr>
      <cdr:spPr bwMode="auto">
        <a:xfrm xmlns:a="http://schemas.openxmlformats.org/drawingml/2006/main">
          <a:off x="666626" y="2337473"/>
          <a:ext cx="0" cy="0"/>
        </a:xfrm>
        <a:prstGeom xmlns:a="http://schemas.openxmlformats.org/drawingml/2006/main" prst="line">
          <a:avLst/>
        </a:prstGeom>
        <a:noFill xmlns:a="http://schemas.openxmlformats.org/drawingml/2006/main"/>
        <a:ln xmlns:a="http://schemas.openxmlformats.org/drawingml/2006/main" w="9525">
          <a:solidFill>
            <a:srgbClr val="000000"/>
          </a:solidFill>
          <a:round/>
          <a:headEnd/>
          <a:tailEnd/>
        </a:ln>
      </cdr:spPr>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0.123</cdr:x>
      <cdr:y>0.46425</cdr:y>
    </cdr:from>
    <cdr:to>
      <cdr:x>0.766</cdr:x>
      <cdr:y>0.80725</cdr:y>
    </cdr:to>
    <cdr:sp macro="" textlink="">
      <cdr:nvSpPr>
        <cdr:cNvPr id="4103" name="Line 7"/>
        <cdr:cNvSpPr>
          <a:spLocks xmlns:a="http://schemas.openxmlformats.org/drawingml/2006/main" noChangeShapeType="1"/>
        </cdr:cNvSpPr>
      </cdr:nvSpPr>
      <cdr:spPr bwMode="auto">
        <a:xfrm xmlns:a="http://schemas.openxmlformats.org/drawingml/2006/main" flipV="1">
          <a:off x="666626" y="1344282"/>
          <a:ext cx="3484883" cy="993191"/>
        </a:xfrm>
        <a:prstGeom xmlns:a="http://schemas.openxmlformats.org/drawingml/2006/main" prst="line">
          <a:avLst/>
        </a:prstGeom>
        <a:noFill xmlns:a="http://schemas.openxmlformats.org/drawingml/2006/main"/>
        <a:ln xmlns:a="http://schemas.openxmlformats.org/drawingml/2006/main" w="28575" cap="rnd">
          <a:solidFill>
            <a:srgbClr val="000000"/>
          </a:solidFill>
          <a:prstDash val="sysDot"/>
          <a:round/>
          <a:headEnd/>
          <a:tailEnd/>
        </a:ln>
      </cdr:spPr>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0.072</cdr:x>
      <cdr:y>0.10475</cdr:y>
    </cdr:from>
    <cdr:to>
      <cdr:x>0.1385</cdr:x>
      <cdr:y>0.22756</cdr:y>
    </cdr:to>
    <cdr:sp macro="" textlink="">
      <cdr:nvSpPr>
        <cdr:cNvPr id="4105" name="Text Box 9"/>
        <cdr:cNvSpPr txBox="1">
          <a:spLocks xmlns:a="http://schemas.openxmlformats.org/drawingml/2006/main" noChangeArrowheads="1"/>
        </cdr:cNvSpPr>
      </cdr:nvSpPr>
      <cdr:spPr bwMode="auto">
        <a:xfrm xmlns:a="http://schemas.openxmlformats.org/drawingml/2006/main">
          <a:off x="394335" y="311295"/>
          <a:ext cx="364212" cy="364979"/>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none" lIns="9144" tIns="18288" rIns="0" bIns="0" anchor="t" upright="1">
          <a:noAutofit/>
        </a:bodyPr>
        <a:lstStyle xmlns:a="http://schemas.openxmlformats.org/drawingml/2006/main"/>
        <a:p xmlns:a="http://schemas.openxmlformats.org/drawingml/2006/main">
          <a:pPr algn="l" rtl="0">
            <a:defRPr sz="1000"/>
          </a:pPr>
          <a:r>
            <a:rPr lang="en-US" sz="525" b="0" i="0" strike="noStrike">
              <a:solidFill>
                <a:srgbClr val="000000"/>
              </a:solidFill>
              <a:latin typeface="Times New Roman"/>
              <a:cs typeface="Times New Roman"/>
            </a:rPr>
            <a:t>Rates &amp; MC</a:t>
          </a:r>
        </a:p>
      </cdr:txBody>
    </cdr:sp>
  </cdr:relSizeAnchor>
  <cdr:relSizeAnchor xmlns:cdr="http://schemas.openxmlformats.org/drawingml/2006/chartDrawing">
    <cdr:from>
      <cdr:x>0.803</cdr:x>
      <cdr:y>0.93025</cdr:y>
    </cdr:from>
    <cdr:to>
      <cdr:x>0.82425</cdr:x>
      <cdr:y>0.9735</cdr:y>
    </cdr:to>
    <cdr:sp macro="" textlink="">
      <cdr:nvSpPr>
        <cdr:cNvPr id="4106" name="Text Box 10"/>
        <cdr:cNvSpPr txBox="1">
          <a:spLocks xmlns:a="http://schemas.openxmlformats.org/drawingml/2006/main" noChangeArrowheads="1"/>
        </cdr:cNvSpPr>
      </cdr:nvSpPr>
      <cdr:spPr bwMode="auto">
        <a:xfrm xmlns:a="http://schemas.openxmlformats.org/drawingml/2006/main">
          <a:off x="4352039" y="2697251"/>
          <a:ext cx="285891" cy="199797"/>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none" lIns="9144" tIns="18288" rIns="0" bIns="0" anchor="t" upright="1">
          <a:spAutoFit/>
        </a:bodyPr>
        <a:lstStyle xmlns:a="http://schemas.openxmlformats.org/drawingml/2006/main"/>
        <a:p xmlns:a="http://schemas.openxmlformats.org/drawingml/2006/main">
          <a:pPr algn="l" rtl="0">
            <a:defRPr sz="1000"/>
          </a:pPr>
          <a:r>
            <a:rPr lang="en-US" sz="525" b="0" i="0" strike="noStrike">
              <a:solidFill>
                <a:srgbClr val="000000"/>
              </a:solidFill>
              <a:latin typeface="Times New Roman"/>
              <a:cs typeface="Times New Roman"/>
            </a:rPr>
            <a:t>CIV</a:t>
          </a:r>
        </a:p>
      </cdr:txBody>
    </cdr:sp>
  </cdr:relSizeAnchor>
  <cdr:relSizeAnchor xmlns:cdr="http://schemas.openxmlformats.org/drawingml/2006/chartDrawing">
    <cdr:from>
      <cdr:x>0.66125</cdr:x>
      <cdr:y>0.76075</cdr:y>
    </cdr:from>
    <cdr:to>
      <cdr:x>0.76225</cdr:x>
      <cdr:y>0.8035</cdr:y>
    </cdr:to>
    <cdr:sp macro="" textlink="">
      <cdr:nvSpPr>
        <cdr:cNvPr id="4107" name="Text Box 11"/>
        <cdr:cNvSpPr txBox="1">
          <a:spLocks xmlns:a="http://schemas.openxmlformats.org/drawingml/2006/main" noChangeArrowheads="1"/>
        </cdr:cNvSpPr>
      </cdr:nvSpPr>
      <cdr:spPr bwMode="auto">
        <a:xfrm xmlns:a="http://schemas.openxmlformats.org/drawingml/2006/main">
          <a:off x="3579728" y="2204999"/>
          <a:ext cx="1047362" cy="199797"/>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none" lIns="9144" tIns="18288" rIns="0" bIns="0" anchor="t" upright="1">
          <a:spAutoFit/>
        </a:bodyPr>
        <a:lstStyle xmlns:a="http://schemas.openxmlformats.org/drawingml/2006/main"/>
        <a:p xmlns:a="http://schemas.openxmlformats.org/drawingml/2006/main">
          <a:pPr algn="l" rtl="0">
            <a:defRPr sz="1000"/>
          </a:pPr>
          <a:r>
            <a:rPr lang="en-US" sz="525" b="0" i="0" strike="noStrike">
              <a:solidFill>
                <a:srgbClr val="000000"/>
              </a:solidFill>
              <a:latin typeface="Times New Roman"/>
              <a:cs typeface="Times New Roman"/>
            </a:rPr>
            <a:t>Municipal Charge</a:t>
          </a:r>
        </a:p>
      </cdr:txBody>
    </cdr:sp>
  </cdr:relSizeAnchor>
  <cdr:relSizeAnchor xmlns:cdr="http://schemas.openxmlformats.org/drawingml/2006/chartDrawing">
    <cdr:from>
      <cdr:x>0.682</cdr:x>
      <cdr:y>0.516</cdr:y>
    </cdr:from>
    <cdr:to>
      <cdr:x>0.75825</cdr:x>
      <cdr:y>0.559</cdr:y>
    </cdr:to>
    <cdr:sp macro="" textlink="">
      <cdr:nvSpPr>
        <cdr:cNvPr id="4108" name="Text Box 12"/>
        <cdr:cNvSpPr txBox="1">
          <a:spLocks xmlns:a="http://schemas.openxmlformats.org/drawingml/2006/main" noChangeArrowheads="1"/>
        </cdr:cNvSpPr>
      </cdr:nvSpPr>
      <cdr:spPr bwMode="auto">
        <a:xfrm xmlns:a="http://schemas.openxmlformats.org/drawingml/2006/main">
          <a:off x="3700317" y="1499197"/>
          <a:ext cx="819734" cy="199796"/>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none" lIns="9144" tIns="18288" rIns="0" bIns="0" anchor="t" upright="1">
          <a:spAutoFit/>
        </a:bodyPr>
        <a:lstStyle xmlns:a="http://schemas.openxmlformats.org/drawingml/2006/main"/>
        <a:p xmlns:a="http://schemas.openxmlformats.org/drawingml/2006/main">
          <a:pPr algn="l" rtl="0">
            <a:defRPr sz="1000"/>
          </a:pPr>
          <a:r>
            <a:rPr lang="en-US" sz="525" b="0" i="0" strike="noStrike">
              <a:solidFill>
                <a:srgbClr val="000000"/>
              </a:solidFill>
              <a:latin typeface="Times New Roman"/>
              <a:cs typeface="Times New Roman"/>
            </a:rPr>
            <a:t>Rate with MC</a:t>
          </a:r>
        </a:p>
      </cdr:txBody>
    </cdr:sp>
  </cdr:relSizeAnchor>
  <cdr:relSizeAnchor xmlns:cdr="http://schemas.openxmlformats.org/drawingml/2006/chartDrawing">
    <cdr:from>
      <cdr:x>0.2015</cdr:x>
      <cdr:y>0.869</cdr:y>
    </cdr:from>
    <cdr:to>
      <cdr:x>0.298</cdr:x>
      <cdr:y>0.912</cdr:y>
    </cdr:to>
    <cdr:sp macro="" textlink="">
      <cdr:nvSpPr>
        <cdr:cNvPr id="4109" name="Text Box 13"/>
        <cdr:cNvSpPr txBox="1">
          <a:spLocks xmlns:a="http://schemas.openxmlformats.org/drawingml/2006/main" noChangeArrowheads="1"/>
        </cdr:cNvSpPr>
      </cdr:nvSpPr>
      <cdr:spPr bwMode="auto">
        <a:xfrm xmlns:a="http://schemas.openxmlformats.org/drawingml/2006/main">
          <a:off x="1096139" y="2518448"/>
          <a:ext cx="999940" cy="199797"/>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none" lIns="9144" tIns="18288" rIns="0" bIns="0" anchor="t" upright="1">
          <a:spAutoFit/>
        </a:bodyPr>
        <a:lstStyle xmlns:a="http://schemas.openxmlformats.org/drawingml/2006/main"/>
        <a:p xmlns:a="http://schemas.openxmlformats.org/drawingml/2006/main">
          <a:pPr algn="l" rtl="0">
            <a:defRPr sz="1000"/>
          </a:pPr>
          <a:r>
            <a:rPr lang="en-US" sz="525" b="0" i="0" strike="noStrike">
              <a:solidFill>
                <a:srgbClr val="000000"/>
              </a:solidFill>
              <a:latin typeface="Times New Roman"/>
              <a:cs typeface="Times New Roman"/>
            </a:rPr>
            <a:t>Rate without MC</a:t>
          </a:r>
        </a:p>
      </cdr:txBody>
    </cdr:sp>
  </cdr:relSizeAnchor>
  <cdr:relSizeAnchor xmlns:cdr="http://schemas.openxmlformats.org/drawingml/2006/chartDrawing">
    <cdr:from>
      <cdr:x>0.508</cdr:x>
      <cdr:y>0.55225</cdr:y>
    </cdr:from>
    <cdr:to>
      <cdr:x>0.508</cdr:x>
      <cdr:y>0.596</cdr:y>
    </cdr:to>
    <cdr:sp macro="" textlink="">
      <cdr:nvSpPr>
        <cdr:cNvPr id="4114" name="Line 18"/>
        <cdr:cNvSpPr>
          <a:spLocks xmlns:a="http://schemas.openxmlformats.org/drawingml/2006/main" noChangeShapeType="1"/>
        </cdr:cNvSpPr>
      </cdr:nvSpPr>
      <cdr:spPr bwMode="auto">
        <a:xfrm xmlns:a="http://schemas.openxmlformats.org/drawingml/2006/main">
          <a:off x="2753220" y="1599095"/>
          <a:ext cx="0" cy="126683"/>
        </a:xfrm>
        <a:prstGeom xmlns:a="http://schemas.openxmlformats.org/drawingml/2006/main" prst="line">
          <a:avLst/>
        </a:prstGeom>
        <a:noFill xmlns:a="http://schemas.openxmlformats.org/drawingml/2006/main"/>
        <a:ln xmlns:a="http://schemas.openxmlformats.org/drawingml/2006/main" w="9525">
          <a:solidFill>
            <a:srgbClr val="000000"/>
          </a:solidFill>
          <a:round/>
          <a:headEnd/>
          <a:tailEnd type="triangle" w="med" len="med"/>
        </a:ln>
      </cdr:spPr>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0.475</cdr:x>
      <cdr:y>0.516</cdr:y>
    </cdr:from>
    <cdr:to>
      <cdr:x>0.54475</cdr:x>
      <cdr:y>0.559</cdr:y>
    </cdr:to>
    <cdr:sp macro="" textlink="">
      <cdr:nvSpPr>
        <cdr:cNvPr id="4115" name="Text Box 19"/>
        <cdr:cNvSpPr txBox="1">
          <a:spLocks xmlns:a="http://schemas.openxmlformats.org/drawingml/2006/main" noChangeArrowheads="1"/>
        </cdr:cNvSpPr>
      </cdr:nvSpPr>
      <cdr:spPr bwMode="auto">
        <a:xfrm xmlns:a="http://schemas.openxmlformats.org/drawingml/2006/main">
          <a:off x="2574369" y="1499197"/>
          <a:ext cx="685596" cy="199796"/>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none" lIns="9144" tIns="18288" rIns="0" bIns="0" anchor="t" upright="1">
          <a:spAutoFit/>
        </a:bodyPr>
        <a:lstStyle xmlns:a="http://schemas.openxmlformats.org/drawingml/2006/main"/>
        <a:p xmlns:a="http://schemas.openxmlformats.org/drawingml/2006/main">
          <a:pPr algn="l" rtl="0">
            <a:defRPr sz="1000"/>
          </a:pPr>
          <a:r>
            <a:rPr lang="en-US" sz="525" b="0" i="0" strike="noStrike">
              <a:solidFill>
                <a:srgbClr val="000000"/>
              </a:solidFill>
              <a:latin typeface="Times New Roman"/>
              <a:cs typeface="Times New Roman"/>
            </a:rPr>
            <a:t>Break-even</a:t>
          </a:r>
          <a:r>
            <a:rPr lang="en-US" sz="525" b="0" i="0" strike="noStrike">
              <a:solidFill>
                <a:srgbClr val="000000"/>
              </a:solidFill>
              <a:latin typeface="Arial"/>
              <a:cs typeface="Arial"/>
            </a:rPr>
            <a:t> </a:t>
          </a:r>
        </a:p>
      </cdr:txBody>
    </cdr:sp>
  </cdr:relSizeAnchor>
</c:userShape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282F075E1734423A9784497A8A7965C"/>
        <w:category>
          <w:name w:val="General"/>
          <w:gallery w:val="placeholder"/>
        </w:category>
        <w:types>
          <w:type w:val="bbPlcHdr"/>
        </w:types>
        <w:behaviors>
          <w:behavior w:val="content"/>
        </w:behaviors>
        <w:guid w:val="{8EF74914-EB0D-4BAC-8D0C-0A89FE61830A}"/>
      </w:docPartPr>
      <w:docPartBody>
        <w:p w:rsidR="00997489" w:rsidRDefault="00BF0DFF">
          <w:r w:rsidRPr="00470671">
            <w:rPr>
              <w:rStyle w:val="PlaceholderText"/>
            </w:rPr>
            <w:t>[Title]</w:t>
          </w:r>
        </w:p>
      </w:docPartBody>
    </w:docPart>
    <w:docPart>
      <w:docPartPr>
        <w:name w:val="61D7CA02FD154D2386C4D47812ABE9FE"/>
        <w:category>
          <w:name w:val="General"/>
          <w:gallery w:val="placeholder"/>
        </w:category>
        <w:types>
          <w:type w:val="bbPlcHdr"/>
        </w:types>
        <w:behaviors>
          <w:behavior w:val="content"/>
        </w:behaviors>
        <w:guid w:val="{DDCCE570-1E78-406F-B8AE-D5297D2BEF9B}"/>
      </w:docPartPr>
      <w:docPartBody>
        <w:p w:rsidR="00997489" w:rsidRDefault="00BF0DFF">
          <w:r w:rsidRPr="0047067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DFF"/>
    <w:rsid w:val="004900F5"/>
    <w:rsid w:val="00566CBA"/>
    <w:rsid w:val="00684006"/>
    <w:rsid w:val="006904D6"/>
    <w:rsid w:val="00697A04"/>
    <w:rsid w:val="006A3901"/>
    <w:rsid w:val="00740369"/>
    <w:rsid w:val="00775B78"/>
    <w:rsid w:val="007C092F"/>
    <w:rsid w:val="008F6852"/>
    <w:rsid w:val="00997489"/>
    <w:rsid w:val="009D6D55"/>
    <w:rsid w:val="00BF0DFF"/>
    <w:rsid w:val="00CA13A8"/>
    <w:rsid w:val="00CE41FC"/>
    <w:rsid w:val="00E5331D"/>
    <w:rsid w:val="00EC13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40D2F7D1"/>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0369"/>
    <w:rPr>
      <w:color w:val="808080"/>
    </w:rPr>
  </w:style>
  <w:style w:type="paragraph" w:customStyle="1" w:styleId="94F01C6DC38B4B3BB931B366A0C5361F">
    <w:name w:val="94F01C6DC38B4B3BB931B366A0C5361F"/>
    <w:rsid w:val="007C092F"/>
  </w:style>
  <w:style w:type="paragraph" w:customStyle="1" w:styleId="719EE2A56BF8446ABA2EE75F5BF3FA87">
    <w:name w:val="719EE2A56BF8446ABA2EE75F5BF3FA87"/>
    <w:rsid w:val="007C092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0369"/>
    <w:rPr>
      <w:color w:val="808080"/>
    </w:rPr>
  </w:style>
  <w:style w:type="paragraph" w:customStyle="1" w:styleId="94F01C6DC38B4B3BB931B366A0C5361F">
    <w:name w:val="94F01C6DC38B4B3BB931B366A0C5361F"/>
    <w:rsid w:val="007C092F"/>
  </w:style>
  <w:style w:type="paragraph" w:customStyle="1" w:styleId="719EE2A56BF8446ABA2EE75F5BF3FA87">
    <w:name w:val="719EE2A56BF8446ABA2EE75F5BF3FA87"/>
    <w:rsid w:val="007C09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Type Month Year</PublishDate>
  <Abstract/>
  <CompanyAddress/>
  <CompanyPhone/>
  <CompanyFax/>
  <CompanyEmail/>
</CoverPageProperties>
</file>

<file path=customXml/item2.xml><?xml version="1.0" encoding="utf-8"?>
<p:properties xmlns:p="http://schemas.microsoft.com/office/2006/metadata/properties" xmlns:xsi="http://www.w3.org/2001/XMLSchema-instance">
  <documentManagement>
    <TaxCatchAll xmlns="b2999bd9-dba0-46e4-8521-1f182c80fbb9">
      <Value>48</Value>
    </TaxCatchAll>
    <AGLSSubjectTaxHTField1 xmlns="b2999bd9-dba0-46e4-8521-1f182c80fbb9" xsi:nil="true"/>
    <AGLSSubjectHTField0 xmlns="c9f238dd-bb73-4aef-a7a5-d644ad823e52">
      <Terms xmlns="http://schemas.microsoft.com/office/infopath/2007/PartnerControls">
        <TermInfo xmlns="http://schemas.microsoft.com/office/infopath/2007/PartnerControls">
          <TermName xmlns="http://schemas.microsoft.com/office/infopath/2007/PartnerControls">Financial sustainability</TermName>
          <TermId xmlns="http://schemas.microsoft.com/office/infopath/2007/PartnerControls">12eea2ff-5c97-413d-a56a-64dd6a957dd9</TermId>
        </TermInfo>
      </Terms>
    </AGLSSubjectHTField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AV Report" ma:contentTypeID="0x010100DD242800CF7516419AB0B961499C9D6001007BD8EB0CB05DA3439942566A25756C6C" ma:contentTypeVersion="4" ma:contentTypeDescription="" ma:contentTypeScope="" ma:versionID="37f5b10b60ef8c88574af57071c1342e">
  <xsd:schema xmlns:xsd="http://www.w3.org/2001/XMLSchema" xmlns:xs="http://www.w3.org/2001/XMLSchema" xmlns:p="http://schemas.microsoft.com/office/2006/metadata/properties" xmlns:ns2="fc64a6d2-c0db-4bd5-9754-b0b83581d785" xmlns:ns3="6f1422fb-2028-4185-8ac3-58d55a1bdfd2" targetNamespace="http://schemas.microsoft.com/office/2006/metadata/properties" ma:root="true" ma:fieldsID="d655562cf051c2cec4c960df92847876" ns2:_="" ns3:_="">
    <xsd:import namespace="fc64a6d2-c0db-4bd5-9754-b0b83581d785"/>
    <xsd:import namespace="6f1422fb-2028-4185-8ac3-58d55a1bdfd2"/>
    <xsd:element name="properties">
      <xsd:complexType>
        <xsd:sequence>
          <xsd:element name="documentManagement">
            <xsd:complexType>
              <xsd:all>
                <xsd:element ref="ns2:Document_x0020_Description" minOccurs="0"/>
                <xsd:element ref="ns3:k0b54e78e42441dfa425127a2b71fc85" minOccurs="0"/>
                <xsd:element ref="ns3:TaxCatchAll" minOccurs="0"/>
                <xsd:element ref="ns3:d83176152cb9456187ae86efb122927b" minOccurs="0"/>
                <xsd:element ref="ns3:k5331b621ba0468e9100f98046902b25" minOccurs="0"/>
                <xsd:element ref="ns3:o75964cf8a7848bcbe173c8e46ed4578" minOccurs="0"/>
                <xsd:element ref="ns3:i47f3095e8cd42b2a4f90d0e032a4a0a" minOccurs="0"/>
                <xsd:element ref="ns2:l5977635003b4fae9e5c5dd94568964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64a6d2-c0db-4bd5-9754-b0b83581d785" elementFormDefault="qualified">
    <xsd:import namespace="http://schemas.microsoft.com/office/2006/documentManagement/types"/>
    <xsd:import namespace="http://schemas.microsoft.com/office/infopath/2007/PartnerControls"/>
    <xsd:element name="Document_x0020_Description" ma:index="2" nillable="true" ma:displayName="Document Description" ma:default="" ma:description="A textual description of the content and/or purpose of the resource." ma:internalName="Document_x0020_Description" ma:readOnly="false">
      <xsd:simpleType>
        <xsd:restriction base="dms:Note">
          <xsd:maxLength value="255"/>
        </xsd:restriction>
      </xsd:simpleType>
    </xsd:element>
    <xsd:element name="l5977635003b4fae9e5c5dd94568964a" ma:index="21" nillable="true" ma:taxonomy="true" ma:internalName="l5977635003b4fae9e5c5dd94568964a" ma:taxonomyFieldName="Project" ma:displayName="Project" ma:readOnly="false" ma:default="" ma:fieldId="{55977635-003b-4fae-9e5c-5dd94568964a}" ma:sspId="707edd6b-bcd8-4d82-9e36-5e836165b7db" ma:termSetId="92f7cff1-1195-4c08-af70-9462b7076f7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f1422fb-2028-4185-8ac3-58d55a1bdfd2" elementFormDefault="qualified">
    <xsd:import namespace="http://schemas.microsoft.com/office/2006/documentManagement/types"/>
    <xsd:import namespace="http://schemas.microsoft.com/office/infopath/2007/PartnerControls"/>
    <xsd:element name="k0b54e78e42441dfa425127a2b71fc85" ma:index="15" ma:taxonomy="true" ma:internalName="k0b54e78e42441dfa425127a2b71fc85" ma:taxonomyFieldName="Doc_x0020_Type" ma:displayName="Doc Type" ma:readOnly="false" ma:default="" ma:fieldId="{40b54e78-e424-41df-a425-127a2b71fc85}" ma:sspId="707edd6b-bcd8-4d82-9e36-5e836165b7db" ma:termSetId="34f10eaa-5417-4633-8775-0616c2ee193a"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6d5cc0e3-e685-4de6-820e-7e2006cd9b98}" ma:internalName="TaxCatchAll" ma:showField="CatchAllData" ma:web="6f1422fb-2028-4185-8ac3-58d55a1bdfd2">
      <xsd:complexType>
        <xsd:complexContent>
          <xsd:extension base="dms:MultiChoiceLookup">
            <xsd:sequence>
              <xsd:element name="Value" type="dms:Lookup" maxOccurs="unbounded" minOccurs="0" nillable="true"/>
            </xsd:sequence>
          </xsd:extension>
        </xsd:complexContent>
      </xsd:complexType>
    </xsd:element>
    <xsd:element name="d83176152cb9456187ae86efb122927b" ma:index="17" nillable="true" ma:taxonomy="true" ma:internalName="d83176152cb9456187ae86efb122927b" ma:taxonomyFieldName="Month" ma:displayName="Month" ma:readOnly="false" ma:default="" ma:fieldId="{d8317615-2cb9-4561-87ae-86efb122927b}" ma:sspId="707edd6b-bcd8-4d82-9e36-5e836165b7db" ma:termSetId="93d674fd-138a-4c5d-b264-c0eb5d48ff27" ma:anchorId="00000000-0000-0000-0000-000000000000" ma:open="false" ma:isKeyword="false">
      <xsd:complexType>
        <xsd:sequence>
          <xsd:element ref="pc:Terms" minOccurs="0" maxOccurs="1"/>
        </xsd:sequence>
      </xsd:complexType>
    </xsd:element>
    <xsd:element name="k5331b621ba0468e9100f98046902b25" ma:index="18" nillable="true" ma:taxonomy="true" ma:internalName="k5331b621ba0468e9100f98046902b25" ma:taxonomyFieldName="Year" ma:displayName="Year" ma:readOnly="false" ma:default="" ma:fieldId="{45331b62-1ba0-468e-9100-f98046902b25}" ma:sspId="707edd6b-bcd8-4d82-9e36-5e836165b7db" ma:termSetId="aaffa071-a142-4ca5-b031-c794790264a6" ma:anchorId="00000000-0000-0000-0000-000000000000" ma:open="false" ma:isKeyword="false">
      <xsd:complexType>
        <xsd:sequence>
          <xsd:element ref="pc:Terms" minOccurs="0" maxOccurs="1"/>
        </xsd:sequence>
      </xsd:complexType>
    </xsd:element>
    <xsd:element name="o75964cf8a7848bcbe173c8e46ed4578" ma:index="19" nillable="true" ma:taxonomy="true" ma:internalName="o75964cf8a7848bcbe173c8e46ed4578" ma:taxonomyFieldName="Stakeholders" ma:displayName="Stakeholders" ma:readOnly="false" ma:default="" ma:fieldId="{875964cf-8a78-48bc-be17-3c8e46ed4578}" ma:sspId="707edd6b-bcd8-4d82-9e36-5e836165b7db" ma:termSetId="876bfadc-2860-426d-8e51-012174624128" ma:anchorId="00000000-0000-0000-0000-000000000000" ma:open="false" ma:isKeyword="false">
      <xsd:complexType>
        <xsd:sequence>
          <xsd:element ref="pc:Terms" minOccurs="0" maxOccurs="1"/>
        </xsd:sequence>
      </xsd:complexType>
    </xsd:element>
    <xsd:element name="i47f3095e8cd42b2a4f90d0e032a4a0a" ma:index="20" nillable="true" ma:taxonomy="true" ma:internalName="i47f3095e8cd42b2a4f90d0e032a4a0a" ma:taxonomyFieldName="Topic" ma:displayName="Topic" ma:readOnly="false" ma:default="" ma:fieldId="{247f3095-e8cd-42b2-a4f9-0d0e032a4a0a}" ma:sspId="707edd6b-bcd8-4d82-9e36-5e836165b7db" ma:termSetId="41c7ede2-9c1a-429f-a2e9-76c737bbbea2"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http://mavis/policy/financeeconomics/_cts/MAV Report/Global Template.xsn</xsnLocation>
  <cached>True</cached>
  <openByDefault>True</openByDefault>
  <xsnScope>http://mavis/sites/FinanceEconomics/Financeandeconomics</xsnScope>
</customXsn>
</file>

<file path=customXml/item6.xml><?xml version="1.0" encoding="utf-8"?>
<ct:contentTypeSchema xmlns:ct="http://schemas.microsoft.com/office/2006/metadata/contentType" xmlns:ma="http://schemas.microsoft.com/office/2006/metadata/properties/metaAttributes" ct:_="" ma:_="" ma:contentTypeName="Document" ma:contentTypeID="0x01010049D2DFD3F7CFB74BAB0FBC1004AABBF3" ma:contentTypeVersion="5" ma:contentTypeDescription="Create a new document." ma:contentTypeScope="" ma:versionID="d09cf1aa468870cbffde8dbbd9535659">
  <xsd:schema xmlns:xsd="http://www.w3.org/2001/XMLSchema" xmlns:xs="http://www.w3.org/2001/XMLSchema" xmlns:p="http://schemas.microsoft.com/office/2006/metadata/properties" xmlns:ns2="b2999bd9-dba0-46e4-8521-1f182c80fbb9" xmlns:ns4="c9f238dd-bb73-4aef-a7a5-d644ad823e52" targetNamespace="http://schemas.microsoft.com/office/2006/metadata/properties" ma:root="true" ma:fieldsID="4fa831a983ed0bff97e145836a3643a6" ns2:_="" ns4:_="">
    <xsd:import namespace="b2999bd9-dba0-46e4-8521-1f182c80fbb9"/>
    <xsd:import namespace="c9f238dd-bb73-4aef-a7a5-d644ad823e52"/>
    <xsd:element name="properties">
      <xsd:complexType>
        <xsd:sequence>
          <xsd:element name="documentManagement">
            <xsd:complexType>
              <xsd:all>
                <xsd:element ref="ns2:AGLSSubjectTaxHTField1" minOccurs="0"/>
                <xsd:element ref="ns4:AGLSSubjectHTField0"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99bd9-dba0-46e4-8521-1f182c80fbb9" elementFormDefault="qualified">
    <xsd:import namespace="http://schemas.microsoft.com/office/2006/documentManagement/types"/>
    <xsd:import namespace="http://schemas.microsoft.com/office/infopath/2007/PartnerControls"/>
    <xsd:element name="AGLSSubjectTaxHTField1" ma:index="8" nillable="true" ma:displayName="DC.Subject_1" ma:hidden="true" ma:internalName="AGLSSubjectTaxHTField1">
      <xsd:simpleType>
        <xsd:restriction base="dms:Note"/>
      </xsd:simpleType>
    </xsd:element>
    <xsd:element name="TaxCatchAll" ma:index="11" nillable="true" ma:displayName="Taxonomy Catch All Column" ma:description="" ma:hidden="true" ma:list="{ff9c2cd2-d0e6-477d-a921-5f7152752030}" ma:internalName="TaxCatchAll" ma:showField="CatchAllData" ma:web="b2999bd9-dba0-46e4-8521-1f182c80fb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f238dd-bb73-4aef-a7a5-d644ad823e52" elementFormDefault="qualified">
    <xsd:import namespace="http://schemas.microsoft.com/office/2006/documentManagement/types"/>
    <xsd:import namespace="http://schemas.microsoft.com/office/infopath/2007/PartnerControls"/>
    <xsd:element name="AGLSSubjectHTField0" ma:index="10" ma:taxonomy="true" ma:internalName="AGLSSubjectHTField0" ma:taxonomyFieldName="AGLSSubject" ma:displayName="DC.Subject" ma:default="" ma:fieldId="{d8fece8f-c1b1-4f04-a86c-25e52362e650}" ma:sspId="2283e515-f1ad-4c86-85fd-a7bc38926309" ma:termSetId="bd09e9e4-4fd3-4785-8f8f-05e1704e9b3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file>

<file path=customXml/itemProps2.xml><?xml version="1.0" encoding="utf-8"?>
<ds:datastoreItem xmlns:ds="http://schemas.openxmlformats.org/officeDocument/2006/customXml" ds:itemID="{D24DA5F4-1C72-4E27-94F4-E1E4EA134F03}"/>
</file>

<file path=customXml/itemProps3.xml><?xml version="1.0" encoding="utf-8"?>
<ds:datastoreItem xmlns:ds="http://schemas.openxmlformats.org/officeDocument/2006/customXml" ds:itemID="{22F23369-13DF-4869-9D0F-F47B259AB56C}"/>
</file>

<file path=customXml/itemProps4.xml><?xml version="1.0" encoding="utf-8"?>
<ds:datastoreItem xmlns:ds="http://schemas.openxmlformats.org/officeDocument/2006/customXml" ds:itemID="{D8E3FFC7-578C-474D-BA8A-0F1FC2392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64a6d2-c0db-4bd5-9754-b0b83581d785"/>
    <ds:schemaRef ds:uri="6f1422fb-2028-4185-8ac3-58d55a1bdf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16645F9-6DB6-4B40-9C8B-44BF4D0A5F39}">
  <ds:schemaRefs>
    <ds:schemaRef ds:uri="http://schemas.microsoft.com/office/2006/metadata/customXsn"/>
  </ds:schemaRefs>
</ds:datastoreItem>
</file>

<file path=customXml/itemProps6.xml><?xml version="1.0" encoding="utf-8"?>
<ds:datastoreItem xmlns:ds="http://schemas.openxmlformats.org/officeDocument/2006/customXml" ds:itemID="{00A5DC80-C28A-4028-9DCD-BA80DA5E4FC6}"/>
</file>

<file path=customXml/itemProps7.xml><?xml version="1.0" encoding="utf-8"?>
<ds:datastoreItem xmlns:ds="http://schemas.openxmlformats.org/officeDocument/2006/customXml" ds:itemID="{A8AD92C8-D437-4D10-8FE8-C76356EA7E5C}"/>
</file>

<file path=docProps/app.xml><?xml version="1.0" encoding="utf-8"?>
<Properties xmlns="http://schemas.openxmlformats.org/officeDocument/2006/extended-properties" xmlns:vt="http://schemas.openxmlformats.org/officeDocument/2006/docPropsVTypes">
  <Template>Normal.dotm</Template>
  <TotalTime>1</TotalTime>
  <Pages>65</Pages>
  <Words>24153</Words>
  <Characters>137674</Characters>
  <Application>Microsoft Office Word</Application>
  <DocSecurity>0</DocSecurity>
  <Lines>1147</Lines>
  <Paragraphs>323</Paragraphs>
  <ScaleCrop>false</ScaleCrop>
  <HeadingPairs>
    <vt:vector size="2" baseType="variant">
      <vt:variant>
        <vt:lpstr>Title</vt:lpstr>
      </vt:variant>
      <vt:variant>
        <vt:i4>1</vt:i4>
      </vt:variant>
    </vt:vector>
  </HeadingPairs>
  <TitlesOfParts>
    <vt:vector size="1" baseType="lpstr">
      <vt:lpstr>Parliamentary Inquiry into Rural and Regional Councils</vt:lpstr>
    </vt:vector>
  </TitlesOfParts>
  <Company/>
  <LinksUpToDate>false</LinksUpToDate>
  <CharactersWithSpaces>161504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MAV submission to the Parliamentary Inquiry on Rural and Regional Councils - Sep 2016</dc:title>
  <dc:creator>Owen Harvey-Beavis</dc:creator>
  <cp:lastModifiedBy>Michael Green</cp:lastModifiedBy>
  <cp:revision>3</cp:revision>
  <dcterms:created xsi:type="dcterms:W3CDTF">2016-09-22T03:48:00Z</dcterms:created>
  <dcterms:modified xsi:type="dcterms:W3CDTF">2016-09-22T03:50:00Z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0x01010049D2DFD3F7CFB74BAB0FBC1004AABBF3</vt:lpwstr>
  </property>
  <property fmtid="{D5CDD505-2E9C-101B-9397-08002B2CF9AE}" pid="3" name="Project">
    <vt:lpwstr/>
  </property>
  <property fmtid="{D5CDD505-2E9C-101B-9397-08002B2CF9AE}" pid="4" name="Topic">
    <vt:lpwstr>59;#Financial sustainability|9b5b4ad4-8789-44fa-91da-50465aa073f9</vt:lpwstr>
  </property>
  <property fmtid="{D5CDD505-2E9C-101B-9397-08002B2CF9AE}" pid="5" name="Year">
    <vt:lpwstr>214;#2016|bf42225f-239e-4631-b48c-bc57fc2f4600</vt:lpwstr>
  </property>
  <property fmtid="{D5CDD505-2E9C-101B-9397-08002B2CF9AE}" pid="6" name="Month">
    <vt:lpwstr>2;#August|0ee7e083-2d14-431c-8ed5-a452f1cf9fc4</vt:lpwstr>
  </property>
  <property fmtid="{D5CDD505-2E9C-101B-9397-08002B2CF9AE}" pid="7" name="Stakeholders">
    <vt:lpwstr/>
  </property>
  <property fmtid="{D5CDD505-2E9C-101B-9397-08002B2CF9AE}" pid="8" name="Doc Type">
    <vt:lpwstr>5;#Submission|0f45a96c-2fb6-448e-b14e-285c9a1f224d</vt:lpwstr>
  </property>
  <property fmtid="{D5CDD505-2E9C-101B-9397-08002B2CF9AE}" pid="9" name="AGLSSubject">
    <vt:lpwstr>48;#Financial sustainability|12eea2ff-5c97-413d-a56a-64dd6a957dd9</vt:lpwstr>
  </property>
</Properties>
</file>