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D6F81" w14:textId="6FAF1C31" w:rsidR="002C2F0D" w:rsidRDefault="002C2F0D" w:rsidP="00551DF4">
      <w:pPr>
        <w:rPr>
          <w:rFonts w:asciiTheme="minorHAnsi" w:hAnsiTheme="minorHAnsi" w:cstheme="minorHAnsi"/>
          <w:b/>
          <w:bCs/>
          <w:sz w:val="32"/>
          <w:szCs w:val="32"/>
        </w:rPr>
      </w:pPr>
      <w:r>
        <w:rPr>
          <w:noProof/>
        </w:rPr>
        <w:drawing>
          <wp:anchor distT="0" distB="0" distL="114300" distR="114300" simplePos="0" relativeHeight="251658240" behindDoc="0" locked="0" layoutInCell="1" allowOverlap="1" wp14:anchorId="053E0549" wp14:editId="7B716C5B">
            <wp:simplePos x="0" y="0"/>
            <wp:positionH relativeFrom="column">
              <wp:posOffset>5067470</wp:posOffset>
            </wp:positionH>
            <wp:positionV relativeFrom="paragraph">
              <wp:posOffset>41987</wp:posOffset>
            </wp:positionV>
            <wp:extent cx="495300" cy="8191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819150"/>
                    </a:xfrm>
                    <a:prstGeom prst="rect">
                      <a:avLst/>
                    </a:prstGeom>
                    <a:noFill/>
                    <a:ln>
                      <a:noFill/>
                    </a:ln>
                  </pic:spPr>
                </pic:pic>
              </a:graphicData>
            </a:graphic>
          </wp:anchor>
        </w:drawing>
      </w:r>
    </w:p>
    <w:p w14:paraId="5112ED79" w14:textId="602111A7" w:rsidR="000E1BF8" w:rsidRDefault="00793B8C" w:rsidP="00551DF4">
      <w:pPr>
        <w:rPr>
          <w:rFonts w:asciiTheme="minorHAnsi" w:hAnsiTheme="minorHAnsi" w:cstheme="minorHAnsi"/>
          <w:b/>
          <w:bCs/>
          <w:sz w:val="32"/>
          <w:szCs w:val="32"/>
        </w:rPr>
      </w:pPr>
      <w:r w:rsidRPr="000E1BF8">
        <w:rPr>
          <w:rFonts w:asciiTheme="minorHAnsi" w:hAnsiTheme="minorHAnsi" w:cstheme="minorHAnsi"/>
          <w:b/>
          <w:bCs/>
          <w:sz w:val="32"/>
          <w:szCs w:val="32"/>
        </w:rPr>
        <w:t xml:space="preserve">Staff Wellbeing during COVID 19 response:  </w:t>
      </w:r>
    </w:p>
    <w:p w14:paraId="54018A78" w14:textId="66FB4856" w:rsidR="00551DF4" w:rsidRPr="000E1BF8" w:rsidRDefault="00793B8C" w:rsidP="00551DF4">
      <w:pPr>
        <w:rPr>
          <w:rFonts w:asciiTheme="minorHAnsi" w:hAnsiTheme="minorHAnsi" w:cstheme="minorHAnsi"/>
          <w:b/>
          <w:bCs/>
          <w:sz w:val="32"/>
          <w:szCs w:val="32"/>
        </w:rPr>
      </w:pPr>
      <w:r w:rsidRPr="000E1BF8">
        <w:rPr>
          <w:rFonts w:asciiTheme="minorHAnsi" w:hAnsiTheme="minorHAnsi" w:cstheme="minorHAnsi"/>
          <w:b/>
          <w:bCs/>
          <w:sz w:val="32"/>
          <w:szCs w:val="32"/>
        </w:rPr>
        <w:t>People &amp; Culture Gender Analysis Tool</w:t>
      </w:r>
    </w:p>
    <w:p w14:paraId="03D130A9" w14:textId="0B446EC8" w:rsidR="00E137FC" w:rsidRPr="002C2F0D" w:rsidRDefault="00E137FC" w:rsidP="00551DF4">
      <w:pPr>
        <w:rPr>
          <w:rFonts w:asciiTheme="minorHAnsi" w:hAnsiTheme="minorHAnsi" w:cstheme="minorHAnsi"/>
          <w:b/>
          <w:bCs/>
          <w:color w:val="000000" w:themeColor="text1"/>
          <w:sz w:val="32"/>
          <w:szCs w:val="32"/>
        </w:rPr>
      </w:pPr>
    </w:p>
    <w:p w14:paraId="5B5AA8A6" w14:textId="3D9EA664" w:rsidR="00E137FC" w:rsidRPr="002C2F0D" w:rsidRDefault="00793B8C" w:rsidP="00793B8C">
      <w:pPr>
        <w:pStyle w:val="ListParagraph"/>
        <w:numPr>
          <w:ilvl w:val="0"/>
          <w:numId w:val="5"/>
        </w:numPr>
        <w:rPr>
          <w:rFonts w:asciiTheme="minorHAnsi" w:hAnsiTheme="minorHAnsi" w:cstheme="minorHAnsi"/>
          <w:color w:val="000000" w:themeColor="text1"/>
          <w:spacing w:val="-4"/>
          <w:sz w:val="28"/>
          <w:szCs w:val="28"/>
        </w:rPr>
      </w:pPr>
      <w:bookmarkStart w:id="0" w:name="_Hlk36149349"/>
      <w:r w:rsidRPr="002C2F0D">
        <w:rPr>
          <w:rFonts w:asciiTheme="minorHAnsi" w:hAnsiTheme="minorHAnsi" w:cstheme="minorHAnsi"/>
          <w:color w:val="000000" w:themeColor="text1"/>
          <w:spacing w:val="-4"/>
          <w:sz w:val="28"/>
          <w:szCs w:val="28"/>
        </w:rPr>
        <w:t>Are our staff Safe working from home?</w:t>
      </w:r>
    </w:p>
    <w:p w14:paraId="0A62212C" w14:textId="1E365F60" w:rsidR="00793B8C" w:rsidRPr="002C2F0D" w:rsidRDefault="00793B8C" w:rsidP="00793B8C">
      <w:pPr>
        <w:pStyle w:val="ListParagraph"/>
        <w:numPr>
          <w:ilvl w:val="0"/>
          <w:numId w:val="5"/>
        </w:numPr>
        <w:rPr>
          <w:rFonts w:asciiTheme="minorHAnsi" w:hAnsiTheme="minorHAnsi" w:cstheme="minorHAnsi"/>
          <w:b/>
          <w:bCs/>
          <w:color w:val="000000" w:themeColor="text1"/>
          <w:sz w:val="28"/>
          <w:szCs w:val="28"/>
        </w:rPr>
      </w:pPr>
      <w:r w:rsidRPr="002C2F0D">
        <w:rPr>
          <w:rFonts w:asciiTheme="minorHAnsi" w:hAnsiTheme="minorHAnsi" w:cstheme="minorHAnsi"/>
          <w:color w:val="000000" w:themeColor="text1"/>
          <w:spacing w:val="-4"/>
          <w:sz w:val="28"/>
          <w:szCs w:val="28"/>
        </w:rPr>
        <w:t xml:space="preserve">How do </w:t>
      </w:r>
      <w:r w:rsidR="00C60725">
        <w:rPr>
          <w:rFonts w:asciiTheme="minorHAnsi" w:hAnsiTheme="minorHAnsi" w:cstheme="minorHAnsi"/>
          <w:color w:val="000000" w:themeColor="text1"/>
          <w:spacing w:val="-4"/>
          <w:sz w:val="28"/>
          <w:szCs w:val="28"/>
        </w:rPr>
        <w:t xml:space="preserve">we </w:t>
      </w:r>
      <w:r w:rsidR="002C2F0D" w:rsidRPr="002C2F0D">
        <w:rPr>
          <w:rFonts w:asciiTheme="minorHAnsi" w:hAnsiTheme="minorHAnsi" w:cstheme="minorHAnsi"/>
          <w:color w:val="000000" w:themeColor="text1"/>
          <w:spacing w:val="-4"/>
          <w:sz w:val="28"/>
          <w:szCs w:val="28"/>
        </w:rPr>
        <w:t>enable</w:t>
      </w:r>
      <w:r w:rsidRPr="002C2F0D">
        <w:rPr>
          <w:rFonts w:asciiTheme="minorHAnsi" w:hAnsiTheme="minorHAnsi" w:cstheme="minorHAnsi"/>
          <w:color w:val="000000" w:themeColor="text1"/>
          <w:spacing w:val="-4"/>
          <w:sz w:val="28"/>
          <w:szCs w:val="28"/>
        </w:rPr>
        <w:t xml:space="preserve"> ou</w:t>
      </w:r>
      <w:r w:rsidR="002C2F0D" w:rsidRPr="002C2F0D">
        <w:rPr>
          <w:rFonts w:asciiTheme="minorHAnsi" w:hAnsiTheme="minorHAnsi" w:cstheme="minorHAnsi"/>
          <w:color w:val="000000" w:themeColor="text1"/>
          <w:spacing w:val="-4"/>
          <w:sz w:val="28"/>
          <w:szCs w:val="28"/>
        </w:rPr>
        <w:t>r</w:t>
      </w:r>
      <w:r w:rsidRPr="002C2F0D">
        <w:rPr>
          <w:rFonts w:asciiTheme="minorHAnsi" w:hAnsiTheme="minorHAnsi" w:cstheme="minorHAnsi"/>
          <w:color w:val="000000" w:themeColor="text1"/>
          <w:spacing w:val="-4"/>
          <w:sz w:val="28"/>
          <w:szCs w:val="28"/>
        </w:rPr>
        <w:t xml:space="preserve"> frontline workers</w:t>
      </w:r>
      <w:r w:rsidR="002C2F0D" w:rsidRPr="002C2F0D">
        <w:rPr>
          <w:rFonts w:asciiTheme="minorHAnsi" w:hAnsiTheme="minorHAnsi" w:cstheme="minorHAnsi"/>
          <w:color w:val="000000" w:themeColor="text1"/>
          <w:spacing w:val="-4"/>
          <w:sz w:val="28"/>
          <w:szCs w:val="28"/>
        </w:rPr>
        <w:t xml:space="preserve"> (majority female), to be </w:t>
      </w:r>
      <w:r w:rsidR="00C60725">
        <w:rPr>
          <w:rFonts w:asciiTheme="minorHAnsi" w:hAnsiTheme="minorHAnsi" w:cstheme="minorHAnsi"/>
          <w:color w:val="000000" w:themeColor="text1"/>
          <w:spacing w:val="-4"/>
          <w:sz w:val="28"/>
          <w:szCs w:val="28"/>
        </w:rPr>
        <w:t xml:space="preserve">supported and </w:t>
      </w:r>
      <w:bookmarkStart w:id="1" w:name="_GoBack"/>
      <w:bookmarkEnd w:id="1"/>
      <w:r w:rsidR="002C2F0D" w:rsidRPr="002C2F0D">
        <w:rPr>
          <w:rFonts w:asciiTheme="minorHAnsi" w:hAnsiTheme="minorHAnsi" w:cstheme="minorHAnsi"/>
          <w:color w:val="000000" w:themeColor="text1"/>
          <w:spacing w:val="-4"/>
          <w:sz w:val="28"/>
          <w:szCs w:val="28"/>
        </w:rPr>
        <w:t>productiv</w:t>
      </w:r>
      <w:r w:rsidR="00C60725">
        <w:rPr>
          <w:rFonts w:asciiTheme="minorHAnsi" w:hAnsiTheme="minorHAnsi" w:cstheme="minorHAnsi"/>
          <w:color w:val="000000" w:themeColor="text1"/>
          <w:spacing w:val="-4"/>
          <w:sz w:val="28"/>
          <w:szCs w:val="28"/>
        </w:rPr>
        <w:t>e</w:t>
      </w:r>
      <w:r w:rsidRPr="002C2F0D">
        <w:rPr>
          <w:rFonts w:asciiTheme="minorHAnsi" w:hAnsiTheme="minorHAnsi" w:cstheme="minorHAnsi"/>
          <w:color w:val="000000" w:themeColor="text1"/>
          <w:spacing w:val="-4"/>
          <w:sz w:val="28"/>
          <w:szCs w:val="28"/>
        </w:rPr>
        <w:t>?</w:t>
      </w:r>
    </w:p>
    <w:p w14:paraId="147FD3CB" w14:textId="06ECCD7E" w:rsidR="00617696" w:rsidRPr="000E1BF8" w:rsidRDefault="00617696" w:rsidP="00551DF4">
      <w:pPr>
        <w:rPr>
          <w:rFonts w:asciiTheme="minorHAnsi" w:hAnsiTheme="minorHAnsi" w:cstheme="minorHAnsi"/>
        </w:rPr>
      </w:pPr>
    </w:p>
    <w:p w14:paraId="45941DD6" w14:textId="14F6AF3E" w:rsidR="00617696" w:rsidRPr="000E1BF8" w:rsidRDefault="00617696" w:rsidP="00551DF4">
      <w:pPr>
        <w:rPr>
          <w:rFonts w:asciiTheme="minorHAnsi" w:hAnsiTheme="minorHAnsi" w:cstheme="minorHAnsi"/>
        </w:rPr>
      </w:pPr>
      <w:r w:rsidRPr="000E1BF8">
        <w:rPr>
          <w:rFonts w:asciiTheme="minorHAnsi" w:hAnsiTheme="minorHAnsi" w:cstheme="minorHAnsi"/>
        </w:rPr>
        <w:t>In an ever changing environment as we respond to the C</w:t>
      </w:r>
      <w:r w:rsidR="00BF1879">
        <w:rPr>
          <w:rFonts w:asciiTheme="minorHAnsi" w:hAnsiTheme="minorHAnsi" w:cstheme="minorHAnsi"/>
        </w:rPr>
        <w:t>OVID</w:t>
      </w:r>
      <w:r w:rsidRPr="000E1BF8">
        <w:rPr>
          <w:rFonts w:asciiTheme="minorHAnsi" w:hAnsiTheme="minorHAnsi" w:cstheme="minorHAnsi"/>
        </w:rPr>
        <w:t xml:space="preserve"> 19 pandemic in our community, the City of Casey has a duty of care to ensure staff are supported to undertake their roles in a safe environment where they are treated fairly and equitably.   This is particularly important where staff will be expected to work from home, adapt their roles, routines and lifestyles</w:t>
      </w:r>
      <w:r w:rsidR="00827D4A" w:rsidRPr="000E1BF8">
        <w:rPr>
          <w:rFonts w:asciiTheme="minorHAnsi" w:hAnsiTheme="minorHAnsi" w:cstheme="minorHAnsi"/>
        </w:rPr>
        <w:t>,</w:t>
      </w:r>
      <w:r w:rsidRPr="000E1BF8">
        <w:rPr>
          <w:rFonts w:asciiTheme="minorHAnsi" w:hAnsiTheme="minorHAnsi" w:cstheme="minorHAnsi"/>
        </w:rPr>
        <w:t xml:space="preserve"> while working under increased personal pressure.   We particularly need to ensure that staff who are more at risk – either mentally, socially, physically or financially are catered for, and that our front line workers, who are mainly women, are supported effectively.       </w:t>
      </w:r>
    </w:p>
    <w:p w14:paraId="2691B498" w14:textId="04DEA655" w:rsidR="00617696" w:rsidRPr="000E1BF8" w:rsidRDefault="00617696" w:rsidP="00617696">
      <w:pPr>
        <w:rPr>
          <w:rFonts w:asciiTheme="minorHAnsi" w:hAnsiTheme="minorHAnsi" w:cstheme="minorHAnsi"/>
        </w:rPr>
      </w:pPr>
    </w:p>
    <w:p w14:paraId="6C9FB164" w14:textId="5982458A" w:rsidR="00BB60AA" w:rsidRPr="000E1BF8" w:rsidRDefault="00BB60AA" w:rsidP="00617696">
      <w:pPr>
        <w:rPr>
          <w:rFonts w:asciiTheme="minorHAnsi" w:hAnsiTheme="minorHAnsi" w:cstheme="minorHAnsi"/>
        </w:rPr>
      </w:pPr>
      <w:r w:rsidRPr="000E1BF8">
        <w:rPr>
          <w:rFonts w:asciiTheme="minorHAnsi" w:hAnsiTheme="minorHAnsi" w:cstheme="minorHAnsi"/>
        </w:rPr>
        <w:t>Global evidence shows that in emergencies women and children are disproportionately affected</w:t>
      </w:r>
      <w:r w:rsidR="00793B8C" w:rsidRPr="000E1BF8">
        <w:rPr>
          <w:rFonts w:asciiTheme="minorHAnsi" w:hAnsiTheme="minorHAnsi" w:cstheme="minorHAnsi"/>
        </w:rPr>
        <w:t>.</w:t>
      </w:r>
    </w:p>
    <w:p w14:paraId="268CABA4" w14:textId="22341C62" w:rsidR="00617696" w:rsidRPr="000E1BF8" w:rsidRDefault="00827D4A" w:rsidP="00617696">
      <w:pPr>
        <w:rPr>
          <w:rFonts w:asciiTheme="minorHAnsi" w:hAnsiTheme="minorHAnsi" w:cstheme="minorHAnsi"/>
        </w:rPr>
      </w:pPr>
      <w:r w:rsidRPr="000E1BF8">
        <w:rPr>
          <w:rFonts w:asciiTheme="minorHAnsi" w:hAnsiTheme="minorHAnsi" w:cstheme="minorHAnsi"/>
        </w:rPr>
        <w:t>Incorporating a gender analysis into our new ways of working in response to COVID 19, is crucial to improve effectiveness of our programming and ensure we do not perpetuate gender and health inequities within our workplace.</w:t>
      </w:r>
    </w:p>
    <w:p w14:paraId="4D55CF32" w14:textId="1AB70F66" w:rsidR="00116A97" w:rsidRPr="000E1BF8" w:rsidRDefault="00116A97" w:rsidP="00551DF4">
      <w:pPr>
        <w:rPr>
          <w:rFonts w:asciiTheme="minorHAnsi" w:hAnsiTheme="minorHAnsi" w:cstheme="minorHAnsi"/>
        </w:rPr>
      </w:pPr>
    </w:p>
    <w:p w14:paraId="7BD67F43" w14:textId="6EDD2AEB" w:rsidR="00E137FC" w:rsidRPr="000E1BF8" w:rsidRDefault="00E137FC" w:rsidP="00551DF4">
      <w:pPr>
        <w:rPr>
          <w:rFonts w:asciiTheme="minorHAnsi" w:hAnsiTheme="minorHAnsi" w:cstheme="minorHAnsi"/>
        </w:rPr>
      </w:pPr>
    </w:p>
    <w:p w14:paraId="35C463B2" w14:textId="7DB63FF4" w:rsidR="00E137FC" w:rsidRPr="000E1BF8" w:rsidRDefault="00E137FC" w:rsidP="00E137FC">
      <w:pPr>
        <w:rPr>
          <w:rFonts w:asciiTheme="minorHAnsi" w:hAnsiTheme="minorHAnsi" w:cstheme="minorHAnsi"/>
        </w:rPr>
      </w:pPr>
      <w:r w:rsidRPr="002C2F0D">
        <w:rPr>
          <w:rFonts w:asciiTheme="minorHAnsi" w:hAnsiTheme="minorHAnsi" w:cstheme="minorHAnsi"/>
          <w:b/>
          <w:bCs/>
          <w:sz w:val="28"/>
          <w:szCs w:val="28"/>
        </w:rPr>
        <w:t>What is a Gender Analysis:</w:t>
      </w:r>
      <w:r w:rsidRPr="000E1BF8">
        <w:rPr>
          <w:rFonts w:asciiTheme="minorHAnsi" w:hAnsiTheme="minorHAnsi" w:cstheme="minorHAnsi"/>
        </w:rPr>
        <w:t xml:space="preserve">  </w:t>
      </w:r>
      <w:hyperlink r:id="rId8" w:history="1">
        <w:r w:rsidRPr="002C2F0D">
          <w:rPr>
            <w:rFonts w:asciiTheme="minorHAnsi" w:hAnsiTheme="minorHAnsi" w:cstheme="minorHAnsi"/>
            <w:color w:val="000000" w:themeColor="text1"/>
            <w:bdr w:val="none" w:sz="0" w:space="0" w:color="auto" w:frame="1"/>
          </w:rPr>
          <w:t>Gender analysis</w:t>
        </w:r>
      </w:hyperlink>
      <w:r w:rsidRPr="002C2F0D">
        <w:rPr>
          <w:rFonts w:asciiTheme="minorHAnsi" w:hAnsiTheme="minorHAnsi" w:cstheme="minorHAnsi"/>
          <w:color w:val="000000" w:themeColor="text1"/>
          <w:bdr w:val="none" w:sz="0" w:space="0" w:color="auto" w:frame="1"/>
          <w:lang w:val="en-CA"/>
        </w:rPr>
        <w:t xml:space="preserve"> </w:t>
      </w:r>
      <w:r w:rsidRPr="000E1BF8">
        <w:rPr>
          <w:rFonts w:asciiTheme="minorHAnsi" w:hAnsiTheme="minorHAnsi" w:cstheme="minorHAnsi"/>
          <w:color w:val="1A1A1A"/>
          <w:bdr w:val="none" w:sz="0" w:space="0" w:color="auto" w:frame="1"/>
          <w:lang w:val="en-CA"/>
        </w:rPr>
        <w:t>asks how socially-constructed roles and identities affect vulnerability to and experiences of an outbreak. While the focus is on differences between women and men and between girls and boys, inequities related to race, ethnicity, sexuality, and religion are integrated.  (Gender and the Corona Virus Outbreak</w:t>
      </w:r>
      <w:r w:rsidR="004C084B" w:rsidRPr="000E1BF8">
        <w:rPr>
          <w:rFonts w:asciiTheme="minorHAnsi" w:hAnsiTheme="minorHAnsi" w:cstheme="minorHAnsi"/>
          <w:color w:val="1A1A1A"/>
          <w:bdr w:val="none" w:sz="0" w:space="0" w:color="auto" w:frame="1"/>
          <w:lang w:val="en-CA"/>
        </w:rPr>
        <w:t>, Think Global Health</w:t>
      </w:r>
      <w:r w:rsidRPr="000E1BF8">
        <w:rPr>
          <w:rFonts w:asciiTheme="minorHAnsi" w:hAnsiTheme="minorHAnsi" w:cstheme="minorHAnsi"/>
          <w:color w:val="1A1A1A"/>
          <w:bdr w:val="none" w:sz="0" w:space="0" w:color="auto" w:frame="1"/>
          <w:lang w:val="en-CA"/>
        </w:rPr>
        <w:t xml:space="preserve"> 2020)</w:t>
      </w:r>
      <w:r w:rsidR="004C084B" w:rsidRPr="000E1BF8">
        <w:rPr>
          <w:rFonts w:asciiTheme="minorHAnsi" w:hAnsiTheme="minorHAnsi" w:cstheme="minorHAnsi"/>
          <w:color w:val="1A1A1A"/>
          <w:bdr w:val="none" w:sz="0" w:space="0" w:color="auto" w:frame="1"/>
          <w:lang w:val="en-CA"/>
        </w:rPr>
        <w:t>.</w:t>
      </w:r>
    </w:p>
    <w:bookmarkEnd w:id="0"/>
    <w:p w14:paraId="6638A016" w14:textId="25626228" w:rsidR="00E137FC" w:rsidRPr="000E1BF8" w:rsidRDefault="00E137FC" w:rsidP="00551DF4">
      <w:pPr>
        <w:rPr>
          <w:rFonts w:asciiTheme="minorHAnsi" w:hAnsiTheme="minorHAnsi" w:cstheme="minorHAnsi"/>
        </w:rPr>
      </w:pPr>
    </w:p>
    <w:p w14:paraId="4A5C5D2A" w14:textId="77777777" w:rsidR="00E137FC" w:rsidRPr="000E1BF8" w:rsidRDefault="00E137FC" w:rsidP="00551DF4">
      <w:pPr>
        <w:rPr>
          <w:rFonts w:asciiTheme="minorHAnsi" w:hAnsiTheme="minorHAnsi" w:cstheme="minorHAnsi"/>
        </w:rPr>
      </w:pPr>
    </w:p>
    <w:p w14:paraId="204AC050" w14:textId="244B73D2" w:rsidR="002C2F0D" w:rsidRPr="002C2F0D" w:rsidRDefault="002C2F0D" w:rsidP="00551DF4">
      <w:pPr>
        <w:rPr>
          <w:rFonts w:asciiTheme="minorHAnsi" w:hAnsiTheme="minorHAnsi" w:cstheme="minorHAnsi"/>
          <w:b/>
          <w:bCs/>
          <w:sz w:val="28"/>
          <w:szCs w:val="28"/>
        </w:rPr>
      </w:pPr>
      <w:bookmarkStart w:id="2" w:name="_Hlk36149047"/>
      <w:r w:rsidRPr="002C2F0D">
        <w:rPr>
          <w:rFonts w:asciiTheme="minorHAnsi" w:hAnsiTheme="minorHAnsi" w:cstheme="minorHAnsi"/>
          <w:b/>
          <w:bCs/>
          <w:sz w:val="28"/>
          <w:szCs w:val="28"/>
        </w:rPr>
        <w:t>The City of Casey Principles</w:t>
      </w:r>
    </w:p>
    <w:p w14:paraId="6BCEE015" w14:textId="77777777" w:rsidR="002C2F0D" w:rsidRDefault="002C2F0D" w:rsidP="00551DF4">
      <w:pPr>
        <w:rPr>
          <w:rFonts w:asciiTheme="minorHAnsi" w:hAnsiTheme="minorHAnsi" w:cstheme="minorHAnsi"/>
          <w:b/>
          <w:bCs/>
        </w:rPr>
      </w:pPr>
    </w:p>
    <w:p w14:paraId="687FF1CE" w14:textId="3203110B" w:rsidR="00827D4A" w:rsidRPr="002C2F0D" w:rsidRDefault="007938CB" w:rsidP="00551DF4">
      <w:pPr>
        <w:rPr>
          <w:rFonts w:asciiTheme="minorHAnsi" w:hAnsiTheme="minorHAnsi" w:cstheme="minorHAnsi"/>
        </w:rPr>
      </w:pPr>
      <w:r w:rsidRPr="002C2F0D">
        <w:rPr>
          <w:rFonts w:asciiTheme="minorHAnsi" w:hAnsiTheme="minorHAnsi" w:cstheme="minorHAnsi"/>
        </w:rPr>
        <w:t xml:space="preserve">Throughout the COVID Response, </w:t>
      </w:r>
      <w:r w:rsidR="002C2F0D" w:rsidRPr="002C2F0D">
        <w:rPr>
          <w:rFonts w:asciiTheme="minorHAnsi" w:hAnsiTheme="minorHAnsi" w:cstheme="minorHAnsi"/>
        </w:rPr>
        <w:t>we</w:t>
      </w:r>
      <w:r w:rsidRPr="002C2F0D">
        <w:rPr>
          <w:rFonts w:asciiTheme="minorHAnsi" w:hAnsiTheme="minorHAnsi" w:cstheme="minorHAnsi"/>
        </w:rPr>
        <w:t xml:space="preserve"> </w:t>
      </w:r>
      <w:r w:rsidR="00793B8C" w:rsidRPr="002C2F0D">
        <w:rPr>
          <w:rFonts w:asciiTheme="minorHAnsi" w:hAnsiTheme="minorHAnsi" w:cstheme="minorHAnsi"/>
        </w:rPr>
        <w:t>will apply a gendered lens to the following Principles:</w:t>
      </w:r>
      <w:r w:rsidRPr="002C2F0D">
        <w:rPr>
          <w:rFonts w:asciiTheme="minorHAnsi" w:hAnsiTheme="minorHAnsi" w:cstheme="minorHAnsi"/>
        </w:rPr>
        <w:t xml:space="preserve"> </w:t>
      </w:r>
    </w:p>
    <w:p w14:paraId="00225140" w14:textId="3F93A31F" w:rsidR="00827D4A" w:rsidRPr="000E1BF8" w:rsidRDefault="00827D4A" w:rsidP="00551DF4">
      <w:pPr>
        <w:rPr>
          <w:rFonts w:asciiTheme="minorHAnsi" w:hAnsiTheme="minorHAnsi" w:cstheme="minorHAnsi"/>
        </w:rPr>
      </w:pPr>
    </w:p>
    <w:p w14:paraId="731E97CF" w14:textId="4A674EB6" w:rsidR="007E1DBA" w:rsidRPr="000E1BF8" w:rsidRDefault="00793B8C" w:rsidP="007E1DBA">
      <w:pPr>
        <w:rPr>
          <w:rFonts w:asciiTheme="minorHAnsi" w:hAnsiTheme="minorHAnsi" w:cstheme="minorHAnsi"/>
          <w:b/>
          <w:bCs/>
        </w:rPr>
      </w:pPr>
      <w:r w:rsidRPr="000E1BF8">
        <w:rPr>
          <w:rFonts w:asciiTheme="minorHAnsi" w:hAnsiTheme="minorHAnsi" w:cstheme="minorHAnsi"/>
          <w:b/>
          <w:bCs/>
        </w:rPr>
        <w:t>Principle</w:t>
      </w:r>
      <w:r w:rsidR="00827D4A" w:rsidRPr="000E1BF8">
        <w:rPr>
          <w:rFonts w:asciiTheme="minorHAnsi" w:hAnsiTheme="minorHAnsi" w:cstheme="minorHAnsi"/>
          <w:b/>
          <w:bCs/>
        </w:rPr>
        <w:t xml:space="preserve"> 1:  Safety for all staff working from home</w:t>
      </w:r>
      <w:r w:rsidR="007E1DBA" w:rsidRPr="000E1BF8">
        <w:rPr>
          <w:rFonts w:asciiTheme="minorHAnsi" w:hAnsiTheme="minorHAnsi" w:cstheme="minorHAnsi"/>
          <w:b/>
          <w:bCs/>
        </w:rPr>
        <w:t xml:space="preserve">, particularly those at risk. </w:t>
      </w:r>
    </w:p>
    <w:p w14:paraId="217D8204" w14:textId="39AC5F18" w:rsidR="007E1DBA" w:rsidRPr="002C2F0D" w:rsidRDefault="002C2F0D" w:rsidP="002C2F0D">
      <w:pPr>
        <w:pStyle w:val="ListParagraph"/>
        <w:numPr>
          <w:ilvl w:val="0"/>
          <w:numId w:val="6"/>
        </w:numPr>
        <w:rPr>
          <w:rFonts w:asciiTheme="minorHAnsi" w:hAnsiTheme="minorHAnsi" w:cstheme="minorHAnsi"/>
          <w:b/>
          <w:bCs/>
        </w:rPr>
      </w:pPr>
      <w:r>
        <w:rPr>
          <w:rFonts w:asciiTheme="minorHAnsi" w:hAnsiTheme="minorHAnsi" w:cstheme="minorHAnsi"/>
        </w:rPr>
        <w:t>Physical health: identification, prevention and risk mitigation.</w:t>
      </w:r>
    </w:p>
    <w:p w14:paraId="24C8E779" w14:textId="40DA77D6" w:rsidR="002C2F0D" w:rsidRPr="002C2F0D" w:rsidRDefault="002C2F0D" w:rsidP="002C2F0D">
      <w:pPr>
        <w:pStyle w:val="ListParagraph"/>
        <w:numPr>
          <w:ilvl w:val="0"/>
          <w:numId w:val="6"/>
        </w:numPr>
        <w:rPr>
          <w:rFonts w:asciiTheme="minorHAnsi" w:hAnsiTheme="minorHAnsi" w:cstheme="minorHAnsi"/>
          <w:b/>
          <w:bCs/>
        </w:rPr>
      </w:pPr>
      <w:r>
        <w:rPr>
          <w:rFonts w:asciiTheme="minorHAnsi" w:hAnsiTheme="minorHAnsi" w:cstheme="minorHAnsi"/>
        </w:rPr>
        <w:t>Family Violence: Identification, prevention and risk mitigation</w:t>
      </w:r>
    </w:p>
    <w:p w14:paraId="18341666" w14:textId="35B04F7F" w:rsidR="002C2F0D" w:rsidRPr="00F830C4" w:rsidRDefault="002C2F0D" w:rsidP="002C2F0D">
      <w:pPr>
        <w:pStyle w:val="ListParagraph"/>
        <w:numPr>
          <w:ilvl w:val="0"/>
          <w:numId w:val="6"/>
        </w:numPr>
        <w:rPr>
          <w:rFonts w:asciiTheme="minorHAnsi" w:hAnsiTheme="minorHAnsi" w:cstheme="minorHAnsi"/>
          <w:b/>
          <w:bCs/>
        </w:rPr>
      </w:pPr>
      <w:r>
        <w:rPr>
          <w:rFonts w:asciiTheme="minorHAnsi" w:hAnsiTheme="minorHAnsi" w:cstheme="minorHAnsi"/>
        </w:rPr>
        <w:t>Mental Health: Identification, prevention and risk mitigation</w:t>
      </w:r>
    </w:p>
    <w:p w14:paraId="47E68551" w14:textId="2E97C9E9" w:rsidR="00F830C4" w:rsidRPr="002C2F0D" w:rsidRDefault="00F830C4" w:rsidP="002C2F0D">
      <w:pPr>
        <w:pStyle w:val="ListParagraph"/>
        <w:numPr>
          <w:ilvl w:val="0"/>
          <w:numId w:val="6"/>
        </w:numPr>
        <w:rPr>
          <w:rFonts w:asciiTheme="minorHAnsi" w:hAnsiTheme="minorHAnsi" w:cstheme="minorHAnsi"/>
          <w:b/>
          <w:bCs/>
        </w:rPr>
      </w:pPr>
      <w:r>
        <w:rPr>
          <w:rFonts w:asciiTheme="minorHAnsi" w:hAnsiTheme="minorHAnsi" w:cstheme="minorHAnsi"/>
        </w:rPr>
        <w:t>Support for parents: resources, tips and flexible working hours, leave arrangements etc</w:t>
      </w:r>
    </w:p>
    <w:p w14:paraId="5BFD2925" w14:textId="1A205F57" w:rsidR="00827D4A" w:rsidRPr="000E1BF8" w:rsidRDefault="00827D4A" w:rsidP="00551DF4">
      <w:pPr>
        <w:rPr>
          <w:rFonts w:asciiTheme="minorHAnsi" w:hAnsiTheme="minorHAnsi" w:cstheme="minorHAnsi"/>
        </w:rPr>
      </w:pPr>
    </w:p>
    <w:p w14:paraId="66F6397C" w14:textId="55B84D17" w:rsidR="00827D4A" w:rsidRPr="000E1BF8" w:rsidRDefault="00793B8C" w:rsidP="00551DF4">
      <w:pPr>
        <w:rPr>
          <w:rFonts w:asciiTheme="minorHAnsi" w:hAnsiTheme="minorHAnsi" w:cstheme="minorHAnsi"/>
          <w:b/>
          <w:bCs/>
        </w:rPr>
      </w:pPr>
      <w:r w:rsidRPr="000E1BF8">
        <w:rPr>
          <w:rFonts w:asciiTheme="minorHAnsi" w:hAnsiTheme="minorHAnsi" w:cstheme="minorHAnsi"/>
          <w:b/>
          <w:bCs/>
        </w:rPr>
        <w:t>Principle</w:t>
      </w:r>
      <w:r w:rsidR="00827D4A" w:rsidRPr="000E1BF8">
        <w:rPr>
          <w:rFonts w:asciiTheme="minorHAnsi" w:hAnsiTheme="minorHAnsi" w:cstheme="minorHAnsi"/>
          <w:b/>
          <w:bCs/>
        </w:rPr>
        <w:t xml:space="preserve"> 2: Enable our Health workers to safely work with</w:t>
      </w:r>
      <w:r w:rsidRPr="000E1BF8">
        <w:rPr>
          <w:rFonts w:asciiTheme="minorHAnsi" w:hAnsiTheme="minorHAnsi" w:cstheme="minorHAnsi"/>
          <w:b/>
          <w:bCs/>
        </w:rPr>
        <w:t>in</w:t>
      </w:r>
      <w:r w:rsidR="00827D4A" w:rsidRPr="000E1BF8">
        <w:rPr>
          <w:rFonts w:asciiTheme="minorHAnsi" w:hAnsiTheme="minorHAnsi" w:cstheme="minorHAnsi"/>
          <w:b/>
          <w:bCs/>
        </w:rPr>
        <w:t xml:space="preserve"> our community </w:t>
      </w:r>
    </w:p>
    <w:p w14:paraId="2040D68F" w14:textId="77777777" w:rsidR="007938CB" w:rsidRPr="000E1BF8" w:rsidRDefault="007938CB" w:rsidP="007938CB">
      <w:pPr>
        <w:pStyle w:val="ListParagraph"/>
        <w:numPr>
          <w:ilvl w:val="0"/>
          <w:numId w:val="4"/>
        </w:numPr>
        <w:rPr>
          <w:rFonts w:asciiTheme="minorHAnsi" w:hAnsiTheme="minorHAnsi" w:cstheme="minorHAnsi"/>
        </w:rPr>
      </w:pPr>
      <w:r w:rsidRPr="000E1BF8">
        <w:rPr>
          <w:rFonts w:asciiTheme="minorHAnsi" w:hAnsiTheme="minorHAnsi" w:cstheme="minorHAnsi"/>
        </w:rPr>
        <w:t>Implement infection control guidelines through clear communications and training</w:t>
      </w:r>
    </w:p>
    <w:p w14:paraId="0EE02D2F" w14:textId="422F00DC" w:rsidR="007938CB" w:rsidRPr="000E1BF8" w:rsidRDefault="007938CB" w:rsidP="007938CB">
      <w:pPr>
        <w:pStyle w:val="ListParagraph"/>
        <w:numPr>
          <w:ilvl w:val="0"/>
          <w:numId w:val="4"/>
        </w:numPr>
        <w:rPr>
          <w:rFonts w:asciiTheme="minorHAnsi" w:hAnsiTheme="minorHAnsi" w:cstheme="minorHAnsi"/>
        </w:rPr>
      </w:pPr>
      <w:r w:rsidRPr="000E1BF8">
        <w:rPr>
          <w:rFonts w:asciiTheme="minorHAnsi" w:hAnsiTheme="minorHAnsi" w:cstheme="minorHAnsi"/>
        </w:rPr>
        <w:t>Gendered load due to both work and home responsibilities (how to support??)</w:t>
      </w:r>
    </w:p>
    <w:p w14:paraId="3775FBF4" w14:textId="41183264" w:rsidR="007938CB" w:rsidRPr="000E1BF8" w:rsidRDefault="007938CB" w:rsidP="007938CB">
      <w:pPr>
        <w:pStyle w:val="ListParagraph"/>
        <w:numPr>
          <w:ilvl w:val="0"/>
          <w:numId w:val="4"/>
        </w:numPr>
        <w:rPr>
          <w:rFonts w:asciiTheme="minorHAnsi" w:hAnsiTheme="minorHAnsi" w:cstheme="minorHAnsi"/>
        </w:rPr>
      </w:pPr>
      <w:r w:rsidRPr="000E1BF8">
        <w:rPr>
          <w:rFonts w:asciiTheme="minorHAnsi" w:hAnsiTheme="minorHAnsi" w:cstheme="minorHAnsi"/>
        </w:rPr>
        <w:t>Psycho social support to mitigate risk of vicarious trauma.</w:t>
      </w:r>
    </w:p>
    <w:p w14:paraId="2A19C9A9" w14:textId="00D2E760" w:rsidR="00DF6992" w:rsidRDefault="00DF6992" w:rsidP="00551DF4"/>
    <w:p w14:paraId="36030BD7" w14:textId="032A64FB" w:rsidR="002C2F0D" w:rsidRDefault="002C2F0D" w:rsidP="00551DF4"/>
    <w:p w14:paraId="0C70AEB4" w14:textId="5C8A1949" w:rsidR="002C2F0D" w:rsidRPr="00F830C4" w:rsidRDefault="00F830C4" w:rsidP="00551DF4">
      <w:pPr>
        <w:rPr>
          <w:b/>
          <w:bCs/>
        </w:rPr>
      </w:pPr>
      <w:r w:rsidRPr="00F830C4">
        <w:rPr>
          <w:b/>
          <w:bCs/>
        </w:rPr>
        <w:t xml:space="preserve">Working Together </w:t>
      </w:r>
    </w:p>
    <w:p w14:paraId="3E9EB01B" w14:textId="265001AE" w:rsidR="002C2F0D" w:rsidRDefault="00F830C4" w:rsidP="00551DF4">
      <w:r>
        <w:t xml:space="preserve">Teresa Thomson, Gender Equality Officer, and Krissy Nicholson, Family Violence Prevention Officer, have developed the draft tool for further input and collaboration with the People &amp; Culture Team.  It is likely that other technical experts across the organisation, such as the Mental Health, front line services and Management Teams will be required to input and dissemination where appropriate. </w:t>
      </w:r>
    </w:p>
    <w:p w14:paraId="7813209D" w14:textId="08037ED2" w:rsidR="00F830C4" w:rsidRDefault="00F830C4" w:rsidP="00551DF4"/>
    <w:p w14:paraId="2F91115B" w14:textId="5B0AC0AA" w:rsidR="002C2F0D" w:rsidRDefault="002C2F0D" w:rsidP="00551DF4"/>
    <w:p w14:paraId="468E103A" w14:textId="5D0955BC" w:rsidR="002C2F0D" w:rsidRDefault="002C2F0D" w:rsidP="00551DF4"/>
    <w:p w14:paraId="4A2AF107" w14:textId="26C97220" w:rsidR="002C2F0D" w:rsidRDefault="002C2F0D" w:rsidP="00551DF4"/>
    <w:bookmarkEnd w:id="2"/>
    <w:p w14:paraId="6D9D4A64" w14:textId="77777777" w:rsidR="000C2D31" w:rsidRPr="000E1BF8" w:rsidRDefault="000C2D31" w:rsidP="000C2D31">
      <w:pPr>
        <w:rPr>
          <w:color w:val="9CC2E5" w:themeColor="accent5" w:themeTint="99"/>
        </w:rPr>
      </w:pPr>
    </w:p>
    <w:tbl>
      <w:tblPr>
        <w:tblW w:w="9615" w:type="dxa"/>
        <w:tblCellMar>
          <w:left w:w="0" w:type="dxa"/>
          <w:right w:w="0" w:type="dxa"/>
        </w:tblCellMar>
        <w:tblLook w:val="04A0" w:firstRow="1" w:lastRow="0" w:firstColumn="1" w:lastColumn="0" w:noHBand="0" w:noVBand="1"/>
      </w:tblPr>
      <w:tblGrid>
        <w:gridCol w:w="4243"/>
        <w:gridCol w:w="567"/>
        <w:gridCol w:w="709"/>
        <w:gridCol w:w="2858"/>
        <w:gridCol w:w="1238"/>
      </w:tblGrid>
      <w:tr w:rsidR="000E1BF8" w:rsidRPr="000E1BF8" w14:paraId="01C399EF" w14:textId="77777777" w:rsidTr="000E1BF8">
        <w:tc>
          <w:tcPr>
            <w:tcW w:w="9615" w:type="dxa"/>
            <w:gridSpan w:val="5"/>
            <w:tcBorders>
              <w:top w:val="single" w:sz="8" w:space="0" w:color="000000"/>
              <w:left w:val="single" w:sz="8" w:space="0" w:color="000000"/>
              <w:bottom w:val="single" w:sz="8" w:space="0" w:color="000000"/>
              <w:right w:val="single" w:sz="8" w:space="0" w:color="000000"/>
            </w:tcBorders>
            <w:shd w:val="clear" w:color="auto" w:fill="5B9BD5" w:themeFill="accent5"/>
            <w:tcMar>
              <w:top w:w="0" w:type="dxa"/>
              <w:left w:w="108" w:type="dxa"/>
              <w:bottom w:w="0" w:type="dxa"/>
              <w:right w:w="108" w:type="dxa"/>
            </w:tcMar>
            <w:hideMark/>
          </w:tcPr>
          <w:p w14:paraId="35D1930D" w14:textId="77777777" w:rsidR="00F830C4" w:rsidRDefault="00F830C4" w:rsidP="00953884">
            <w:pPr>
              <w:spacing w:after="120"/>
              <w:rPr>
                <w:b/>
                <w:bCs/>
                <w:color w:val="000000" w:themeColor="text1"/>
                <w:sz w:val="28"/>
                <w:szCs w:val="28"/>
              </w:rPr>
            </w:pPr>
          </w:p>
          <w:p w14:paraId="4AD801BC" w14:textId="77777777" w:rsidR="000C2D31" w:rsidRDefault="00793B8C" w:rsidP="00953884">
            <w:pPr>
              <w:spacing w:after="120"/>
              <w:rPr>
                <w:b/>
                <w:bCs/>
                <w:color w:val="000000" w:themeColor="text1"/>
                <w:sz w:val="28"/>
                <w:szCs w:val="28"/>
              </w:rPr>
            </w:pPr>
            <w:r w:rsidRPr="00F830C4">
              <w:rPr>
                <w:b/>
                <w:bCs/>
                <w:color w:val="000000" w:themeColor="text1"/>
                <w:sz w:val="28"/>
                <w:szCs w:val="28"/>
              </w:rPr>
              <w:t xml:space="preserve">The City of Casey People &amp; Culture Gender Analysis </w:t>
            </w:r>
          </w:p>
          <w:p w14:paraId="463BDE15" w14:textId="44033A15" w:rsidR="00F830C4" w:rsidRPr="00F830C4" w:rsidRDefault="00F830C4" w:rsidP="00953884">
            <w:pPr>
              <w:spacing w:after="120"/>
              <w:rPr>
                <w:b/>
                <w:bCs/>
                <w:color w:val="9CC2E5" w:themeColor="accent5" w:themeTint="99"/>
                <w:sz w:val="28"/>
                <w:szCs w:val="28"/>
              </w:rPr>
            </w:pPr>
          </w:p>
        </w:tc>
      </w:tr>
      <w:tr w:rsidR="00793B8C" w14:paraId="49B2E6D0" w14:textId="77777777" w:rsidTr="000E1BF8">
        <w:tc>
          <w:tcPr>
            <w:tcW w:w="9615" w:type="dxa"/>
            <w:gridSpan w:val="5"/>
            <w:tcBorders>
              <w:top w:val="nil"/>
              <w:left w:val="single" w:sz="8" w:space="0" w:color="000000"/>
              <w:bottom w:val="single" w:sz="8" w:space="0" w:color="000000"/>
              <w:right w:val="single" w:sz="8" w:space="0" w:color="000000"/>
            </w:tcBorders>
            <w:shd w:val="clear" w:color="auto" w:fill="BDD6EE" w:themeFill="accent5" w:themeFillTint="66"/>
            <w:tcMar>
              <w:top w:w="0" w:type="dxa"/>
              <w:left w:w="108" w:type="dxa"/>
              <w:bottom w:w="0" w:type="dxa"/>
              <w:right w:w="108" w:type="dxa"/>
            </w:tcMar>
          </w:tcPr>
          <w:p w14:paraId="38BEB221" w14:textId="77777777" w:rsidR="00793B8C" w:rsidRDefault="00793B8C" w:rsidP="00793B8C">
            <w:pPr>
              <w:rPr>
                <w:b/>
                <w:bCs/>
              </w:rPr>
            </w:pPr>
          </w:p>
          <w:p w14:paraId="214844A4" w14:textId="6C7DFF79" w:rsidR="00793B8C" w:rsidRDefault="00793B8C" w:rsidP="00793B8C">
            <w:pPr>
              <w:rPr>
                <w:b/>
                <w:bCs/>
              </w:rPr>
            </w:pPr>
            <w:r>
              <w:rPr>
                <w:b/>
                <w:bCs/>
              </w:rPr>
              <w:t>Principle</w:t>
            </w:r>
            <w:r w:rsidRPr="00BB60AA">
              <w:rPr>
                <w:b/>
                <w:bCs/>
              </w:rPr>
              <w:t xml:space="preserve"> 1:  Safety for all staff working from home</w:t>
            </w:r>
            <w:r>
              <w:rPr>
                <w:b/>
                <w:bCs/>
              </w:rPr>
              <w:t xml:space="preserve">, particularly those at risk. </w:t>
            </w:r>
          </w:p>
          <w:p w14:paraId="7150F423" w14:textId="77777777" w:rsidR="00793B8C" w:rsidRPr="00E61E4E" w:rsidRDefault="00793B8C" w:rsidP="00953884">
            <w:pPr>
              <w:spacing w:after="120"/>
              <w:rPr>
                <w:highlight w:val="yellow"/>
              </w:rPr>
            </w:pPr>
          </w:p>
        </w:tc>
      </w:tr>
      <w:tr w:rsidR="000C2D31" w14:paraId="4FC04780" w14:textId="77777777" w:rsidTr="00F11A37">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F5122E" w14:textId="4E8CEE7D" w:rsidR="000C2D31" w:rsidRPr="00F11A37" w:rsidRDefault="000C2D31" w:rsidP="00953884">
            <w:pPr>
              <w:rPr>
                <w:b/>
                <w:bCs/>
              </w:rPr>
            </w:pPr>
            <w:bookmarkStart w:id="3" w:name="_Hlk36298500"/>
          </w:p>
        </w:tc>
        <w:tc>
          <w:tcPr>
            <w:tcW w:w="56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1FC75CEF" w14:textId="77777777" w:rsidR="000C2D31" w:rsidRPr="00F11A37" w:rsidRDefault="000C2D31" w:rsidP="00953884">
            <w:pPr>
              <w:spacing w:after="120"/>
              <w:rPr>
                <w:b/>
                <w:bCs/>
              </w:rPr>
            </w:pPr>
            <w:r w:rsidRPr="00F11A37">
              <w:rPr>
                <w:b/>
                <w:bCs/>
              </w:rPr>
              <w:t>yes</w:t>
            </w: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40940FD1" w14:textId="77777777" w:rsidR="00F11A37" w:rsidRDefault="000C2D31" w:rsidP="00953884">
            <w:pPr>
              <w:spacing w:after="120"/>
              <w:rPr>
                <w:b/>
                <w:bCs/>
              </w:rPr>
            </w:pPr>
            <w:r w:rsidRPr="00F11A37">
              <w:rPr>
                <w:b/>
                <w:bCs/>
              </w:rPr>
              <w:t>No/</w:t>
            </w:r>
          </w:p>
          <w:p w14:paraId="3E450EB9" w14:textId="7B387958" w:rsidR="000C2D31" w:rsidRPr="00F11A37" w:rsidRDefault="000C2D31" w:rsidP="00953884">
            <w:pPr>
              <w:spacing w:after="120"/>
              <w:rPr>
                <w:b/>
                <w:bCs/>
              </w:rPr>
            </w:pPr>
            <w:r w:rsidRPr="00F11A37">
              <w:rPr>
                <w:b/>
                <w:bCs/>
              </w:rPr>
              <w:t>partly</w:t>
            </w:r>
          </w:p>
        </w:tc>
        <w:tc>
          <w:tcPr>
            <w:tcW w:w="285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7A529723" w14:textId="77777777" w:rsidR="000C2D31" w:rsidRPr="00F11A37" w:rsidRDefault="000C2D31" w:rsidP="00953884">
            <w:pPr>
              <w:spacing w:after="120"/>
              <w:rPr>
                <w:b/>
                <w:bCs/>
              </w:rPr>
            </w:pPr>
            <w:r w:rsidRPr="00F11A37">
              <w:rPr>
                <w:b/>
                <w:bCs/>
              </w:rPr>
              <w:t>Actions to fulfil commitment</w:t>
            </w:r>
          </w:p>
        </w:tc>
        <w:tc>
          <w:tcPr>
            <w:tcW w:w="123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4D7D01F1" w14:textId="6EC0C150" w:rsidR="000C2D31" w:rsidRPr="00F11A37" w:rsidRDefault="000C2D31" w:rsidP="00953884">
            <w:pPr>
              <w:spacing w:after="120"/>
              <w:rPr>
                <w:b/>
                <w:bCs/>
              </w:rPr>
            </w:pPr>
            <w:r w:rsidRPr="00F11A37">
              <w:rPr>
                <w:b/>
                <w:bCs/>
              </w:rPr>
              <w:t xml:space="preserve">Teams </w:t>
            </w:r>
            <w:r w:rsidR="00F11A37" w:rsidRPr="00F11A37">
              <w:rPr>
                <w:b/>
                <w:bCs/>
              </w:rPr>
              <w:t>responsible</w:t>
            </w:r>
          </w:p>
        </w:tc>
      </w:tr>
      <w:bookmarkEnd w:id="3"/>
      <w:tr w:rsidR="00793B8C" w14:paraId="6C8D248E" w14:textId="77777777" w:rsidTr="00F11A37">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A61D160" w14:textId="5BDD546F" w:rsidR="00793B8C" w:rsidRDefault="00F11A37" w:rsidP="00793B8C">
            <w:r w:rsidRPr="00F11A37">
              <w:rPr>
                <w:b/>
                <w:bCs/>
              </w:rPr>
              <w:t>Physical Health:</w:t>
            </w:r>
            <w:r>
              <w:t xml:space="preserve"> </w:t>
            </w:r>
            <w:r w:rsidR="00793B8C">
              <w:t>Identification and risk mitigation for staff at risk due to physical health concerns</w:t>
            </w:r>
            <w:r>
              <w:t xml:space="preserve"> or caring responsibilities at home.</w:t>
            </w:r>
          </w:p>
          <w:p w14:paraId="45AA3BC6" w14:textId="77777777" w:rsidR="00793B8C" w:rsidRDefault="00793B8C" w:rsidP="00793B8C">
            <w:pPr>
              <w:pStyle w:val="ListParagraph"/>
              <w:numPr>
                <w:ilvl w:val="1"/>
                <w:numId w:val="4"/>
              </w:numPr>
            </w:pPr>
            <w:r>
              <w:t>Auto immune deficiencies</w:t>
            </w:r>
          </w:p>
          <w:p w14:paraId="2EC3E3FC" w14:textId="77777777" w:rsidR="00793B8C" w:rsidRDefault="00793B8C" w:rsidP="00793B8C">
            <w:pPr>
              <w:pStyle w:val="ListParagraph"/>
              <w:numPr>
                <w:ilvl w:val="1"/>
                <w:numId w:val="4"/>
              </w:numPr>
            </w:pPr>
            <w:r>
              <w:t>Respiratory issues</w:t>
            </w:r>
          </w:p>
          <w:p w14:paraId="2C0E1835" w14:textId="77777777" w:rsidR="00793B8C" w:rsidRDefault="00793B8C" w:rsidP="00793B8C">
            <w:pPr>
              <w:pStyle w:val="ListParagraph"/>
              <w:numPr>
                <w:ilvl w:val="1"/>
                <w:numId w:val="4"/>
              </w:numPr>
            </w:pPr>
            <w:r>
              <w:t>Other high risks identified by Department of Health and Human Services (see link)</w:t>
            </w:r>
          </w:p>
          <w:p w14:paraId="5C1D7E32" w14:textId="77777777" w:rsidR="00793B8C" w:rsidRDefault="00793B8C" w:rsidP="00953884"/>
          <w:p w14:paraId="00781E39" w14:textId="77777777" w:rsidR="0071794F" w:rsidRDefault="0071794F" w:rsidP="00953884">
            <w:r>
              <w:t>And staff who are carers of those who are at high risk.</w:t>
            </w:r>
          </w:p>
          <w:p w14:paraId="07B70DC7" w14:textId="77777777" w:rsidR="0071794F" w:rsidRDefault="0071794F" w:rsidP="00953884"/>
          <w:p w14:paraId="597EC69F" w14:textId="3CF57455" w:rsidR="00F11A37" w:rsidRDefault="00F11A37" w:rsidP="00953884">
            <w:r>
              <w:t>This includes identifying</w:t>
            </w:r>
            <w:r w:rsidR="004E1A11">
              <w:t xml:space="preserve"> </w:t>
            </w:r>
            <w:r>
              <w:t>–  people living with disabilities, older staff members (such as School crossing supervisors), single parents, staff who are carers of their elderly parents etc.</w:t>
            </w:r>
          </w:p>
        </w:tc>
        <w:tc>
          <w:tcPr>
            <w:tcW w:w="56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6F96ACE8" w14:textId="77777777" w:rsidR="00793B8C" w:rsidRDefault="00793B8C" w:rsidP="00953884">
            <w:pPr>
              <w:spacing w:after="120"/>
            </w:pP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027436BF" w14:textId="77777777" w:rsidR="00793B8C" w:rsidRDefault="00793B8C" w:rsidP="00953884">
            <w:pPr>
              <w:spacing w:after="120"/>
            </w:pPr>
          </w:p>
        </w:tc>
        <w:tc>
          <w:tcPr>
            <w:tcW w:w="285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6BA90A43" w14:textId="35A6AF3C" w:rsidR="00F11A37" w:rsidRPr="004E1A11" w:rsidRDefault="004E1A11" w:rsidP="00F11A37">
            <w:pPr>
              <w:rPr>
                <w:i/>
                <w:iCs/>
              </w:rPr>
            </w:pPr>
            <w:r w:rsidRPr="004E1A11">
              <w:rPr>
                <w:i/>
                <w:iCs/>
              </w:rPr>
              <w:t>Examples:  Communication to a</w:t>
            </w:r>
            <w:r w:rsidR="00F11A37" w:rsidRPr="004E1A11">
              <w:rPr>
                <w:i/>
                <w:iCs/>
              </w:rPr>
              <w:t xml:space="preserve">ll staff </w:t>
            </w:r>
            <w:r w:rsidRPr="004E1A11">
              <w:rPr>
                <w:i/>
                <w:iCs/>
              </w:rPr>
              <w:t xml:space="preserve">on </w:t>
            </w:r>
            <w:r w:rsidR="00F11A37" w:rsidRPr="004E1A11">
              <w:rPr>
                <w:i/>
                <w:iCs/>
              </w:rPr>
              <w:t xml:space="preserve">how to protect themselves and family following health guidelines. </w:t>
            </w:r>
          </w:p>
          <w:p w14:paraId="7E471EA2" w14:textId="782AF2B1" w:rsidR="00F11A37" w:rsidRPr="004E1A11" w:rsidRDefault="00F11A37" w:rsidP="00F11A37">
            <w:pPr>
              <w:spacing w:after="120"/>
              <w:rPr>
                <w:i/>
                <w:iCs/>
              </w:rPr>
            </w:pPr>
          </w:p>
          <w:p w14:paraId="0900A52F" w14:textId="4DA06429" w:rsidR="00F11A37" w:rsidRPr="004E1A11" w:rsidRDefault="00F11A37" w:rsidP="00F11A37">
            <w:pPr>
              <w:rPr>
                <w:i/>
                <w:iCs/>
              </w:rPr>
            </w:pPr>
            <w:r w:rsidRPr="004E1A11">
              <w:rPr>
                <w:i/>
                <w:iCs/>
              </w:rPr>
              <w:t>Ask all managers who are still working in the office or on front line to check in with their staff and encourage staff member to work at home, or provide leave options where appropriate.</w:t>
            </w:r>
          </w:p>
          <w:p w14:paraId="3F64F79B" w14:textId="096F2C3C" w:rsidR="00F11A37" w:rsidRDefault="00F11A37" w:rsidP="00F11A37"/>
        </w:tc>
        <w:tc>
          <w:tcPr>
            <w:tcW w:w="123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1F7BD453" w14:textId="525CB6E9" w:rsidR="00793B8C" w:rsidRDefault="00793B8C" w:rsidP="00953884">
            <w:pPr>
              <w:spacing w:after="120"/>
            </w:pPr>
          </w:p>
        </w:tc>
      </w:tr>
      <w:tr w:rsidR="00F11A37" w14:paraId="31CDF70B" w14:textId="77777777" w:rsidTr="00F11A37">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C8536B0" w14:textId="105DC8FB" w:rsidR="00F11A37" w:rsidRDefault="00F11A37" w:rsidP="00F11A37">
            <w:r w:rsidRPr="00F11A37">
              <w:rPr>
                <w:b/>
                <w:bCs/>
              </w:rPr>
              <w:t>Family Violence:</w:t>
            </w:r>
            <w:r>
              <w:t xml:space="preserve"> Identification, prevention and risk mitigation for staff at risk due to potential of family violence.</w:t>
            </w:r>
          </w:p>
          <w:p w14:paraId="61E49E0A" w14:textId="77777777" w:rsidR="00F11A37" w:rsidRDefault="00F11A37" w:rsidP="00F11A37"/>
          <w:p w14:paraId="1C51A159" w14:textId="77777777" w:rsidR="00F11A37" w:rsidRDefault="00F11A37" w:rsidP="00F11A37"/>
          <w:p w14:paraId="213B23E4" w14:textId="5433EB83" w:rsidR="00F11A37" w:rsidRDefault="00F11A37" w:rsidP="00F11A37">
            <w:r>
              <w:rPr>
                <w:color w:val="000000"/>
              </w:rPr>
              <w:t>Staff have been asked whether they feel safe working from home and there are strategies in place to address when they do not?</w:t>
            </w:r>
          </w:p>
        </w:tc>
        <w:tc>
          <w:tcPr>
            <w:tcW w:w="56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74DC936E" w14:textId="77777777" w:rsidR="00F11A37" w:rsidRDefault="00F11A37" w:rsidP="00F11A37">
            <w:pPr>
              <w:spacing w:after="120"/>
            </w:pP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4D10C63E" w14:textId="77777777" w:rsidR="00F11A37" w:rsidRDefault="00F11A37" w:rsidP="00F11A37">
            <w:pPr>
              <w:spacing w:after="120"/>
            </w:pPr>
          </w:p>
        </w:tc>
        <w:tc>
          <w:tcPr>
            <w:tcW w:w="285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07BA6DA7" w14:textId="77777777" w:rsidR="0036513B" w:rsidRDefault="004E1A11" w:rsidP="00F11A37">
            <w:pPr>
              <w:spacing w:after="120"/>
              <w:rPr>
                <w:i/>
                <w:iCs/>
              </w:rPr>
            </w:pPr>
            <w:r w:rsidRPr="004E1A11">
              <w:rPr>
                <w:i/>
                <w:iCs/>
              </w:rPr>
              <w:t>Examples:</w:t>
            </w:r>
          </w:p>
          <w:p w14:paraId="107D55A4" w14:textId="7C9553BD" w:rsidR="00F11A37" w:rsidRPr="004E1A11" w:rsidRDefault="00F11A37" w:rsidP="00F11A37">
            <w:pPr>
              <w:spacing w:after="120"/>
              <w:rPr>
                <w:i/>
                <w:iCs/>
              </w:rPr>
            </w:pPr>
            <w:r w:rsidRPr="004E1A11">
              <w:rPr>
                <w:i/>
                <w:iCs/>
              </w:rPr>
              <w:t xml:space="preserve">Managers provided with ‘how to deal with disclosures resource’ and guidelines on what to do from a work point of view if there is a disclosure. </w:t>
            </w:r>
          </w:p>
          <w:p w14:paraId="4FB1F168" w14:textId="328F6BA9" w:rsidR="00BF5B18" w:rsidRPr="004E1A11" w:rsidRDefault="004E1A11" w:rsidP="00F11A37">
            <w:pPr>
              <w:spacing w:after="120"/>
              <w:rPr>
                <w:i/>
                <w:iCs/>
              </w:rPr>
            </w:pPr>
            <w:r w:rsidRPr="004E1A11">
              <w:rPr>
                <w:i/>
                <w:iCs/>
              </w:rPr>
              <w:t>Organise online training for managers and staff on ‘how to manage disclosures’</w:t>
            </w:r>
          </w:p>
          <w:p w14:paraId="6543DEA5" w14:textId="77777777" w:rsidR="00F11A37" w:rsidRPr="004E1A11" w:rsidRDefault="00F11A37" w:rsidP="00F11A37">
            <w:pPr>
              <w:spacing w:after="120"/>
              <w:rPr>
                <w:i/>
                <w:iCs/>
              </w:rPr>
            </w:pPr>
            <w:r w:rsidRPr="004E1A11">
              <w:rPr>
                <w:i/>
                <w:iCs/>
              </w:rPr>
              <w:t>Provide links to safety plans etc</w:t>
            </w:r>
          </w:p>
          <w:p w14:paraId="77C15457" w14:textId="0AE05B1F" w:rsidR="00F11A37" w:rsidRPr="004E1A11" w:rsidRDefault="00F11A37" w:rsidP="00F11A37">
            <w:pPr>
              <w:spacing w:after="120"/>
              <w:rPr>
                <w:i/>
                <w:iCs/>
              </w:rPr>
            </w:pPr>
            <w:r w:rsidRPr="004E1A11">
              <w:rPr>
                <w:i/>
                <w:iCs/>
              </w:rPr>
              <w:t>Set up daily work online meetings that are ‘face to face’.  Either with a manager or a ‘buddy’.</w:t>
            </w:r>
          </w:p>
          <w:p w14:paraId="5F9633DD" w14:textId="77777777" w:rsidR="0036513B" w:rsidRDefault="0036513B" w:rsidP="00F11A37">
            <w:pPr>
              <w:spacing w:after="120"/>
              <w:rPr>
                <w:i/>
                <w:iCs/>
              </w:rPr>
            </w:pPr>
          </w:p>
          <w:p w14:paraId="74812E36" w14:textId="0AC4F2F3" w:rsidR="00F11A37" w:rsidRPr="004E1A11" w:rsidRDefault="00F11A37" w:rsidP="00F11A37">
            <w:pPr>
              <w:spacing w:after="120"/>
              <w:rPr>
                <w:i/>
                <w:iCs/>
              </w:rPr>
            </w:pPr>
            <w:r w:rsidRPr="004E1A11">
              <w:rPr>
                <w:i/>
                <w:iCs/>
              </w:rPr>
              <w:t xml:space="preserve">Provide </w:t>
            </w:r>
            <w:r w:rsidR="0036513B">
              <w:rPr>
                <w:i/>
                <w:iCs/>
              </w:rPr>
              <w:t xml:space="preserve">links to DV </w:t>
            </w:r>
            <w:r w:rsidRPr="004E1A11">
              <w:rPr>
                <w:i/>
                <w:iCs/>
              </w:rPr>
              <w:t xml:space="preserve">support service numbers including EAP. </w:t>
            </w:r>
          </w:p>
          <w:p w14:paraId="1AD6D0D2" w14:textId="77777777" w:rsidR="00F11A37" w:rsidRPr="004E1A11" w:rsidRDefault="00F11A37" w:rsidP="00F11A37">
            <w:pPr>
              <w:spacing w:after="120"/>
              <w:rPr>
                <w:i/>
                <w:iCs/>
              </w:rPr>
            </w:pPr>
          </w:p>
          <w:p w14:paraId="179205ED" w14:textId="612D7E54" w:rsidR="009A4B8F" w:rsidRPr="004E1A11" w:rsidRDefault="0036513B" w:rsidP="00F11A37">
            <w:pPr>
              <w:spacing w:after="120"/>
              <w:rPr>
                <w:i/>
                <w:iCs/>
              </w:rPr>
            </w:pPr>
            <w:r>
              <w:rPr>
                <w:i/>
                <w:iCs/>
              </w:rPr>
              <w:t>Make phones available as</w:t>
            </w:r>
            <w:r w:rsidR="00F11A37" w:rsidRPr="004E1A11">
              <w:rPr>
                <w:i/>
                <w:iCs/>
              </w:rPr>
              <w:t xml:space="preserve"> another ‘work phone’ that is less likely to be monitored by a partner and can be used in emergencies. </w:t>
            </w:r>
          </w:p>
        </w:tc>
        <w:tc>
          <w:tcPr>
            <w:tcW w:w="123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57FA20ED" w14:textId="160D5A0A" w:rsidR="00F11A37" w:rsidRDefault="00F11A37" w:rsidP="00F11A37">
            <w:pPr>
              <w:spacing w:after="120"/>
            </w:pPr>
          </w:p>
        </w:tc>
      </w:tr>
      <w:tr w:rsidR="00F11A37" w14:paraId="64A10440" w14:textId="77777777" w:rsidTr="00F11A37">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EBECA0" w14:textId="2E705524" w:rsidR="00F11A37" w:rsidRDefault="00F11A37" w:rsidP="00F11A37">
            <w:r w:rsidRPr="00F11A37">
              <w:rPr>
                <w:b/>
                <w:bCs/>
              </w:rPr>
              <w:t>Mental Health:</w:t>
            </w:r>
            <w:r>
              <w:t xml:space="preserve"> Identification, prevention and risk mitigation for staff who have mental health issues or are at risk of developing. Including anxiety, depression etc…</w:t>
            </w:r>
          </w:p>
          <w:p w14:paraId="267F20AB" w14:textId="76150ABF" w:rsidR="00511DD2" w:rsidRDefault="00511DD2" w:rsidP="00F11A37"/>
          <w:p w14:paraId="204A3E4B" w14:textId="5B44954B" w:rsidR="00511DD2" w:rsidRDefault="00511DD2" w:rsidP="00F11A37"/>
          <w:p w14:paraId="7120341C" w14:textId="7828D78D" w:rsidR="00511DD2" w:rsidRDefault="00511DD2" w:rsidP="0036513B">
            <w:r>
              <w:t>Support staff who</w:t>
            </w:r>
            <w:r w:rsidR="0036513B">
              <w:t xml:space="preserve"> may experience vicarious trauma, </w:t>
            </w:r>
            <w:proofErr w:type="spellStart"/>
            <w:r w:rsidR="0036513B">
              <w:t>eg.</w:t>
            </w:r>
            <w:proofErr w:type="spellEnd"/>
            <w:r w:rsidR="0036513B">
              <w:t xml:space="preserve"> Those who</w:t>
            </w:r>
            <w:r>
              <w:t xml:space="preserve"> may receive disclosures or supporting</w:t>
            </w:r>
            <w:r w:rsidR="0036513B">
              <w:t xml:space="preserve"> staff members who are need extra support due to mental, physical or family violence issues.  </w:t>
            </w:r>
          </w:p>
          <w:p w14:paraId="705AFB2B" w14:textId="77777777" w:rsidR="00F11A37" w:rsidRDefault="00F11A37" w:rsidP="00F11A37"/>
        </w:tc>
        <w:tc>
          <w:tcPr>
            <w:tcW w:w="56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6D6286E5" w14:textId="77777777" w:rsidR="00F11A37" w:rsidRDefault="00F11A37" w:rsidP="00F11A37">
            <w:pPr>
              <w:spacing w:after="120"/>
            </w:pP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77DDFD25" w14:textId="77777777" w:rsidR="00F11A37" w:rsidRDefault="00F11A37" w:rsidP="00F11A37">
            <w:pPr>
              <w:spacing w:after="120"/>
            </w:pPr>
          </w:p>
        </w:tc>
        <w:tc>
          <w:tcPr>
            <w:tcW w:w="285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631EF956" w14:textId="77777777" w:rsidR="0036513B" w:rsidRPr="0036513B" w:rsidRDefault="0036513B" w:rsidP="00F11A37">
            <w:pPr>
              <w:spacing w:after="120"/>
              <w:rPr>
                <w:i/>
                <w:iCs/>
              </w:rPr>
            </w:pPr>
            <w:r w:rsidRPr="0036513B">
              <w:rPr>
                <w:i/>
                <w:iCs/>
              </w:rPr>
              <w:t>Examples:</w:t>
            </w:r>
          </w:p>
          <w:p w14:paraId="241A47F1" w14:textId="34C1493D" w:rsidR="00F11A37" w:rsidRPr="0036513B" w:rsidRDefault="0036513B" w:rsidP="00F11A37">
            <w:pPr>
              <w:spacing w:after="120"/>
              <w:rPr>
                <w:i/>
                <w:iCs/>
              </w:rPr>
            </w:pPr>
            <w:r w:rsidRPr="0036513B">
              <w:rPr>
                <w:i/>
                <w:iCs/>
              </w:rPr>
              <w:t>Develop online portal for r</w:t>
            </w:r>
            <w:r w:rsidR="00F11A37" w:rsidRPr="0036513B">
              <w:rPr>
                <w:i/>
                <w:iCs/>
              </w:rPr>
              <w:t>egular tips for staying mentally healthy.</w:t>
            </w:r>
            <w:r w:rsidR="00DC3868" w:rsidRPr="0036513B">
              <w:rPr>
                <w:i/>
                <w:iCs/>
              </w:rPr>
              <w:t xml:space="preserve">  </w:t>
            </w:r>
          </w:p>
          <w:p w14:paraId="3DDF4381" w14:textId="7044C59E" w:rsidR="00F11A37" w:rsidRPr="0036513B" w:rsidRDefault="00F11A37" w:rsidP="00F11A37">
            <w:pPr>
              <w:spacing w:after="120"/>
              <w:rPr>
                <w:i/>
                <w:iCs/>
              </w:rPr>
            </w:pPr>
            <w:r w:rsidRPr="0036513B">
              <w:rPr>
                <w:i/>
                <w:iCs/>
              </w:rPr>
              <w:t xml:space="preserve">Regular video conferences with teams. </w:t>
            </w:r>
            <w:r w:rsidR="00CA2413" w:rsidRPr="0036513B">
              <w:rPr>
                <w:i/>
                <w:iCs/>
              </w:rPr>
              <w:t xml:space="preserve"> (wellbeing check ins)</w:t>
            </w:r>
          </w:p>
          <w:p w14:paraId="66446B4D" w14:textId="77777777" w:rsidR="00F11A37" w:rsidRPr="0036513B" w:rsidRDefault="00F11A37" w:rsidP="00F11A37">
            <w:pPr>
              <w:spacing w:after="120"/>
              <w:rPr>
                <w:i/>
                <w:iCs/>
              </w:rPr>
            </w:pPr>
            <w:r w:rsidRPr="0036513B">
              <w:rPr>
                <w:i/>
                <w:iCs/>
              </w:rPr>
              <w:t>Manager 1-1 taking place – checking in ‘are you ok? what support do you need?</w:t>
            </w:r>
          </w:p>
          <w:p w14:paraId="59B225E3" w14:textId="295458E6" w:rsidR="00F11A37" w:rsidRPr="0036513B" w:rsidRDefault="00F11A37" w:rsidP="00F11A37">
            <w:pPr>
              <w:spacing w:after="120"/>
              <w:rPr>
                <w:i/>
                <w:iCs/>
              </w:rPr>
            </w:pPr>
            <w:r w:rsidRPr="0036513B">
              <w:rPr>
                <w:i/>
                <w:iCs/>
              </w:rPr>
              <w:t>A guide to be produced for managers/leaders to address all of the key risks.</w:t>
            </w:r>
          </w:p>
          <w:p w14:paraId="448299C3" w14:textId="23E3371D" w:rsidR="00F11A37" w:rsidRPr="0036513B" w:rsidRDefault="00F11A37" w:rsidP="00F11A37">
            <w:pPr>
              <w:spacing w:after="120"/>
              <w:rPr>
                <w:i/>
                <w:iCs/>
              </w:rPr>
            </w:pPr>
            <w:r w:rsidRPr="0036513B">
              <w:rPr>
                <w:i/>
                <w:iCs/>
              </w:rPr>
              <w:t xml:space="preserve">Contact Council Mental Health team for advice to support staff including support services such as Beyond Blue, EAP etc. </w:t>
            </w:r>
          </w:p>
          <w:p w14:paraId="1A455B52" w14:textId="51C6F92E" w:rsidR="00F11A37" w:rsidRPr="0036513B" w:rsidRDefault="00F11A37" w:rsidP="0036513B">
            <w:pPr>
              <w:spacing w:after="120"/>
              <w:rPr>
                <w:i/>
                <w:iCs/>
              </w:rPr>
            </w:pPr>
            <w:r w:rsidRPr="0036513B">
              <w:rPr>
                <w:i/>
                <w:iCs/>
              </w:rPr>
              <w:t>E</w:t>
            </w:r>
            <w:r w:rsidR="0036513B">
              <w:rPr>
                <w:i/>
                <w:iCs/>
              </w:rPr>
              <w:t>quip</w:t>
            </w:r>
            <w:r w:rsidRPr="0036513B">
              <w:rPr>
                <w:i/>
                <w:iCs/>
              </w:rPr>
              <w:t xml:space="preserve"> managers </w:t>
            </w:r>
            <w:r w:rsidR="0036513B">
              <w:rPr>
                <w:i/>
                <w:iCs/>
              </w:rPr>
              <w:t xml:space="preserve">with resources </w:t>
            </w:r>
            <w:r w:rsidRPr="0036513B">
              <w:rPr>
                <w:i/>
                <w:iCs/>
              </w:rPr>
              <w:t>to pay attention to additional stress for staff and consider psychosocial support.</w:t>
            </w:r>
          </w:p>
        </w:tc>
        <w:tc>
          <w:tcPr>
            <w:tcW w:w="123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02B5CF35" w14:textId="13DAD57C" w:rsidR="00CA2413" w:rsidRDefault="00CA2413" w:rsidP="00F11A37">
            <w:pPr>
              <w:spacing w:after="120"/>
            </w:pPr>
          </w:p>
          <w:p w14:paraId="4D3CB67D" w14:textId="77777777" w:rsidR="00CA2413" w:rsidRDefault="00CA2413" w:rsidP="00F11A37">
            <w:pPr>
              <w:spacing w:after="120"/>
            </w:pPr>
          </w:p>
          <w:p w14:paraId="25DB99F6" w14:textId="77777777" w:rsidR="00CA2413" w:rsidRDefault="00CA2413" w:rsidP="00F11A37">
            <w:pPr>
              <w:spacing w:after="120"/>
            </w:pPr>
          </w:p>
          <w:p w14:paraId="1AF48F16" w14:textId="37F6980B" w:rsidR="00F11A37" w:rsidRDefault="00CA2413" w:rsidP="00F11A37">
            <w:pPr>
              <w:spacing w:after="120"/>
            </w:pPr>
            <w:r>
              <w:t xml:space="preserve">   </w:t>
            </w:r>
          </w:p>
          <w:p w14:paraId="376E4221" w14:textId="77777777" w:rsidR="00CA2413" w:rsidRDefault="00CA2413" w:rsidP="00F11A37">
            <w:pPr>
              <w:spacing w:after="120"/>
            </w:pPr>
          </w:p>
          <w:p w14:paraId="71CD1B66" w14:textId="3321EC2D" w:rsidR="00CA2413" w:rsidRDefault="00CA2413" w:rsidP="00F11A37">
            <w:pPr>
              <w:spacing w:after="120"/>
            </w:pPr>
          </w:p>
        </w:tc>
      </w:tr>
      <w:tr w:rsidR="00F11A37" w14:paraId="3CD98B54" w14:textId="77777777" w:rsidTr="00F11A37">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AF9F2A7" w14:textId="77777777" w:rsidR="00F11A37" w:rsidRDefault="00700653" w:rsidP="00F11A37">
            <w:r w:rsidRPr="00700653">
              <w:rPr>
                <w:b/>
                <w:bCs/>
              </w:rPr>
              <w:t>Support for Parents:</w:t>
            </w:r>
            <w:r>
              <w:t xml:space="preserve"> Provide resources and tips for parents working from home. </w:t>
            </w:r>
          </w:p>
          <w:p w14:paraId="30866FDD" w14:textId="77777777" w:rsidR="00700653" w:rsidRDefault="00700653" w:rsidP="00F11A37"/>
          <w:p w14:paraId="36E99D74" w14:textId="324AEC1D" w:rsidR="00700653" w:rsidRDefault="00700653" w:rsidP="00F11A37">
            <w:r>
              <w:t xml:space="preserve">Encourage partners of healthcare workers, to take up more child care responsibilities to enable their partner to work. </w:t>
            </w:r>
          </w:p>
        </w:tc>
        <w:tc>
          <w:tcPr>
            <w:tcW w:w="56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3B4A2E5A" w14:textId="77777777" w:rsidR="00F11A37" w:rsidRDefault="00F11A37" w:rsidP="00F11A37">
            <w:pPr>
              <w:spacing w:after="120"/>
            </w:pP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27E109EA" w14:textId="77777777" w:rsidR="00F11A37" w:rsidRDefault="00F11A37" w:rsidP="00F11A37">
            <w:pPr>
              <w:spacing w:after="120"/>
            </w:pPr>
          </w:p>
        </w:tc>
        <w:tc>
          <w:tcPr>
            <w:tcW w:w="285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7CA17390" w14:textId="445C43F7" w:rsidR="00BF5B18" w:rsidRPr="0036513B" w:rsidRDefault="0036513B" w:rsidP="0036513B">
            <w:pPr>
              <w:spacing w:after="120"/>
              <w:rPr>
                <w:i/>
                <w:iCs/>
              </w:rPr>
            </w:pPr>
            <w:r w:rsidRPr="0036513B">
              <w:rPr>
                <w:i/>
                <w:iCs/>
              </w:rPr>
              <w:t xml:space="preserve">Examples: </w:t>
            </w:r>
            <w:r w:rsidR="00700653" w:rsidRPr="0036513B">
              <w:rPr>
                <w:i/>
                <w:iCs/>
              </w:rPr>
              <w:t xml:space="preserve">Provide resources, tips and tricks.   </w:t>
            </w:r>
            <w:proofErr w:type="spellStart"/>
            <w:r w:rsidRPr="0036513B">
              <w:rPr>
                <w:i/>
                <w:iCs/>
              </w:rPr>
              <w:t>Eg.</w:t>
            </w:r>
            <w:proofErr w:type="spellEnd"/>
          </w:p>
          <w:p w14:paraId="32DFBB26" w14:textId="778A7B6B" w:rsidR="00BF5B18" w:rsidRPr="0036513B" w:rsidRDefault="00BF5B18" w:rsidP="00BF5B18">
            <w:pPr>
              <w:pStyle w:val="ListParagraph"/>
              <w:numPr>
                <w:ilvl w:val="0"/>
                <w:numId w:val="4"/>
              </w:numPr>
              <w:spacing w:after="120"/>
              <w:rPr>
                <w:i/>
                <w:iCs/>
              </w:rPr>
            </w:pPr>
            <w:proofErr w:type="spellStart"/>
            <w:r w:rsidRPr="0036513B">
              <w:rPr>
                <w:i/>
                <w:iCs/>
              </w:rPr>
              <w:t>Self care</w:t>
            </w:r>
            <w:proofErr w:type="spellEnd"/>
          </w:p>
          <w:p w14:paraId="16ADBD65" w14:textId="111D28D8" w:rsidR="00BF5B18" w:rsidRPr="0036513B" w:rsidRDefault="00BF5B18" w:rsidP="00BF5B18">
            <w:pPr>
              <w:pStyle w:val="ListParagraph"/>
              <w:numPr>
                <w:ilvl w:val="0"/>
                <w:numId w:val="4"/>
              </w:numPr>
              <w:spacing w:after="120"/>
              <w:rPr>
                <w:i/>
                <w:iCs/>
              </w:rPr>
            </w:pPr>
            <w:r w:rsidRPr="0036513B">
              <w:rPr>
                <w:i/>
                <w:iCs/>
              </w:rPr>
              <w:t>Game nights</w:t>
            </w:r>
          </w:p>
          <w:p w14:paraId="703186FC" w14:textId="37AF3ADB" w:rsidR="00F830C4" w:rsidRPr="0036513B" w:rsidRDefault="00BF5B18" w:rsidP="00F11A37">
            <w:pPr>
              <w:pStyle w:val="ListParagraph"/>
              <w:numPr>
                <w:ilvl w:val="0"/>
                <w:numId w:val="4"/>
              </w:numPr>
              <w:spacing w:after="120"/>
              <w:rPr>
                <w:i/>
                <w:iCs/>
              </w:rPr>
            </w:pPr>
            <w:r w:rsidRPr="0036513B">
              <w:rPr>
                <w:i/>
                <w:iCs/>
              </w:rPr>
              <w:t>Recipes etc…</w:t>
            </w:r>
          </w:p>
          <w:p w14:paraId="0BD03A05" w14:textId="77777777" w:rsidR="00F830C4" w:rsidRPr="0036513B" w:rsidRDefault="00F830C4" w:rsidP="00F11A37">
            <w:pPr>
              <w:spacing w:after="120"/>
              <w:rPr>
                <w:i/>
                <w:iCs/>
              </w:rPr>
            </w:pPr>
            <w:r w:rsidRPr="0036513B">
              <w:rPr>
                <w:i/>
                <w:iCs/>
              </w:rPr>
              <w:t xml:space="preserve">Promote flexible working hours. </w:t>
            </w:r>
          </w:p>
          <w:p w14:paraId="7F4619F7" w14:textId="26DA43B4" w:rsidR="00BF5B18" w:rsidRDefault="00F830C4" w:rsidP="00F11A37">
            <w:pPr>
              <w:spacing w:after="120"/>
            </w:pPr>
            <w:r w:rsidRPr="0036513B">
              <w:rPr>
                <w:i/>
                <w:iCs/>
              </w:rPr>
              <w:t xml:space="preserve">Leave arrangements for care where required. </w:t>
            </w:r>
          </w:p>
        </w:tc>
        <w:tc>
          <w:tcPr>
            <w:tcW w:w="123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3F5F0F44" w14:textId="77777777" w:rsidR="00F11A37" w:rsidRDefault="00F11A37" w:rsidP="00F11A37">
            <w:pPr>
              <w:spacing w:after="120"/>
            </w:pPr>
          </w:p>
        </w:tc>
      </w:tr>
      <w:tr w:rsidR="00700653" w14:paraId="65B702AC" w14:textId="77777777" w:rsidTr="000E1BF8">
        <w:tc>
          <w:tcPr>
            <w:tcW w:w="9615" w:type="dxa"/>
            <w:gridSpan w:val="5"/>
            <w:tcBorders>
              <w:top w:val="nil"/>
              <w:left w:val="single" w:sz="8" w:space="0" w:color="000000"/>
              <w:bottom w:val="single" w:sz="8" w:space="0" w:color="000000"/>
              <w:right w:val="single" w:sz="8" w:space="0" w:color="000000"/>
            </w:tcBorders>
            <w:shd w:val="clear" w:color="auto" w:fill="5B9BD5" w:themeFill="accent5"/>
            <w:tcMar>
              <w:top w:w="0" w:type="dxa"/>
              <w:left w:w="108" w:type="dxa"/>
              <w:bottom w:w="0" w:type="dxa"/>
              <w:right w:w="108" w:type="dxa"/>
            </w:tcMar>
          </w:tcPr>
          <w:p w14:paraId="39DAFF07" w14:textId="77777777" w:rsidR="00700653" w:rsidRDefault="00700653" w:rsidP="00700653">
            <w:pPr>
              <w:ind w:left="1440"/>
            </w:pPr>
          </w:p>
          <w:p w14:paraId="7A388799" w14:textId="596A9E54" w:rsidR="00700653" w:rsidRDefault="00700653" w:rsidP="00F11A37">
            <w:pPr>
              <w:spacing w:after="120"/>
            </w:pPr>
            <w:r>
              <w:rPr>
                <w:b/>
                <w:bCs/>
              </w:rPr>
              <w:t>Principle</w:t>
            </w:r>
            <w:r w:rsidRPr="00BB60AA">
              <w:rPr>
                <w:b/>
                <w:bCs/>
              </w:rPr>
              <w:t xml:space="preserve"> 2: Enable our Health workers to safely work with</w:t>
            </w:r>
            <w:r>
              <w:rPr>
                <w:b/>
                <w:bCs/>
              </w:rPr>
              <w:t>in</w:t>
            </w:r>
            <w:r w:rsidRPr="00BB60AA">
              <w:rPr>
                <w:b/>
                <w:bCs/>
              </w:rPr>
              <w:t xml:space="preserve"> our community </w:t>
            </w:r>
          </w:p>
        </w:tc>
      </w:tr>
      <w:tr w:rsidR="00700653" w14:paraId="5AB13B81" w14:textId="77777777" w:rsidTr="000E1BF8">
        <w:tc>
          <w:tcPr>
            <w:tcW w:w="4243" w:type="dxa"/>
            <w:tcBorders>
              <w:top w:val="nil"/>
              <w:left w:val="single" w:sz="8" w:space="0" w:color="000000"/>
              <w:bottom w:val="single" w:sz="8" w:space="0" w:color="000000"/>
              <w:right w:val="single" w:sz="8" w:space="0" w:color="000000"/>
            </w:tcBorders>
            <w:shd w:val="clear" w:color="auto" w:fill="9CC2E5" w:themeFill="accent5" w:themeFillTint="99"/>
            <w:tcMar>
              <w:top w:w="0" w:type="dxa"/>
              <w:left w:w="108" w:type="dxa"/>
              <w:bottom w:w="0" w:type="dxa"/>
              <w:right w:w="108" w:type="dxa"/>
            </w:tcMar>
          </w:tcPr>
          <w:p w14:paraId="2BC529CF" w14:textId="3F47846E" w:rsidR="00700653" w:rsidRDefault="00700653" w:rsidP="00700653"/>
        </w:tc>
        <w:tc>
          <w:tcPr>
            <w:tcW w:w="567" w:type="dxa"/>
            <w:tcBorders>
              <w:top w:val="nil"/>
              <w:left w:val="nil"/>
              <w:bottom w:val="single" w:sz="8" w:space="0" w:color="000000"/>
              <w:right w:val="single" w:sz="8" w:space="0" w:color="000000"/>
            </w:tcBorders>
            <w:shd w:val="clear" w:color="auto" w:fill="9CC2E5" w:themeFill="accent5" w:themeFillTint="99"/>
            <w:tcMar>
              <w:top w:w="0" w:type="dxa"/>
              <w:left w:w="10" w:type="dxa"/>
              <w:bottom w:w="0" w:type="dxa"/>
              <w:right w:w="10" w:type="dxa"/>
            </w:tcMar>
          </w:tcPr>
          <w:p w14:paraId="45E1C23D" w14:textId="048C7683" w:rsidR="00700653" w:rsidRDefault="00700653" w:rsidP="00700653">
            <w:pPr>
              <w:spacing w:after="120"/>
            </w:pPr>
            <w:r w:rsidRPr="00F11A37">
              <w:rPr>
                <w:b/>
                <w:bCs/>
              </w:rPr>
              <w:t>yes</w:t>
            </w:r>
          </w:p>
        </w:tc>
        <w:tc>
          <w:tcPr>
            <w:tcW w:w="709" w:type="dxa"/>
            <w:tcBorders>
              <w:top w:val="nil"/>
              <w:left w:val="nil"/>
              <w:bottom w:val="single" w:sz="8" w:space="0" w:color="000000"/>
              <w:right w:val="single" w:sz="8" w:space="0" w:color="000000"/>
            </w:tcBorders>
            <w:shd w:val="clear" w:color="auto" w:fill="9CC2E5" w:themeFill="accent5" w:themeFillTint="99"/>
            <w:tcMar>
              <w:top w:w="0" w:type="dxa"/>
              <w:left w:w="10" w:type="dxa"/>
              <w:bottom w:w="0" w:type="dxa"/>
              <w:right w:w="10" w:type="dxa"/>
            </w:tcMar>
          </w:tcPr>
          <w:p w14:paraId="1BAB3D42" w14:textId="77777777" w:rsidR="00700653" w:rsidRDefault="00700653" w:rsidP="00700653">
            <w:pPr>
              <w:spacing w:after="120"/>
              <w:rPr>
                <w:b/>
                <w:bCs/>
              </w:rPr>
            </w:pPr>
            <w:r w:rsidRPr="00F11A37">
              <w:rPr>
                <w:b/>
                <w:bCs/>
              </w:rPr>
              <w:t>No/</w:t>
            </w:r>
          </w:p>
          <w:p w14:paraId="00E5886A" w14:textId="1359D343" w:rsidR="00700653" w:rsidRDefault="00700653" w:rsidP="00700653">
            <w:pPr>
              <w:spacing w:after="120"/>
            </w:pPr>
            <w:r w:rsidRPr="00F11A37">
              <w:rPr>
                <w:b/>
                <w:bCs/>
              </w:rPr>
              <w:t>partly</w:t>
            </w:r>
          </w:p>
        </w:tc>
        <w:tc>
          <w:tcPr>
            <w:tcW w:w="2858" w:type="dxa"/>
            <w:tcBorders>
              <w:top w:val="nil"/>
              <w:left w:val="nil"/>
              <w:bottom w:val="single" w:sz="8" w:space="0" w:color="000000"/>
              <w:right w:val="single" w:sz="8" w:space="0" w:color="000000"/>
            </w:tcBorders>
            <w:shd w:val="clear" w:color="auto" w:fill="9CC2E5" w:themeFill="accent5" w:themeFillTint="99"/>
            <w:tcMar>
              <w:top w:w="0" w:type="dxa"/>
              <w:left w:w="10" w:type="dxa"/>
              <w:bottom w:w="0" w:type="dxa"/>
              <w:right w:w="10" w:type="dxa"/>
            </w:tcMar>
          </w:tcPr>
          <w:p w14:paraId="00AEED5B" w14:textId="780A7359" w:rsidR="00700653" w:rsidRDefault="00700653" w:rsidP="00700653">
            <w:pPr>
              <w:spacing w:after="120"/>
            </w:pPr>
            <w:r w:rsidRPr="00F11A37">
              <w:rPr>
                <w:b/>
                <w:bCs/>
              </w:rPr>
              <w:t>Actions to fulfil commitment</w:t>
            </w:r>
          </w:p>
        </w:tc>
        <w:tc>
          <w:tcPr>
            <w:tcW w:w="1238" w:type="dxa"/>
            <w:tcBorders>
              <w:top w:val="nil"/>
              <w:left w:val="nil"/>
              <w:bottom w:val="single" w:sz="8" w:space="0" w:color="000000"/>
              <w:right w:val="single" w:sz="8" w:space="0" w:color="000000"/>
            </w:tcBorders>
            <w:shd w:val="clear" w:color="auto" w:fill="9CC2E5" w:themeFill="accent5" w:themeFillTint="99"/>
            <w:tcMar>
              <w:top w:w="0" w:type="dxa"/>
              <w:left w:w="10" w:type="dxa"/>
              <w:bottom w:w="0" w:type="dxa"/>
              <w:right w:w="10" w:type="dxa"/>
            </w:tcMar>
          </w:tcPr>
          <w:p w14:paraId="51D45AEE" w14:textId="43F81E82" w:rsidR="00700653" w:rsidRDefault="00700653" w:rsidP="00700653">
            <w:pPr>
              <w:spacing w:after="120"/>
            </w:pPr>
            <w:r w:rsidRPr="00F11A37">
              <w:rPr>
                <w:b/>
                <w:bCs/>
              </w:rPr>
              <w:t>Teams responsible</w:t>
            </w:r>
          </w:p>
        </w:tc>
      </w:tr>
      <w:tr w:rsidR="00700653" w14:paraId="0639C6D7" w14:textId="77777777" w:rsidTr="00F11A37">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26857F" w14:textId="49FFB504" w:rsidR="000E1BF8" w:rsidRDefault="000E1BF8" w:rsidP="000E1BF8">
            <w:r>
              <w:t>Recognise and address gendered load due to both work and home responsibilities including child care?</w:t>
            </w:r>
          </w:p>
          <w:p w14:paraId="45717E32" w14:textId="77777777" w:rsidR="00700653" w:rsidRDefault="00700653" w:rsidP="000E1BF8">
            <w:pPr>
              <w:rPr>
                <w:color w:val="000000"/>
              </w:rPr>
            </w:pPr>
          </w:p>
        </w:tc>
        <w:tc>
          <w:tcPr>
            <w:tcW w:w="56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2E031EAE" w14:textId="77777777" w:rsidR="00700653" w:rsidRDefault="00700653" w:rsidP="00700653">
            <w:pPr>
              <w:spacing w:after="120"/>
            </w:pP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48BCBCDF" w14:textId="77777777" w:rsidR="00700653" w:rsidRDefault="00700653" w:rsidP="00700653">
            <w:pPr>
              <w:spacing w:after="120"/>
            </w:pPr>
          </w:p>
        </w:tc>
        <w:tc>
          <w:tcPr>
            <w:tcW w:w="285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5218EFD1" w14:textId="26B3D693" w:rsidR="007A34BA" w:rsidRPr="0036513B" w:rsidRDefault="0036513B" w:rsidP="00700653">
            <w:pPr>
              <w:spacing w:after="120"/>
              <w:rPr>
                <w:i/>
                <w:iCs/>
              </w:rPr>
            </w:pPr>
            <w:r w:rsidRPr="0036513B">
              <w:rPr>
                <w:i/>
                <w:iCs/>
              </w:rPr>
              <w:t xml:space="preserve">Examples: </w:t>
            </w:r>
            <w:r w:rsidR="00700653" w:rsidRPr="0036513B">
              <w:rPr>
                <w:i/>
                <w:iCs/>
              </w:rPr>
              <w:t>Key messages to organisation and community.    Non-front line can support their partners who may be health worker</w:t>
            </w:r>
            <w:r w:rsidRPr="0036513B">
              <w:rPr>
                <w:i/>
                <w:iCs/>
              </w:rPr>
              <w:t>s</w:t>
            </w:r>
          </w:p>
          <w:p w14:paraId="2FB9916A" w14:textId="5C3B7F78" w:rsidR="007A34BA" w:rsidRPr="0036513B" w:rsidRDefault="007A34BA" w:rsidP="00700653">
            <w:pPr>
              <w:spacing w:after="120"/>
              <w:rPr>
                <w:i/>
                <w:iCs/>
              </w:rPr>
            </w:pPr>
            <w:r w:rsidRPr="0036513B">
              <w:rPr>
                <w:i/>
                <w:iCs/>
              </w:rPr>
              <w:t>Propaganda posters – women on the frontline.</w:t>
            </w:r>
          </w:p>
          <w:p w14:paraId="5C487202" w14:textId="7C74C4EE" w:rsidR="000E1BF8" w:rsidRPr="0036513B" w:rsidRDefault="007A34BA" w:rsidP="00700653">
            <w:pPr>
              <w:spacing w:after="120"/>
              <w:rPr>
                <w:i/>
                <w:iCs/>
              </w:rPr>
            </w:pPr>
            <w:r w:rsidRPr="0036513B">
              <w:rPr>
                <w:i/>
                <w:iCs/>
              </w:rPr>
              <w:lastRenderedPageBreak/>
              <w:t xml:space="preserve">Real stories from our employees! How to share the load?  </w:t>
            </w:r>
          </w:p>
          <w:p w14:paraId="0BA691AE" w14:textId="78FADC37" w:rsidR="000E1BF8" w:rsidRPr="0036513B" w:rsidRDefault="000E1BF8" w:rsidP="00700653">
            <w:pPr>
              <w:spacing w:after="120"/>
              <w:rPr>
                <w:i/>
                <w:iCs/>
              </w:rPr>
            </w:pPr>
            <w:r w:rsidRPr="0036513B">
              <w:rPr>
                <w:i/>
                <w:iCs/>
              </w:rPr>
              <w:t xml:space="preserve">Check </w:t>
            </w:r>
            <w:proofErr w:type="spellStart"/>
            <w:r w:rsidRPr="0036513B">
              <w:rPr>
                <w:i/>
                <w:iCs/>
              </w:rPr>
              <w:t>statewide</w:t>
            </w:r>
            <w:proofErr w:type="spellEnd"/>
            <w:r w:rsidRPr="0036513B">
              <w:rPr>
                <w:i/>
                <w:iCs/>
              </w:rPr>
              <w:t xml:space="preserve"> guidelines on this.</w:t>
            </w:r>
          </w:p>
        </w:tc>
        <w:tc>
          <w:tcPr>
            <w:tcW w:w="123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102F6B73" w14:textId="7334FD6D" w:rsidR="00700653" w:rsidRDefault="00700653" w:rsidP="00700653">
            <w:pPr>
              <w:spacing w:after="120"/>
            </w:pPr>
          </w:p>
        </w:tc>
      </w:tr>
      <w:tr w:rsidR="00700653" w14:paraId="4305F717" w14:textId="77777777" w:rsidTr="00F11A37">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C187BB" w14:textId="6378A71E" w:rsidR="00700653" w:rsidRDefault="000E1BF8" w:rsidP="00700653">
            <w:pPr>
              <w:spacing w:after="120"/>
              <w:rPr>
                <w:color w:val="000000"/>
              </w:rPr>
            </w:pPr>
            <w:r>
              <w:t xml:space="preserve">Implement infection control guidelines through clear messaging, communication and management support. </w:t>
            </w:r>
          </w:p>
        </w:tc>
        <w:tc>
          <w:tcPr>
            <w:tcW w:w="56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638106F2" w14:textId="77777777" w:rsidR="00700653" w:rsidRDefault="00700653" w:rsidP="00700653">
            <w:pPr>
              <w:spacing w:after="120"/>
            </w:pP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67F44EF9" w14:textId="77777777" w:rsidR="00700653" w:rsidRPr="0036513B" w:rsidRDefault="00700653" w:rsidP="00700653">
            <w:pPr>
              <w:spacing w:after="120"/>
              <w:rPr>
                <w:i/>
                <w:iCs/>
              </w:rPr>
            </w:pPr>
          </w:p>
        </w:tc>
        <w:tc>
          <w:tcPr>
            <w:tcW w:w="285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7947CE5A" w14:textId="77777777" w:rsidR="0036513B" w:rsidRDefault="0036513B" w:rsidP="00700653">
            <w:pPr>
              <w:spacing w:after="120"/>
              <w:rPr>
                <w:i/>
                <w:iCs/>
              </w:rPr>
            </w:pPr>
            <w:r>
              <w:rPr>
                <w:i/>
                <w:iCs/>
              </w:rPr>
              <w:t>Examples:</w:t>
            </w:r>
          </w:p>
          <w:p w14:paraId="70EC1FE3" w14:textId="464251C5" w:rsidR="00700653" w:rsidRPr="0036513B" w:rsidRDefault="000E1BF8" w:rsidP="00700653">
            <w:pPr>
              <w:spacing w:after="120"/>
              <w:rPr>
                <w:i/>
                <w:iCs/>
              </w:rPr>
            </w:pPr>
            <w:r w:rsidRPr="0036513B">
              <w:rPr>
                <w:i/>
                <w:iCs/>
              </w:rPr>
              <w:t xml:space="preserve">Protocol documents communicated to all staff through different mediums – email, team meetings, 1-1 management.   </w:t>
            </w:r>
          </w:p>
          <w:p w14:paraId="1E2EC050" w14:textId="77777777" w:rsidR="000E1BF8" w:rsidRPr="0036513B" w:rsidRDefault="000E1BF8" w:rsidP="00700653">
            <w:pPr>
              <w:spacing w:after="120"/>
              <w:rPr>
                <w:i/>
                <w:iCs/>
              </w:rPr>
            </w:pPr>
          </w:p>
          <w:p w14:paraId="2286973A" w14:textId="4861605C" w:rsidR="000E1BF8" w:rsidRPr="0036513B" w:rsidRDefault="000E1BF8" w:rsidP="00700653">
            <w:pPr>
              <w:spacing w:after="120"/>
              <w:rPr>
                <w:i/>
                <w:iCs/>
              </w:rPr>
            </w:pPr>
            <w:r w:rsidRPr="0036513B">
              <w:rPr>
                <w:i/>
                <w:iCs/>
              </w:rPr>
              <w:t xml:space="preserve">FAQ page developed for teams. </w:t>
            </w:r>
          </w:p>
        </w:tc>
        <w:tc>
          <w:tcPr>
            <w:tcW w:w="123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20644DB6" w14:textId="4C199159" w:rsidR="00700653" w:rsidRDefault="00700653" w:rsidP="00700653">
            <w:pPr>
              <w:spacing w:after="120"/>
            </w:pPr>
          </w:p>
        </w:tc>
      </w:tr>
      <w:tr w:rsidR="00700653" w14:paraId="44B546C3" w14:textId="77777777" w:rsidTr="00F11A37">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A978F4" w14:textId="52C44017" w:rsidR="000E1BF8" w:rsidRDefault="000E1BF8" w:rsidP="000E1BF8">
            <w:r>
              <w:t>Psycho social support available and promoted to all staff to mitigate risk of vicarious trauma, additional stress and burn out.</w:t>
            </w:r>
          </w:p>
          <w:p w14:paraId="3F18FDCF" w14:textId="77777777" w:rsidR="000E1BF8" w:rsidRDefault="000E1BF8" w:rsidP="00700653">
            <w:pPr>
              <w:spacing w:after="120"/>
              <w:rPr>
                <w:color w:val="000000"/>
              </w:rPr>
            </w:pPr>
          </w:p>
          <w:p w14:paraId="3B6C313B" w14:textId="77777777" w:rsidR="000E1BF8" w:rsidRDefault="000E1BF8" w:rsidP="00700653">
            <w:pPr>
              <w:spacing w:after="120"/>
              <w:rPr>
                <w:color w:val="000000"/>
              </w:rPr>
            </w:pPr>
          </w:p>
          <w:p w14:paraId="71775527" w14:textId="38428125" w:rsidR="00700653" w:rsidRDefault="00700653" w:rsidP="00700653">
            <w:pPr>
              <w:spacing w:after="120"/>
            </w:pPr>
          </w:p>
        </w:tc>
        <w:tc>
          <w:tcPr>
            <w:tcW w:w="56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0A0A9C87" w14:textId="77777777" w:rsidR="00700653" w:rsidRDefault="00700653" w:rsidP="00700653">
            <w:pPr>
              <w:spacing w:after="120"/>
            </w:pP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5423951F" w14:textId="77777777" w:rsidR="00700653" w:rsidRDefault="00700653" w:rsidP="00700653">
            <w:pPr>
              <w:spacing w:after="120"/>
            </w:pPr>
          </w:p>
        </w:tc>
        <w:tc>
          <w:tcPr>
            <w:tcW w:w="285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432DC8D4" w14:textId="77777777" w:rsidR="0036513B" w:rsidRDefault="0036513B" w:rsidP="00700653">
            <w:pPr>
              <w:spacing w:after="120"/>
              <w:rPr>
                <w:i/>
                <w:iCs/>
              </w:rPr>
            </w:pPr>
            <w:r>
              <w:rPr>
                <w:i/>
                <w:iCs/>
              </w:rPr>
              <w:t>Examples:</w:t>
            </w:r>
          </w:p>
          <w:p w14:paraId="741CBB4C" w14:textId="7CA0E2E8" w:rsidR="00700653" w:rsidRPr="0036513B" w:rsidRDefault="00700653" w:rsidP="00700653">
            <w:pPr>
              <w:spacing w:after="120"/>
              <w:rPr>
                <w:i/>
                <w:iCs/>
              </w:rPr>
            </w:pPr>
            <w:r w:rsidRPr="0036513B">
              <w:rPr>
                <w:i/>
                <w:iCs/>
              </w:rPr>
              <w:t xml:space="preserve">Contact Council Mental Health team for advice to support staff including support services such as Beyond Blue, EAP etc. </w:t>
            </w:r>
          </w:p>
          <w:p w14:paraId="6C10E249" w14:textId="0DB946AC" w:rsidR="0036513B" w:rsidRPr="0036513B" w:rsidRDefault="0036513B" w:rsidP="00700653">
            <w:pPr>
              <w:spacing w:after="120"/>
              <w:rPr>
                <w:i/>
                <w:iCs/>
              </w:rPr>
            </w:pPr>
            <w:r w:rsidRPr="0036513B">
              <w:rPr>
                <w:i/>
                <w:iCs/>
              </w:rPr>
              <w:t>Online training.</w:t>
            </w:r>
          </w:p>
          <w:p w14:paraId="75BF99AC" w14:textId="3485E733" w:rsidR="000E1BF8" w:rsidRDefault="00700653" w:rsidP="00700653">
            <w:pPr>
              <w:spacing w:after="120"/>
            </w:pPr>
            <w:r w:rsidRPr="0036513B">
              <w:rPr>
                <w:i/>
                <w:iCs/>
              </w:rPr>
              <w:t>Encourage managers to pay attention to additional stress for staff and consider psychosocial support.</w:t>
            </w:r>
            <w:r>
              <w:t xml:space="preserve"> </w:t>
            </w:r>
            <w:r w:rsidR="000E1BF8">
              <w:t xml:space="preserve"> </w:t>
            </w:r>
          </w:p>
        </w:tc>
        <w:tc>
          <w:tcPr>
            <w:tcW w:w="123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52774595" w14:textId="77777777" w:rsidR="00700653" w:rsidRDefault="00700653" w:rsidP="00700653">
            <w:pPr>
              <w:spacing w:after="120"/>
            </w:pPr>
          </w:p>
        </w:tc>
      </w:tr>
      <w:tr w:rsidR="00700653" w14:paraId="0E5B3550" w14:textId="77777777" w:rsidTr="00F11A37">
        <w:tc>
          <w:tcPr>
            <w:tcW w:w="424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816D3D" w14:textId="3F479991" w:rsidR="00700653" w:rsidRDefault="0036513B" w:rsidP="00700653">
            <w:pPr>
              <w:spacing w:after="120"/>
              <w:rPr>
                <w:color w:val="000000"/>
              </w:rPr>
            </w:pPr>
            <w:r>
              <w:rPr>
                <w:color w:val="000000"/>
              </w:rPr>
              <w:t>S</w:t>
            </w:r>
            <w:r w:rsidR="00700653">
              <w:rPr>
                <w:color w:val="000000"/>
              </w:rPr>
              <w:t>trategies for addressing the increased risk of infection faced by women (as they are more exposed with care work at home and in health and education settings)?</w:t>
            </w:r>
          </w:p>
          <w:p w14:paraId="79687450" w14:textId="4E7E523E" w:rsidR="000E1BF8" w:rsidRDefault="000E1BF8" w:rsidP="00700653">
            <w:pPr>
              <w:spacing w:after="120"/>
            </w:pPr>
          </w:p>
        </w:tc>
        <w:tc>
          <w:tcPr>
            <w:tcW w:w="567"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37431A39" w14:textId="77777777" w:rsidR="00700653" w:rsidRDefault="00700653" w:rsidP="00700653">
            <w:pPr>
              <w:spacing w:after="120"/>
            </w:pPr>
          </w:p>
        </w:tc>
        <w:tc>
          <w:tcPr>
            <w:tcW w:w="709"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2451CB9C" w14:textId="77777777" w:rsidR="00700653" w:rsidRDefault="00700653" w:rsidP="00700653">
            <w:pPr>
              <w:spacing w:after="120"/>
            </w:pPr>
          </w:p>
        </w:tc>
        <w:tc>
          <w:tcPr>
            <w:tcW w:w="285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3B99C7CC" w14:textId="77777777" w:rsidR="0036513B" w:rsidRDefault="0036513B" w:rsidP="00700653">
            <w:pPr>
              <w:spacing w:after="120"/>
              <w:rPr>
                <w:i/>
                <w:iCs/>
              </w:rPr>
            </w:pPr>
            <w:r>
              <w:rPr>
                <w:i/>
                <w:iCs/>
              </w:rPr>
              <w:t xml:space="preserve">Examples: </w:t>
            </w:r>
          </w:p>
          <w:p w14:paraId="70FCDD69" w14:textId="22E80F25" w:rsidR="00700653" w:rsidRPr="0036513B" w:rsidRDefault="00700653" w:rsidP="00700653">
            <w:pPr>
              <w:spacing w:after="120"/>
              <w:rPr>
                <w:i/>
                <w:iCs/>
              </w:rPr>
            </w:pPr>
            <w:r w:rsidRPr="0036513B">
              <w:rPr>
                <w:i/>
                <w:iCs/>
              </w:rPr>
              <w:t xml:space="preserve">Hygiene and infection control protocols and resources are distributed and monitored.   </w:t>
            </w:r>
          </w:p>
          <w:p w14:paraId="2FC6F8C3" w14:textId="77777777" w:rsidR="00700653" w:rsidRPr="0036513B" w:rsidRDefault="00700653" w:rsidP="00700653">
            <w:pPr>
              <w:spacing w:after="120"/>
              <w:rPr>
                <w:i/>
                <w:iCs/>
              </w:rPr>
            </w:pPr>
            <w:r w:rsidRPr="0036513B">
              <w:rPr>
                <w:i/>
                <w:iCs/>
              </w:rPr>
              <w:t xml:space="preserve">Support provided for those who are infected by </w:t>
            </w:r>
            <w:proofErr w:type="spellStart"/>
            <w:r w:rsidRPr="0036513B">
              <w:rPr>
                <w:i/>
                <w:iCs/>
              </w:rPr>
              <w:t>Covid</w:t>
            </w:r>
            <w:proofErr w:type="spellEnd"/>
            <w:r w:rsidRPr="0036513B">
              <w:rPr>
                <w:i/>
                <w:iCs/>
              </w:rPr>
              <w:t xml:space="preserve"> 19 and their families. </w:t>
            </w:r>
          </w:p>
          <w:p w14:paraId="243ED6FE" w14:textId="77777777" w:rsidR="00700653" w:rsidRDefault="00700653" w:rsidP="00700653">
            <w:pPr>
              <w:spacing w:after="120"/>
            </w:pPr>
          </w:p>
        </w:tc>
        <w:tc>
          <w:tcPr>
            <w:tcW w:w="1238" w:type="dxa"/>
            <w:tcBorders>
              <w:top w:val="nil"/>
              <w:left w:val="nil"/>
              <w:bottom w:val="single" w:sz="8" w:space="0" w:color="000000"/>
              <w:right w:val="single" w:sz="8" w:space="0" w:color="000000"/>
            </w:tcBorders>
            <w:shd w:val="clear" w:color="auto" w:fill="FFFFFF"/>
            <w:tcMar>
              <w:top w:w="0" w:type="dxa"/>
              <w:left w:w="10" w:type="dxa"/>
              <w:bottom w:w="0" w:type="dxa"/>
              <w:right w:w="10" w:type="dxa"/>
            </w:tcMar>
          </w:tcPr>
          <w:p w14:paraId="19CAA651" w14:textId="77777777" w:rsidR="00700653" w:rsidRDefault="00700653" w:rsidP="00700653">
            <w:pPr>
              <w:spacing w:after="120"/>
            </w:pPr>
          </w:p>
        </w:tc>
      </w:tr>
    </w:tbl>
    <w:p w14:paraId="0CDEE691" w14:textId="5E3FEE37" w:rsidR="00551DF4" w:rsidRDefault="00551DF4" w:rsidP="00551DF4"/>
    <w:sectPr w:rsidR="00551DF4" w:rsidSect="002C2F0D">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14A19" w14:textId="77777777" w:rsidR="000C77CB" w:rsidRDefault="000C77CB" w:rsidP="00F30C2E">
      <w:r>
        <w:separator/>
      </w:r>
    </w:p>
  </w:endnote>
  <w:endnote w:type="continuationSeparator" w:id="0">
    <w:p w14:paraId="2CAFBE73" w14:textId="77777777" w:rsidR="000C77CB" w:rsidRDefault="000C77CB" w:rsidP="00F3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A8A1D" w14:textId="77777777" w:rsidR="000C77CB" w:rsidRDefault="000C77CB" w:rsidP="00F30C2E">
      <w:r>
        <w:separator/>
      </w:r>
    </w:p>
  </w:footnote>
  <w:footnote w:type="continuationSeparator" w:id="0">
    <w:p w14:paraId="4CA9D088" w14:textId="77777777" w:rsidR="000C77CB" w:rsidRDefault="000C77CB" w:rsidP="00F30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526D6"/>
    <w:multiLevelType w:val="hybridMultilevel"/>
    <w:tmpl w:val="815C2ED4"/>
    <w:lvl w:ilvl="0" w:tplc="87984CE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138C4"/>
    <w:multiLevelType w:val="hybridMultilevel"/>
    <w:tmpl w:val="67303D20"/>
    <w:lvl w:ilvl="0" w:tplc="2F32D6D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095B20"/>
    <w:multiLevelType w:val="hybridMultilevel"/>
    <w:tmpl w:val="6E54FDEE"/>
    <w:lvl w:ilvl="0" w:tplc="3612DC7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FB639F"/>
    <w:multiLevelType w:val="hybridMultilevel"/>
    <w:tmpl w:val="FB9C41A4"/>
    <w:lvl w:ilvl="0" w:tplc="93DA7766">
      <w:start w:val="18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682456"/>
    <w:multiLevelType w:val="hybridMultilevel"/>
    <w:tmpl w:val="727EB1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BB1A74"/>
    <w:multiLevelType w:val="hybridMultilevel"/>
    <w:tmpl w:val="3F7007C6"/>
    <w:lvl w:ilvl="0" w:tplc="243EABA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DF4"/>
    <w:rsid w:val="0000318B"/>
    <w:rsid w:val="00061CF3"/>
    <w:rsid w:val="000C2D31"/>
    <w:rsid w:val="000C77CB"/>
    <w:rsid w:val="000E1BF8"/>
    <w:rsid w:val="00116A97"/>
    <w:rsid w:val="0014468B"/>
    <w:rsid w:val="00232CE2"/>
    <w:rsid w:val="002473EA"/>
    <w:rsid w:val="002A60BD"/>
    <w:rsid w:val="002C2F0D"/>
    <w:rsid w:val="00357047"/>
    <w:rsid w:val="0036513B"/>
    <w:rsid w:val="004C084B"/>
    <w:rsid w:val="004E1A11"/>
    <w:rsid w:val="00511DD2"/>
    <w:rsid w:val="00522A02"/>
    <w:rsid w:val="00551DF4"/>
    <w:rsid w:val="00617696"/>
    <w:rsid w:val="00700653"/>
    <w:rsid w:val="0071794F"/>
    <w:rsid w:val="00724691"/>
    <w:rsid w:val="00787690"/>
    <w:rsid w:val="007938CB"/>
    <w:rsid w:val="00793B8C"/>
    <w:rsid w:val="007A34BA"/>
    <w:rsid w:val="007B530A"/>
    <w:rsid w:val="007E1DBA"/>
    <w:rsid w:val="00827D4A"/>
    <w:rsid w:val="009A4B8F"/>
    <w:rsid w:val="009F3CA4"/>
    <w:rsid w:val="00B50147"/>
    <w:rsid w:val="00BB60AA"/>
    <w:rsid w:val="00BF1879"/>
    <w:rsid w:val="00BF5B18"/>
    <w:rsid w:val="00BF6C73"/>
    <w:rsid w:val="00C60725"/>
    <w:rsid w:val="00CA2413"/>
    <w:rsid w:val="00CD150C"/>
    <w:rsid w:val="00DC3868"/>
    <w:rsid w:val="00DF6992"/>
    <w:rsid w:val="00DF7553"/>
    <w:rsid w:val="00E137FC"/>
    <w:rsid w:val="00E61E4E"/>
    <w:rsid w:val="00E869B8"/>
    <w:rsid w:val="00E92173"/>
    <w:rsid w:val="00F11A37"/>
    <w:rsid w:val="00F30C2E"/>
    <w:rsid w:val="00F830C4"/>
    <w:rsid w:val="00FA14E4"/>
    <w:rsid w:val="00FD10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2800"/>
  <w15:chartTrackingRefBased/>
  <w15:docId w15:val="{949FA7FA-CBA7-4167-B859-57759E35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D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1DF4"/>
    <w:rPr>
      <w:color w:val="0000FF"/>
      <w:u w:val="single"/>
    </w:rPr>
  </w:style>
  <w:style w:type="paragraph" w:styleId="ListParagraph">
    <w:name w:val="List Paragraph"/>
    <w:basedOn w:val="Normal"/>
    <w:uiPriority w:val="34"/>
    <w:qFormat/>
    <w:rsid w:val="00DF6992"/>
    <w:pPr>
      <w:ind w:left="720"/>
      <w:contextualSpacing/>
    </w:pPr>
  </w:style>
  <w:style w:type="character" w:styleId="UnresolvedMention">
    <w:name w:val="Unresolved Mention"/>
    <w:basedOn w:val="DefaultParagraphFont"/>
    <w:uiPriority w:val="99"/>
    <w:semiHidden/>
    <w:unhideWhenUsed/>
    <w:rsid w:val="00DF7553"/>
    <w:rPr>
      <w:color w:val="605E5C"/>
      <w:shd w:val="clear" w:color="auto" w:fill="E1DFDD"/>
    </w:rPr>
  </w:style>
  <w:style w:type="paragraph" w:styleId="Header">
    <w:name w:val="header"/>
    <w:basedOn w:val="Normal"/>
    <w:link w:val="HeaderChar"/>
    <w:uiPriority w:val="99"/>
    <w:unhideWhenUsed/>
    <w:rsid w:val="00F30C2E"/>
    <w:pPr>
      <w:tabs>
        <w:tab w:val="center" w:pos="4513"/>
        <w:tab w:val="right" w:pos="9026"/>
      </w:tabs>
    </w:pPr>
  </w:style>
  <w:style w:type="character" w:customStyle="1" w:styleId="HeaderChar">
    <w:name w:val="Header Char"/>
    <w:basedOn w:val="DefaultParagraphFont"/>
    <w:link w:val="Header"/>
    <w:uiPriority w:val="99"/>
    <w:rsid w:val="00F30C2E"/>
    <w:rPr>
      <w:rFonts w:ascii="Calibri" w:hAnsi="Calibri" w:cs="Calibri"/>
    </w:rPr>
  </w:style>
  <w:style w:type="paragraph" w:styleId="Footer">
    <w:name w:val="footer"/>
    <w:basedOn w:val="Normal"/>
    <w:link w:val="FooterChar"/>
    <w:uiPriority w:val="99"/>
    <w:unhideWhenUsed/>
    <w:rsid w:val="00F30C2E"/>
    <w:pPr>
      <w:tabs>
        <w:tab w:val="center" w:pos="4513"/>
        <w:tab w:val="right" w:pos="9026"/>
      </w:tabs>
    </w:pPr>
  </w:style>
  <w:style w:type="character" w:customStyle="1" w:styleId="FooterChar">
    <w:name w:val="Footer Char"/>
    <w:basedOn w:val="DefaultParagraphFont"/>
    <w:link w:val="Footer"/>
    <w:uiPriority w:val="99"/>
    <w:rsid w:val="00F30C2E"/>
    <w:rPr>
      <w:rFonts w:ascii="Calibri" w:hAnsi="Calibri" w:cs="Calibri"/>
    </w:rPr>
  </w:style>
  <w:style w:type="character" w:styleId="FollowedHyperlink">
    <w:name w:val="FollowedHyperlink"/>
    <w:basedOn w:val="DefaultParagraphFont"/>
    <w:uiPriority w:val="99"/>
    <w:semiHidden/>
    <w:unhideWhenUsed/>
    <w:rsid w:val="00FD1017"/>
    <w:rPr>
      <w:color w:val="954F72" w:themeColor="followedHyperlink"/>
      <w:u w:val="single"/>
    </w:rPr>
  </w:style>
  <w:style w:type="paragraph" w:styleId="BalloonText">
    <w:name w:val="Balloon Text"/>
    <w:basedOn w:val="Normal"/>
    <w:link w:val="BalloonTextChar"/>
    <w:uiPriority w:val="99"/>
    <w:semiHidden/>
    <w:unhideWhenUsed/>
    <w:rsid w:val="00E137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895792">
      <w:bodyDiv w:val="1"/>
      <w:marLeft w:val="0"/>
      <w:marRight w:val="0"/>
      <w:marTop w:val="0"/>
      <w:marBottom w:val="0"/>
      <w:divBdr>
        <w:top w:val="none" w:sz="0" w:space="0" w:color="auto"/>
        <w:left w:val="none" w:sz="0" w:space="0" w:color="auto"/>
        <w:bottom w:val="none" w:sz="0" w:space="0" w:color="auto"/>
        <w:right w:val="none" w:sz="0" w:space="0" w:color="auto"/>
      </w:divBdr>
    </w:div>
    <w:div w:id="907884262">
      <w:bodyDiv w:val="1"/>
      <w:marLeft w:val="0"/>
      <w:marRight w:val="0"/>
      <w:marTop w:val="0"/>
      <w:marBottom w:val="0"/>
      <w:divBdr>
        <w:top w:val="none" w:sz="0" w:space="0" w:color="auto"/>
        <w:left w:val="none" w:sz="0" w:space="0" w:color="auto"/>
        <w:bottom w:val="none" w:sz="0" w:space="0" w:color="auto"/>
        <w:right w:val="none" w:sz="0" w:space="0" w:color="auto"/>
      </w:divBdr>
    </w:div>
    <w:div w:id="1240746655">
      <w:bodyDiv w:val="1"/>
      <w:marLeft w:val="0"/>
      <w:marRight w:val="0"/>
      <w:marTop w:val="0"/>
      <w:marBottom w:val="0"/>
      <w:divBdr>
        <w:top w:val="none" w:sz="0" w:space="0" w:color="auto"/>
        <w:left w:val="none" w:sz="0" w:space="0" w:color="auto"/>
        <w:bottom w:val="none" w:sz="0" w:space="0" w:color="auto"/>
        <w:right w:val="none" w:sz="0" w:space="0" w:color="auto"/>
      </w:divBdr>
    </w:div>
    <w:div w:id="21062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gender-equity-rights/knowledge/9241590408/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Krissy Nicholson</dc:creator>
  <cp:keywords/>
  <dc:description/>
  <cp:lastModifiedBy>Krissy Nicholson</cp:lastModifiedBy>
  <cp:revision>6</cp:revision>
  <dcterms:created xsi:type="dcterms:W3CDTF">2020-03-31T09:19:00Z</dcterms:created>
  <dcterms:modified xsi:type="dcterms:W3CDTF">2020-04-02T09:58:00Z</dcterms:modified>
</cp:coreProperties>
</file>