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10AF" w14:textId="18D72EC1" w:rsidR="00B35F83" w:rsidRPr="00B97EC4" w:rsidRDefault="00371DF2" w:rsidP="005734D6">
      <w:pPr>
        <w:pStyle w:val="Subtitle"/>
        <w:rPr>
          <w:rFonts w:eastAsiaTheme="majorEastAsia" w:cstheme="majorBidi"/>
          <w:b/>
          <w:color w:val="FFFFFF" w:themeColor="background1"/>
          <w:kern w:val="28"/>
          <w:sz w:val="56"/>
          <w:szCs w:val="56"/>
        </w:rPr>
      </w:pPr>
      <w:r>
        <w:rPr>
          <w:rFonts w:eastAsiaTheme="majorEastAsia" w:cstheme="majorBidi"/>
          <w:b/>
          <w:color w:val="FFFFFF" w:themeColor="background1"/>
          <w:kern w:val="28"/>
          <w:sz w:val="56"/>
          <w:szCs w:val="56"/>
        </w:rPr>
        <w:t>Circular</w:t>
      </w:r>
      <w:r w:rsidR="00260184">
        <w:rPr>
          <w:noProof/>
          <w:lang w:eastAsia="en-AU"/>
        </w:rPr>
        <w:drawing>
          <wp:anchor distT="0" distB="0" distL="114300" distR="114300" simplePos="0" relativeHeight="251658240" behindDoc="1" locked="1" layoutInCell="1" allowOverlap="1" wp14:anchorId="12295957" wp14:editId="08461C99">
            <wp:simplePos x="0" y="0"/>
            <wp:positionH relativeFrom="page">
              <wp:align>left</wp:align>
            </wp:positionH>
            <wp:positionV relativeFrom="page">
              <wp:align>top</wp:align>
            </wp:positionV>
            <wp:extent cx="7648575" cy="10676255"/>
            <wp:effectExtent l="0" t="0" r="952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1"/>
                    <a:stretch>
                      <a:fillRect/>
                    </a:stretch>
                  </pic:blipFill>
                  <pic:spPr>
                    <a:xfrm>
                      <a:off x="0" y="0"/>
                      <a:ext cx="7648575" cy="10676255"/>
                    </a:xfrm>
                    <a:prstGeom prst="rect">
                      <a:avLst/>
                    </a:prstGeom>
                  </pic:spPr>
                </pic:pic>
              </a:graphicData>
            </a:graphic>
            <wp14:sizeRelH relativeFrom="page">
              <wp14:pctWidth>0</wp14:pctWidth>
            </wp14:sizeRelH>
            <wp14:sizeRelV relativeFrom="page">
              <wp14:pctHeight>0</wp14:pctHeight>
            </wp14:sizeRelV>
          </wp:anchor>
        </w:drawing>
      </w:r>
      <w:r>
        <w:rPr>
          <w:rFonts w:eastAsiaTheme="majorEastAsia" w:cstheme="majorBidi"/>
          <w:b/>
          <w:color w:val="FFFFFF" w:themeColor="background1"/>
          <w:kern w:val="28"/>
          <w:sz w:val="56"/>
          <w:szCs w:val="56"/>
        </w:rPr>
        <w:t xml:space="preserve"> Economy </w:t>
      </w:r>
      <w:r w:rsidR="00B97EC4">
        <w:rPr>
          <w:rFonts w:eastAsiaTheme="majorEastAsia" w:cstheme="majorBidi"/>
          <w:b/>
          <w:color w:val="FFFFFF" w:themeColor="background1"/>
          <w:kern w:val="28"/>
          <w:sz w:val="56"/>
          <w:szCs w:val="56"/>
        </w:rPr>
        <w:t>Matrix Bac</w:t>
      </w:r>
      <w:r w:rsidR="002C3D63">
        <w:rPr>
          <w:rFonts w:eastAsiaTheme="majorEastAsia" w:cstheme="majorBidi"/>
          <w:b/>
          <w:color w:val="FFFFFF" w:themeColor="background1"/>
          <w:kern w:val="28"/>
          <w:sz w:val="56"/>
          <w:szCs w:val="56"/>
        </w:rPr>
        <w:t xml:space="preserve">kground document </w:t>
      </w:r>
    </w:p>
    <w:p w14:paraId="59A0C93F" w14:textId="1A279E59" w:rsidR="005734D6" w:rsidRPr="004A7C8B" w:rsidRDefault="00062C4F" w:rsidP="005734D6">
      <w:pPr>
        <w:pStyle w:val="Subtitle"/>
        <w:rPr>
          <w:color w:val="FFFFFF" w:themeColor="background1"/>
        </w:rPr>
      </w:pPr>
      <w:r>
        <w:rPr>
          <w:color w:val="FFFFFF" w:themeColor="background1"/>
        </w:rPr>
        <w:t xml:space="preserve">Measuring Circularity in projects </w:t>
      </w:r>
      <w:r>
        <w:rPr>
          <w:color w:val="FFFFFF" w:themeColor="background1"/>
        </w:rPr>
        <w:br/>
      </w:r>
      <w:r w:rsidR="00B97EC4" w:rsidRPr="00062C4F">
        <w:rPr>
          <w:i/>
          <w:iCs/>
          <w:color w:val="FFFFFF" w:themeColor="background1"/>
          <w:sz w:val="24"/>
          <w:szCs w:val="18"/>
        </w:rPr>
        <w:t xml:space="preserve">A resource developed by Buy Circular Council Champions </w:t>
      </w:r>
      <w:r w:rsidR="002C3D63" w:rsidRPr="00062C4F">
        <w:rPr>
          <w:i/>
          <w:iCs/>
          <w:color w:val="FFFFFF" w:themeColor="background1"/>
          <w:sz w:val="24"/>
          <w:szCs w:val="18"/>
        </w:rPr>
        <w:t>in collaboration with</w:t>
      </w:r>
      <w:r w:rsidR="00B97EC4" w:rsidRPr="00062C4F">
        <w:rPr>
          <w:i/>
          <w:iCs/>
          <w:color w:val="FFFFFF" w:themeColor="background1"/>
          <w:sz w:val="24"/>
          <w:szCs w:val="18"/>
        </w:rPr>
        <w:t xml:space="preserve"> Sustainability Victoria</w:t>
      </w:r>
      <w:r w:rsidR="00B97EC4" w:rsidRPr="00062C4F">
        <w:rPr>
          <w:color w:val="FFFFFF" w:themeColor="background1"/>
          <w:sz w:val="24"/>
          <w:szCs w:val="18"/>
        </w:rPr>
        <w:t xml:space="preserve"> </w:t>
      </w:r>
    </w:p>
    <w:p w14:paraId="2AD0F4F4" w14:textId="04152125" w:rsidR="005734D6" w:rsidRDefault="005734D6">
      <w:pPr>
        <w:spacing w:line="259" w:lineRule="auto"/>
      </w:pPr>
    </w:p>
    <w:p w14:paraId="10E02741" w14:textId="77777777" w:rsidR="005734D6" w:rsidRDefault="005734D6" w:rsidP="00DD16A9">
      <w:pPr>
        <w:pStyle w:val="Subtitle"/>
        <w:sectPr w:rsidR="005734D6" w:rsidSect="004A7C8B">
          <w:headerReference w:type="default" r:id="rId12"/>
          <w:footerReference w:type="even" r:id="rId13"/>
          <w:footerReference w:type="default" r:id="rId14"/>
          <w:footerReference w:type="first" r:id="rId15"/>
          <w:pgSz w:w="11906" w:h="16838" w:code="9"/>
          <w:pgMar w:top="10626" w:right="1296" w:bottom="1296" w:left="1584" w:header="0" w:footer="864" w:gutter="0"/>
          <w:cols w:space="720"/>
          <w:titlePg/>
          <w:docGrid w:linePitch="360"/>
        </w:sectPr>
      </w:pPr>
    </w:p>
    <w:p w14:paraId="1C41C01F" w14:textId="72BCF8DD" w:rsidR="000F5783" w:rsidRDefault="000F5783" w:rsidP="000F5783">
      <w:r>
        <w:t xml:space="preserve">Authorised and published by </w:t>
      </w:r>
      <w:r>
        <w:br/>
        <w:t>Sustainability Victoria</w:t>
      </w:r>
      <w:r>
        <w:br/>
        <w:t xml:space="preserve">Level </w:t>
      </w:r>
      <w:r w:rsidR="009F7171">
        <w:t>12</w:t>
      </w:r>
      <w:r>
        <w:t xml:space="preserve">, </w:t>
      </w:r>
      <w:r w:rsidR="009F7171">
        <w:t>321</w:t>
      </w:r>
      <w:r>
        <w:t xml:space="preserve"> </w:t>
      </w:r>
      <w:r w:rsidR="009F7171">
        <w:t>Exhibition</w:t>
      </w:r>
      <w:r>
        <w:t xml:space="preserve"> Street </w:t>
      </w:r>
      <w:r w:rsidR="009F7171">
        <w:br/>
      </w:r>
      <w:r>
        <w:t>Melbourne Victoria 3000 Australia</w:t>
      </w:r>
    </w:p>
    <w:p w14:paraId="21742A1F" w14:textId="5B6ACFFD" w:rsidR="000F5783" w:rsidRDefault="002C3D63" w:rsidP="000F5783">
      <w:r>
        <w:t xml:space="preserve">Matrix Background document </w:t>
      </w:r>
    </w:p>
    <w:p w14:paraId="0080BE55" w14:textId="061D4859" w:rsidR="000F5783" w:rsidRDefault="000F5783" w:rsidP="000F5783">
      <w:r>
        <w:t xml:space="preserve">© Sustainability Victoria </w:t>
      </w:r>
      <w:r>
        <w:fldChar w:fldCharType="begin"/>
      </w:r>
      <w:r>
        <w:instrText xml:space="preserve"> DATE  \@ "YYYY" </w:instrText>
      </w:r>
      <w:r>
        <w:fldChar w:fldCharType="separate"/>
      </w:r>
      <w:r>
        <w:fldChar w:fldCharType="end"/>
      </w:r>
      <w:r>
        <w:t xml:space="preserve"> </w:t>
      </w:r>
      <w:r>
        <w:br/>
      </w:r>
      <w:r w:rsidRPr="002C3D63">
        <w:fldChar w:fldCharType="begin"/>
      </w:r>
      <w:r w:rsidRPr="002C3D63">
        <w:instrText xml:space="preserve"> DOCPROPERTY  CoverDate </w:instrText>
      </w:r>
      <w:r w:rsidRPr="002C3D63">
        <w:fldChar w:fldCharType="separate"/>
      </w:r>
      <w:r w:rsidR="002C3D63" w:rsidRPr="002C3D63">
        <w:t>December</w:t>
      </w:r>
      <w:r w:rsidRPr="002C3D63">
        <w:t xml:space="preserve"> 20</w:t>
      </w:r>
      <w:r w:rsidRPr="002C3D63">
        <w:fldChar w:fldCharType="end"/>
      </w:r>
      <w:r w:rsidR="002C3D63">
        <w:t>25</w:t>
      </w:r>
    </w:p>
    <w:p w14:paraId="661278E6" w14:textId="77777777" w:rsidR="000F5783" w:rsidRDefault="000F5783" w:rsidP="000F5783">
      <w:r w:rsidRPr="00022479">
        <w:rPr>
          <w:b/>
          <w:bCs/>
        </w:rPr>
        <w:t>Accessibility</w:t>
      </w:r>
      <w:r>
        <w:t xml:space="preserve"> </w:t>
      </w:r>
      <w:r>
        <w:br/>
        <w:t xml:space="preserve">This document is available in PDF and Word format on the internet at </w:t>
      </w:r>
      <w:hyperlink r:id="rId16" w:history="1">
        <w:r w:rsidRPr="005D161E">
          <w:rPr>
            <w:rStyle w:val="Hyperlink"/>
          </w:rPr>
          <w:t>sustainability.vic.gov.au</w:t>
        </w:r>
      </w:hyperlink>
    </w:p>
    <w:p w14:paraId="6DB50E55" w14:textId="77777777" w:rsidR="000F5783" w:rsidRDefault="000F5783" w:rsidP="000F5783">
      <w:r>
        <w:t xml:space="preserve">While reasonable efforts have been made to ensure that the contents of this publication </w:t>
      </w:r>
      <w:r>
        <w:br/>
        <w:t xml:space="preserve">are factually correct, Sustainability Victoria gives no warranty regarding its accuracy, completeness, currency or suitability for any particular purpose and to the extent permitted by law, does not accept any liability for loss or damages incurred as a result of reliance placed upon the content of this publication. </w:t>
      </w:r>
      <w:r>
        <w:br/>
        <w:t>This publication is provided on the basis that all persons accessing it undertake responsibility for assessing the relevance and accuracy of its content.</w:t>
      </w:r>
    </w:p>
    <w:p w14:paraId="55F3C512" w14:textId="77777777" w:rsidR="000F5783" w:rsidRDefault="000F5783" w:rsidP="000F5783">
      <w:r>
        <w:t>This report should be attributed to Sustainability Victoria.</w:t>
      </w:r>
    </w:p>
    <w:p w14:paraId="03DC167D" w14:textId="5189BC56" w:rsidR="000F5783" w:rsidRDefault="000F5783" w:rsidP="000F5783">
      <w:r>
        <w:t xml:space="preserve">This report is licensed under a Creative Commons Attribution 4.0 International licence. </w:t>
      </w:r>
      <w:r>
        <w:br/>
        <w:t xml:space="preserve">In essence, you are free to copy, distribute and adapt the work, as long as you attribute the work and abide by the other licence terms. Go to </w:t>
      </w:r>
      <w:hyperlink r:id="rId17" w:history="1">
        <w:r w:rsidRPr="005D161E">
          <w:rPr>
            <w:rStyle w:val="Hyperlink"/>
          </w:rPr>
          <w:t>http://creativecommons.org/licenses/by/4.0/</w:t>
        </w:r>
      </w:hyperlink>
      <w:r>
        <w:t xml:space="preserve"> to view a copy of this licence.</w:t>
      </w:r>
    </w:p>
    <w:p w14:paraId="7D8EA670" w14:textId="77777777" w:rsidR="000F5783" w:rsidRDefault="000F5783" w:rsidP="000F5783">
      <w:pPr>
        <w:pStyle w:val="Title"/>
      </w:pPr>
      <w:r w:rsidRPr="00654AF6">
        <w:rPr>
          <w:noProof/>
          <w:lang w:eastAsia="en-AU"/>
        </w:rPr>
        <w:drawing>
          <wp:inline distT="0" distB="0" distL="0" distR="0" wp14:anchorId="0E692D19" wp14:editId="73F3C3D6">
            <wp:extent cx="1123950" cy="480321"/>
            <wp:effectExtent l="0" t="0" r="0" b="0"/>
            <wp:docPr id="4" name="Picture 3">
              <a:extLst xmlns:a="http://schemas.openxmlformats.org/drawingml/2006/main">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791909F-A1C4-499D-AA0D-332AA2E9DCBC}"/>
                        </a:ext>
                        <a:ext uri="{C183D7F6-B498-43B3-948B-1728B52AA6E4}">
                          <adec:decorative xmlns:adec="http://schemas.microsoft.com/office/drawing/2017/decorative" val="1"/>
                        </a:ext>
                      </a:extLst>
                    </pic:cNvPr>
                    <pic:cNvPicPr>
                      <a:picLocks noChangeAspect="1"/>
                    </pic:cNvPicPr>
                  </pic:nvPicPr>
                  <pic:blipFill>
                    <a:blip r:embed="rId18"/>
                    <a:stretch>
                      <a:fillRect/>
                    </a:stretch>
                  </pic:blipFill>
                  <pic:spPr>
                    <a:xfrm>
                      <a:off x="0" y="0"/>
                      <a:ext cx="1128272" cy="482168"/>
                    </a:xfrm>
                    <a:prstGeom prst="rect">
                      <a:avLst/>
                    </a:prstGeom>
                  </pic:spPr>
                </pic:pic>
              </a:graphicData>
            </a:graphic>
          </wp:inline>
        </w:drawing>
      </w:r>
    </w:p>
    <w:p w14:paraId="5891CEB9" w14:textId="3132E882" w:rsidR="00F30662" w:rsidRDefault="00F30662" w:rsidP="00C507B4"/>
    <w:p w14:paraId="64B80EC8" w14:textId="77777777" w:rsidR="00F30662" w:rsidRDefault="00F30662" w:rsidP="00C507B4"/>
    <w:p w14:paraId="411CFA7E" w14:textId="090E7F2C" w:rsidR="00F30662" w:rsidRDefault="00F30662" w:rsidP="00C507B4"/>
    <w:p w14:paraId="0C317A74" w14:textId="613361D8" w:rsidR="00C507B4" w:rsidRDefault="00C507B4" w:rsidP="00C507B4"/>
    <w:p w14:paraId="0B3D9408" w14:textId="5464B459" w:rsidR="00C507B4" w:rsidRDefault="00C507B4" w:rsidP="00C507B4"/>
    <w:p w14:paraId="36679213" w14:textId="3E5BB147" w:rsidR="00C507B4" w:rsidRDefault="00C507B4" w:rsidP="00C507B4"/>
    <w:p w14:paraId="5EACCA7B" w14:textId="25E0BAC9" w:rsidR="00C507B4" w:rsidRDefault="00C507B4" w:rsidP="00C507B4"/>
    <w:p w14:paraId="396A6C4A" w14:textId="42C9205C" w:rsidR="00C507B4" w:rsidRDefault="00C507B4" w:rsidP="00C507B4"/>
    <w:p w14:paraId="38EB3C38" w14:textId="3371FF2B" w:rsidR="00C507B4" w:rsidRDefault="00C507B4" w:rsidP="00C507B4"/>
    <w:p w14:paraId="3756F1C2" w14:textId="77777777" w:rsidR="00C507B4" w:rsidRDefault="00C507B4" w:rsidP="00C507B4"/>
    <w:p w14:paraId="12B09B47" w14:textId="4FD9C1E3" w:rsidR="00C507B4" w:rsidRDefault="00C507B4" w:rsidP="00AA0AA6">
      <w:pPr>
        <w:spacing w:after="0" w:line="240" w:lineRule="auto"/>
        <w:sectPr w:rsidR="00C507B4" w:rsidSect="005734D6">
          <w:headerReference w:type="default" r:id="rId19"/>
          <w:footerReference w:type="even" r:id="rId20"/>
          <w:footerReference w:type="default" r:id="rId21"/>
          <w:footerReference w:type="first" r:id="rId22"/>
          <w:pgSz w:w="11900" w:h="16820" w:code="9"/>
          <w:pgMar w:top="1176" w:right="1298" w:bottom="1298" w:left="1582" w:header="0" w:footer="862" w:gutter="0"/>
          <w:cols w:space="720"/>
          <w:docGrid w:linePitch="360"/>
        </w:sectPr>
      </w:pPr>
      <w:r>
        <w:rPr>
          <w:rFonts w:eastAsia="Times New Roman" w:cs="Arial"/>
          <w:color w:val="000000"/>
          <w:sz w:val="21"/>
          <w:szCs w:val="21"/>
          <w:shd w:val="clear" w:color="auto" w:fill="FFFFFF"/>
          <w:lang w:eastAsia="en-GB"/>
        </w:rPr>
        <w:t>Sustainability Victoria</w:t>
      </w:r>
      <w:r w:rsidRPr="00C507B4">
        <w:rPr>
          <w:rFonts w:eastAsia="Times New Roman" w:cs="Arial"/>
          <w:color w:val="000000"/>
          <w:sz w:val="21"/>
          <w:szCs w:val="21"/>
          <w:shd w:val="clear" w:color="auto" w:fill="FFFFFF"/>
          <w:lang w:eastAsia="en-GB"/>
        </w:rPr>
        <w:t xml:space="preserve"> acknowledges Aboriginal and Torres Strait Islander people as the Traditional Custodians of the land and acknowledges and pays respect to their Elders, past and present.</w:t>
      </w:r>
    </w:p>
    <w:p w14:paraId="16EF4650" w14:textId="77777777" w:rsidR="00F66660" w:rsidRPr="00F66660" w:rsidRDefault="00F66660" w:rsidP="00F66660"/>
    <w:p w14:paraId="50CA562F" w14:textId="2101FA55" w:rsidR="00BA75FF" w:rsidRDefault="00BA75FF">
      <w:pPr>
        <w:pStyle w:val="TOC1"/>
        <w:tabs>
          <w:tab w:val="right" w:pos="9016"/>
        </w:tabs>
      </w:pPr>
      <w:r>
        <w:t>T</w:t>
      </w:r>
      <w:r w:rsidR="007A25E9">
        <w:t>able of Contents</w:t>
      </w:r>
    </w:p>
    <w:p w14:paraId="11F868EB" w14:textId="0101DCA3" w:rsidR="00B87972" w:rsidRDefault="00BA75FF">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"1-4" \h \z \u </w:instrText>
      </w:r>
      <w:r>
        <w:fldChar w:fldCharType="separate"/>
      </w:r>
      <w:hyperlink w:anchor="_Toc216876584" w:history="1">
        <w:r w:rsidR="00B87972" w:rsidRPr="00505083">
          <w:rPr>
            <w:rStyle w:val="Hyperlink"/>
            <w:noProof/>
          </w:rPr>
          <w:t>What is the purpose of the matrix</w:t>
        </w:r>
        <w:r w:rsidR="00B87972">
          <w:rPr>
            <w:noProof/>
            <w:webHidden/>
          </w:rPr>
          <w:tab/>
        </w:r>
        <w:r w:rsidR="00B87972">
          <w:rPr>
            <w:noProof/>
            <w:webHidden/>
          </w:rPr>
          <w:fldChar w:fldCharType="begin"/>
        </w:r>
        <w:r w:rsidR="00B87972">
          <w:rPr>
            <w:noProof/>
            <w:webHidden/>
          </w:rPr>
          <w:instrText xml:space="preserve"> PAGEREF _Toc216876584 \h </w:instrText>
        </w:r>
        <w:r w:rsidR="00B87972">
          <w:rPr>
            <w:noProof/>
            <w:webHidden/>
          </w:rPr>
        </w:r>
        <w:r w:rsidR="00B87972">
          <w:rPr>
            <w:noProof/>
            <w:webHidden/>
          </w:rPr>
          <w:fldChar w:fldCharType="separate"/>
        </w:r>
        <w:r w:rsidR="00B87972">
          <w:rPr>
            <w:noProof/>
            <w:webHidden/>
          </w:rPr>
          <w:t>0</w:t>
        </w:r>
        <w:r w:rsidR="00B87972">
          <w:rPr>
            <w:noProof/>
            <w:webHidden/>
          </w:rPr>
          <w:fldChar w:fldCharType="end"/>
        </w:r>
      </w:hyperlink>
    </w:p>
    <w:p w14:paraId="01DDAD3B" w14:textId="4662C9B3" w:rsidR="00B87972" w:rsidRDefault="00B87972">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6876585" w:history="1">
        <w:r w:rsidRPr="00505083">
          <w:rPr>
            <w:rStyle w:val="Hyperlink"/>
            <w:noProof/>
          </w:rPr>
          <w:t>Matrix</w:t>
        </w:r>
        <w:r>
          <w:rPr>
            <w:noProof/>
            <w:webHidden/>
          </w:rPr>
          <w:tab/>
        </w:r>
        <w:r>
          <w:rPr>
            <w:noProof/>
            <w:webHidden/>
          </w:rPr>
          <w:fldChar w:fldCharType="begin"/>
        </w:r>
        <w:r>
          <w:rPr>
            <w:noProof/>
            <w:webHidden/>
          </w:rPr>
          <w:instrText xml:space="preserve"> PAGEREF _Toc216876585 \h </w:instrText>
        </w:r>
        <w:r>
          <w:rPr>
            <w:noProof/>
            <w:webHidden/>
          </w:rPr>
        </w:r>
        <w:r>
          <w:rPr>
            <w:noProof/>
            <w:webHidden/>
          </w:rPr>
          <w:fldChar w:fldCharType="separate"/>
        </w:r>
        <w:r>
          <w:rPr>
            <w:noProof/>
            <w:webHidden/>
          </w:rPr>
          <w:t>2</w:t>
        </w:r>
        <w:r>
          <w:rPr>
            <w:noProof/>
            <w:webHidden/>
          </w:rPr>
          <w:fldChar w:fldCharType="end"/>
        </w:r>
      </w:hyperlink>
    </w:p>
    <w:p w14:paraId="304B6A34" w14:textId="06FFED36"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86" w:history="1">
        <w:r w:rsidRPr="00505083">
          <w:rPr>
            <w:rStyle w:val="Hyperlink"/>
            <w:noProof/>
          </w:rPr>
          <w:t>How to read your score</w:t>
        </w:r>
        <w:r>
          <w:rPr>
            <w:noProof/>
            <w:webHidden/>
          </w:rPr>
          <w:tab/>
        </w:r>
        <w:r>
          <w:rPr>
            <w:noProof/>
            <w:webHidden/>
          </w:rPr>
          <w:fldChar w:fldCharType="begin"/>
        </w:r>
        <w:r>
          <w:rPr>
            <w:noProof/>
            <w:webHidden/>
          </w:rPr>
          <w:instrText xml:space="preserve"> PAGEREF _Toc216876586 \h </w:instrText>
        </w:r>
        <w:r>
          <w:rPr>
            <w:noProof/>
            <w:webHidden/>
          </w:rPr>
        </w:r>
        <w:r>
          <w:rPr>
            <w:noProof/>
            <w:webHidden/>
          </w:rPr>
          <w:fldChar w:fldCharType="separate"/>
        </w:r>
        <w:r>
          <w:rPr>
            <w:noProof/>
            <w:webHidden/>
          </w:rPr>
          <w:t>3</w:t>
        </w:r>
        <w:r>
          <w:rPr>
            <w:noProof/>
            <w:webHidden/>
          </w:rPr>
          <w:fldChar w:fldCharType="end"/>
        </w:r>
      </w:hyperlink>
    </w:p>
    <w:p w14:paraId="58362874" w14:textId="4979B79C"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87" w:history="1">
        <w:r w:rsidRPr="00505083">
          <w:rPr>
            <w:rStyle w:val="Hyperlink"/>
            <w:noProof/>
          </w:rPr>
          <w:t>Who should use this matrix</w:t>
        </w:r>
        <w:r>
          <w:rPr>
            <w:noProof/>
            <w:webHidden/>
          </w:rPr>
          <w:tab/>
        </w:r>
        <w:r>
          <w:rPr>
            <w:noProof/>
            <w:webHidden/>
          </w:rPr>
          <w:fldChar w:fldCharType="begin"/>
        </w:r>
        <w:r>
          <w:rPr>
            <w:noProof/>
            <w:webHidden/>
          </w:rPr>
          <w:instrText xml:space="preserve"> PAGEREF _Toc216876587 \h </w:instrText>
        </w:r>
        <w:r>
          <w:rPr>
            <w:noProof/>
            <w:webHidden/>
          </w:rPr>
        </w:r>
        <w:r>
          <w:rPr>
            <w:noProof/>
            <w:webHidden/>
          </w:rPr>
          <w:fldChar w:fldCharType="separate"/>
        </w:r>
        <w:r>
          <w:rPr>
            <w:noProof/>
            <w:webHidden/>
          </w:rPr>
          <w:t>3</w:t>
        </w:r>
        <w:r>
          <w:rPr>
            <w:noProof/>
            <w:webHidden/>
          </w:rPr>
          <w:fldChar w:fldCharType="end"/>
        </w:r>
      </w:hyperlink>
    </w:p>
    <w:p w14:paraId="30BAD9A3" w14:textId="6D325887"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88" w:history="1">
        <w:r w:rsidRPr="00505083">
          <w:rPr>
            <w:rStyle w:val="Hyperlink"/>
            <w:noProof/>
          </w:rPr>
          <w:t>How to conduct an assessment</w:t>
        </w:r>
        <w:r>
          <w:rPr>
            <w:noProof/>
            <w:webHidden/>
          </w:rPr>
          <w:tab/>
        </w:r>
        <w:r>
          <w:rPr>
            <w:noProof/>
            <w:webHidden/>
          </w:rPr>
          <w:fldChar w:fldCharType="begin"/>
        </w:r>
        <w:r>
          <w:rPr>
            <w:noProof/>
            <w:webHidden/>
          </w:rPr>
          <w:instrText xml:space="preserve"> PAGEREF _Toc216876588 \h </w:instrText>
        </w:r>
        <w:r>
          <w:rPr>
            <w:noProof/>
            <w:webHidden/>
          </w:rPr>
        </w:r>
        <w:r>
          <w:rPr>
            <w:noProof/>
            <w:webHidden/>
          </w:rPr>
          <w:fldChar w:fldCharType="separate"/>
        </w:r>
        <w:r>
          <w:rPr>
            <w:noProof/>
            <w:webHidden/>
          </w:rPr>
          <w:t>3</w:t>
        </w:r>
        <w:r>
          <w:rPr>
            <w:noProof/>
            <w:webHidden/>
          </w:rPr>
          <w:fldChar w:fldCharType="end"/>
        </w:r>
      </w:hyperlink>
    </w:p>
    <w:p w14:paraId="0B3C007C" w14:textId="71BAC877"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89" w:history="1">
        <w:r w:rsidRPr="00505083">
          <w:rPr>
            <w:rStyle w:val="Hyperlink"/>
            <w:noProof/>
          </w:rPr>
          <w:t>What is in and out of scope</w:t>
        </w:r>
        <w:r>
          <w:rPr>
            <w:noProof/>
            <w:webHidden/>
          </w:rPr>
          <w:tab/>
        </w:r>
        <w:r>
          <w:rPr>
            <w:noProof/>
            <w:webHidden/>
          </w:rPr>
          <w:fldChar w:fldCharType="begin"/>
        </w:r>
        <w:r>
          <w:rPr>
            <w:noProof/>
            <w:webHidden/>
          </w:rPr>
          <w:instrText xml:space="preserve"> PAGEREF _Toc216876589 \h </w:instrText>
        </w:r>
        <w:r>
          <w:rPr>
            <w:noProof/>
            <w:webHidden/>
          </w:rPr>
        </w:r>
        <w:r>
          <w:rPr>
            <w:noProof/>
            <w:webHidden/>
          </w:rPr>
          <w:fldChar w:fldCharType="separate"/>
        </w:r>
        <w:r>
          <w:rPr>
            <w:noProof/>
            <w:webHidden/>
          </w:rPr>
          <w:t>4</w:t>
        </w:r>
        <w:r>
          <w:rPr>
            <w:noProof/>
            <w:webHidden/>
          </w:rPr>
          <w:fldChar w:fldCharType="end"/>
        </w:r>
      </w:hyperlink>
    </w:p>
    <w:p w14:paraId="17EB465A" w14:textId="18197D83" w:rsidR="00B87972" w:rsidRDefault="00B8797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76590" w:history="1">
        <w:r w:rsidRPr="00505083">
          <w:rPr>
            <w:rStyle w:val="Hyperlink"/>
            <w:noProof/>
          </w:rPr>
          <w:t>In Scope</w:t>
        </w:r>
        <w:r>
          <w:rPr>
            <w:noProof/>
            <w:webHidden/>
          </w:rPr>
          <w:tab/>
        </w:r>
        <w:r>
          <w:rPr>
            <w:noProof/>
            <w:webHidden/>
          </w:rPr>
          <w:fldChar w:fldCharType="begin"/>
        </w:r>
        <w:r>
          <w:rPr>
            <w:noProof/>
            <w:webHidden/>
          </w:rPr>
          <w:instrText xml:space="preserve"> PAGEREF _Toc216876590 \h </w:instrText>
        </w:r>
        <w:r>
          <w:rPr>
            <w:noProof/>
            <w:webHidden/>
          </w:rPr>
        </w:r>
        <w:r>
          <w:rPr>
            <w:noProof/>
            <w:webHidden/>
          </w:rPr>
          <w:fldChar w:fldCharType="separate"/>
        </w:r>
        <w:r>
          <w:rPr>
            <w:noProof/>
            <w:webHidden/>
          </w:rPr>
          <w:t>4</w:t>
        </w:r>
        <w:r>
          <w:rPr>
            <w:noProof/>
            <w:webHidden/>
          </w:rPr>
          <w:fldChar w:fldCharType="end"/>
        </w:r>
      </w:hyperlink>
    </w:p>
    <w:p w14:paraId="37F6B21A" w14:textId="24F0B91F" w:rsidR="00B87972" w:rsidRDefault="00B8797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76591" w:history="1">
        <w:r w:rsidRPr="00505083">
          <w:rPr>
            <w:rStyle w:val="Hyperlink"/>
            <w:noProof/>
          </w:rPr>
          <w:t>Out of Scope</w:t>
        </w:r>
        <w:r>
          <w:rPr>
            <w:noProof/>
            <w:webHidden/>
          </w:rPr>
          <w:tab/>
        </w:r>
        <w:r>
          <w:rPr>
            <w:noProof/>
            <w:webHidden/>
          </w:rPr>
          <w:fldChar w:fldCharType="begin"/>
        </w:r>
        <w:r>
          <w:rPr>
            <w:noProof/>
            <w:webHidden/>
          </w:rPr>
          <w:instrText xml:space="preserve"> PAGEREF _Toc216876591 \h </w:instrText>
        </w:r>
        <w:r>
          <w:rPr>
            <w:noProof/>
            <w:webHidden/>
          </w:rPr>
        </w:r>
        <w:r>
          <w:rPr>
            <w:noProof/>
            <w:webHidden/>
          </w:rPr>
          <w:fldChar w:fldCharType="separate"/>
        </w:r>
        <w:r>
          <w:rPr>
            <w:noProof/>
            <w:webHidden/>
          </w:rPr>
          <w:t>4</w:t>
        </w:r>
        <w:r>
          <w:rPr>
            <w:noProof/>
            <w:webHidden/>
          </w:rPr>
          <w:fldChar w:fldCharType="end"/>
        </w:r>
      </w:hyperlink>
    </w:p>
    <w:p w14:paraId="0E1B6D42" w14:textId="2087E479"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92" w:history="1">
        <w:r w:rsidRPr="00505083">
          <w:rPr>
            <w:rStyle w:val="Hyperlink"/>
            <w:noProof/>
          </w:rPr>
          <w:t>How do you measure progress in the vertical axis</w:t>
        </w:r>
        <w:r>
          <w:rPr>
            <w:noProof/>
            <w:webHidden/>
          </w:rPr>
          <w:tab/>
        </w:r>
        <w:r>
          <w:rPr>
            <w:noProof/>
            <w:webHidden/>
          </w:rPr>
          <w:fldChar w:fldCharType="begin"/>
        </w:r>
        <w:r>
          <w:rPr>
            <w:noProof/>
            <w:webHidden/>
          </w:rPr>
          <w:instrText xml:space="preserve"> PAGEREF _Toc216876592 \h </w:instrText>
        </w:r>
        <w:r>
          <w:rPr>
            <w:noProof/>
            <w:webHidden/>
          </w:rPr>
        </w:r>
        <w:r>
          <w:rPr>
            <w:noProof/>
            <w:webHidden/>
          </w:rPr>
          <w:fldChar w:fldCharType="separate"/>
        </w:r>
        <w:r>
          <w:rPr>
            <w:noProof/>
            <w:webHidden/>
          </w:rPr>
          <w:t>4</w:t>
        </w:r>
        <w:r>
          <w:rPr>
            <w:noProof/>
            <w:webHidden/>
          </w:rPr>
          <w:fldChar w:fldCharType="end"/>
        </w:r>
      </w:hyperlink>
    </w:p>
    <w:p w14:paraId="4D3B4056" w14:textId="06E00BDD"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93" w:history="1">
        <w:r w:rsidRPr="00505083">
          <w:rPr>
            <w:rStyle w:val="Hyperlink"/>
            <w:noProof/>
          </w:rPr>
          <w:t>How do you measure your progress on the horizontal axis?</w:t>
        </w:r>
        <w:r>
          <w:rPr>
            <w:noProof/>
            <w:webHidden/>
          </w:rPr>
          <w:tab/>
        </w:r>
        <w:r>
          <w:rPr>
            <w:noProof/>
            <w:webHidden/>
          </w:rPr>
          <w:fldChar w:fldCharType="begin"/>
        </w:r>
        <w:r>
          <w:rPr>
            <w:noProof/>
            <w:webHidden/>
          </w:rPr>
          <w:instrText xml:space="preserve"> PAGEREF _Toc216876593 \h </w:instrText>
        </w:r>
        <w:r>
          <w:rPr>
            <w:noProof/>
            <w:webHidden/>
          </w:rPr>
        </w:r>
        <w:r>
          <w:rPr>
            <w:noProof/>
            <w:webHidden/>
          </w:rPr>
          <w:fldChar w:fldCharType="separate"/>
        </w:r>
        <w:r>
          <w:rPr>
            <w:noProof/>
            <w:webHidden/>
          </w:rPr>
          <w:t>5</w:t>
        </w:r>
        <w:r>
          <w:rPr>
            <w:noProof/>
            <w:webHidden/>
          </w:rPr>
          <w:fldChar w:fldCharType="end"/>
        </w:r>
      </w:hyperlink>
    </w:p>
    <w:p w14:paraId="75200864" w14:textId="4DB99988" w:rsidR="00B87972" w:rsidRDefault="00B87972">
      <w:pPr>
        <w:pStyle w:val="TOC3"/>
        <w:tabs>
          <w:tab w:val="right" w:pos="9016"/>
        </w:tabs>
        <w:rPr>
          <w:rFonts w:asciiTheme="minorHAnsi" w:eastAsiaTheme="minorEastAsia" w:hAnsiTheme="minorHAnsi"/>
          <w:noProof/>
          <w:color w:val="auto"/>
          <w:kern w:val="2"/>
          <w:sz w:val="24"/>
          <w:szCs w:val="24"/>
          <w:lang w:eastAsia="en-AU"/>
          <w14:ligatures w14:val="standardContextual"/>
        </w:rPr>
      </w:pPr>
      <w:hyperlink w:anchor="_Toc216876594" w:history="1">
        <w:r w:rsidRPr="00505083">
          <w:rPr>
            <w:rStyle w:val="Hyperlink"/>
            <w:noProof/>
          </w:rPr>
          <w:t>Considering Multiple Materials</w:t>
        </w:r>
        <w:r>
          <w:rPr>
            <w:noProof/>
            <w:webHidden/>
          </w:rPr>
          <w:tab/>
        </w:r>
        <w:r>
          <w:rPr>
            <w:noProof/>
            <w:webHidden/>
          </w:rPr>
          <w:fldChar w:fldCharType="begin"/>
        </w:r>
        <w:r>
          <w:rPr>
            <w:noProof/>
            <w:webHidden/>
          </w:rPr>
          <w:instrText xml:space="preserve"> PAGEREF _Toc216876594 \h </w:instrText>
        </w:r>
        <w:r>
          <w:rPr>
            <w:noProof/>
            <w:webHidden/>
          </w:rPr>
        </w:r>
        <w:r>
          <w:rPr>
            <w:noProof/>
            <w:webHidden/>
          </w:rPr>
          <w:fldChar w:fldCharType="separate"/>
        </w:r>
        <w:r>
          <w:rPr>
            <w:noProof/>
            <w:webHidden/>
          </w:rPr>
          <w:t>6</w:t>
        </w:r>
        <w:r>
          <w:rPr>
            <w:noProof/>
            <w:webHidden/>
          </w:rPr>
          <w:fldChar w:fldCharType="end"/>
        </w:r>
      </w:hyperlink>
    </w:p>
    <w:p w14:paraId="68EEECC5" w14:textId="1C058B1E" w:rsidR="00B87972" w:rsidRDefault="00B87972">
      <w:pPr>
        <w:pStyle w:val="TOC2"/>
        <w:tabs>
          <w:tab w:val="right" w:pos="9016"/>
        </w:tabs>
        <w:rPr>
          <w:rFonts w:asciiTheme="minorHAnsi" w:eastAsiaTheme="minorEastAsia" w:hAnsiTheme="minorHAnsi"/>
          <w:noProof/>
          <w:color w:val="auto"/>
          <w:kern w:val="2"/>
          <w:szCs w:val="24"/>
          <w:lang w:eastAsia="en-AU"/>
          <w14:ligatures w14:val="standardContextual"/>
        </w:rPr>
      </w:pPr>
      <w:hyperlink w:anchor="_Toc216876595" w:history="1">
        <w:r w:rsidRPr="00505083">
          <w:rPr>
            <w:rStyle w:val="Hyperlink"/>
            <w:noProof/>
          </w:rPr>
          <w:t>How do you give yourself a point for designing material / waste out</w:t>
        </w:r>
        <w:r>
          <w:rPr>
            <w:noProof/>
            <w:webHidden/>
          </w:rPr>
          <w:tab/>
        </w:r>
        <w:r>
          <w:rPr>
            <w:noProof/>
            <w:webHidden/>
          </w:rPr>
          <w:fldChar w:fldCharType="begin"/>
        </w:r>
        <w:r>
          <w:rPr>
            <w:noProof/>
            <w:webHidden/>
          </w:rPr>
          <w:instrText xml:space="preserve"> PAGEREF _Toc216876595 \h </w:instrText>
        </w:r>
        <w:r>
          <w:rPr>
            <w:noProof/>
            <w:webHidden/>
          </w:rPr>
        </w:r>
        <w:r>
          <w:rPr>
            <w:noProof/>
            <w:webHidden/>
          </w:rPr>
          <w:fldChar w:fldCharType="separate"/>
        </w:r>
        <w:r>
          <w:rPr>
            <w:noProof/>
            <w:webHidden/>
          </w:rPr>
          <w:t>6</w:t>
        </w:r>
        <w:r>
          <w:rPr>
            <w:noProof/>
            <w:webHidden/>
          </w:rPr>
          <w:fldChar w:fldCharType="end"/>
        </w:r>
      </w:hyperlink>
    </w:p>
    <w:p w14:paraId="30FE38EE" w14:textId="4C0A12AD" w:rsidR="00B87972" w:rsidRDefault="00B87972">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6876596" w:history="1">
        <w:r w:rsidRPr="00505083">
          <w:rPr>
            <w:rStyle w:val="Hyperlink"/>
            <w:noProof/>
          </w:rPr>
          <w:t>Case Studies</w:t>
        </w:r>
        <w:r>
          <w:rPr>
            <w:noProof/>
            <w:webHidden/>
          </w:rPr>
          <w:tab/>
        </w:r>
        <w:r>
          <w:rPr>
            <w:noProof/>
            <w:webHidden/>
          </w:rPr>
          <w:fldChar w:fldCharType="begin"/>
        </w:r>
        <w:r>
          <w:rPr>
            <w:noProof/>
            <w:webHidden/>
          </w:rPr>
          <w:instrText xml:space="preserve"> PAGEREF _Toc216876596 \h </w:instrText>
        </w:r>
        <w:r>
          <w:rPr>
            <w:noProof/>
            <w:webHidden/>
          </w:rPr>
        </w:r>
        <w:r>
          <w:rPr>
            <w:noProof/>
            <w:webHidden/>
          </w:rPr>
          <w:fldChar w:fldCharType="separate"/>
        </w:r>
        <w:r>
          <w:rPr>
            <w:noProof/>
            <w:webHidden/>
          </w:rPr>
          <w:t>9</w:t>
        </w:r>
        <w:r>
          <w:rPr>
            <w:noProof/>
            <w:webHidden/>
          </w:rPr>
          <w:fldChar w:fldCharType="end"/>
        </w:r>
      </w:hyperlink>
    </w:p>
    <w:p w14:paraId="23DAC380" w14:textId="48B9B9CB" w:rsidR="00B87972" w:rsidRDefault="00B87972">
      <w:pPr>
        <w:pStyle w:val="TOC1"/>
        <w:tabs>
          <w:tab w:val="right" w:pos="9016"/>
        </w:tabs>
        <w:rPr>
          <w:rFonts w:asciiTheme="minorHAnsi" w:eastAsiaTheme="minorEastAsia" w:hAnsiTheme="minorHAnsi"/>
          <w:b w:val="0"/>
          <w:noProof/>
          <w:color w:val="auto"/>
          <w:kern w:val="2"/>
          <w:sz w:val="24"/>
          <w:szCs w:val="24"/>
          <w:lang w:eastAsia="en-AU"/>
          <w14:ligatures w14:val="standardContextual"/>
        </w:rPr>
      </w:pPr>
      <w:hyperlink w:anchor="_Toc216876597" w:history="1">
        <w:r w:rsidRPr="00505083">
          <w:rPr>
            <w:rStyle w:val="Hyperlink"/>
            <w:noProof/>
          </w:rPr>
          <w:t>Appendix 1: Circularity Deck Principles</w:t>
        </w:r>
        <w:r>
          <w:rPr>
            <w:noProof/>
            <w:webHidden/>
          </w:rPr>
          <w:tab/>
        </w:r>
        <w:r>
          <w:rPr>
            <w:noProof/>
            <w:webHidden/>
          </w:rPr>
          <w:fldChar w:fldCharType="begin"/>
        </w:r>
        <w:r>
          <w:rPr>
            <w:noProof/>
            <w:webHidden/>
          </w:rPr>
          <w:instrText xml:space="preserve"> PAGEREF _Toc216876597 \h </w:instrText>
        </w:r>
        <w:r>
          <w:rPr>
            <w:noProof/>
            <w:webHidden/>
          </w:rPr>
        </w:r>
        <w:r>
          <w:rPr>
            <w:noProof/>
            <w:webHidden/>
          </w:rPr>
          <w:fldChar w:fldCharType="separate"/>
        </w:r>
        <w:r>
          <w:rPr>
            <w:noProof/>
            <w:webHidden/>
          </w:rPr>
          <w:t>11</w:t>
        </w:r>
        <w:r>
          <w:rPr>
            <w:noProof/>
            <w:webHidden/>
          </w:rPr>
          <w:fldChar w:fldCharType="end"/>
        </w:r>
      </w:hyperlink>
    </w:p>
    <w:p w14:paraId="100E5E21" w14:textId="1A8AD274" w:rsidR="002963E1" w:rsidRDefault="00BA75FF" w:rsidP="002963E1">
      <w:pPr>
        <w:pStyle w:val="Heading1"/>
      </w:pPr>
      <w:r>
        <w:fldChar w:fldCharType="end"/>
      </w:r>
      <w:bookmarkStart w:id="0" w:name="_Toc216876584"/>
      <w:r w:rsidR="002963E1">
        <w:t>What is the purpose of the matrix</w:t>
      </w:r>
      <w:bookmarkEnd w:id="0"/>
    </w:p>
    <w:p w14:paraId="123DC985" w14:textId="77777777" w:rsidR="002963E1" w:rsidRDefault="002963E1" w:rsidP="002963E1">
      <w:r>
        <w:t>This matrix has been prepared to help project managers who are not Circular Economy experts to assess the circularity of a project, purchase or programme of works. It provides a Circularity measurement that can be used to compare projects to each other or for options analysis.</w:t>
      </w:r>
    </w:p>
    <w:p w14:paraId="6768A943" w14:textId="77777777" w:rsidR="002963E1" w:rsidRDefault="002963E1" w:rsidP="002963E1">
      <w:r>
        <w:t>The matrix does not attempt to measure the sustainability, carbon footprint or environmental impact of a project and should be used as part of a suite of tools, depending on the project needs.</w:t>
      </w:r>
    </w:p>
    <w:p w14:paraId="35326727" w14:textId="77777777" w:rsidR="002963E1" w:rsidRDefault="002963E1" w:rsidP="002963E1">
      <w:r>
        <w:t>The matrix provides a three dimensional measure of recycled content, end-of-life recyclability and material and/or waste minimisation.</w:t>
      </w:r>
    </w:p>
    <w:p w14:paraId="69AC07A6" w14:textId="77777777" w:rsidR="002963E1" w:rsidRDefault="002963E1" w:rsidP="002963E1">
      <w:r>
        <w:t>A Circular Economy approach prioritises the minimisation of inputs (Use Less), the use of recycling (Use Again) and the efficient maintenance of assets (Use Longer) to create an economy that minimises the need for virgin materials and promotes best practice for end-of-life disposal.</w:t>
      </w:r>
    </w:p>
    <w:p w14:paraId="07AE6C43" w14:textId="77777777" w:rsidR="002963E1" w:rsidRDefault="002963E1" w:rsidP="002963E1">
      <w:r>
        <w:t>A truly Circular Economy is regenerative for nature as well, providing ways to lessen our impact and repair ecosystems to preserve the earth’s capacity to support human life.</w:t>
      </w:r>
    </w:p>
    <w:p w14:paraId="497BEA9B" w14:textId="0B435C99" w:rsidR="002963E1" w:rsidRDefault="002963E1" w:rsidP="002963E1">
      <w:r>
        <w:t>This matrix is designed to be used in the planning and implementation phases of a project including options analysis, design, specification, and construction. However</w:t>
      </w:r>
      <w:r w:rsidR="00A96BE2">
        <w:t>,</w:t>
      </w:r>
      <w:r>
        <w:t xml:space="preserve"> it can also be used to review existing or past projects to learn lessons and enhance future projects.</w:t>
      </w:r>
    </w:p>
    <w:p w14:paraId="31E412DA" w14:textId="77777777" w:rsidR="002963E1" w:rsidRDefault="002963E1" w:rsidP="002963E1">
      <w:r w:rsidRPr="00104E89">
        <w:t>Once a project or programme has been scoped with a Circular Economy Lens, this matrix helps those who are implementing the project or programme to continue to apply Circular Economy principles throughout the design and delivery phase</w:t>
      </w:r>
      <w:r>
        <w:t>, as decisions are made.</w:t>
      </w:r>
    </w:p>
    <w:p w14:paraId="15B4072B" w14:textId="77777777" w:rsidR="002963E1" w:rsidRPr="001052C0" w:rsidRDefault="002963E1" w:rsidP="00BB0314">
      <w:pPr>
        <w:pStyle w:val="Heading6"/>
      </w:pPr>
      <w:r w:rsidRPr="001052C0">
        <w:t>Figure 1: What is a Circular Economy</w:t>
      </w:r>
    </w:p>
    <w:p w14:paraId="3683CB86" w14:textId="77777777" w:rsidR="002963E1" w:rsidRDefault="002963E1" w:rsidP="002963E1">
      <w:r>
        <w:rPr>
          <w:noProof/>
        </w:rPr>
        <w:drawing>
          <wp:inline distT="0" distB="0" distL="0" distR="0" wp14:anchorId="5ADFDAF7" wp14:editId="21FAB940">
            <wp:extent cx="5505450" cy="2571750"/>
            <wp:effectExtent l="0" t="0" r="0" b="0"/>
            <wp:docPr id="515144089" name="Picture 1" descr="A diagram of a pyramid&#10;&#10;AI-generated content may be incorrect.">
              <a:extLst xmlns:a="http://schemas.openxmlformats.org/drawingml/2006/main">
                <a:ext uri="{FF2B5EF4-FFF2-40B4-BE49-F238E27FC236}">
                  <a16:creationId xmlns:a16="http://schemas.microsoft.com/office/drawing/2014/main" id="{D37CFE45-F23C-4CB2-BA0E-4178EE77C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44089" name="Picture 1" descr="A diagram of a pyramid&#10;&#10;AI-generated content may be incorrect."/>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505450" cy="2571750"/>
                    </a:xfrm>
                    <a:prstGeom prst="rect">
                      <a:avLst/>
                    </a:prstGeom>
                    <a:noFill/>
                    <a:ln>
                      <a:noFill/>
                    </a:ln>
                    <a:extLst>
                      <a:ext uri="{53640926-AAD7-44D8-BBD7-CCE9431645EC}">
                        <a14:shadowObscured xmlns:a14="http://schemas.microsoft.com/office/drawing/2010/main"/>
                      </a:ext>
                    </a:extLst>
                  </pic:spPr>
                </pic:pic>
              </a:graphicData>
            </a:graphic>
          </wp:inline>
        </w:drawing>
      </w:r>
    </w:p>
    <w:p w14:paraId="7923916B" w14:textId="77777777" w:rsidR="002963E1" w:rsidRPr="00B43C95" w:rsidRDefault="002963E1" w:rsidP="002963E1">
      <w:pPr>
        <w:rPr>
          <w:b/>
          <w:bCs/>
          <w:sz w:val="16"/>
          <w:szCs w:val="16"/>
        </w:rPr>
      </w:pPr>
      <w:r w:rsidRPr="00B43C95">
        <w:rPr>
          <w:b/>
          <w:bCs/>
          <w:sz w:val="16"/>
          <w:szCs w:val="16"/>
        </w:rPr>
        <w:t xml:space="preserve">Credit: </w:t>
      </w:r>
      <w:r>
        <w:rPr>
          <w:b/>
          <w:bCs/>
          <w:sz w:val="16"/>
          <w:szCs w:val="16"/>
        </w:rPr>
        <w:t xml:space="preserve">Value Hill (Achterberg, </w:t>
      </w:r>
      <w:proofErr w:type="spellStart"/>
      <w:r>
        <w:rPr>
          <w:b/>
          <w:bCs/>
          <w:sz w:val="16"/>
          <w:szCs w:val="16"/>
        </w:rPr>
        <w:t>Hinfelaar</w:t>
      </w:r>
      <w:proofErr w:type="spellEnd"/>
      <w:r>
        <w:rPr>
          <w:b/>
          <w:bCs/>
          <w:sz w:val="16"/>
          <w:szCs w:val="16"/>
        </w:rPr>
        <w:t xml:space="preserve"> and </w:t>
      </w:r>
      <w:proofErr w:type="spellStart"/>
      <w:r>
        <w:rPr>
          <w:b/>
          <w:bCs/>
          <w:sz w:val="16"/>
          <w:szCs w:val="16"/>
        </w:rPr>
        <w:t>Bocken</w:t>
      </w:r>
      <w:proofErr w:type="spellEnd"/>
      <w:r>
        <w:rPr>
          <w:b/>
          <w:bCs/>
          <w:sz w:val="16"/>
          <w:szCs w:val="16"/>
        </w:rPr>
        <w:t xml:space="preserve"> 2016) as adapted by Sustainability Victoria</w:t>
      </w:r>
    </w:p>
    <w:p w14:paraId="648EA97C" w14:textId="77777777" w:rsidR="002963E1" w:rsidRDefault="002963E1" w:rsidP="002963E1">
      <w:pPr>
        <w:rPr>
          <w:b/>
          <w:bCs/>
          <w:sz w:val="18"/>
          <w:szCs w:val="18"/>
        </w:rPr>
      </w:pPr>
      <w:r>
        <w:t>A Circular Economy approach can be thought of on a sliding scale, with approaches ranging from extracting virgin materials and sending material to landfill (representing a traditional, linear economy), through to the more circular approaches that Use Less or Use Longer, including Refuse, Rethink, Reduce, Reuse, Repair and more. A representation of this sliding scale of Circularity is shown below.</w:t>
      </w:r>
    </w:p>
    <w:p w14:paraId="5008DE60" w14:textId="77777777" w:rsidR="002963E1" w:rsidRPr="002A340F" w:rsidRDefault="002963E1" w:rsidP="005D5F90">
      <w:pPr>
        <w:pStyle w:val="Heading6"/>
      </w:pPr>
      <w:r w:rsidRPr="002A340F">
        <w:t>Figure 2: Scale of Circular Economy approaches</w:t>
      </w:r>
    </w:p>
    <w:p w14:paraId="7F47EB07" w14:textId="77777777" w:rsidR="002963E1" w:rsidRDefault="002963E1" w:rsidP="002963E1">
      <w:pPr>
        <w:rPr>
          <w:rFonts w:asciiTheme="majorHAnsi" w:eastAsiaTheme="majorEastAsia" w:hAnsiTheme="majorHAnsi" w:cstheme="majorBidi"/>
          <w:color w:val="61932E" w:themeColor="accent1" w:themeShade="BF"/>
          <w:sz w:val="32"/>
          <w:szCs w:val="32"/>
        </w:rPr>
      </w:pPr>
      <w:r>
        <w:rPr>
          <w:noProof/>
        </w:rPr>
        <w:drawing>
          <wp:inline distT="0" distB="0" distL="0" distR="0" wp14:anchorId="29A2049B" wp14:editId="5D5ECACF">
            <wp:extent cx="5724525" cy="3020973"/>
            <wp:effectExtent l="0" t="0" r="0" b="8255"/>
            <wp:docPr id="652008777" name="Picture 2" descr="A chart of product quality&#10;&#10;AI-generated content may be incorrect.">
              <a:extLst xmlns:a="http://schemas.openxmlformats.org/drawingml/2006/main">
                <a:ext uri="{FF2B5EF4-FFF2-40B4-BE49-F238E27FC236}">
                  <a16:creationId xmlns:a16="http://schemas.microsoft.com/office/drawing/2014/main" id="{F2063E8B-7FF8-4556-BE8F-E6F6E1EA4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08777" name="Picture 2" descr="A chart of product quality&#10;&#10;AI-generated content may be incorrect."/>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748331" cy="3033536"/>
                    </a:xfrm>
                    <a:prstGeom prst="rect">
                      <a:avLst/>
                    </a:prstGeom>
                    <a:noFill/>
                    <a:ln>
                      <a:noFill/>
                    </a:ln>
                    <a:extLst>
                      <a:ext uri="{53640926-AAD7-44D8-BBD7-CCE9431645EC}">
                        <a14:shadowObscured xmlns:a14="http://schemas.microsoft.com/office/drawing/2010/main"/>
                      </a:ext>
                    </a:extLst>
                  </pic:spPr>
                </pic:pic>
              </a:graphicData>
            </a:graphic>
          </wp:inline>
        </w:drawing>
      </w:r>
    </w:p>
    <w:p w14:paraId="61B7937F" w14:textId="6768A063" w:rsidR="002963E1" w:rsidRPr="00260184" w:rsidRDefault="002963E1" w:rsidP="002963E1">
      <w:pPr>
        <w:rPr>
          <w:b/>
          <w:bCs/>
          <w:sz w:val="16"/>
          <w:szCs w:val="16"/>
        </w:rPr>
      </w:pPr>
      <w:r w:rsidRPr="00B43C95">
        <w:rPr>
          <w:b/>
          <w:bCs/>
          <w:sz w:val="16"/>
          <w:szCs w:val="16"/>
        </w:rPr>
        <w:t xml:space="preserve">Credit: </w:t>
      </w:r>
      <w:r>
        <w:rPr>
          <w:b/>
          <w:bCs/>
          <w:sz w:val="16"/>
          <w:szCs w:val="16"/>
        </w:rPr>
        <w:t>Sustainability Victoria</w:t>
      </w:r>
    </w:p>
    <w:p w14:paraId="5AA2478D" w14:textId="155AA052" w:rsidR="002963E1" w:rsidRPr="004D4EAD" w:rsidRDefault="002963E1" w:rsidP="002963E1">
      <w:r>
        <w:t>Sustainability Victoria has also developed a glossary of Circular Economy terms which may be useful in understanding the matrix and Circular Economy. This can be found at</w:t>
      </w:r>
      <w:r w:rsidR="004E1136">
        <w:t xml:space="preserve">: </w:t>
      </w:r>
      <w:r>
        <w:t xml:space="preserve"> </w:t>
      </w:r>
      <w:hyperlink r:id="rId25" w:history="1">
        <w:r>
          <w:rPr>
            <w:rStyle w:val="Hyperlink"/>
          </w:rPr>
          <w:t>https://directories.sustainability.vic.gov.au/buy-circular/glossary</w:t>
        </w:r>
      </w:hyperlink>
    </w:p>
    <w:p w14:paraId="1E9FD2F4" w14:textId="77777777" w:rsidR="002963E1" w:rsidRDefault="002963E1" w:rsidP="002963E1">
      <w:pPr>
        <w:pStyle w:val="Heading1"/>
      </w:pPr>
      <w:bookmarkStart w:id="1" w:name="_Toc216876585"/>
      <w:r>
        <w:t>Matrix</w:t>
      </w:r>
      <w:bookmarkEnd w:id="1"/>
    </w:p>
    <w:p w14:paraId="746C8F3D" w14:textId="77777777" w:rsidR="002963E1" w:rsidRDefault="002963E1" w:rsidP="002963E1">
      <w:r>
        <w:t xml:space="preserve">The scoring matrix is shown below. Scoring is initially completed on two axes. </w:t>
      </w:r>
    </w:p>
    <w:p w14:paraId="03C004A2" w14:textId="54E19142" w:rsidR="002963E1" w:rsidRDefault="002963E1" w:rsidP="002963E1">
      <w:r>
        <w:t xml:space="preserve">The </w:t>
      </w:r>
      <w:r w:rsidR="00A267D0">
        <w:t>vertical</w:t>
      </w:r>
      <w:r>
        <w:t xml:space="preserve"> axis</w:t>
      </w:r>
      <w:r w:rsidR="00A267D0">
        <w:t xml:space="preserve"> (y-axis)</w:t>
      </w:r>
      <w:r>
        <w:t xml:space="preserve"> identifies where material for the project is sourced from. This can range from the use of virgin materials through to a project where no new material is needed to carry it out.</w:t>
      </w:r>
    </w:p>
    <w:p w14:paraId="787E7CDC" w14:textId="1ACCE04A" w:rsidR="002963E1" w:rsidRDefault="002963E1" w:rsidP="002963E1">
      <w:r>
        <w:t xml:space="preserve">The </w:t>
      </w:r>
      <w:r w:rsidR="00A267D0">
        <w:t xml:space="preserve">horizontal </w:t>
      </w:r>
      <w:r>
        <w:t>axis</w:t>
      </w:r>
      <w:r w:rsidR="00A267D0">
        <w:t xml:space="preserve"> (x-axis)</w:t>
      </w:r>
      <w:r>
        <w:t xml:space="preserve"> considers the end-of-life options for project materials, which range from becoming a persistent environmental pollutant, through to being intended for full and local reuse. This axis should be used to score the intended end-of-life outcome of the project materials, rather than the waste generated during construction or manufacturing activities.</w:t>
      </w:r>
    </w:p>
    <w:p w14:paraId="2789051A" w14:textId="77777777" w:rsidR="002963E1" w:rsidRDefault="002963E1" w:rsidP="002963E1">
      <w:r>
        <w:t>The third dimension of the matrix rewards design decisions that reduce the amount of materials required for future projects, purchases or procurements. This could include selecting long-lasting materials (reducing maintenance and replacement needs) or by reducing the need for materials in the project.</w:t>
      </w:r>
    </w:p>
    <w:p w14:paraId="71D3022F" w14:textId="77777777" w:rsidR="00260184" w:rsidRDefault="002963E1" w:rsidP="00260184">
      <w:r>
        <w:t>For further explanation of how to assess your score on each axis, please see the sections below.</w:t>
      </w:r>
      <w:r w:rsidR="00260184">
        <w:br/>
      </w:r>
    </w:p>
    <w:p w14:paraId="55E7CA94" w14:textId="3EEA4077" w:rsidR="002963E1" w:rsidRPr="00260184" w:rsidRDefault="002963E1" w:rsidP="00260184">
      <w:r w:rsidRPr="002A340F">
        <w:rPr>
          <w:b/>
        </w:rPr>
        <w:t xml:space="preserve">Figure </w:t>
      </w:r>
      <w:r>
        <w:rPr>
          <w:b/>
        </w:rPr>
        <w:t>3</w:t>
      </w:r>
      <w:r w:rsidRPr="002A340F">
        <w:rPr>
          <w:b/>
        </w:rPr>
        <w:t>: Circular Economy</w:t>
      </w:r>
      <w:r>
        <w:rPr>
          <w:b/>
        </w:rPr>
        <w:t xml:space="preserve"> Matrix</w:t>
      </w:r>
      <w:r w:rsidR="00260184">
        <w:rPr>
          <w:b/>
        </w:rPr>
        <w:br/>
      </w:r>
      <w:r w:rsidR="00260184">
        <w:rPr>
          <w:b/>
        </w:rPr>
        <w:br/>
      </w:r>
      <w:r w:rsidR="00260184">
        <w:rPr>
          <w:noProof/>
        </w:rPr>
        <w:drawing>
          <wp:inline distT="0" distB="0" distL="0" distR="0" wp14:anchorId="53EE4124" wp14:editId="734009B5">
            <wp:extent cx="5731510" cy="4049395"/>
            <wp:effectExtent l="0" t="0" r="2540" b="8255"/>
            <wp:docPr id="28283353" name="Picture 5"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3353" name="Picture 5" descr="A diagram of a project&#10;&#10;AI-generated content may be incorrect."/>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5731510" cy="4049395"/>
                    </a:xfrm>
                    <a:prstGeom prst="rect">
                      <a:avLst/>
                    </a:prstGeom>
                    <a:noFill/>
                    <a:ln>
                      <a:noFill/>
                    </a:ln>
                  </pic:spPr>
                </pic:pic>
              </a:graphicData>
            </a:graphic>
          </wp:inline>
        </w:drawing>
      </w:r>
    </w:p>
    <w:p w14:paraId="72047C9E" w14:textId="3EEA4077" w:rsidR="002963E1" w:rsidRPr="00C03986" w:rsidRDefault="002963E1" w:rsidP="00C03986">
      <w:pPr>
        <w:pStyle w:val="Heading2"/>
      </w:pPr>
      <w:r>
        <w:br/>
      </w:r>
      <w:bookmarkStart w:id="2" w:name="_Toc216876586"/>
      <w:r w:rsidRPr="00C03986">
        <w:t>How to read your score</w:t>
      </w:r>
      <w:bookmarkEnd w:id="2"/>
      <w:r w:rsidRPr="3F36DFA7">
        <w:t xml:space="preserve"> </w:t>
      </w:r>
    </w:p>
    <w:p w14:paraId="312DAC6A" w14:textId="77777777" w:rsidR="002963E1" w:rsidRPr="00E65B97" w:rsidRDefault="002963E1" w:rsidP="002963E1">
      <w:pPr>
        <w:spacing w:before="281" w:after="281"/>
      </w:pPr>
      <w:r w:rsidRPr="00C03986">
        <w:rPr>
          <w:b/>
          <w:bCs/>
        </w:rPr>
        <w:t>0–1 points</w:t>
      </w:r>
      <w:r>
        <w:t xml:space="preserve"> → Mostly Linear (Business as Usual)</w:t>
      </w:r>
      <w:r>
        <w:br/>
        <w:t xml:space="preserve"> Projects in this range have little to no circular elements. Materials mostly come from virgin sources and are likely to mostly end up in landfill or persist in the environment. </w:t>
      </w:r>
    </w:p>
    <w:p w14:paraId="403C3174" w14:textId="77777777" w:rsidR="002963E1" w:rsidRPr="00E65B97" w:rsidRDefault="002963E1" w:rsidP="002963E1">
      <w:pPr>
        <w:spacing w:before="281" w:after="281"/>
      </w:pPr>
      <w:r w:rsidRPr="00C03986">
        <w:rPr>
          <w:b/>
          <w:bCs/>
        </w:rPr>
        <w:t>2–3 points</w:t>
      </w:r>
      <w:r>
        <w:t xml:space="preserve"> → Circular-</w:t>
      </w:r>
      <w:proofErr w:type="spellStart"/>
      <w:r>
        <w:t>ish</w:t>
      </w:r>
      <w:proofErr w:type="spellEnd"/>
      <w:r>
        <w:t xml:space="preserve"> </w:t>
      </w:r>
      <w:r>
        <w:br/>
        <w:t xml:space="preserve"> These projects include some circular economy elements — such as using recycled content or reusing materials — but still rely partly on virgin inputs or create waste at end-of-life. </w:t>
      </w:r>
    </w:p>
    <w:p w14:paraId="60420BE6" w14:textId="77777777" w:rsidR="002963E1" w:rsidRPr="00E65B97" w:rsidRDefault="002963E1" w:rsidP="002963E1">
      <w:pPr>
        <w:spacing w:before="281" w:after="281"/>
      </w:pPr>
      <w:r w:rsidRPr="00C03986">
        <w:rPr>
          <w:b/>
          <w:bCs/>
        </w:rPr>
        <w:t>4–5 points</w:t>
      </w:r>
      <w:r>
        <w:t xml:space="preserve"> → Closing the loop </w:t>
      </w:r>
      <w:r>
        <w:br/>
        <w:t xml:space="preserve"> Projects in this range are designed with circularity at the core. Materials are reused, recycled locally, or kept in continuous loops, helping to minimise waste and reduce reliance on virgin resources.</w:t>
      </w:r>
    </w:p>
    <w:p w14:paraId="79FCB868" w14:textId="2C4E9239" w:rsidR="002963E1" w:rsidRDefault="002963E1" w:rsidP="000053B8">
      <w:pPr>
        <w:pStyle w:val="Heading2"/>
      </w:pPr>
      <w:bookmarkStart w:id="3" w:name="_Toc216876587"/>
      <w:r>
        <w:t>Who should use this matrix</w:t>
      </w:r>
      <w:bookmarkEnd w:id="3"/>
    </w:p>
    <w:p w14:paraId="6F3B7001" w14:textId="77777777" w:rsidR="002963E1" w:rsidRDefault="002963E1" w:rsidP="002963E1">
      <w:r>
        <w:t>This matrix is intended for use by project managers to provide a simple method of estimating the circularity of a project or programme of works. Projects could be large complex projects such as major civil asset construction or small projects such as purchasing office furniture or running a community workshop.</w:t>
      </w:r>
    </w:p>
    <w:p w14:paraId="5644CAE0" w14:textId="77777777" w:rsidR="002963E1" w:rsidRDefault="002963E1" w:rsidP="002963E1">
      <w:r>
        <w:t>The matrix is not intended as a scoping or strategy tool – assessments at this stage should be undertaken by Circular Economy professionals who can provide the context, tools and techniques that could apply. Once a project has been identified and scoped, the assigned project manager can apply this at any stage of project development.</w:t>
      </w:r>
    </w:p>
    <w:p w14:paraId="2827DE99" w14:textId="1DF71E35" w:rsidR="002963E1" w:rsidRDefault="002963E1" w:rsidP="00C03986">
      <w:pPr>
        <w:pStyle w:val="Heading2"/>
      </w:pPr>
      <w:bookmarkStart w:id="4" w:name="_Toc216876588"/>
      <w:r>
        <w:t>How to conduct an assessment</w:t>
      </w:r>
      <w:bookmarkEnd w:id="4"/>
    </w:p>
    <w:p w14:paraId="1C936AA7" w14:textId="77777777" w:rsidR="002963E1" w:rsidRDefault="002963E1" w:rsidP="002963E1">
      <w:r>
        <w:t xml:space="preserve">The matrix operates like a risk matrix, and should be used in a similar way. It can be used individually but works best when completed by a team with a variety of perspectives. </w:t>
      </w:r>
    </w:p>
    <w:p w14:paraId="5E6F3EB1" w14:textId="77777777" w:rsidR="002963E1" w:rsidRDefault="002963E1" w:rsidP="002963E1">
      <w:r>
        <w:t xml:space="preserve">The assessment can be completed at a detailed level, assessing the circularity of each element of the project. These assessments can be undertaken once a full design (preliminary or detailed) has been completed, allowing an assessment of each material or project input. This type of assessment can help with product or supplier selection, highlighting where less circular materials are being used and identifying opportunities to improve circularity of various elements of the project. These detailed assessments can result in a weighted average score, using cost or volume as a weighting tool. </w:t>
      </w:r>
    </w:p>
    <w:p w14:paraId="6CC4E4B7" w14:textId="18B641C1" w:rsidR="002963E1" w:rsidRDefault="002963E1" w:rsidP="002963E1">
      <w:r>
        <w:t xml:space="preserve">The assessment can also be applied at a high level with estimations of circularity conducted across the whole project or on different aspects of the project. These assessments can be undertaken at any stage of project </w:t>
      </w:r>
      <w:r w:rsidR="00C66548">
        <w:t>development, and</w:t>
      </w:r>
      <w:r>
        <w:t xml:space="preserve"> could be used to inform options analysis or to identify techniques that could be applied to improve the project’s Circular Economy score.</w:t>
      </w:r>
    </w:p>
    <w:p w14:paraId="58872735" w14:textId="77777777" w:rsidR="002963E1" w:rsidRDefault="002963E1" w:rsidP="00C03986">
      <w:pPr>
        <w:pStyle w:val="Heading2"/>
      </w:pPr>
      <w:bookmarkStart w:id="5" w:name="_Toc216876589"/>
      <w:r>
        <w:t>What is in and out of scope</w:t>
      </w:r>
      <w:bookmarkEnd w:id="5"/>
    </w:p>
    <w:p w14:paraId="53F7F74A" w14:textId="77777777" w:rsidR="002963E1" w:rsidRDefault="002963E1" w:rsidP="000053B8">
      <w:pPr>
        <w:pStyle w:val="Heading3"/>
      </w:pPr>
      <w:bookmarkStart w:id="6" w:name="_Toc216876590"/>
      <w:r>
        <w:t>In Scope:</w:t>
      </w:r>
      <w:bookmarkEnd w:id="6"/>
    </w:p>
    <w:p w14:paraId="6AD6C652" w14:textId="77777777" w:rsidR="002963E1" w:rsidRDefault="002963E1" w:rsidP="002963E1">
      <w:pPr>
        <w:pStyle w:val="ListParagraph"/>
        <w:numPr>
          <w:ilvl w:val="0"/>
          <w:numId w:val="19"/>
        </w:numPr>
        <w:spacing w:line="259" w:lineRule="auto"/>
      </w:pPr>
      <w:r>
        <w:t>Procurements, Projects or Programmes of work</w:t>
      </w:r>
    </w:p>
    <w:p w14:paraId="4C831BF8" w14:textId="77777777" w:rsidR="002963E1" w:rsidRDefault="002963E1" w:rsidP="002963E1">
      <w:pPr>
        <w:pStyle w:val="ListParagraph"/>
        <w:numPr>
          <w:ilvl w:val="0"/>
          <w:numId w:val="19"/>
        </w:numPr>
        <w:spacing w:line="259" w:lineRule="auto"/>
      </w:pPr>
      <w:r>
        <w:t>Preliminary Options Assessments</w:t>
      </w:r>
    </w:p>
    <w:p w14:paraId="5CD4CD63" w14:textId="77777777" w:rsidR="002963E1" w:rsidRDefault="002963E1" w:rsidP="002963E1">
      <w:pPr>
        <w:pStyle w:val="ListParagraph"/>
        <w:numPr>
          <w:ilvl w:val="0"/>
          <w:numId w:val="19"/>
        </w:numPr>
        <w:spacing w:line="259" w:lineRule="auto"/>
      </w:pPr>
      <w:r>
        <w:t>Design-stage assessments</w:t>
      </w:r>
    </w:p>
    <w:p w14:paraId="6AD83610" w14:textId="77777777" w:rsidR="002963E1" w:rsidRDefault="002963E1" w:rsidP="002963E1">
      <w:pPr>
        <w:pStyle w:val="ListParagraph"/>
        <w:numPr>
          <w:ilvl w:val="0"/>
          <w:numId w:val="19"/>
        </w:numPr>
        <w:spacing w:line="259" w:lineRule="auto"/>
      </w:pPr>
      <w:r>
        <w:t>Comparing options for Circularity</w:t>
      </w:r>
    </w:p>
    <w:p w14:paraId="039F019F" w14:textId="77777777" w:rsidR="002963E1" w:rsidRDefault="002963E1" w:rsidP="002963E1">
      <w:pPr>
        <w:pStyle w:val="ListParagraph"/>
        <w:numPr>
          <w:ilvl w:val="0"/>
          <w:numId w:val="19"/>
        </w:numPr>
        <w:spacing w:line="259" w:lineRule="auto"/>
      </w:pPr>
      <w:r>
        <w:t>Identifying opportunities to improve project Circularity</w:t>
      </w:r>
    </w:p>
    <w:p w14:paraId="060DE358" w14:textId="77777777" w:rsidR="002963E1" w:rsidRDefault="002963E1" w:rsidP="002963E1">
      <w:pPr>
        <w:pStyle w:val="ListParagraph"/>
        <w:numPr>
          <w:ilvl w:val="0"/>
          <w:numId w:val="19"/>
        </w:numPr>
        <w:spacing w:line="259" w:lineRule="auto"/>
      </w:pPr>
      <w:r>
        <w:t>High-level assessments for Board, Council, PCG or Executive-level information</w:t>
      </w:r>
    </w:p>
    <w:p w14:paraId="5DD74B62" w14:textId="77777777" w:rsidR="002963E1" w:rsidRDefault="002963E1" w:rsidP="000053B8">
      <w:pPr>
        <w:pStyle w:val="Heading3"/>
      </w:pPr>
      <w:bookmarkStart w:id="7" w:name="_Toc216876591"/>
      <w:r>
        <w:t>Out of Scope:</w:t>
      </w:r>
      <w:bookmarkEnd w:id="7"/>
    </w:p>
    <w:p w14:paraId="2773D315" w14:textId="77777777" w:rsidR="002963E1" w:rsidRDefault="002963E1" w:rsidP="002963E1">
      <w:pPr>
        <w:pStyle w:val="ListParagraph"/>
        <w:numPr>
          <w:ilvl w:val="0"/>
          <w:numId w:val="20"/>
        </w:numPr>
        <w:spacing w:line="259" w:lineRule="auto"/>
      </w:pPr>
      <w:r>
        <w:t>Strategy or scoping stage assessments</w:t>
      </w:r>
    </w:p>
    <w:p w14:paraId="2175965C" w14:textId="77777777" w:rsidR="002963E1" w:rsidRDefault="002963E1" w:rsidP="002963E1">
      <w:pPr>
        <w:pStyle w:val="ListParagraph"/>
        <w:numPr>
          <w:ilvl w:val="0"/>
          <w:numId w:val="20"/>
        </w:numPr>
        <w:spacing w:line="259" w:lineRule="auto"/>
      </w:pPr>
      <w:r>
        <w:t>Economy-wide assessments</w:t>
      </w:r>
    </w:p>
    <w:p w14:paraId="37161712" w14:textId="77777777" w:rsidR="002963E1" w:rsidRDefault="002963E1" w:rsidP="002963E1">
      <w:r>
        <w:t xml:space="preserve">Strategy or Scoping stage assessments should utilise other tools and approaches, such as the Scale of Circularity shown in </w:t>
      </w:r>
      <w:r w:rsidRPr="00C66548">
        <w:rPr>
          <w:i/>
          <w:iCs/>
        </w:rPr>
        <w:t>Figure 2</w:t>
      </w:r>
      <w:r>
        <w:t xml:space="preserve"> above.</w:t>
      </w:r>
    </w:p>
    <w:p w14:paraId="657FEA99" w14:textId="77777777" w:rsidR="002963E1" w:rsidRDefault="002963E1" w:rsidP="002963E1">
      <w:r>
        <w:t>Economy-wide assessments can be undertaken using different metrics. Australia has a national Circular Economy measurement that captures the percentage of recycled material being used in the economy. At a State level, Recycling Victoria has developed a Circular Economy Market Report that provides state-level Circular Economy metrics, including Circularity Rate (measured as above), Material Footprint (raw material extraction per capita) and Material Productivity (ratio of economic output to material consumed).</w:t>
      </w:r>
    </w:p>
    <w:p w14:paraId="7757E059" w14:textId="77777777" w:rsidR="002963E1" w:rsidRDefault="002963E1" w:rsidP="007D4C1B">
      <w:pPr>
        <w:pStyle w:val="Heading2"/>
      </w:pPr>
      <w:bookmarkStart w:id="8" w:name="_Toc216876592"/>
      <w:r>
        <w:t>How do you measure progress in the vertical axis</w:t>
      </w:r>
      <w:bookmarkEnd w:id="8"/>
    </w:p>
    <w:p w14:paraId="01469E56" w14:textId="77777777" w:rsidR="002963E1" w:rsidRDefault="002963E1" w:rsidP="002963E1">
      <w:r>
        <w:t>At this stage, you should assess where the material for your project is coming from. Are the chosen materials new (virgin), recycled, reused, or is the project designed to need little or no new material?</w:t>
      </w:r>
    </w:p>
    <w:p w14:paraId="0D350138" w14:textId="77777777" w:rsidR="002963E1" w:rsidRPr="007D4C1B" w:rsidRDefault="002963E1" w:rsidP="002963E1">
      <w:pPr>
        <w:rPr>
          <w:b/>
          <w:bCs/>
          <w:i/>
          <w:iCs/>
          <w:color w:val="82C341" w:themeColor="accent1"/>
          <w:sz w:val="24"/>
          <w:szCs w:val="24"/>
        </w:rPr>
      </w:pPr>
      <w:r w:rsidRPr="007D4C1B">
        <w:rPr>
          <w:b/>
          <w:bCs/>
          <w:i/>
          <w:iCs/>
          <w:color w:val="82C341" w:themeColor="accent1"/>
          <w:sz w:val="24"/>
          <w:szCs w:val="24"/>
        </w:rPr>
        <w:t>For this project, material comes from…</w:t>
      </w:r>
    </w:p>
    <w:tbl>
      <w:tblPr>
        <w:tblStyle w:val="GridTable5Dark-Accent1"/>
        <w:tblW w:w="0" w:type="auto"/>
        <w:tblLayout w:type="fixed"/>
        <w:tblLook w:val="06A0" w:firstRow="1" w:lastRow="0" w:firstColumn="1" w:lastColumn="0" w:noHBand="1" w:noVBand="1"/>
      </w:tblPr>
      <w:tblGrid>
        <w:gridCol w:w="1472"/>
        <w:gridCol w:w="3788"/>
        <w:gridCol w:w="3755"/>
      </w:tblGrid>
      <w:tr w:rsidR="002963E1" w14:paraId="1A311136" w14:textId="77777777" w:rsidTr="009760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2" w:type="dxa"/>
          </w:tcPr>
          <w:p w14:paraId="457C68C2" w14:textId="77777777" w:rsidR="002963E1" w:rsidRDefault="002963E1" w:rsidP="009760B1">
            <w:pPr>
              <w:jc w:val="center"/>
            </w:pPr>
          </w:p>
        </w:tc>
        <w:tc>
          <w:tcPr>
            <w:tcW w:w="3788" w:type="dxa"/>
          </w:tcPr>
          <w:p w14:paraId="50CBAE48" w14:textId="77777777" w:rsidR="002963E1" w:rsidRDefault="002963E1" w:rsidP="009760B1">
            <w:pPr>
              <w:jc w:val="center"/>
              <w:cnfStyle w:val="100000000000" w:firstRow="1" w:lastRow="0" w:firstColumn="0" w:lastColumn="0" w:oddVBand="0" w:evenVBand="0" w:oddHBand="0" w:evenHBand="0" w:firstRowFirstColumn="0" w:firstRowLastColumn="0" w:lastRowFirstColumn="0" w:lastRowLastColumn="0"/>
            </w:pPr>
            <w:r w:rsidRPr="646F38C8">
              <w:t>Description</w:t>
            </w:r>
          </w:p>
        </w:tc>
        <w:tc>
          <w:tcPr>
            <w:tcW w:w="3755" w:type="dxa"/>
          </w:tcPr>
          <w:p w14:paraId="30E9F38C" w14:textId="77777777" w:rsidR="002963E1" w:rsidRDefault="002963E1" w:rsidP="009760B1">
            <w:pPr>
              <w:jc w:val="center"/>
              <w:cnfStyle w:val="100000000000" w:firstRow="1" w:lastRow="0" w:firstColumn="0" w:lastColumn="0" w:oddVBand="0" w:evenVBand="0" w:oddHBand="0" w:evenHBand="0" w:firstRowFirstColumn="0" w:firstRowLastColumn="0" w:lastRowFirstColumn="0" w:lastRowLastColumn="0"/>
            </w:pPr>
            <w:r w:rsidRPr="646F38C8">
              <w:t>Example</w:t>
            </w:r>
          </w:p>
        </w:tc>
      </w:tr>
      <w:tr w:rsidR="002963E1" w14:paraId="3C7B292E"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472" w:type="dxa"/>
          </w:tcPr>
          <w:p w14:paraId="676E05CD" w14:textId="77777777" w:rsidR="002963E1" w:rsidRDefault="002963E1" w:rsidP="009760B1">
            <w:r w:rsidRPr="646F38C8">
              <w:t>Virgin materials</w:t>
            </w:r>
          </w:p>
        </w:tc>
        <w:tc>
          <w:tcPr>
            <w:tcW w:w="3788" w:type="dxa"/>
          </w:tcPr>
          <w:p w14:paraId="02E18ABA"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pPr>
            <w:r>
              <w:t>Materials produced from raw, untouched resources such as newly mined minerals, harvested timber, or newly manufactured plastics.</w:t>
            </w:r>
          </w:p>
        </w:tc>
        <w:tc>
          <w:tcPr>
            <w:tcW w:w="3755" w:type="dxa"/>
          </w:tcPr>
          <w:p w14:paraId="2193C1B6"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rPr>
                <w:i/>
                <w:iCs/>
              </w:rPr>
            </w:pPr>
            <w:r w:rsidRPr="646F38C8">
              <w:rPr>
                <w:i/>
                <w:iCs/>
              </w:rPr>
              <w:t>Using office paper made entirely from new trees (no recycled content).</w:t>
            </w:r>
          </w:p>
        </w:tc>
      </w:tr>
      <w:tr w:rsidR="002963E1" w14:paraId="463DBA8D"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472" w:type="dxa"/>
          </w:tcPr>
          <w:p w14:paraId="5BE78DD2" w14:textId="77777777" w:rsidR="002963E1" w:rsidRDefault="002963E1" w:rsidP="009760B1">
            <w:r w:rsidRPr="646F38C8">
              <w:t>Sustainably sourced virgin materials</w:t>
            </w:r>
          </w:p>
        </w:tc>
        <w:tc>
          <w:tcPr>
            <w:tcW w:w="3788" w:type="dxa"/>
          </w:tcPr>
          <w:p w14:paraId="5D388F66"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pPr>
            <w:r>
              <w:t>Materials produced from raw resources that have been sourced using best practice sustainable methods.</w:t>
            </w:r>
          </w:p>
        </w:tc>
        <w:tc>
          <w:tcPr>
            <w:tcW w:w="3755" w:type="dxa"/>
          </w:tcPr>
          <w:p w14:paraId="5DE21B49"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rPr>
                <w:i/>
                <w:iCs/>
              </w:rPr>
            </w:pPr>
            <w:r w:rsidRPr="646F38C8">
              <w:rPr>
                <w:i/>
                <w:iCs/>
              </w:rPr>
              <w:t>Sustainably sourced timber (e.g. FSC certified).</w:t>
            </w:r>
          </w:p>
        </w:tc>
      </w:tr>
      <w:tr w:rsidR="002963E1" w14:paraId="33273747"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472" w:type="dxa"/>
          </w:tcPr>
          <w:p w14:paraId="492A96CD" w14:textId="77777777" w:rsidR="002963E1" w:rsidRDefault="002963E1" w:rsidP="009760B1">
            <w:r w:rsidRPr="646F38C8">
              <w:t>Some recycled sources</w:t>
            </w:r>
          </w:p>
        </w:tc>
        <w:tc>
          <w:tcPr>
            <w:tcW w:w="3788" w:type="dxa"/>
          </w:tcPr>
          <w:p w14:paraId="01E81FAD"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pPr>
            <w:r>
              <w:t>Materials include a blend of both virgin and recycled content, reducing pressure on raw resources but still relying on new inputs.</w:t>
            </w:r>
          </w:p>
        </w:tc>
        <w:tc>
          <w:tcPr>
            <w:tcW w:w="3755" w:type="dxa"/>
          </w:tcPr>
          <w:p w14:paraId="4113E439"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rPr>
                <w:i/>
                <w:iCs/>
              </w:rPr>
            </w:pPr>
            <w:r w:rsidRPr="646F38C8">
              <w:rPr>
                <w:i/>
                <w:iCs/>
              </w:rPr>
              <w:t>Concrete that includes a portion of recycled crushed glass alongside virgin aggregates.</w:t>
            </w:r>
          </w:p>
        </w:tc>
      </w:tr>
      <w:tr w:rsidR="002963E1" w14:paraId="266FC4FA"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472" w:type="dxa"/>
          </w:tcPr>
          <w:p w14:paraId="02805DBD" w14:textId="77777777" w:rsidR="002963E1" w:rsidRDefault="002963E1" w:rsidP="009760B1">
            <w:r w:rsidRPr="646F38C8">
              <w:t>100% recycled</w:t>
            </w:r>
          </w:p>
        </w:tc>
        <w:tc>
          <w:tcPr>
            <w:tcW w:w="3788" w:type="dxa"/>
          </w:tcPr>
          <w:p w14:paraId="1198BEF4"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pPr>
            <w:r>
              <w:t>Materials fully made from recycled materials, with only small or nominal components not recycled (such as rubber gaskets or cork stoppers).</w:t>
            </w:r>
          </w:p>
        </w:tc>
        <w:tc>
          <w:tcPr>
            <w:tcW w:w="3755" w:type="dxa"/>
          </w:tcPr>
          <w:p w14:paraId="2BE25F53"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rPr>
                <w:i/>
                <w:iCs/>
              </w:rPr>
            </w:pPr>
            <w:r w:rsidRPr="646F38C8">
              <w:rPr>
                <w:i/>
                <w:iCs/>
              </w:rPr>
              <w:t>Parking bollards made from 100% recycled plastic.</w:t>
            </w:r>
          </w:p>
        </w:tc>
      </w:tr>
      <w:tr w:rsidR="002963E1" w14:paraId="269AD796"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472" w:type="dxa"/>
          </w:tcPr>
          <w:p w14:paraId="28E46BC9" w14:textId="77777777" w:rsidR="002963E1" w:rsidRDefault="002963E1" w:rsidP="009760B1">
            <w:r w:rsidRPr="646F38C8">
              <w:t>Reused sources</w:t>
            </w:r>
          </w:p>
        </w:tc>
        <w:tc>
          <w:tcPr>
            <w:tcW w:w="3788" w:type="dxa"/>
          </w:tcPr>
          <w:p w14:paraId="5E07C400"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pPr>
            <w:r>
              <w:t>Materials recovered and used again in their existing form, with little or no reprocessing.</w:t>
            </w:r>
          </w:p>
        </w:tc>
        <w:tc>
          <w:tcPr>
            <w:tcW w:w="3755" w:type="dxa"/>
          </w:tcPr>
          <w:p w14:paraId="6AF726DD"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rPr>
                <w:i/>
                <w:iCs/>
              </w:rPr>
            </w:pPr>
            <w:r w:rsidRPr="646F38C8">
              <w:rPr>
                <w:i/>
                <w:iCs/>
              </w:rPr>
              <w:t>Second-hand bricks salvaged from demolition and used directly in a new wall.</w:t>
            </w:r>
          </w:p>
        </w:tc>
      </w:tr>
      <w:tr w:rsidR="002963E1" w14:paraId="46CAF3CC"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472" w:type="dxa"/>
          </w:tcPr>
          <w:p w14:paraId="1D4D4D2B" w14:textId="77777777" w:rsidR="002963E1" w:rsidRDefault="002963E1" w:rsidP="009760B1">
            <w:r w:rsidRPr="646F38C8">
              <w:t>No new material</w:t>
            </w:r>
          </w:p>
        </w:tc>
        <w:tc>
          <w:tcPr>
            <w:tcW w:w="3788" w:type="dxa"/>
          </w:tcPr>
          <w:p w14:paraId="39961C86"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pPr>
            <w:r>
              <w:t>The project avoids the need for new inputs altogether by repairing or designing around existing assets or infrastructure.</w:t>
            </w:r>
          </w:p>
        </w:tc>
        <w:tc>
          <w:tcPr>
            <w:tcW w:w="3755" w:type="dxa"/>
          </w:tcPr>
          <w:p w14:paraId="4ED11978" w14:textId="77777777" w:rsidR="002963E1" w:rsidRDefault="002963E1" w:rsidP="009760B1">
            <w:pPr>
              <w:spacing w:before="60" w:after="60"/>
              <w:cnfStyle w:val="000000000000" w:firstRow="0" w:lastRow="0" w:firstColumn="0" w:lastColumn="0" w:oddVBand="0" w:evenVBand="0" w:oddHBand="0" w:evenHBand="0" w:firstRowFirstColumn="0" w:firstRowLastColumn="0" w:lastRowFirstColumn="0" w:lastRowLastColumn="0"/>
              <w:rPr>
                <w:i/>
                <w:iCs/>
              </w:rPr>
            </w:pPr>
            <w:r w:rsidRPr="646F38C8">
              <w:rPr>
                <w:i/>
                <w:iCs/>
              </w:rPr>
              <w:t>Repairing existing park garden beds rather than replacing them with new ones, or reusing materials already within the project (e.g., seating relocated on-site).</w:t>
            </w:r>
          </w:p>
        </w:tc>
      </w:tr>
    </w:tbl>
    <w:p w14:paraId="72F7C5D4" w14:textId="77777777" w:rsidR="002963E1" w:rsidRDefault="002963E1" w:rsidP="002963E1">
      <w:pPr>
        <w:rPr>
          <w:b/>
          <w:bCs/>
        </w:rPr>
      </w:pPr>
    </w:p>
    <w:p w14:paraId="266D455C" w14:textId="77777777" w:rsidR="002963E1" w:rsidRDefault="002963E1" w:rsidP="002963E1">
      <w:pPr>
        <w:rPr>
          <w:b/>
          <w:bCs/>
        </w:rPr>
      </w:pPr>
    </w:p>
    <w:p w14:paraId="490AB143" w14:textId="77777777" w:rsidR="002963E1" w:rsidRDefault="002963E1" w:rsidP="00FA705F">
      <w:pPr>
        <w:pStyle w:val="Heading2"/>
      </w:pPr>
      <w:bookmarkStart w:id="9" w:name="_Toc216876593"/>
      <w:r>
        <w:t>How do you measure your progress on the horizontal axis?</w:t>
      </w:r>
      <w:bookmarkEnd w:id="9"/>
    </w:p>
    <w:p w14:paraId="3A3F452F" w14:textId="77777777" w:rsidR="002963E1" w:rsidRDefault="002963E1" w:rsidP="002963E1">
      <w:r>
        <w:t xml:space="preserve">At this stage, you should look ahead and imagine what will happen to the material at the end of the project. Are the chosen materials designed to go back into the project, reused locally, fully recycled, partly recycled, sent to landfill, or will they remain in the environment long-term? </w:t>
      </w:r>
    </w:p>
    <w:p w14:paraId="284E00DB" w14:textId="2BDAE3B7" w:rsidR="002963E1" w:rsidRPr="00FA705F" w:rsidRDefault="002963E1" w:rsidP="002963E1">
      <w:pPr>
        <w:keepNext/>
        <w:spacing w:before="240" w:after="240"/>
        <w:rPr>
          <w:rFonts w:eastAsiaTheme="minorEastAsia"/>
          <w:b/>
          <w:bCs/>
          <w:i/>
          <w:iCs/>
          <w:sz w:val="18"/>
          <w:szCs w:val="20"/>
        </w:rPr>
      </w:pPr>
      <w:r w:rsidRPr="00FA705F">
        <w:rPr>
          <w:rFonts w:eastAsiaTheme="minorEastAsia"/>
          <w:b/>
          <w:bCs/>
          <w:i/>
          <w:iCs/>
          <w:color w:val="82C341" w:themeColor="accent1"/>
          <w:sz w:val="24"/>
          <w:szCs w:val="24"/>
        </w:rPr>
        <w:t>At the end of the project, material…</w:t>
      </w:r>
    </w:p>
    <w:tbl>
      <w:tblPr>
        <w:tblStyle w:val="GridTable5Dark-Accent1"/>
        <w:tblW w:w="0" w:type="auto"/>
        <w:tblLayout w:type="fixed"/>
        <w:tblLook w:val="06A0" w:firstRow="1" w:lastRow="0" w:firstColumn="1" w:lastColumn="0" w:noHBand="1" w:noVBand="1"/>
      </w:tblPr>
      <w:tblGrid>
        <w:gridCol w:w="1588"/>
        <w:gridCol w:w="3794"/>
        <w:gridCol w:w="3633"/>
      </w:tblGrid>
      <w:tr w:rsidR="002963E1" w14:paraId="4FE60CC2" w14:textId="77777777" w:rsidTr="009760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8" w:type="dxa"/>
          </w:tcPr>
          <w:p w14:paraId="538390CC" w14:textId="77777777" w:rsidR="002963E1" w:rsidRDefault="002963E1" w:rsidP="009760B1">
            <w:pPr>
              <w:jc w:val="center"/>
            </w:pPr>
          </w:p>
        </w:tc>
        <w:tc>
          <w:tcPr>
            <w:tcW w:w="3794" w:type="dxa"/>
          </w:tcPr>
          <w:p w14:paraId="7956C7A2" w14:textId="77777777" w:rsidR="002963E1" w:rsidRDefault="002963E1" w:rsidP="009760B1">
            <w:pPr>
              <w:jc w:val="center"/>
              <w:cnfStyle w:val="100000000000" w:firstRow="1" w:lastRow="0" w:firstColumn="0" w:lastColumn="0" w:oddVBand="0" w:evenVBand="0" w:oddHBand="0" w:evenHBand="0" w:firstRowFirstColumn="0" w:firstRowLastColumn="0" w:lastRowFirstColumn="0" w:lastRowLastColumn="0"/>
            </w:pPr>
            <w:r w:rsidRPr="646F38C8">
              <w:t>Description</w:t>
            </w:r>
          </w:p>
        </w:tc>
        <w:tc>
          <w:tcPr>
            <w:tcW w:w="3633" w:type="dxa"/>
          </w:tcPr>
          <w:p w14:paraId="113596C7" w14:textId="77777777" w:rsidR="002963E1" w:rsidRDefault="002963E1" w:rsidP="009760B1">
            <w:pPr>
              <w:jc w:val="center"/>
              <w:cnfStyle w:val="100000000000" w:firstRow="1" w:lastRow="0" w:firstColumn="0" w:lastColumn="0" w:oddVBand="0" w:evenVBand="0" w:oddHBand="0" w:evenHBand="0" w:firstRowFirstColumn="0" w:firstRowLastColumn="0" w:lastRowFirstColumn="0" w:lastRowLastColumn="0"/>
            </w:pPr>
            <w:r w:rsidRPr="646F38C8">
              <w:t>Example</w:t>
            </w:r>
          </w:p>
        </w:tc>
      </w:tr>
      <w:tr w:rsidR="002963E1" w14:paraId="552699CF"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588" w:type="dxa"/>
          </w:tcPr>
          <w:p w14:paraId="47845EB8" w14:textId="77777777" w:rsidR="002963E1" w:rsidRDefault="002963E1" w:rsidP="009760B1">
            <w:r w:rsidRPr="646F38C8">
              <w:t>Is reused</w:t>
            </w:r>
          </w:p>
        </w:tc>
        <w:tc>
          <w:tcPr>
            <w:tcW w:w="3794" w:type="dxa"/>
          </w:tcPr>
          <w:p w14:paraId="3C32966E"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pPr>
            <w:r>
              <w:t>Materials are reused directly in the same project or another Council project, with little or no extra processing.</w:t>
            </w:r>
          </w:p>
        </w:tc>
        <w:tc>
          <w:tcPr>
            <w:tcW w:w="3633" w:type="dxa"/>
          </w:tcPr>
          <w:p w14:paraId="7BC1CEC7"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rPr>
                <w:i/>
                <w:iCs/>
              </w:rPr>
            </w:pPr>
            <w:r w:rsidRPr="646F38C8">
              <w:rPr>
                <w:i/>
                <w:iCs/>
              </w:rPr>
              <w:t>Pavers lifted during roadworks are stored and laid again in the same project.</w:t>
            </w:r>
          </w:p>
        </w:tc>
      </w:tr>
      <w:tr w:rsidR="002963E1" w14:paraId="5A366356"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588" w:type="dxa"/>
          </w:tcPr>
          <w:p w14:paraId="44E77B3B" w14:textId="77777777" w:rsidR="002963E1" w:rsidRDefault="002963E1" w:rsidP="009760B1">
            <w:r w:rsidRPr="646F38C8">
              <w:t>Repurposed or recycled locally</w:t>
            </w:r>
          </w:p>
        </w:tc>
        <w:tc>
          <w:tcPr>
            <w:tcW w:w="3794" w:type="dxa"/>
          </w:tcPr>
          <w:p w14:paraId="7F6F68E3"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pPr>
            <w:r>
              <w:t>Materials are collected and processed through existing local facilities and markets, supporting nearby reuse and recycling.</w:t>
            </w:r>
          </w:p>
        </w:tc>
        <w:tc>
          <w:tcPr>
            <w:tcW w:w="3633" w:type="dxa"/>
          </w:tcPr>
          <w:p w14:paraId="7017C03A"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rPr>
                <w:i/>
                <w:iCs/>
              </w:rPr>
            </w:pPr>
            <w:r w:rsidRPr="646F38C8">
              <w:rPr>
                <w:i/>
                <w:iCs/>
              </w:rPr>
              <w:t>Timber formwork sent to a local reclaimed timber centre.</w:t>
            </w:r>
          </w:p>
        </w:tc>
      </w:tr>
      <w:tr w:rsidR="002963E1" w14:paraId="3C89C86B"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588" w:type="dxa"/>
          </w:tcPr>
          <w:p w14:paraId="738DB43A" w14:textId="77777777" w:rsidR="002963E1" w:rsidRDefault="002963E1" w:rsidP="009760B1">
            <w:r w:rsidRPr="646F38C8">
              <w:t>Is fully recycled</w:t>
            </w:r>
          </w:p>
        </w:tc>
        <w:tc>
          <w:tcPr>
            <w:tcW w:w="3794" w:type="dxa"/>
          </w:tcPr>
          <w:p w14:paraId="1E481B0B"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pPr>
            <w:r>
              <w:t>Materials are recovered and recycled into new products so they can be used again and again.</w:t>
            </w:r>
          </w:p>
        </w:tc>
        <w:tc>
          <w:tcPr>
            <w:tcW w:w="3633" w:type="dxa"/>
          </w:tcPr>
          <w:p w14:paraId="4F424625"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rPr>
                <w:i/>
                <w:iCs/>
              </w:rPr>
            </w:pPr>
            <w:r w:rsidRPr="646F38C8">
              <w:rPr>
                <w:i/>
                <w:iCs/>
              </w:rPr>
              <w:t>Aluminium components collected and smelted into new aluminium products.</w:t>
            </w:r>
          </w:p>
        </w:tc>
      </w:tr>
      <w:tr w:rsidR="002963E1" w14:paraId="0CC1C7FA"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588" w:type="dxa"/>
          </w:tcPr>
          <w:p w14:paraId="0CDA7595" w14:textId="77777777" w:rsidR="002963E1" w:rsidRDefault="002963E1" w:rsidP="009760B1">
            <w:r w:rsidRPr="646F38C8">
              <w:t>Is partly recycled</w:t>
            </w:r>
          </w:p>
        </w:tc>
        <w:tc>
          <w:tcPr>
            <w:tcW w:w="3794" w:type="dxa"/>
          </w:tcPr>
          <w:p w14:paraId="33DD9E43"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pPr>
            <w:r>
              <w:t>Only some of the material is recycled, or it is “downcycled” into a lower-value product that may eventually end up as waste.</w:t>
            </w:r>
          </w:p>
        </w:tc>
        <w:tc>
          <w:tcPr>
            <w:tcW w:w="3633" w:type="dxa"/>
          </w:tcPr>
          <w:p w14:paraId="580D2E9B"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rPr>
                <w:i/>
                <w:iCs/>
              </w:rPr>
            </w:pPr>
            <w:r w:rsidRPr="646F38C8">
              <w:rPr>
                <w:i/>
                <w:iCs/>
              </w:rPr>
              <w:t>E-waste (electronic waste) where metals and circuit boards are recovered, but plastics and mixed components are discarded.</w:t>
            </w:r>
          </w:p>
        </w:tc>
      </w:tr>
      <w:tr w:rsidR="002963E1" w14:paraId="2A6747A3"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588" w:type="dxa"/>
          </w:tcPr>
          <w:p w14:paraId="0121893B" w14:textId="77777777" w:rsidR="002963E1" w:rsidRDefault="002963E1" w:rsidP="009760B1">
            <w:r w:rsidRPr="646F38C8">
              <w:t>Goes to landfill</w:t>
            </w:r>
          </w:p>
        </w:tc>
        <w:tc>
          <w:tcPr>
            <w:tcW w:w="3794" w:type="dxa"/>
          </w:tcPr>
          <w:p w14:paraId="7E9A53E1"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pPr>
            <w:r>
              <w:t>Materials cannot be reused or recycled, and are disposed of in landfill.</w:t>
            </w:r>
          </w:p>
        </w:tc>
        <w:tc>
          <w:tcPr>
            <w:tcW w:w="3633" w:type="dxa"/>
          </w:tcPr>
          <w:p w14:paraId="0190C878"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rPr>
                <w:i/>
                <w:iCs/>
              </w:rPr>
            </w:pPr>
            <w:r w:rsidRPr="646F38C8">
              <w:rPr>
                <w:i/>
                <w:iCs/>
              </w:rPr>
              <w:t>Contaminated soil with no recovery option being sent to landfill.</w:t>
            </w:r>
          </w:p>
        </w:tc>
      </w:tr>
      <w:tr w:rsidR="002963E1" w14:paraId="37C74289" w14:textId="77777777" w:rsidTr="009760B1">
        <w:trPr>
          <w:trHeight w:val="300"/>
        </w:trPr>
        <w:tc>
          <w:tcPr>
            <w:cnfStyle w:val="001000000000" w:firstRow="0" w:lastRow="0" w:firstColumn="1" w:lastColumn="0" w:oddVBand="0" w:evenVBand="0" w:oddHBand="0" w:evenHBand="0" w:firstRowFirstColumn="0" w:firstRowLastColumn="0" w:lastRowFirstColumn="0" w:lastRowLastColumn="0"/>
            <w:tcW w:w="1588" w:type="dxa"/>
          </w:tcPr>
          <w:p w14:paraId="5733F9DA" w14:textId="77777777" w:rsidR="002963E1" w:rsidRDefault="002963E1" w:rsidP="009760B1">
            <w:r w:rsidRPr="646F38C8">
              <w:t>Is a persistent environmental pollutant</w:t>
            </w:r>
          </w:p>
        </w:tc>
        <w:tc>
          <w:tcPr>
            <w:tcW w:w="3794" w:type="dxa"/>
          </w:tcPr>
          <w:p w14:paraId="00050A09"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pPr>
            <w:r>
              <w:t>Materials persist in the environment, could be a pollutant, and there is no plan for them to ever be collected or processed.</w:t>
            </w:r>
          </w:p>
        </w:tc>
        <w:tc>
          <w:tcPr>
            <w:tcW w:w="3633" w:type="dxa"/>
          </w:tcPr>
          <w:p w14:paraId="5C5EB15E" w14:textId="77777777" w:rsidR="002963E1" w:rsidRDefault="002963E1" w:rsidP="009760B1">
            <w:pPr>
              <w:spacing w:before="60" w:after="60"/>
              <w:ind w:right="-144"/>
              <w:cnfStyle w:val="000000000000" w:firstRow="0" w:lastRow="0" w:firstColumn="0" w:lastColumn="0" w:oddVBand="0" w:evenVBand="0" w:oddHBand="0" w:evenHBand="0" w:firstRowFirstColumn="0" w:firstRowLastColumn="0" w:lastRowFirstColumn="0" w:lastRowLastColumn="0"/>
              <w:rPr>
                <w:i/>
                <w:iCs/>
              </w:rPr>
            </w:pPr>
            <w:r w:rsidRPr="646F38C8">
              <w:rPr>
                <w:i/>
                <w:iCs/>
              </w:rPr>
              <w:t>Synthetic turf left in place without an end-of-life plan, allowing microplastic shedding.</w:t>
            </w:r>
          </w:p>
        </w:tc>
      </w:tr>
    </w:tbl>
    <w:p w14:paraId="72504BDF" w14:textId="77777777" w:rsidR="002963E1" w:rsidRDefault="002963E1" w:rsidP="002963E1">
      <w:pPr>
        <w:spacing w:before="240" w:after="240"/>
        <w:rPr>
          <w:rFonts w:eastAsiaTheme="minorEastAsia"/>
          <w:b/>
          <w:bCs/>
        </w:rPr>
      </w:pPr>
    </w:p>
    <w:p w14:paraId="0D7B9C81" w14:textId="77777777" w:rsidR="002963E1" w:rsidRDefault="002963E1" w:rsidP="00047E20">
      <w:pPr>
        <w:pStyle w:val="Heading3"/>
      </w:pPr>
      <w:bookmarkStart w:id="10" w:name="_Toc216876594"/>
      <w:r w:rsidRPr="1D64D8BB">
        <w:t>Considering Mu</w:t>
      </w:r>
      <w:r>
        <w:t>l</w:t>
      </w:r>
      <w:r w:rsidRPr="1D64D8BB">
        <w:t>tiple Materials</w:t>
      </w:r>
      <w:bookmarkEnd w:id="10"/>
    </w:p>
    <w:p w14:paraId="5A2FC951" w14:textId="2D452152" w:rsidR="002963E1" w:rsidRPr="00595115" w:rsidRDefault="002963E1" w:rsidP="002963E1">
      <w:pPr>
        <w:spacing w:before="240" w:after="240"/>
      </w:pPr>
      <w:r w:rsidRPr="00047E20">
        <w:t>Most projects will include many different materials, not just one. You can use the matrix by assessing each material individually, however</w:t>
      </w:r>
      <w:r w:rsidR="0085166B">
        <w:t>,</w:t>
      </w:r>
      <w:r w:rsidRPr="00047E20">
        <w:t xml:space="preserve"> you can also consider multiple materials at once. To use the matrix this way, think about where the largest share of materials (by volume) will most likely fall on the </w:t>
      </w:r>
      <w:r w:rsidRPr="00595115">
        <w:t>axis.</w:t>
      </w:r>
    </w:p>
    <w:p w14:paraId="764B1B10" w14:textId="280F31AB" w:rsidR="002963E1" w:rsidRPr="00047E20" w:rsidRDefault="002963E1" w:rsidP="002963E1">
      <w:r w:rsidRPr="00595115">
        <w:t>For example</w:t>
      </w:r>
      <w:r w:rsidR="00595115">
        <w:rPr>
          <w:b/>
          <w:bCs/>
        </w:rPr>
        <w:t>,</w:t>
      </w:r>
      <w:r w:rsidRPr="00047E20">
        <w:t xml:space="preserve"> a new playground might include recycled plastic seating, steel play equipment, and soft-fall rubber. While some components may be fully recycled at the end of the project, if the bulk of the project materials (like the soft-fall surface) is destined for landfill, the project would be scored at the landfill level. </w:t>
      </w:r>
    </w:p>
    <w:p w14:paraId="312C7226" w14:textId="5033760C" w:rsidR="002963E1" w:rsidRDefault="002963E1" w:rsidP="002963E1">
      <w:r w:rsidRPr="00047E20">
        <w:t>You can often shift a project like this along the axis to achieve a better score by including an end-of-life plan for the majority of the materials used. By considering disposal and reprocessing options early in design, a project can move from a linear outcome to a “Circular-</w:t>
      </w:r>
      <w:proofErr w:type="spellStart"/>
      <w:r w:rsidRPr="00047E20">
        <w:t>ish</w:t>
      </w:r>
      <w:proofErr w:type="spellEnd"/>
      <w:r w:rsidRPr="00047E20">
        <w:t>” or even a closed-loop project.</w:t>
      </w:r>
    </w:p>
    <w:p w14:paraId="1123F9EB" w14:textId="77777777" w:rsidR="002963E1" w:rsidRDefault="002963E1" w:rsidP="00635C86">
      <w:pPr>
        <w:pStyle w:val="Heading3"/>
      </w:pPr>
      <w:bookmarkStart w:id="11" w:name="_Toc216876595"/>
      <w:r>
        <w:t>How do you give yourself a point for designing material / waste out</w:t>
      </w:r>
      <w:bookmarkEnd w:id="11"/>
    </w:p>
    <w:p w14:paraId="2C37653E" w14:textId="77777777" w:rsidR="002963E1" w:rsidRDefault="002963E1" w:rsidP="002963E1">
      <w:r>
        <w:t>There are a range of techniques and approaches that can be applied to create Circular outcomes. One way of understanding these is the Circularity Deck, developed by Jan Konietzko. These are framed as either Narrowing, Slowing or Closing material flows, along with Regenerating nature and using a data-informed approach.</w:t>
      </w:r>
    </w:p>
    <w:p w14:paraId="6433D031" w14:textId="77777777" w:rsidR="002963E1" w:rsidRPr="002A340F" w:rsidRDefault="002963E1" w:rsidP="0085166B">
      <w:pPr>
        <w:pStyle w:val="Heading6"/>
      </w:pPr>
      <w:r w:rsidRPr="002A340F">
        <w:t xml:space="preserve">Figure </w:t>
      </w:r>
      <w:r>
        <w:t>4</w:t>
      </w:r>
      <w:r w:rsidRPr="002A340F">
        <w:t>: Circular Economy</w:t>
      </w:r>
      <w:r>
        <w:t xml:space="preserve"> approaches</w:t>
      </w:r>
    </w:p>
    <w:p w14:paraId="32C6CB62" w14:textId="77777777" w:rsidR="002963E1" w:rsidRDefault="002963E1" w:rsidP="002963E1">
      <w:pPr>
        <w:jc w:val="center"/>
      </w:pPr>
      <w:r w:rsidRPr="0060165A">
        <w:rPr>
          <w:noProof/>
        </w:rPr>
        <w:drawing>
          <wp:inline distT="0" distB="0" distL="0" distR="0" wp14:anchorId="3DB87F38" wp14:editId="2AA19681">
            <wp:extent cx="2713767" cy="2727298"/>
            <wp:effectExtent l="0" t="0" r="0" b="0"/>
            <wp:docPr id="400156939" name="Picture 1" descr="A diagram of a flow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56939" name="Picture 1" descr="A diagram of a flow chart&#10;&#10;AI-generated content may be incorrect."/>
                    <pic:cNvPicPr/>
                  </pic:nvPicPr>
                  <pic:blipFill>
                    <a:blip r:embed="rId27" cstate="screen">
                      <a:extLst>
                        <a:ext uri="{28A0092B-C50C-407E-A947-70E740481C1C}">
                          <a14:useLocalDpi xmlns:a14="http://schemas.microsoft.com/office/drawing/2010/main"/>
                        </a:ext>
                      </a:extLst>
                    </a:blip>
                    <a:stretch>
                      <a:fillRect/>
                    </a:stretch>
                  </pic:blipFill>
                  <pic:spPr>
                    <a:xfrm>
                      <a:off x="0" y="0"/>
                      <a:ext cx="2722563" cy="2736138"/>
                    </a:xfrm>
                    <a:prstGeom prst="rect">
                      <a:avLst/>
                    </a:prstGeom>
                  </pic:spPr>
                </pic:pic>
              </a:graphicData>
            </a:graphic>
          </wp:inline>
        </w:drawing>
      </w:r>
    </w:p>
    <w:p w14:paraId="0F753171" w14:textId="77777777" w:rsidR="002963E1" w:rsidRPr="00B43C95" w:rsidRDefault="002963E1" w:rsidP="002963E1">
      <w:pPr>
        <w:rPr>
          <w:b/>
          <w:bCs/>
          <w:sz w:val="16"/>
          <w:szCs w:val="16"/>
        </w:rPr>
      </w:pPr>
      <w:r w:rsidRPr="00B43C95">
        <w:rPr>
          <w:b/>
          <w:bCs/>
          <w:sz w:val="16"/>
          <w:szCs w:val="16"/>
        </w:rPr>
        <w:t>Credit: Jan Konietzko – Circularity Deck</w:t>
      </w:r>
    </w:p>
    <w:p w14:paraId="1DF6706E" w14:textId="77777777" w:rsidR="002963E1" w:rsidRPr="00C3125D" w:rsidRDefault="002963E1" w:rsidP="002963E1">
      <w:r>
        <w:t>To award a bonus point, approaches that “Narrow” or “Slow” material flows should be used.</w:t>
      </w:r>
    </w:p>
    <w:p w14:paraId="1243DE2A" w14:textId="77777777" w:rsidR="002963E1" w:rsidRPr="002A340F" w:rsidRDefault="002963E1" w:rsidP="0085166B">
      <w:pPr>
        <w:pStyle w:val="Heading6"/>
      </w:pPr>
      <w:r w:rsidRPr="002A340F">
        <w:t xml:space="preserve">Figure </w:t>
      </w:r>
      <w:r>
        <w:t>5</w:t>
      </w:r>
      <w:r w:rsidRPr="002A340F">
        <w:t>: Circular</w:t>
      </w:r>
      <w:r>
        <w:t>ity Deck – Narrow and Slow</w:t>
      </w:r>
    </w:p>
    <w:p w14:paraId="50AEBF8F" w14:textId="77777777" w:rsidR="002963E1" w:rsidRDefault="002963E1" w:rsidP="002963E1">
      <w:pPr>
        <w:jc w:val="center"/>
      </w:pPr>
      <w:r w:rsidRPr="0095543C">
        <w:rPr>
          <w:noProof/>
        </w:rPr>
        <w:drawing>
          <wp:inline distT="0" distB="0" distL="0" distR="0" wp14:anchorId="03CC6EB3" wp14:editId="1417ACEE">
            <wp:extent cx="2915285" cy="2098675"/>
            <wp:effectExtent l="0" t="0" r="0" b="0"/>
            <wp:docPr id="742183929"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83929" name="Picture 1" descr="A close-up of a sign&#10;&#10;AI-generated content may be incorrect."/>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915285" cy="2098675"/>
                    </a:xfrm>
                    <a:prstGeom prst="rect">
                      <a:avLst/>
                    </a:prstGeom>
                    <a:noFill/>
                    <a:ln>
                      <a:noFill/>
                    </a:ln>
                  </pic:spPr>
                </pic:pic>
              </a:graphicData>
            </a:graphic>
          </wp:inline>
        </w:drawing>
      </w:r>
    </w:p>
    <w:p w14:paraId="5AF7A3AB" w14:textId="77777777" w:rsidR="002963E1" w:rsidRPr="00B43C95" w:rsidRDefault="002963E1" w:rsidP="002963E1">
      <w:pPr>
        <w:rPr>
          <w:b/>
          <w:bCs/>
          <w:sz w:val="16"/>
          <w:szCs w:val="16"/>
        </w:rPr>
      </w:pPr>
      <w:r w:rsidRPr="00B43C95">
        <w:rPr>
          <w:b/>
          <w:bCs/>
          <w:sz w:val="16"/>
          <w:szCs w:val="16"/>
        </w:rPr>
        <w:t>Credit: Jan Konietzko – Circularity Deck</w:t>
      </w:r>
    </w:p>
    <w:p w14:paraId="694EC557" w14:textId="77777777" w:rsidR="002963E1" w:rsidRDefault="002963E1" w:rsidP="002963E1">
      <w:r>
        <w:t>In the circular economy, the "narrow" principle, also known as "narrow loops", refers to reducing the overall volume of materials and energy used in product design and manufacturing to minimise resource consumption and waste. This involves strategies such as designing products to use fewer components, selecting efficient and low-impact materials, reducing energy use, and minimising the number of steps in a product's supply chain.</w:t>
      </w:r>
    </w:p>
    <w:p w14:paraId="0DF57BDE" w14:textId="4851B6C9" w:rsidR="002963E1" w:rsidRDefault="002963E1" w:rsidP="002963E1">
      <w:r>
        <w:t>For example</w:t>
      </w:r>
      <w:r w:rsidR="00595115">
        <w:t xml:space="preserve">, </w:t>
      </w:r>
      <w:r>
        <w:t xml:space="preserve">when selecting a seat, think about any </w:t>
      </w:r>
      <w:r w:rsidR="00171FCC">
        <w:t xml:space="preserve">plastic </w:t>
      </w:r>
      <w:r>
        <w:t xml:space="preserve">parts that </w:t>
      </w:r>
      <w:r w:rsidR="00595115">
        <w:t>are</w:t>
      </w:r>
      <w:r>
        <w:t xml:space="preserve"> not easily taken apart and</w:t>
      </w:r>
      <w:r w:rsidR="00595115">
        <w:t>/or</w:t>
      </w:r>
      <w:r>
        <w:t xml:space="preserve"> reused/recycled at its end of life.  </w:t>
      </w:r>
    </w:p>
    <w:p w14:paraId="1D9D9E49" w14:textId="77777777" w:rsidR="002963E1" w:rsidRDefault="002963E1" w:rsidP="002963E1">
      <w:r>
        <w:t>The "slow" principle of circular economy emphasises extending the lifespan of products and materials to keep them in use for longer, thereby reducing the need for constant replacement and minimising resource depletion and waste. This principle involves designing out waste by creating high-quality, durable, and repairable products, promoting a culture of slowing consumption patterns.</w:t>
      </w:r>
    </w:p>
    <w:p w14:paraId="42CE178F" w14:textId="0432CB8E" w:rsidR="002963E1" w:rsidRDefault="002963E1" w:rsidP="002963E1">
      <w:r>
        <w:t>For example, when selecting a seat, replacing plastic parts with high-quality metal supports will improve its longevity as they are stronger. The upfront cost of the material often is justifiable when maintenance and asset life are considered.</w:t>
      </w:r>
    </w:p>
    <w:p w14:paraId="776A95E6" w14:textId="4CF8B1CE" w:rsidR="002963E1" w:rsidRDefault="002963E1" w:rsidP="002963E1">
      <w:r>
        <w:t xml:space="preserve">A full description of the Circularity approaches can be found </w:t>
      </w:r>
      <w:r w:rsidR="00B9709A">
        <w:t xml:space="preserve">at </w:t>
      </w:r>
      <w:hyperlink r:id="rId29" w:history="1">
        <w:r w:rsidRPr="001F5EB6">
          <w:rPr>
            <w:rStyle w:val="Hyperlink"/>
          </w:rPr>
          <w:t>www.circularitydeck.com</w:t>
        </w:r>
      </w:hyperlink>
    </w:p>
    <w:p w14:paraId="4F05874C" w14:textId="77777777" w:rsidR="002963E1" w:rsidRDefault="002963E1" w:rsidP="002963E1"/>
    <w:p w14:paraId="22245A6F" w14:textId="77777777" w:rsidR="002963E1" w:rsidRDefault="002963E1" w:rsidP="002963E1"/>
    <w:p w14:paraId="67AE1669" w14:textId="77777777" w:rsidR="002963E1" w:rsidRDefault="002963E1" w:rsidP="002963E1">
      <w:pPr>
        <w:rPr>
          <w:rFonts w:asciiTheme="majorHAnsi" w:eastAsiaTheme="majorEastAsia" w:hAnsiTheme="majorHAnsi" w:cstheme="majorBidi"/>
          <w:color w:val="61932E" w:themeColor="accent1" w:themeShade="BF"/>
          <w:sz w:val="32"/>
          <w:szCs w:val="32"/>
        </w:rPr>
      </w:pPr>
      <w:r>
        <w:br w:type="page"/>
      </w:r>
    </w:p>
    <w:p w14:paraId="1C9E9BEE" w14:textId="77777777" w:rsidR="002963E1" w:rsidRDefault="002963E1" w:rsidP="002963E1">
      <w:pPr>
        <w:pStyle w:val="Heading1"/>
      </w:pPr>
      <w:bookmarkStart w:id="12" w:name="_Toc216876596"/>
      <w:r>
        <w:t>Case Studies</w:t>
      </w:r>
      <w:bookmarkEnd w:id="12"/>
    </w:p>
    <w:tbl>
      <w:tblPr>
        <w:tblStyle w:val="TableGrid"/>
        <w:tblW w:w="0" w:type="auto"/>
        <w:shd w:val="clear" w:color="auto" w:fill="D9D9D9" w:themeFill="background1" w:themeFillShade="D9"/>
        <w:tblLook w:val="04A0" w:firstRow="1" w:lastRow="0" w:firstColumn="1" w:lastColumn="0" w:noHBand="0" w:noVBand="1"/>
      </w:tblPr>
      <w:tblGrid>
        <w:gridCol w:w="9016"/>
      </w:tblGrid>
      <w:tr w:rsidR="002963E1" w14:paraId="1863FA6E" w14:textId="77777777" w:rsidTr="009760B1">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tbl>
            <w:tblPr>
              <w:tblStyle w:val="TableGrid"/>
              <w:tblW w:w="0" w:type="auto"/>
              <w:shd w:val="clear" w:color="auto" w:fill="D9D9D9" w:themeFill="background1" w:themeFillShade="D9"/>
              <w:tblLook w:val="04A0" w:firstRow="1" w:lastRow="0" w:firstColumn="1" w:lastColumn="0" w:noHBand="0" w:noVBand="1"/>
            </w:tblPr>
            <w:tblGrid>
              <w:gridCol w:w="8790"/>
            </w:tblGrid>
            <w:tr w:rsidR="002963E1" w14:paraId="06D20749" w14:textId="77777777" w:rsidTr="009760B1">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0AE84" w14:textId="77777777" w:rsidR="002963E1" w:rsidRDefault="002963E1" w:rsidP="009760B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5598"/>
                  </w:tblGrid>
                  <w:tr w:rsidR="002963E1" w14:paraId="23E4986F" w14:textId="77777777" w:rsidTr="009760B1">
                    <w:tc>
                      <w:tcPr>
                        <w:tcW w:w="2860" w:type="dxa"/>
                        <w:hideMark/>
                      </w:tcPr>
                      <w:p w14:paraId="5FC3A224" w14:textId="77777777" w:rsidR="002963E1" w:rsidRDefault="002963E1" w:rsidP="009760B1">
                        <w:r>
                          <w:rPr>
                            <w:noProof/>
                          </w:rPr>
                          <w:drawing>
                            <wp:inline distT="0" distB="0" distL="0" distR="0" wp14:anchorId="535718AB" wp14:editId="4F5A454A">
                              <wp:extent cx="1747520" cy="1168400"/>
                              <wp:effectExtent l="0" t="0" r="5080" b="0"/>
                              <wp:docPr id="1794118537" name="Picture 3" descr="A building with a sig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uilding with a sign on it&#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47520" cy="1168400"/>
                                      </a:xfrm>
                                      <a:prstGeom prst="rect">
                                        <a:avLst/>
                                      </a:prstGeom>
                                      <a:noFill/>
                                      <a:ln>
                                        <a:noFill/>
                                      </a:ln>
                                    </pic:spPr>
                                  </pic:pic>
                                </a:graphicData>
                              </a:graphic>
                            </wp:inline>
                          </w:drawing>
                        </w:r>
                      </w:p>
                    </w:tc>
                    <w:tc>
                      <w:tcPr>
                        <w:tcW w:w="5930" w:type="dxa"/>
                      </w:tcPr>
                      <w:p w14:paraId="6F303503" w14:textId="77777777" w:rsidR="002963E1" w:rsidRDefault="002963E1" w:rsidP="009760B1">
                        <w:r>
                          <w:rPr>
                            <w:b/>
                            <w:bCs/>
                          </w:rPr>
                          <w:t>Project:</w:t>
                        </w:r>
                        <w:r>
                          <w:t xml:space="preserve"> </w:t>
                        </w:r>
                        <w:r>
                          <w:rPr>
                            <w:i/>
                            <w:iCs/>
                          </w:rPr>
                          <w:t>Brunswick Mechanics Institute Forecourt Upgrade</w:t>
                        </w:r>
                      </w:p>
                      <w:p w14:paraId="276EB08C" w14:textId="77777777" w:rsidR="002963E1" w:rsidRDefault="002963E1" w:rsidP="009760B1"/>
                      <w:p w14:paraId="5C77B975" w14:textId="77777777" w:rsidR="002963E1" w:rsidRDefault="002963E1" w:rsidP="009760B1">
                        <w:r>
                          <w:rPr>
                            <w:b/>
                            <w:bCs/>
                          </w:rPr>
                          <w:t>CE Strategy:</w:t>
                        </w:r>
                        <w:r>
                          <w:t xml:space="preserve">  The construction upgrade of the small forecourt reuses materials on site and uses high-quality materials that will last long for the public space.</w:t>
                        </w:r>
                      </w:p>
                      <w:p w14:paraId="7812AC18" w14:textId="77777777" w:rsidR="002963E1" w:rsidRDefault="002963E1" w:rsidP="009760B1"/>
                      <w:p w14:paraId="7F6118D0" w14:textId="77777777" w:rsidR="002963E1" w:rsidRDefault="002963E1" w:rsidP="009760B1">
                        <w:r>
                          <w:rPr>
                            <w:b/>
                            <w:bCs/>
                          </w:rPr>
                          <w:t xml:space="preserve">List of materials:  </w:t>
                        </w:r>
                        <w:r>
                          <w:t>Bluestone, asphalt footpath, crushed rock base, brick footpath, custom seats from timber, steel drinking fountain, timber decking, metal planters, Corten steel tree pit grate, imported bluestone paving, retained monument, old seat reuse.</w:t>
                        </w:r>
                      </w:p>
                      <w:p w14:paraId="4B01ECC1" w14:textId="77777777" w:rsidR="002963E1" w:rsidRDefault="002963E1" w:rsidP="009760B1"/>
                    </w:tc>
                  </w:tr>
                </w:tbl>
                <w:p w14:paraId="13B89885" w14:textId="77777777" w:rsidR="002963E1" w:rsidRDefault="002963E1" w:rsidP="009760B1"/>
                <w:p w14:paraId="2BBFD0A7" w14:textId="77777777" w:rsidR="002963E1" w:rsidRDefault="002963E1" w:rsidP="009760B1">
                  <w:r>
                    <w:rPr>
                      <w:noProof/>
                    </w:rPr>
                    <w:drawing>
                      <wp:inline distT="0" distB="0" distL="0" distR="0" wp14:anchorId="55211AAC" wp14:editId="6B51E6AC">
                        <wp:extent cx="5532120" cy="5176520"/>
                        <wp:effectExtent l="0" t="0" r="0" b="5080"/>
                        <wp:docPr id="21234597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5979" name="Picture 2" descr="A screenshot of a computer&#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r="39748"/>
                                <a:stretch>
                                  <a:fillRect/>
                                </a:stretch>
                              </pic:blipFill>
                              <pic:spPr bwMode="auto">
                                <a:xfrm>
                                  <a:off x="0" y="0"/>
                                  <a:ext cx="5532120" cy="5176520"/>
                                </a:xfrm>
                                <a:prstGeom prst="rect">
                                  <a:avLst/>
                                </a:prstGeom>
                                <a:noFill/>
                                <a:ln>
                                  <a:noFill/>
                                </a:ln>
                              </pic:spPr>
                            </pic:pic>
                          </a:graphicData>
                        </a:graphic>
                      </wp:inline>
                    </w:drawing>
                  </w:r>
                </w:p>
                <w:p w14:paraId="78B46231" w14:textId="77777777" w:rsidR="002963E1" w:rsidRDefault="002963E1" w:rsidP="009760B1"/>
                <w:p w14:paraId="3B27F59A" w14:textId="77777777" w:rsidR="002963E1" w:rsidRDefault="002963E1" w:rsidP="009760B1">
                  <w:pPr>
                    <w:jc w:val="center"/>
                  </w:pPr>
                  <w:r>
                    <w:rPr>
                      <w:noProof/>
                    </w:rPr>
                    <w:drawing>
                      <wp:inline distT="0" distB="0" distL="0" distR="0" wp14:anchorId="62A339B7" wp14:editId="400B47E0">
                        <wp:extent cx="4541520" cy="5212080"/>
                        <wp:effectExtent l="0" t="0" r="0" b="7620"/>
                        <wp:docPr id="13501135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13551" name="Picture 1" descr="A screenshot of a computer&#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l="59479" t="17329"/>
                                <a:stretch>
                                  <a:fillRect/>
                                </a:stretch>
                              </pic:blipFill>
                              <pic:spPr bwMode="auto">
                                <a:xfrm>
                                  <a:off x="0" y="0"/>
                                  <a:ext cx="4541520" cy="5212080"/>
                                </a:xfrm>
                                <a:prstGeom prst="rect">
                                  <a:avLst/>
                                </a:prstGeom>
                                <a:noFill/>
                                <a:ln>
                                  <a:noFill/>
                                </a:ln>
                              </pic:spPr>
                            </pic:pic>
                          </a:graphicData>
                        </a:graphic>
                      </wp:inline>
                    </w:drawing>
                  </w:r>
                </w:p>
                <w:p w14:paraId="0705DBE8" w14:textId="77777777" w:rsidR="002963E1" w:rsidRDefault="002963E1" w:rsidP="009760B1"/>
              </w:tc>
            </w:tr>
          </w:tbl>
          <w:p w14:paraId="426E313E" w14:textId="77777777" w:rsidR="002963E1" w:rsidRDefault="002963E1" w:rsidP="009760B1"/>
        </w:tc>
      </w:tr>
    </w:tbl>
    <w:p w14:paraId="09E05443" w14:textId="77777777" w:rsidR="00194AD5" w:rsidRDefault="00194AD5" w:rsidP="002963E1">
      <w:pPr>
        <w:sectPr w:rsidR="00194AD5" w:rsidSect="002963E1">
          <w:headerReference w:type="default" r:id="rId32"/>
          <w:footerReference w:type="even" r:id="rId33"/>
          <w:footerReference w:type="default" r:id="rId34"/>
          <w:footerReference w:type="first" r:id="rId35"/>
          <w:pgSz w:w="11906" w:h="16838"/>
          <w:pgMar w:top="1701" w:right="1440" w:bottom="1440" w:left="1440" w:header="708" w:footer="708" w:gutter="0"/>
          <w:pgNumType w:start="0"/>
          <w:cols w:space="708"/>
          <w:titlePg/>
          <w:docGrid w:linePitch="360"/>
        </w:sectPr>
      </w:pPr>
    </w:p>
    <w:p w14:paraId="490F1E3F" w14:textId="7CBCC703" w:rsidR="00516A52" w:rsidRPr="00B87972" w:rsidRDefault="00516A52" w:rsidP="00B87972">
      <w:bookmarkStart w:id="13" w:name="_Toc216876597"/>
      <w:r w:rsidRPr="00B87972">
        <w:rPr>
          <w:rStyle w:val="Heading1Char"/>
        </w:rPr>
        <w:t>Appendix 1: Circularity Deck Principles</w:t>
      </w:r>
      <w:bookmarkEnd w:id="13"/>
      <w:r w:rsidR="00B87972">
        <w:br/>
      </w:r>
      <w:r w:rsidR="00B87972">
        <w:br/>
        <w:t xml:space="preserve">A full description of the Circularity approaches can be found at </w:t>
      </w:r>
      <w:hyperlink r:id="rId36" w:history="1">
        <w:r w:rsidR="00B87972" w:rsidRPr="001F5EB6">
          <w:rPr>
            <w:rStyle w:val="Hyperlink"/>
          </w:rPr>
          <w:t>www.circularitydeck.com</w:t>
        </w:r>
      </w:hyperlink>
    </w:p>
    <w:p w14:paraId="2AA69135" w14:textId="77777777" w:rsidR="00516A52" w:rsidRPr="00EE064F" w:rsidRDefault="00516A52" w:rsidP="002963E1">
      <w:pPr>
        <w:rPr>
          <w:rFonts w:cs="Arial"/>
          <w:b/>
          <w:bCs/>
          <w:color w:val="222222"/>
          <w:szCs w:val="20"/>
        </w:rPr>
      </w:pPr>
    </w:p>
    <w:tbl>
      <w:tblPr>
        <w:tblStyle w:val="TableGrid"/>
        <w:tblW w:w="13887" w:type="dxa"/>
        <w:tblLook w:val="04A0" w:firstRow="1" w:lastRow="0" w:firstColumn="1" w:lastColumn="0" w:noHBand="0" w:noVBand="1"/>
      </w:tblPr>
      <w:tblGrid>
        <w:gridCol w:w="1053"/>
        <w:gridCol w:w="1633"/>
        <w:gridCol w:w="1838"/>
        <w:gridCol w:w="9363"/>
      </w:tblGrid>
      <w:tr w:rsidR="002963E1" w:rsidRPr="00DB28B2" w14:paraId="44FA7E3F" w14:textId="77777777" w:rsidTr="009760B1">
        <w:trPr>
          <w:tblHeader/>
        </w:trPr>
        <w:tc>
          <w:tcPr>
            <w:tcW w:w="1053" w:type="dxa"/>
            <w:tcBorders>
              <w:top w:val="single" w:sz="6" w:space="0" w:color="auto"/>
              <w:bottom w:val="single" w:sz="6" w:space="0" w:color="auto"/>
            </w:tcBorders>
            <w:shd w:val="clear" w:color="auto" w:fill="EAF3DE" w:themeFill="accent6" w:themeFillTint="66"/>
            <w:vAlign w:val="center"/>
          </w:tcPr>
          <w:p w14:paraId="24305106" w14:textId="77777777" w:rsidR="002963E1" w:rsidRPr="00DB28B2" w:rsidRDefault="002963E1" w:rsidP="009760B1">
            <w:pPr>
              <w:rPr>
                <w:sz w:val="16"/>
                <w:szCs w:val="16"/>
              </w:rPr>
            </w:pPr>
            <w:r w:rsidRPr="00DB28B2">
              <w:rPr>
                <w:rFonts w:cs="Arial"/>
                <w:b/>
                <w:bCs/>
                <w:color w:val="222222"/>
                <w:sz w:val="16"/>
                <w:szCs w:val="16"/>
              </w:rPr>
              <w:t>Circular Strategy</w:t>
            </w:r>
          </w:p>
        </w:tc>
        <w:tc>
          <w:tcPr>
            <w:tcW w:w="1633" w:type="dxa"/>
            <w:tcBorders>
              <w:top w:val="single" w:sz="6" w:space="0" w:color="auto"/>
              <w:bottom w:val="single" w:sz="6" w:space="0" w:color="auto"/>
            </w:tcBorders>
            <w:shd w:val="clear" w:color="auto" w:fill="EAF3DE" w:themeFill="accent6" w:themeFillTint="66"/>
            <w:vAlign w:val="center"/>
          </w:tcPr>
          <w:p w14:paraId="6CA11EC8" w14:textId="77777777" w:rsidR="002963E1" w:rsidRPr="00DB28B2" w:rsidRDefault="002963E1" w:rsidP="009760B1">
            <w:pPr>
              <w:rPr>
                <w:sz w:val="16"/>
                <w:szCs w:val="16"/>
              </w:rPr>
            </w:pPr>
            <w:r w:rsidRPr="00DB28B2">
              <w:rPr>
                <w:rFonts w:cs="Arial"/>
                <w:b/>
                <w:bCs/>
                <w:color w:val="222222"/>
                <w:sz w:val="16"/>
                <w:szCs w:val="16"/>
              </w:rPr>
              <w:t xml:space="preserve">Circular Principle </w:t>
            </w:r>
          </w:p>
        </w:tc>
        <w:tc>
          <w:tcPr>
            <w:tcW w:w="1838" w:type="dxa"/>
            <w:tcBorders>
              <w:top w:val="single" w:sz="4" w:space="0" w:color="auto"/>
              <w:bottom w:val="single" w:sz="4" w:space="0" w:color="auto"/>
            </w:tcBorders>
            <w:shd w:val="clear" w:color="auto" w:fill="EAF3DE" w:themeFill="accent6" w:themeFillTint="66"/>
            <w:vAlign w:val="center"/>
          </w:tcPr>
          <w:p w14:paraId="7C26C30F" w14:textId="77777777" w:rsidR="002963E1" w:rsidRPr="00DB28B2" w:rsidRDefault="002963E1" w:rsidP="009760B1">
            <w:pPr>
              <w:rPr>
                <w:sz w:val="16"/>
                <w:szCs w:val="16"/>
              </w:rPr>
            </w:pPr>
            <w:r w:rsidRPr="00DB28B2">
              <w:rPr>
                <w:rFonts w:cs="Arial"/>
                <w:b/>
                <w:bCs/>
                <w:color w:val="222222"/>
                <w:sz w:val="16"/>
                <w:szCs w:val="16"/>
              </w:rPr>
              <w:t>Required Innovation Perspective</w:t>
            </w:r>
          </w:p>
        </w:tc>
        <w:tc>
          <w:tcPr>
            <w:tcW w:w="9363" w:type="dxa"/>
            <w:tcBorders>
              <w:top w:val="single" w:sz="6" w:space="0" w:color="auto"/>
              <w:bottom w:val="single" w:sz="6" w:space="0" w:color="auto"/>
            </w:tcBorders>
            <w:shd w:val="clear" w:color="auto" w:fill="EAF3DE" w:themeFill="accent6" w:themeFillTint="66"/>
            <w:vAlign w:val="center"/>
          </w:tcPr>
          <w:p w14:paraId="7615FF92" w14:textId="77777777" w:rsidR="002963E1" w:rsidRPr="00DB28B2" w:rsidRDefault="002963E1" w:rsidP="009760B1">
            <w:pPr>
              <w:rPr>
                <w:sz w:val="16"/>
                <w:szCs w:val="16"/>
              </w:rPr>
            </w:pPr>
            <w:r w:rsidRPr="00DB28B2">
              <w:rPr>
                <w:rFonts w:cs="Arial"/>
                <w:b/>
                <w:bCs/>
                <w:color w:val="222222"/>
                <w:sz w:val="16"/>
                <w:szCs w:val="16"/>
              </w:rPr>
              <w:t>Description and Example</w:t>
            </w:r>
          </w:p>
        </w:tc>
      </w:tr>
      <w:tr w:rsidR="002963E1" w:rsidRPr="00DB28B2" w14:paraId="61DC88D9" w14:textId="77777777" w:rsidTr="009760B1">
        <w:tc>
          <w:tcPr>
            <w:tcW w:w="1053" w:type="dxa"/>
            <w:shd w:val="clear" w:color="auto" w:fill="B8FFEA" w:themeFill="accent2" w:themeFillTint="33"/>
            <w:vAlign w:val="center"/>
          </w:tcPr>
          <w:p w14:paraId="58CA1A9D"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5C6BF02B" w14:textId="77777777" w:rsidR="002963E1" w:rsidRPr="00DB28B2" w:rsidRDefault="002963E1" w:rsidP="009760B1">
            <w:pPr>
              <w:jc w:val="center"/>
              <w:rPr>
                <w:sz w:val="16"/>
                <w:szCs w:val="16"/>
              </w:rPr>
            </w:pPr>
            <w:r w:rsidRPr="00DB28B2">
              <w:rPr>
                <w:rFonts w:cs="Arial"/>
                <w:color w:val="222222"/>
                <w:sz w:val="16"/>
                <w:szCs w:val="16"/>
              </w:rPr>
              <w:t>Design with low-impact inputs</w:t>
            </w:r>
          </w:p>
        </w:tc>
        <w:tc>
          <w:tcPr>
            <w:tcW w:w="1838" w:type="dxa"/>
            <w:tcBorders>
              <w:top w:val="single" w:sz="4" w:space="0" w:color="auto"/>
            </w:tcBorders>
            <w:shd w:val="clear" w:color="auto" w:fill="B8FFEA" w:themeFill="accent2" w:themeFillTint="33"/>
            <w:vAlign w:val="center"/>
          </w:tcPr>
          <w:p w14:paraId="33E99A7B" w14:textId="77777777" w:rsidR="002963E1" w:rsidRPr="00DB28B2" w:rsidRDefault="002963E1" w:rsidP="009760B1">
            <w:pPr>
              <w:jc w:val="center"/>
              <w:rPr>
                <w:sz w:val="16"/>
                <w:szCs w:val="16"/>
              </w:rPr>
            </w:pPr>
            <w:r w:rsidRPr="00DB28B2">
              <w:rPr>
                <w:rFonts w:cs="Arial"/>
                <w:color w:val="222222"/>
                <w:sz w:val="16"/>
                <w:szCs w:val="16"/>
              </w:rPr>
              <w:t>Product</w:t>
            </w:r>
          </w:p>
        </w:tc>
        <w:tc>
          <w:tcPr>
            <w:tcW w:w="9363" w:type="dxa"/>
            <w:shd w:val="clear" w:color="auto" w:fill="B8FFEA" w:themeFill="accent2" w:themeFillTint="33"/>
            <w:vAlign w:val="center"/>
          </w:tcPr>
          <w:p w14:paraId="23D83A0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with ‘ingredients’ and materials that require less land, energy, water and/or materials to produce. </w:t>
            </w:r>
          </w:p>
          <w:p w14:paraId="3935D942" w14:textId="77777777" w:rsidR="002963E1" w:rsidRPr="00DB28B2" w:rsidRDefault="002963E1" w:rsidP="009760B1">
            <w:pPr>
              <w:spacing w:before="120" w:after="120"/>
              <w:rPr>
                <w:i/>
                <w:iCs/>
                <w:sz w:val="16"/>
                <w:szCs w:val="16"/>
              </w:rPr>
            </w:pPr>
            <w:r w:rsidRPr="00DB28B2">
              <w:rPr>
                <w:rFonts w:cs="Arial"/>
                <w:i/>
                <w:iCs/>
                <w:color w:val="222222"/>
                <w:sz w:val="16"/>
                <w:szCs w:val="16"/>
              </w:rPr>
              <w:t>The company Impossible Foods has designed a ‘meaty’ plant-based burger. Compared to the beef version, it requires ca. 7 m</w:t>
            </w:r>
            <w:r w:rsidRPr="00DB28B2">
              <w:rPr>
                <w:rFonts w:cs="Arial"/>
                <w:i/>
                <w:iCs/>
                <w:color w:val="222222"/>
                <w:sz w:val="16"/>
                <w:szCs w:val="16"/>
                <w:vertAlign w:val="superscript"/>
              </w:rPr>
              <w:t>2</w:t>
            </w:r>
            <w:r w:rsidRPr="00DB28B2">
              <w:rPr>
                <w:rFonts w:cs="Arial"/>
                <w:i/>
                <w:iCs/>
                <w:color w:val="222222"/>
                <w:sz w:val="16"/>
                <w:szCs w:val="16"/>
              </w:rPr>
              <w:t> less land, 300 L less water and 5 kg less CO</w:t>
            </w:r>
            <w:r w:rsidRPr="00DB28B2">
              <w:rPr>
                <w:rFonts w:cs="Arial"/>
                <w:i/>
                <w:iCs/>
                <w:color w:val="222222"/>
                <w:sz w:val="16"/>
                <w:szCs w:val="16"/>
                <w:vertAlign w:val="subscript"/>
              </w:rPr>
              <w:t>2</w:t>
            </w:r>
            <w:r w:rsidRPr="00DB28B2">
              <w:rPr>
                <w:rFonts w:cs="Arial"/>
                <w:i/>
                <w:iCs/>
                <w:color w:val="222222"/>
                <w:sz w:val="16"/>
                <w:szCs w:val="16"/>
              </w:rPr>
              <w:t> than the meat-based alternative.</w:t>
            </w:r>
          </w:p>
        </w:tc>
      </w:tr>
      <w:tr w:rsidR="002963E1" w:rsidRPr="00DB28B2" w14:paraId="52745A1D" w14:textId="77777777" w:rsidTr="009760B1">
        <w:tc>
          <w:tcPr>
            <w:tcW w:w="1053" w:type="dxa"/>
            <w:shd w:val="clear" w:color="auto" w:fill="B8FFEA" w:themeFill="accent2" w:themeFillTint="33"/>
            <w:vAlign w:val="center"/>
          </w:tcPr>
          <w:p w14:paraId="647ADECC"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58C21C83" w14:textId="77777777" w:rsidR="002963E1" w:rsidRPr="00DB28B2" w:rsidRDefault="002963E1" w:rsidP="009760B1">
            <w:pPr>
              <w:jc w:val="center"/>
              <w:rPr>
                <w:sz w:val="16"/>
                <w:szCs w:val="16"/>
              </w:rPr>
            </w:pPr>
            <w:r w:rsidRPr="00DB28B2">
              <w:rPr>
                <w:rFonts w:cs="Arial"/>
                <w:color w:val="222222"/>
                <w:sz w:val="16"/>
                <w:szCs w:val="16"/>
              </w:rPr>
              <w:t>Design light-weight products</w:t>
            </w:r>
          </w:p>
        </w:tc>
        <w:tc>
          <w:tcPr>
            <w:tcW w:w="1838" w:type="dxa"/>
            <w:shd w:val="clear" w:color="auto" w:fill="B8FFEA" w:themeFill="accent2" w:themeFillTint="33"/>
            <w:vAlign w:val="center"/>
          </w:tcPr>
          <w:p w14:paraId="29CCB6B7" w14:textId="77777777" w:rsidR="002963E1" w:rsidRPr="00DB28B2" w:rsidRDefault="002963E1" w:rsidP="009760B1">
            <w:pPr>
              <w:jc w:val="center"/>
              <w:rPr>
                <w:sz w:val="16"/>
                <w:szCs w:val="16"/>
              </w:rPr>
            </w:pPr>
            <w:r w:rsidRPr="00DB28B2">
              <w:rPr>
                <w:rFonts w:cs="Arial"/>
                <w:color w:val="222222"/>
                <w:sz w:val="16"/>
                <w:szCs w:val="16"/>
              </w:rPr>
              <w:t>Product</w:t>
            </w:r>
          </w:p>
        </w:tc>
        <w:tc>
          <w:tcPr>
            <w:tcW w:w="9363" w:type="dxa"/>
            <w:shd w:val="clear" w:color="auto" w:fill="B8FFEA" w:themeFill="accent2" w:themeFillTint="33"/>
            <w:vAlign w:val="center"/>
          </w:tcPr>
          <w:p w14:paraId="2D8A5E4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that are lighter than comparable products on the market. Lighter products usually require less materials and need less energy to transport. </w:t>
            </w:r>
          </w:p>
          <w:p w14:paraId="304E99F0" w14:textId="77777777" w:rsidR="002963E1" w:rsidRPr="00DB28B2" w:rsidRDefault="002963E1" w:rsidP="009760B1">
            <w:pPr>
              <w:spacing w:before="120" w:after="120"/>
              <w:rPr>
                <w:sz w:val="16"/>
                <w:szCs w:val="16"/>
              </w:rPr>
            </w:pPr>
            <w:r w:rsidRPr="00DB28B2">
              <w:rPr>
                <w:rFonts w:cs="Arial"/>
                <w:i/>
                <w:iCs/>
                <w:color w:val="222222"/>
                <w:sz w:val="16"/>
                <w:szCs w:val="16"/>
              </w:rPr>
              <w:t>Adaptive City Mobility has designed a car that weighs 650 kg incl. battery. This is around 1/3 of an average car (in 2019), leading to ca. 50% less battery to operate</w:t>
            </w:r>
            <w:r w:rsidRPr="00DB28B2">
              <w:rPr>
                <w:rFonts w:cs="Arial"/>
                <w:color w:val="222222"/>
                <w:sz w:val="16"/>
                <w:szCs w:val="16"/>
              </w:rPr>
              <w:t>.</w:t>
            </w:r>
          </w:p>
        </w:tc>
      </w:tr>
      <w:tr w:rsidR="002963E1" w:rsidRPr="00DB28B2" w14:paraId="6FD6565E" w14:textId="77777777" w:rsidTr="009760B1">
        <w:tc>
          <w:tcPr>
            <w:tcW w:w="1053" w:type="dxa"/>
            <w:shd w:val="clear" w:color="auto" w:fill="B8FFEA" w:themeFill="accent2" w:themeFillTint="33"/>
            <w:vAlign w:val="center"/>
          </w:tcPr>
          <w:p w14:paraId="54B1E0C7"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47090EC1" w14:textId="77777777" w:rsidR="002963E1" w:rsidRPr="00DB28B2" w:rsidRDefault="002963E1" w:rsidP="009760B1">
            <w:pPr>
              <w:jc w:val="center"/>
              <w:rPr>
                <w:sz w:val="16"/>
                <w:szCs w:val="16"/>
              </w:rPr>
            </w:pPr>
            <w:r w:rsidRPr="00DB28B2">
              <w:rPr>
                <w:rFonts w:cs="Arial"/>
                <w:color w:val="222222"/>
                <w:sz w:val="16"/>
                <w:szCs w:val="16"/>
              </w:rPr>
              <w:t>Design for multiple functions</w:t>
            </w:r>
          </w:p>
        </w:tc>
        <w:tc>
          <w:tcPr>
            <w:tcW w:w="1838" w:type="dxa"/>
            <w:shd w:val="clear" w:color="auto" w:fill="B8FFEA" w:themeFill="accent2" w:themeFillTint="33"/>
            <w:vAlign w:val="center"/>
          </w:tcPr>
          <w:p w14:paraId="4187E17F" w14:textId="77777777" w:rsidR="002963E1" w:rsidRPr="00DB28B2" w:rsidRDefault="002963E1" w:rsidP="009760B1">
            <w:pPr>
              <w:jc w:val="center"/>
              <w:rPr>
                <w:sz w:val="16"/>
                <w:szCs w:val="16"/>
              </w:rPr>
            </w:pPr>
            <w:r w:rsidRPr="00DB28B2">
              <w:rPr>
                <w:rFonts w:cs="Arial"/>
                <w:color w:val="222222"/>
                <w:sz w:val="16"/>
                <w:szCs w:val="16"/>
              </w:rPr>
              <w:t>Product</w:t>
            </w:r>
          </w:p>
        </w:tc>
        <w:tc>
          <w:tcPr>
            <w:tcW w:w="9363" w:type="dxa"/>
            <w:shd w:val="clear" w:color="auto" w:fill="B8FFEA" w:themeFill="accent2" w:themeFillTint="33"/>
            <w:vAlign w:val="center"/>
          </w:tcPr>
          <w:p w14:paraId="14E2A7BF"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with multiple functions. Multi-functional products can reduce the overall number of products and may be usable by different user groups. </w:t>
            </w:r>
          </w:p>
          <w:p w14:paraId="5649FF5C" w14:textId="77777777" w:rsidR="002963E1" w:rsidRPr="00DB28B2" w:rsidRDefault="002963E1" w:rsidP="009760B1">
            <w:pPr>
              <w:spacing w:before="120" w:after="120"/>
              <w:rPr>
                <w:i/>
                <w:iCs/>
                <w:sz w:val="16"/>
                <w:szCs w:val="16"/>
              </w:rPr>
            </w:pPr>
            <w:r w:rsidRPr="00DB28B2">
              <w:rPr>
                <w:rFonts w:cs="Arial"/>
                <w:i/>
                <w:iCs/>
                <w:color w:val="222222"/>
                <w:sz w:val="16"/>
                <w:szCs w:val="16"/>
              </w:rPr>
              <w:t xml:space="preserve">Studio </w:t>
            </w:r>
            <w:proofErr w:type="spellStart"/>
            <w:r w:rsidRPr="00DB28B2">
              <w:rPr>
                <w:rFonts w:cs="Arial"/>
                <w:i/>
                <w:iCs/>
                <w:color w:val="222222"/>
                <w:sz w:val="16"/>
                <w:szCs w:val="16"/>
              </w:rPr>
              <w:t>Davero</w:t>
            </w:r>
            <w:proofErr w:type="spellEnd"/>
            <w:r w:rsidRPr="00DB28B2">
              <w:rPr>
                <w:rFonts w:cs="Arial"/>
                <w:i/>
                <w:iCs/>
                <w:color w:val="222222"/>
                <w:sz w:val="16"/>
                <w:szCs w:val="16"/>
              </w:rPr>
              <w:t xml:space="preserve"> has designed Puzzle Peace: a modular furniture kit that can be turned into multiple types of furniture; e.g., a bench, table, armchair, chair, bar or display.</w:t>
            </w:r>
          </w:p>
        </w:tc>
      </w:tr>
      <w:tr w:rsidR="002963E1" w:rsidRPr="00DB28B2" w14:paraId="7AB38D5D" w14:textId="77777777" w:rsidTr="009760B1">
        <w:tc>
          <w:tcPr>
            <w:tcW w:w="1053" w:type="dxa"/>
            <w:shd w:val="clear" w:color="auto" w:fill="B8FFEA" w:themeFill="accent2" w:themeFillTint="33"/>
            <w:vAlign w:val="center"/>
          </w:tcPr>
          <w:p w14:paraId="0CBC4E36"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2F111D0C" w14:textId="77777777" w:rsidR="002963E1" w:rsidRPr="00DB28B2" w:rsidRDefault="002963E1" w:rsidP="009760B1">
            <w:pPr>
              <w:jc w:val="center"/>
              <w:rPr>
                <w:sz w:val="16"/>
                <w:szCs w:val="16"/>
              </w:rPr>
            </w:pPr>
            <w:r w:rsidRPr="00DB28B2">
              <w:rPr>
                <w:rFonts w:cs="Arial"/>
                <w:color w:val="222222"/>
                <w:sz w:val="16"/>
                <w:szCs w:val="16"/>
              </w:rPr>
              <w:t>Eliminate production waste</w:t>
            </w:r>
          </w:p>
        </w:tc>
        <w:tc>
          <w:tcPr>
            <w:tcW w:w="1838" w:type="dxa"/>
            <w:shd w:val="clear" w:color="auto" w:fill="B8FFEA" w:themeFill="accent2" w:themeFillTint="33"/>
            <w:vAlign w:val="center"/>
          </w:tcPr>
          <w:p w14:paraId="3E942E60" w14:textId="77777777" w:rsidR="002963E1" w:rsidRPr="00DB28B2" w:rsidRDefault="002963E1" w:rsidP="009760B1">
            <w:pPr>
              <w:jc w:val="center"/>
              <w:rPr>
                <w:sz w:val="16"/>
                <w:szCs w:val="16"/>
              </w:rPr>
            </w:pPr>
            <w:r w:rsidRPr="00DB28B2">
              <w:rPr>
                <w:rFonts w:cs="Arial"/>
                <w:color w:val="222222"/>
                <w:sz w:val="16"/>
                <w:szCs w:val="16"/>
              </w:rPr>
              <w:t>Business Model</w:t>
            </w:r>
          </w:p>
        </w:tc>
        <w:tc>
          <w:tcPr>
            <w:tcW w:w="9363" w:type="dxa"/>
            <w:shd w:val="clear" w:color="auto" w:fill="B8FFEA" w:themeFill="accent2" w:themeFillTint="33"/>
            <w:vAlign w:val="center"/>
          </w:tcPr>
          <w:p w14:paraId="55C3EA9F"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Eliminate any type of waste from production processes, for example material scraps, food left-overs or excess heat and electricity. </w:t>
            </w:r>
          </w:p>
          <w:p w14:paraId="580CB61E" w14:textId="77777777" w:rsidR="002963E1" w:rsidRPr="00DB28B2" w:rsidRDefault="002963E1" w:rsidP="009760B1">
            <w:pPr>
              <w:spacing w:before="120" w:after="120"/>
              <w:rPr>
                <w:i/>
                <w:iCs/>
                <w:sz w:val="16"/>
                <w:szCs w:val="16"/>
              </w:rPr>
            </w:pPr>
            <w:r w:rsidRPr="00DB28B2">
              <w:rPr>
                <w:rFonts w:cs="Arial"/>
                <w:i/>
                <w:iCs/>
                <w:color w:val="222222"/>
                <w:sz w:val="16"/>
                <w:szCs w:val="16"/>
              </w:rPr>
              <w:t>The company Winnow helps professional kitchens to reduce food waste and save cost through a bin with a scale, Artificial intelligence enabled image recognition software and training based on gathered waste data.</w:t>
            </w:r>
          </w:p>
        </w:tc>
      </w:tr>
      <w:tr w:rsidR="002963E1" w:rsidRPr="00DB28B2" w14:paraId="767EDF58" w14:textId="77777777" w:rsidTr="009760B1">
        <w:tc>
          <w:tcPr>
            <w:tcW w:w="1053" w:type="dxa"/>
            <w:shd w:val="clear" w:color="auto" w:fill="B8FFEA" w:themeFill="accent2" w:themeFillTint="33"/>
            <w:vAlign w:val="center"/>
          </w:tcPr>
          <w:p w14:paraId="55431B46"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0A7A3B41" w14:textId="77777777" w:rsidR="002963E1" w:rsidRPr="00DB28B2" w:rsidRDefault="002963E1" w:rsidP="009760B1">
            <w:pPr>
              <w:jc w:val="center"/>
              <w:rPr>
                <w:sz w:val="16"/>
                <w:szCs w:val="16"/>
              </w:rPr>
            </w:pPr>
            <w:r w:rsidRPr="00DB28B2">
              <w:rPr>
                <w:rFonts w:cs="Arial"/>
                <w:color w:val="222222"/>
                <w:sz w:val="16"/>
                <w:szCs w:val="16"/>
              </w:rPr>
              <w:t>Enable and incentivize users to consume less</w:t>
            </w:r>
          </w:p>
        </w:tc>
        <w:tc>
          <w:tcPr>
            <w:tcW w:w="1838" w:type="dxa"/>
            <w:shd w:val="clear" w:color="auto" w:fill="B8FFEA" w:themeFill="accent2" w:themeFillTint="33"/>
            <w:vAlign w:val="center"/>
          </w:tcPr>
          <w:p w14:paraId="0E3FD288" w14:textId="77777777" w:rsidR="002963E1" w:rsidRPr="00DB28B2" w:rsidRDefault="002963E1" w:rsidP="009760B1">
            <w:pPr>
              <w:jc w:val="center"/>
              <w:rPr>
                <w:sz w:val="16"/>
                <w:szCs w:val="16"/>
              </w:rPr>
            </w:pPr>
            <w:r w:rsidRPr="00DB28B2">
              <w:rPr>
                <w:rFonts w:cs="Arial"/>
                <w:color w:val="222222"/>
                <w:sz w:val="16"/>
                <w:szCs w:val="16"/>
              </w:rPr>
              <w:t>Business Model</w:t>
            </w:r>
          </w:p>
        </w:tc>
        <w:tc>
          <w:tcPr>
            <w:tcW w:w="9363" w:type="dxa"/>
            <w:shd w:val="clear" w:color="auto" w:fill="B8FFEA" w:themeFill="accent2" w:themeFillTint="33"/>
            <w:vAlign w:val="center"/>
          </w:tcPr>
          <w:p w14:paraId="417C5B6F"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Incentivize users to use less energy or material during the use of energy or material-using goods like washing machines or cars. </w:t>
            </w:r>
          </w:p>
          <w:p w14:paraId="5ACC9BB9" w14:textId="77777777" w:rsidR="002963E1" w:rsidRPr="00DB28B2" w:rsidRDefault="002963E1" w:rsidP="009760B1">
            <w:pPr>
              <w:spacing w:before="120" w:after="120"/>
              <w:rPr>
                <w:i/>
                <w:iCs/>
                <w:sz w:val="16"/>
                <w:szCs w:val="16"/>
              </w:rPr>
            </w:pPr>
            <w:r w:rsidRPr="00DB28B2">
              <w:rPr>
                <w:rFonts w:cs="Arial"/>
                <w:i/>
                <w:iCs/>
                <w:color w:val="222222"/>
                <w:sz w:val="16"/>
                <w:szCs w:val="16"/>
              </w:rPr>
              <w:t>The firm HOMIE offers washing machines through a pay-per-wash model. By monitoring user behaviour, the company increases the resource efficiency of doing laundry.</w:t>
            </w:r>
          </w:p>
        </w:tc>
      </w:tr>
      <w:tr w:rsidR="002963E1" w:rsidRPr="00DB28B2" w14:paraId="06063EB1" w14:textId="77777777" w:rsidTr="009760B1">
        <w:tc>
          <w:tcPr>
            <w:tcW w:w="1053" w:type="dxa"/>
            <w:shd w:val="clear" w:color="auto" w:fill="B8FFEA" w:themeFill="accent2" w:themeFillTint="33"/>
            <w:vAlign w:val="center"/>
          </w:tcPr>
          <w:p w14:paraId="7C4B3CAF"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6D640061" w14:textId="77777777" w:rsidR="002963E1" w:rsidRPr="00DB28B2" w:rsidRDefault="002963E1" w:rsidP="009760B1">
            <w:pPr>
              <w:jc w:val="center"/>
              <w:rPr>
                <w:sz w:val="16"/>
                <w:szCs w:val="16"/>
              </w:rPr>
            </w:pPr>
            <w:r w:rsidRPr="00DB28B2">
              <w:rPr>
                <w:rFonts w:cs="Arial"/>
                <w:color w:val="222222"/>
                <w:sz w:val="16"/>
                <w:szCs w:val="16"/>
              </w:rPr>
              <w:t>Organize light-weight urban transport</w:t>
            </w:r>
          </w:p>
        </w:tc>
        <w:tc>
          <w:tcPr>
            <w:tcW w:w="1838" w:type="dxa"/>
            <w:shd w:val="clear" w:color="auto" w:fill="B8FFEA" w:themeFill="accent2" w:themeFillTint="33"/>
            <w:vAlign w:val="center"/>
          </w:tcPr>
          <w:p w14:paraId="306F7E5A" w14:textId="77777777" w:rsidR="002963E1" w:rsidRPr="00DB28B2" w:rsidRDefault="002963E1" w:rsidP="009760B1">
            <w:pPr>
              <w:jc w:val="center"/>
              <w:rPr>
                <w:sz w:val="16"/>
                <w:szCs w:val="16"/>
              </w:rPr>
            </w:pPr>
            <w:r w:rsidRPr="00DB28B2">
              <w:rPr>
                <w:rFonts w:cs="Arial"/>
                <w:color w:val="222222"/>
                <w:sz w:val="16"/>
                <w:szCs w:val="16"/>
              </w:rPr>
              <w:t>Business Model</w:t>
            </w:r>
          </w:p>
        </w:tc>
        <w:tc>
          <w:tcPr>
            <w:tcW w:w="9363" w:type="dxa"/>
            <w:shd w:val="clear" w:color="auto" w:fill="B8FFEA" w:themeFill="accent2" w:themeFillTint="33"/>
            <w:vAlign w:val="center"/>
          </w:tcPr>
          <w:p w14:paraId="404F18F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Organize lighter forms of transportation, for example using electric tricycles. The lighter the vehicles, the lower the amount of energy and materials required to transport people and goods. </w:t>
            </w:r>
          </w:p>
          <w:p w14:paraId="357C8BA6" w14:textId="77777777" w:rsidR="002963E1" w:rsidRPr="00DB28B2" w:rsidRDefault="002963E1" w:rsidP="009760B1">
            <w:pPr>
              <w:spacing w:before="120" w:after="120"/>
              <w:rPr>
                <w:sz w:val="16"/>
                <w:szCs w:val="16"/>
              </w:rPr>
            </w:pPr>
            <w:r w:rsidRPr="00DB28B2">
              <w:rPr>
                <w:rFonts w:cs="Arial"/>
                <w:i/>
                <w:iCs/>
                <w:color w:val="222222"/>
                <w:sz w:val="16"/>
                <w:szCs w:val="16"/>
              </w:rPr>
              <w:t>The</w:t>
            </w:r>
            <w:r w:rsidRPr="00DB28B2">
              <w:rPr>
                <w:rFonts w:cs="Arial"/>
                <w:color w:val="222222"/>
                <w:sz w:val="16"/>
                <w:szCs w:val="16"/>
              </w:rPr>
              <w:t xml:space="preserve"> </w:t>
            </w:r>
            <w:r w:rsidRPr="00DB28B2">
              <w:rPr>
                <w:rFonts w:cs="Arial"/>
                <w:i/>
                <w:iCs/>
                <w:color w:val="222222"/>
                <w:sz w:val="16"/>
                <w:szCs w:val="16"/>
              </w:rPr>
              <w:t>firm RYTLE provides a cargo solution that consists of a light-weight vehicle, an easily exchangeable box, storage hubs and software that connects all entities.</w:t>
            </w:r>
          </w:p>
        </w:tc>
      </w:tr>
      <w:tr w:rsidR="002963E1" w:rsidRPr="00DB28B2" w14:paraId="1115384B" w14:textId="77777777" w:rsidTr="009760B1">
        <w:tc>
          <w:tcPr>
            <w:tcW w:w="1053" w:type="dxa"/>
            <w:shd w:val="clear" w:color="auto" w:fill="B8FFEA" w:themeFill="accent2" w:themeFillTint="33"/>
            <w:vAlign w:val="center"/>
          </w:tcPr>
          <w:p w14:paraId="389FC88B" w14:textId="77777777" w:rsidR="002963E1" w:rsidRPr="00DB28B2" w:rsidRDefault="002963E1" w:rsidP="009760B1">
            <w:pPr>
              <w:jc w:val="center"/>
              <w:rPr>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64DD57D5" w14:textId="77777777" w:rsidR="002963E1" w:rsidRPr="00DB28B2" w:rsidRDefault="002963E1" w:rsidP="009760B1">
            <w:pPr>
              <w:jc w:val="center"/>
              <w:rPr>
                <w:sz w:val="16"/>
                <w:szCs w:val="16"/>
              </w:rPr>
            </w:pPr>
            <w:r w:rsidRPr="00DB28B2">
              <w:rPr>
                <w:rFonts w:cs="Arial"/>
                <w:color w:val="222222"/>
                <w:sz w:val="16"/>
                <w:szCs w:val="16"/>
              </w:rPr>
              <w:t>Localize supply where appropriate</w:t>
            </w:r>
          </w:p>
        </w:tc>
        <w:tc>
          <w:tcPr>
            <w:tcW w:w="1838" w:type="dxa"/>
            <w:shd w:val="clear" w:color="auto" w:fill="B8FFEA" w:themeFill="accent2" w:themeFillTint="33"/>
            <w:vAlign w:val="center"/>
          </w:tcPr>
          <w:p w14:paraId="1A7F7055" w14:textId="77777777" w:rsidR="002963E1" w:rsidRPr="00DB28B2" w:rsidRDefault="002963E1" w:rsidP="009760B1">
            <w:pPr>
              <w:jc w:val="center"/>
              <w:rPr>
                <w:sz w:val="16"/>
                <w:szCs w:val="16"/>
              </w:rPr>
            </w:pPr>
            <w:r w:rsidRPr="00DB28B2">
              <w:rPr>
                <w:rFonts w:cs="Arial"/>
                <w:color w:val="222222"/>
                <w:sz w:val="16"/>
                <w:szCs w:val="16"/>
              </w:rPr>
              <w:t>Business Model</w:t>
            </w:r>
          </w:p>
        </w:tc>
        <w:tc>
          <w:tcPr>
            <w:tcW w:w="9363" w:type="dxa"/>
            <w:shd w:val="clear" w:color="auto" w:fill="B8FFEA" w:themeFill="accent2" w:themeFillTint="33"/>
            <w:vAlign w:val="center"/>
          </w:tcPr>
          <w:p w14:paraId="26051A36"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Find more local suppliers, where appropriate. More local suppliers decrease the amount of energy needed to transport goods. </w:t>
            </w:r>
          </w:p>
          <w:p w14:paraId="2CCB5F56" w14:textId="77777777" w:rsidR="002963E1" w:rsidRPr="00DB28B2" w:rsidRDefault="002963E1" w:rsidP="009760B1">
            <w:pPr>
              <w:spacing w:before="120" w:after="120"/>
              <w:rPr>
                <w:i/>
                <w:iCs/>
                <w:sz w:val="16"/>
                <w:szCs w:val="16"/>
              </w:rPr>
            </w:pPr>
            <w:r w:rsidRPr="00DB28B2">
              <w:rPr>
                <w:rFonts w:cs="Arial"/>
                <w:i/>
                <w:iCs/>
                <w:color w:val="222222"/>
                <w:sz w:val="16"/>
                <w:szCs w:val="16"/>
              </w:rPr>
              <w:t>The restaurant chain ‘Dig Inn’ has developed a supply system of local farmers in every region it operates in to provide a scalable, locally adapted and seasonal restaurant model, reducing travel distances for food ingredients and stimulating the regional economy.</w:t>
            </w:r>
          </w:p>
        </w:tc>
      </w:tr>
      <w:tr w:rsidR="002963E1" w:rsidRPr="00DB28B2" w14:paraId="24BE9A83" w14:textId="77777777" w:rsidTr="009760B1">
        <w:tc>
          <w:tcPr>
            <w:tcW w:w="1053" w:type="dxa"/>
            <w:shd w:val="clear" w:color="auto" w:fill="B8FFEA" w:themeFill="accent2" w:themeFillTint="33"/>
            <w:vAlign w:val="center"/>
          </w:tcPr>
          <w:p w14:paraId="761D44BF" w14:textId="77777777" w:rsidR="002963E1" w:rsidRPr="00DB28B2" w:rsidRDefault="002963E1" w:rsidP="009760B1">
            <w:pPr>
              <w:jc w:val="center"/>
              <w:rPr>
                <w:rFonts w:cs="Arial"/>
                <w:color w:val="222222"/>
                <w:sz w:val="16"/>
                <w:szCs w:val="16"/>
              </w:rPr>
            </w:pPr>
            <w:r w:rsidRPr="00DB28B2">
              <w:rPr>
                <w:rFonts w:cs="Arial"/>
                <w:color w:val="222222"/>
                <w:sz w:val="16"/>
                <w:szCs w:val="16"/>
              </w:rPr>
              <w:t>Narrow</w:t>
            </w:r>
          </w:p>
        </w:tc>
        <w:tc>
          <w:tcPr>
            <w:tcW w:w="1633" w:type="dxa"/>
            <w:shd w:val="clear" w:color="auto" w:fill="B8FFEA" w:themeFill="accent2" w:themeFillTint="33"/>
            <w:vAlign w:val="center"/>
          </w:tcPr>
          <w:p w14:paraId="5BE359BB" w14:textId="77777777" w:rsidR="002963E1" w:rsidRPr="00DB28B2" w:rsidRDefault="002963E1" w:rsidP="009760B1">
            <w:pPr>
              <w:jc w:val="center"/>
              <w:rPr>
                <w:rFonts w:cs="Arial"/>
                <w:color w:val="222222"/>
                <w:sz w:val="16"/>
                <w:szCs w:val="16"/>
              </w:rPr>
            </w:pPr>
            <w:r w:rsidRPr="00DB28B2">
              <w:rPr>
                <w:rFonts w:cs="Arial"/>
                <w:color w:val="222222"/>
                <w:sz w:val="16"/>
                <w:szCs w:val="16"/>
              </w:rPr>
              <w:t>Maximize capacity use of products</w:t>
            </w:r>
          </w:p>
        </w:tc>
        <w:tc>
          <w:tcPr>
            <w:tcW w:w="1838" w:type="dxa"/>
            <w:shd w:val="clear" w:color="auto" w:fill="B8FFEA" w:themeFill="accent2" w:themeFillTint="33"/>
            <w:vAlign w:val="center"/>
          </w:tcPr>
          <w:p w14:paraId="3BF64F00"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B8FFEA" w:themeFill="accent2" w:themeFillTint="33"/>
            <w:vAlign w:val="center"/>
          </w:tcPr>
          <w:p w14:paraId="73417456"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Maximize the degree to which the capacity of a product is used. This is sometimes referred to as ‘sharing’, where multiple user groups have access to the same product. This can decrease the overall number of products in an ecosystem. </w:t>
            </w:r>
          </w:p>
          <w:p w14:paraId="3118F011"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online platform Peerby enables people to share everyday goods like drills or bicycles, which can increase their usage and reduce the overall number of personally owned goods in homes over time.</w:t>
            </w:r>
          </w:p>
        </w:tc>
      </w:tr>
      <w:tr w:rsidR="002963E1" w:rsidRPr="00DB28B2" w14:paraId="1543F80E" w14:textId="77777777" w:rsidTr="009760B1">
        <w:tc>
          <w:tcPr>
            <w:tcW w:w="1053" w:type="dxa"/>
            <w:shd w:val="clear" w:color="auto" w:fill="FFCCCC"/>
            <w:vAlign w:val="center"/>
          </w:tcPr>
          <w:p w14:paraId="3F3A615E"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3DB61B74"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physical durability</w:t>
            </w:r>
          </w:p>
        </w:tc>
        <w:tc>
          <w:tcPr>
            <w:tcW w:w="1838" w:type="dxa"/>
            <w:shd w:val="clear" w:color="auto" w:fill="FFCCCC"/>
            <w:vAlign w:val="center"/>
          </w:tcPr>
          <w:p w14:paraId="0E4815D9"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FCCCC"/>
            <w:vAlign w:val="center"/>
          </w:tcPr>
          <w:p w14:paraId="7E7ADE1A"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that degrade more slowly than comparable products on the market. </w:t>
            </w:r>
          </w:p>
          <w:p w14:paraId="4AA77518"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A cast-iron pan can last much longer than comparable pan types.</w:t>
            </w:r>
          </w:p>
        </w:tc>
      </w:tr>
      <w:tr w:rsidR="002963E1" w:rsidRPr="00DB28B2" w14:paraId="4ECE5AAF" w14:textId="77777777" w:rsidTr="009760B1">
        <w:tc>
          <w:tcPr>
            <w:tcW w:w="1053" w:type="dxa"/>
            <w:shd w:val="clear" w:color="auto" w:fill="FFCCCC"/>
            <w:vAlign w:val="center"/>
          </w:tcPr>
          <w:p w14:paraId="6B8FFEDC"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0E312C98"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emotional durability</w:t>
            </w:r>
          </w:p>
        </w:tc>
        <w:tc>
          <w:tcPr>
            <w:tcW w:w="1838" w:type="dxa"/>
            <w:shd w:val="clear" w:color="auto" w:fill="FFCCCC"/>
            <w:vAlign w:val="center"/>
          </w:tcPr>
          <w:p w14:paraId="0F8881A3"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FCCCC"/>
            <w:vAlign w:val="center"/>
          </w:tcPr>
          <w:p w14:paraId="02E20975"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that users will love and trust over a long period of time. </w:t>
            </w:r>
          </w:p>
          <w:p w14:paraId="34918CAB"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‘Leatherman’, a pocket-knife sized toolkit, has a 25 year warranty and many uses. It lets people collect and experience personal stories and creates an emotional bond between the user and the product.</w:t>
            </w:r>
          </w:p>
        </w:tc>
      </w:tr>
      <w:tr w:rsidR="002963E1" w:rsidRPr="00DB28B2" w14:paraId="515CD347" w14:textId="77777777" w:rsidTr="009760B1">
        <w:tc>
          <w:tcPr>
            <w:tcW w:w="1053" w:type="dxa"/>
            <w:shd w:val="clear" w:color="auto" w:fill="FFCCCC"/>
            <w:vAlign w:val="center"/>
          </w:tcPr>
          <w:p w14:paraId="5D79BEE5"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229D306F"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ease of maintenance and repair</w:t>
            </w:r>
          </w:p>
        </w:tc>
        <w:tc>
          <w:tcPr>
            <w:tcW w:w="1838" w:type="dxa"/>
            <w:shd w:val="clear" w:color="auto" w:fill="FFCCCC"/>
            <w:vAlign w:val="center"/>
          </w:tcPr>
          <w:p w14:paraId="0357D29E"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FCCCC"/>
            <w:vAlign w:val="center"/>
          </w:tcPr>
          <w:p w14:paraId="5B37A507"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that can be easily maintained or repaired. Maintaining means inspecting the product to retain its functional capabilities. Repairing is about restoring a product to a sound/good condition after decay or damage. </w:t>
            </w:r>
          </w:p>
          <w:p w14:paraId="00C2EF23"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Fairphone has designed a modular phone that can be easily disassembled to repair and exchange components.</w:t>
            </w:r>
          </w:p>
        </w:tc>
      </w:tr>
      <w:tr w:rsidR="002963E1" w:rsidRPr="00DB28B2" w14:paraId="5C858F01" w14:textId="77777777" w:rsidTr="009760B1">
        <w:tc>
          <w:tcPr>
            <w:tcW w:w="1053" w:type="dxa"/>
            <w:shd w:val="clear" w:color="auto" w:fill="FFCCCC"/>
            <w:vAlign w:val="center"/>
          </w:tcPr>
          <w:p w14:paraId="71222228"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45855C41"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easy dis - and reassembly</w:t>
            </w:r>
          </w:p>
        </w:tc>
        <w:tc>
          <w:tcPr>
            <w:tcW w:w="1838" w:type="dxa"/>
            <w:shd w:val="clear" w:color="auto" w:fill="FFCCCC"/>
            <w:vAlign w:val="center"/>
          </w:tcPr>
          <w:p w14:paraId="2831100B"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FCCCC"/>
            <w:vAlign w:val="center"/>
          </w:tcPr>
          <w:p w14:paraId="7D413515"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that can be easily separated and reassembled. </w:t>
            </w:r>
          </w:p>
          <w:p w14:paraId="499E6495"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Gerrard Street has designed a pair of headphones that can be easily separated and reassembled.</w:t>
            </w:r>
          </w:p>
        </w:tc>
      </w:tr>
      <w:tr w:rsidR="002963E1" w:rsidRPr="00DB28B2" w14:paraId="7C6BB435" w14:textId="77777777" w:rsidTr="009760B1">
        <w:tc>
          <w:tcPr>
            <w:tcW w:w="1053" w:type="dxa"/>
            <w:shd w:val="clear" w:color="auto" w:fill="FFCCCC"/>
            <w:vAlign w:val="center"/>
          </w:tcPr>
          <w:p w14:paraId="0ACC0244"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4F7FA991"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upgradability</w:t>
            </w:r>
          </w:p>
        </w:tc>
        <w:tc>
          <w:tcPr>
            <w:tcW w:w="1838" w:type="dxa"/>
            <w:shd w:val="clear" w:color="auto" w:fill="FFCCCC"/>
            <w:vAlign w:val="center"/>
          </w:tcPr>
          <w:p w14:paraId="6F9908B9"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FCCCC"/>
            <w:vAlign w:val="center"/>
          </w:tcPr>
          <w:p w14:paraId="5CF0945F"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A product is upgradable if its functionality or performance can be improved during or after use.</w:t>
            </w:r>
          </w:p>
          <w:p w14:paraId="1478E166"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An example is a bicycle with exchangeable and upgradable components.</w:t>
            </w:r>
          </w:p>
        </w:tc>
      </w:tr>
      <w:tr w:rsidR="002963E1" w:rsidRPr="00DB28B2" w14:paraId="009E32EF" w14:textId="77777777" w:rsidTr="009760B1">
        <w:tc>
          <w:tcPr>
            <w:tcW w:w="1053" w:type="dxa"/>
            <w:shd w:val="clear" w:color="auto" w:fill="FFCCCC"/>
            <w:vAlign w:val="center"/>
          </w:tcPr>
          <w:p w14:paraId="4AED5143"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0D53427F"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standardization and compatibility</w:t>
            </w:r>
          </w:p>
        </w:tc>
        <w:tc>
          <w:tcPr>
            <w:tcW w:w="1838" w:type="dxa"/>
            <w:shd w:val="clear" w:color="auto" w:fill="FFCCCC"/>
            <w:vAlign w:val="center"/>
          </w:tcPr>
          <w:p w14:paraId="4E2ABCBB"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FCCCC"/>
            <w:vAlign w:val="center"/>
          </w:tcPr>
          <w:p w14:paraId="58972D6B"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Create products, components or interfaces that also fit other products, components or interfaces. </w:t>
            </w:r>
          </w:p>
          <w:p w14:paraId="3AB659C2"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A common example of a standardized component is the Mini-USB slot for charging.</w:t>
            </w:r>
          </w:p>
        </w:tc>
      </w:tr>
      <w:tr w:rsidR="002963E1" w:rsidRPr="00DB28B2" w14:paraId="747A0A85" w14:textId="77777777" w:rsidTr="009760B1">
        <w:tc>
          <w:tcPr>
            <w:tcW w:w="1053" w:type="dxa"/>
            <w:shd w:val="clear" w:color="auto" w:fill="FFCCCC"/>
            <w:vAlign w:val="center"/>
          </w:tcPr>
          <w:p w14:paraId="5014AAED"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43EE3777" w14:textId="77777777" w:rsidR="002963E1" w:rsidRPr="00DB28B2" w:rsidRDefault="002963E1" w:rsidP="009760B1">
            <w:pPr>
              <w:jc w:val="center"/>
              <w:rPr>
                <w:rFonts w:cs="Arial"/>
                <w:color w:val="222222"/>
                <w:sz w:val="16"/>
                <w:szCs w:val="16"/>
              </w:rPr>
            </w:pPr>
            <w:r w:rsidRPr="00DB28B2">
              <w:rPr>
                <w:rFonts w:cs="Arial"/>
                <w:color w:val="222222"/>
                <w:sz w:val="16"/>
                <w:szCs w:val="16"/>
              </w:rPr>
              <w:t>Enable users to maintain and repair their products</w:t>
            </w:r>
          </w:p>
        </w:tc>
        <w:tc>
          <w:tcPr>
            <w:tcW w:w="1838" w:type="dxa"/>
            <w:shd w:val="clear" w:color="auto" w:fill="FFCCCC"/>
            <w:vAlign w:val="center"/>
          </w:tcPr>
          <w:p w14:paraId="24D2AEB8"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41857E31"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Create services that enable users to care for their product. </w:t>
            </w:r>
          </w:p>
          <w:p w14:paraId="3947043A"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Fairphone supports users to care for their phones through discussion forums on how to maintain and repair, and an inventory of spare parts.</w:t>
            </w:r>
          </w:p>
        </w:tc>
      </w:tr>
      <w:tr w:rsidR="002963E1" w:rsidRPr="00DB28B2" w14:paraId="521B4C2E" w14:textId="77777777" w:rsidTr="009760B1">
        <w:tc>
          <w:tcPr>
            <w:tcW w:w="1053" w:type="dxa"/>
            <w:shd w:val="clear" w:color="auto" w:fill="FFCCCC"/>
            <w:vAlign w:val="center"/>
          </w:tcPr>
          <w:p w14:paraId="08F28E46"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5C48D3F1" w14:textId="77777777" w:rsidR="002963E1" w:rsidRPr="00DB28B2" w:rsidRDefault="002963E1" w:rsidP="009760B1">
            <w:pPr>
              <w:jc w:val="center"/>
              <w:rPr>
                <w:rFonts w:cs="Arial"/>
                <w:color w:val="222222"/>
                <w:sz w:val="16"/>
                <w:szCs w:val="16"/>
              </w:rPr>
            </w:pPr>
            <w:r w:rsidRPr="00DB28B2">
              <w:rPr>
                <w:rFonts w:cs="Arial"/>
                <w:color w:val="222222"/>
                <w:sz w:val="16"/>
                <w:szCs w:val="16"/>
              </w:rPr>
              <w:t>Remanufacture existing products and components</w:t>
            </w:r>
          </w:p>
        </w:tc>
        <w:tc>
          <w:tcPr>
            <w:tcW w:w="1838" w:type="dxa"/>
            <w:shd w:val="clear" w:color="auto" w:fill="FFCCCC"/>
            <w:vAlign w:val="center"/>
          </w:tcPr>
          <w:p w14:paraId="70F7AD73"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68C5FA01"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Recover value from collected end-of-use products by reusing their components for the manufacturing of products with the same functionality. </w:t>
            </w:r>
          </w:p>
          <w:p w14:paraId="0E14E17E"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Chinese company Guangzhou Huadu collects used vehicle parts and remanufactures them into as-new certified spare parts.</w:t>
            </w:r>
          </w:p>
        </w:tc>
      </w:tr>
      <w:tr w:rsidR="002963E1" w:rsidRPr="00DB28B2" w14:paraId="2D014410" w14:textId="77777777" w:rsidTr="009760B1">
        <w:tc>
          <w:tcPr>
            <w:tcW w:w="1053" w:type="dxa"/>
            <w:shd w:val="clear" w:color="auto" w:fill="FFCCCC"/>
            <w:vAlign w:val="center"/>
          </w:tcPr>
          <w:p w14:paraId="7C465D65"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3279DFFB" w14:textId="77777777" w:rsidR="002963E1" w:rsidRPr="00DB28B2" w:rsidRDefault="002963E1" w:rsidP="009760B1">
            <w:pPr>
              <w:jc w:val="center"/>
              <w:rPr>
                <w:rFonts w:cs="Arial"/>
                <w:color w:val="222222"/>
                <w:sz w:val="16"/>
                <w:szCs w:val="16"/>
              </w:rPr>
            </w:pPr>
            <w:r w:rsidRPr="00DB28B2">
              <w:rPr>
                <w:rFonts w:cs="Arial"/>
                <w:color w:val="222222"/>
                <w:sz w:val="16"/>
                <w:szCs w:val="16"/>
              </w:rPr>
              <w:t>Repurpose existing products and components</w:t>
            </w:r>
          </w:p>
        </w:tc>
        <w:tc>
          <w:tcPr>
            <w:tcW w:w="1838" w:type="dxa"/>
            <w:shd w:val="clear" w:color="auto" w:fill="FFCCCC"/>
            <w:vAlign w:val="center"/>
          </w:tcPr>
          <w:p w14:paraId="0892766E"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75D6100E"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Take existing products and components and take them out of their context to create new value with them. </w:t>
            </w:r>
          </w:p>
          <w:p w14:paraId="3032EED6"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Ubitricity</w:t>
            </w:r>
            <w:proofErr w:type="spellEnd"/>
            <w:r w:rsidRPr="00DB28B2">
              <w:rPr>
                <w:rFonts w:cs="Arial"/>
                <w:i/>
                <w:iCs/>
                <w:color w:val="222222"/>
                <w:sz w:val="16"/>
                <w:szCs w:val="16"/>
              </w:rPr>
              <w:t xml:space="preserve"> turns lamp lanterns in cities into charging stations for electric vehicles.</w:t>
            </w:r>
          </w:p>
        </w:tc>
      </w:tr>
      <w:tr w:rsidR="002963E1" w:rsidRPr="00DB28B2" w14:paraId="30B7E2F1" w14:textId="77777777" w:rsidTr="009760B1">
        <w:tc>
          <w:tcPr>
            <w:tcW w:w="1053" w:type="dxa"/>
            <w:shd w:val="clear" w:color="auto" w:fill="FFCCCC"/>
            <w:vAlign w:val="center"/>
          </w:tcPr>
          <w:p w14:paraId="249CD5C2"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2FC132F1" w14:textId="77777777" w:rsidR="002963E1" w:rsidRPr="00DB28B2" w:rsidRDefault="002963E1" w:rsidP="009760B1">
            <w:pPr>
              <w:jc w:val="center"/>
              <w:rPr>
                <w:rFonts w:cs="Arial"/>
                <w:color w:val="222222"/>
                <w:sz w:val="16"/>
                <w:szCs w:val="16"/>
              </w:rPr>
            </w:pPr>
            <w:r w:rsidRPr="00DB28B2">
              <w:rPr>
                <w:rFonts w:cs="Arial"/>
                <w:color w:val="222222"/>
                <w:sz w:val="16"/>
                <w:szCs w:val="16"/>
              </w:rPr>
              <w:t>Provide an unconditional lifetime warranty</w:t>
            </w:r>
          </w:p>
        </w:tc>
        <w:tc>
          <w:tcPr>
            <w:tcW w:w="1838" w:type="dxa"/>
            <w:shd w:val="clear" w:color="auto" w:fill="FFCCCC"/>
            <w:vAlign w:val="center"/>
          </w:tcPr>
          <w:p w14:paraId="21CC1B9F"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2E4C74F6"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Offer your customers a life-time warranty, adding a promise to products that are made to last. </w:t>
            </w:r>
          </w:p>
          <w:p w14:paraId="462FBECF"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company Darn Tough Vermont produces socks with an unconditional lifetime guarantee. They say: </w:t>
            </w:r>
            <w:r w:rsidRPr="00DB28B2">
              <w:rPr>
                <w:rStyle w:val="html-italic"/>
                <w:rFonts w:cs="Arial"/>
                <w:iCs/>
                <w:color w:val="222222"/>
                <w:sz w:val="16"/>
                <w:szCs w:val="16"/>
              </w:rPr>
              <w:t>“If our socks are not the most comfortable, durable and best fitting socks you have ever owned, return them for another pair.”</w:t>
            </w:r>
          </w:p>
        </w:tc>
      </w:tr>
      <w:tr w:rsidR="002963E1" w:rsidRPr="00DB28B2" w14:paraId="57CD81E5" w14:textId="77777777" w:rsidTr="009760B1">
        <w:tc>
          <w:tcPr>
            <w:tcW w:w="1053" w:type="dxa"/>
            <w:shd w:val="clear" w:color="auto" w:fill="FFCCCC"/>
            <w:vAlign w:val="center"/>
          </w:tcPr>
          <w:p w14:paraId="198A05EE"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5F122EC9" w14:textId="77777777" w:rsidR="002963E1" w:rsidRPr="00DB28B2" w:rsidRDefault="002963E1" w:rsidP="009760B1">
            <w:pPr>
              <w:jc w:val="center"/>
              <w:rPr>
                <w:rFonts w:cs="Arial"/>
                <w:color w:val="222222"/>
                <w:sz w:val="16"/>
                <w:szCs w:val="16"/>
              </w:rPr>
            </w:pPr>
            <w:r w:rsidRPr="00DB28B2">
              <w:rPr>
                <w:rFonts w:cs="Arial"/>
                <w:color w:val="222222"/>
                <w:sz w:val="16"/>
                <w:szCs w:val="16"/>
              </w:rPr>
              <w:t>Encourage sufficiency</w:t>
            </w:r>
          </w:p>
        </w:tc>
        <w:tc>
          <w:tcPr>
            <w:tcW w:w="1838" w:type="dxa"/>
            <w:shd w:val="clear" w:color="auto" w:fill="FFCCCC"/>
            <w:vAlign w:val="center"/>
          </w:tcPr>
          <w:p w14:paraId="5799BF1E"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4045C388"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Encourage your customers to moderate the consumption of your products. </w:t>
            </w:r>
          </w:p>
          <w:p w14:paraId="4F6B05E2"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In 2011, the clothing company Patagonia advocated: </w:t>
            </w:r>
            <w:r w:rsidRPr="00DB28B2">
              <w:rPr>
                <w:rStyle w:val="html-italic"/>
                <w:rFonts w:cs="Arial"/>
                <w:iCs/>
                <w:color w:val="222222"/>
                <w:sz w:val="16"/>
                <w:szCs w:val="16"/>
              </w:rPr>
              <w:t>“Don’t buy this jacket.”</w:t>
            </w:r>
            <w:r w:rsidRPr="00DB28B2">
              <w:rPr>
                <w:rFonts w:cs="Arial"/>
                <w:i/>
                <w:iCs/>
                <w:color w:val="222222"/>
                <w:sz w:val="16"/>
                <w:szCs w:val="16"/>
              </w:rPr>
              <w:t> With Worn Wear, it opened an online store for used Patagonia clothing, encouraging users to maintain their gear and trade it back once they don’t use it anymore.</w:t>
            </w:r>
          </w:p>
        </w:tc>
      </w:tr>
      <w:tr w:rsidR="002963E1" w:rsidRPr="00DB28B2" w14:paraId="7C30A5B1" w14:textId="77777777" w:rsidTr="009760B1">
        <w:tc>
          <w:tcPr>
            <w:tcW w:w="1053" w:type="dxa"/>
            <w:shd w:val="clear" w:color="auto" w:fill="FFCCCC"/>
            <w:vAlign w:val="center"/>
          </w:tcPr>
          <w:p w14:paraId="01FD2362"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67431D5F" w14:textId="77777777" w:rsidR="002963E1" w:rsidRPr="00DB28B2" w:rsidRDefault="002963E1" w:rsidP="009760B1">
            <w:pPr>
              <w:jc w:val="center"/>
              <w:rPr>
                <w:rFonts w:cs="Arial"/>
                <w:color w:val="222222"/>
                <w:sz w:val="16"/>
                <w:szCs w:val="16"/>
              </w:rPr>
            </w:pPr>
            <w:r w:rsidRPr="00DB28B2">
              <w:rPr>
                <w:rFonts w:cs="Arial"/>
                <w:color w:val="222222"/>
                <w:sz w:val="16"/>
                <w:szCs w:val="16"/>
              </w:rPr>
              <w:t>Provide the product as a service</w:t>
            </w:r>
          </w:p>
        </w:tc>
        <w:tc>
          <w:tcPr>
            <w:tcW w:w="1838" w:type="dxa"/>
            <w:shd w:val="clear" w:color="auto" w:fill="FFCCCC"/>
            <w:vAlign w:val="center"/>
          </w:tcPr>
          <w:p w14:paraId="14CABD41"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40CB14C5"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Offering the product as a service keeps the ownership with the firm and creates incentives to increase their lifetimes. You can offer product-, use-, or results-oriented models. </w:t>
            </w:r>
          </w:p>
          <w:p w14:paraId="49E89F36"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company Kaer offers a result: cool and fresh air as a service, rather than air conditioners as products.</w:t>
            </w:r>
          </w:p>
        </w:tc>
      </w:tr>
      <w:tr w:rsidR="002963E1" w:rsidRPr="00DB28B2" w14:paraId="2EF200D1" w14:textId="77777777" w:rsidTr="009760B1">
        <w:tc>
          <w:tcPr>
            <w:tcW w:w="1053" w:type="dxa"/>
            <w:shd w:val="clear" w:color="auto" w:fill="FFCCCC"/>
            <w:vAlign w:val="center"/>
          </w:tcPr>
          <w:p w14:paraId="715177A6"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5D68215A" w14:textId="77777777" w:rsidR="002963E1" w:rsidRPr="00DB28B2" w:rsidRDefault="002963E1" w:rsidP="009760B1">
            <w:pPr>
              <w:jc w:val="center"/>
              <w:rPr>
                <w:rFonts w:cs="Arial"/>
                <w:color w:val="222222"/>
                <w:sz w:val="16"/>
                <w:szCs w:val="16"/>
              </w:rPr>
            </w:pPr>
            <w:r w:rsidRPr="00DB28B2">
              <w:rPr>
                <w:rFonts w:cs="Arial"/>
                <w:color w:val="222222"/>
                <w:sz w:val="16"/>
                <w:szCs w:val="16"/>
              </w:rPr>
              <w:t>Organize maintenance and repair services</w:t>
            </w:r>
          </w:p>
        </w:tc>
        <w:tc>
          <w:tcPr>
            <w:tcW w:w="1838" w:type="dxa"/>
            <w:shd w:val="clear" w:color="auto" w:fill="FFCCCC"/>
            <w:vAlign w:val="center"/>
          </w:tcPr>
          <w:p w14:paraId="7ED451E2"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3256434A"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Make sure that your products can last longer through maintenance and repair services. They can be offered by the manufacturer of a product or by third-party providers. </w:t>
            </w:r>
          </w:p>
          <w:p w14:paraId="32602ED9"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company Nudie Jeans, at its point of sale, has started to offer a free repair service for their Jeans. This has changed the shop appearance into a craftsmanship atmosphere.</w:t>
            </w:r>
          </w:p>
        </w:tc>
      </w:tr>
      <w:tr w:rsidR="002963E1" w:rsidRPr="00DB28B2" w14:paraId="5723E41C" w14:textId="77777777" w:rsidTr="009760B1">
        <w:tc>
          <w:tcPr>
            <w:tcW w:w="1053" w:type="dxa"/>
            <w:shd w:val="clear" w:color="auto" w:fill="FFCCCC"/>
            <w:vAlign w:val="center"/>
          </w:tcPr>
          <w:p w14:paraId="15161E6E"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0C9A26E6" w14:textId="77777777" w:rsidR="002963E1" w:rsidRPr="00DB28B2" w:rsidRDefault="002963E1" w:rsidP="009760B1">
            <w:pPr>
              <w:jc w:val="center"/>
              <w:rPr>
                <w:rFonts w:cs="Arial"/>
                <w:color w:val="222222"/>
                <w:sz w:val="16"/>
                <w:szCs w:val="16"/>
              </w:rPr>
            </w:pPr>
            <w:r w:rsidRPr="00DB28B2">
              <w:rPr>
                <w:rFonts w:cs="Arial"/>
                <w:color w:val="222222"/>
                <w:sz w:val="16"/>
                <w:szCs w:val="16"/>
              </w:rPr>
              <w:t>Upgrade and adapt existing products</w:t>
            </w:r>
          </w:p>
        </w:tc>
        <w:tc>
          <w:tcPr>
            <w:tcW w:w="1838" w:type="dxa"/>
            <w:shd w:val="clear" w:color="auto" w:fill="FFCCCC"/>
            <w:vAlign w:val="center"/>
          </w:tcPr>
          <w:p w14:paraId="10D2FD3B"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FCCCC"/>
            <w:vAlign w:val="center"/>
          </w:tcPr>
          <w:p w14:paraId="09497257"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A product is upgradable if its functionality or performance can be improved during or after use. Try and integrate upgrading services into your offering. </w:t>
            </w:r>
          </w:p>
          <w:p w14:paraId="61B42608"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Gispen</w:t>
            </w:r>
            <w:proofErr w:type="spellEnd"/>
            <w:r w:rsidRPr="00DB28B2">
              <w:rPr>
                <w:rFonts w:cs="Arial"/>
                <w:i/>
                <w:iCs/>
                <w:color w:val="222222"/>
                <w:sz w:val="16"/>
                <w:szCs w:val="16"/>
              </w:rPr>
              <w:t xml:space="preserve"> offers REMADE, a service to repurpose old furniture to fit new trends and workspace requirements.</w:t>
            </w:r>
          </w:p>
        </w:tc>
      </w:tr>
      <w:tr w:rsidR="002963E1" w:rsidRPr="00DB28B2" w14:paraId="4423346B" w14:textId="77777777" w:rsidTr="009760B1">
        <w:tc>
          <w:tcPr>
            <w:tcW w:w="1053" w:type="dxa"/>
            <w:shd w:val="clear" w:color="auto" w:fill="FFCCCC"/>
            <w:vAlign w:val="center"/>
          </w:tcPr>
          <w:p w14:paraId="16F2F2E5" w14:textId="77777777" w:rsidR="002963E1" w:rsidRPr="00DB28B2" w:rsidRDefault="002963E1" w:rsidP="009760B1">
            <w:pPr>
              <w:jc w:val="center"/>
              <w:rPr>
                <w:rFonts w:cs="Arial"/>
                <w:color w:val="222222"/>
                <w:sz w:val="16"/>
                <w:szCs w:val="16"/>
              </w:rPr>
            </w:pPr>
            <w:r w:rsidRPr="00DB28B2">
              <w:rPr>
                <w:rFonts w:cs="Arial"/>
                <w:color w:val="222222"/>
                <w:sz w:val="16"/>
                <w:szCs w:val="16"/>
              </w:rPr>
              <w:t>Slow</w:t>
            </w:r>
          </w:p>
        </w:tc>
        <w:tc>
          <w:tcPr>
            <w:tcW w:w="1633" w:type="dxa"/>
            <w:shd w:val="clear" w:color="auto" w:fill="FFCCCC"/>
            <w:vAlign w:val="center"/>
          </w:tcPr>
          <w:p w14:paraId="015D042D" w14:textId="77777777" w:rsidR="002963E1" w:rsidRPr="00DB28B2" w:rsidRDefault="002963E1" w:rsidP="009760B1">
            <w:pPr>
              <w:jc w:val="center"/>
              <w:rPr>
                <w:rFonts w:cs="Arial"/>
                <w:color w:val="222222"/>
                <w:sz w:val="16"/>
                <w:szCs w:val="16"/>
              </w:rPr>
            </w:pPr>
            <w:r w:rsidRPr="00DB28B2">
              <w:rPr>
                <w:rFonts w:cs="Arial"/>
                <w:color w:val="222222"/>
                <w:sz w:val="16"/>
                <w:szCs w:val="16"/>
              </w:rPr>
              <w:t>Turn disposables into a reusable service</w:t>
            </w:r>
          </w:p>
        </w:tc>
        <w:tc>
          <w:tcPr>
            <w:tcW w:w="1838" w:type="dxa"/>
            <w:shd w:val="clear" w:color="auto" w:fill="FFCCCC"/>
            <w:vAlign w:val="center"/>
          </w:tcPr>
          <w:p w14:paraId="6875E2AD"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FFCCCC"/>
            <w:vAlign w:val="center"/>
          </w:tcPr>
          <w:p w14:paraId="0D85E6C3"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Make use of or provide services that replace disposable with durable products. </w:t>
            </w:r>
          </w:p>
          <w:p w14:paraId="64F27299"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TerraCycle</w:t>
            </w:r>
            <w:proofErr w:type="spellEnd"/>
            <w:r w:rsidRPr="00DB28B2">
              <w:rPr>
                <w:rFonts w:cs="Arial"/>
                <w:i/>
                <w:iCs/>
                <w:color w:val="222222"/>
                <w:sz w:val="16"/>
                <w:szCs w:val="16"/>
              </w:rPr>
              <w:t xml:space="preserve"> has designed ‘Loop’, which delivers products like shampoo or ice cream in reusable packaging. The packaging gets picked up, cleaned and used again. Involved actors include retail brands, service providers (e.g., cleaning and transport service) and end users.</w:t>
            </w:r>
          </w:p>
        </w:tc>
      </w:tr>
      <w:tr w:rsidR="002963E1" w:rsidRPr="00DB28B2" w14:paraId="63C781EA" w14:textId="77777777" w:rsidTr="009760B1">
        <w:tc>
          <w:tcPr>
            <w:tcW w:w="1053" w:type="dxa"/>
            <w:shd w:val="clear" w:color="auto" w:fill="EDF6E4" w:themeFill="accent5" w:themeFillTint="33"/>
            <w:vAlign w:val="center"/>
          </w:tcPr>
          <w:p w14:paraId="159EC8BC"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0787A24D"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with recycled inputs</w:t>
            </w:r>
          </w:p>
        </w:tc>
        <w:tc>
          <w:tcPr>
            <w:tcW w:w="1838" w:type="dxa"/>
            <w:shd w:val="clear" w:color="auto" w:fill="EDF6E4" w:themeFill="accent5" w:themeFillTint="33"/>
            <w:vAlign w:val="center"/>
          </w:tcPr>
          <w:p w14:paraId="796A1AD1"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EDF6E4" w:themeFill="accent5" w:themeFillTint="33"/>
            <w:vAlign w:val="center"/>
          </w:tcPr>
          <w:p w14:paraId="7693C2A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with materials that have been recycled from other products and components. </w:t>
            </w:r>
          </w:p>
          <w:p w14:paraId="1D9E7A53"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‘Design for Recycled Content Guide’ supports firms in opting for more recycled content in their products.</w:t>
            </w:r>
          </w:p>
        </w:tc>
      </w:tr>
      <w:tr w:rsidR="002963E1" w:rsidRPr="00DB28B2" w14:paraId="2D632865" w14:textId="77777777" w:rsidTr="009760B1">
        <w:tc>
          <w:tcPr>
            <w:tcW w:w="1053" w:type="dxa"/>
            <w:shd w:val="clear" w:color="auto" w:fill="EDF6E4" w:themeFill="accent5" w:themeFillTint="33"/>
            <w:vAlign w:val="center"/>
          </w:tcPr>
          <w:p w14:paraId="77CFDDF3"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7C829B59"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components, where appropriate, with one material</w:t>
            </w:r>
          </w:p>
        </w:tc>
        <w:tc>
          <w:tcPr>
            <w:tcW w:w="1838" w:type="dxa"/>
            <w:shd w:val="clear" w:color="auto" w:fill="EDF6E4" w:themeFill="accent5" w:themeFillTint="33"/>
            <w:vAlign w:val="center"/>
          </w:tcPr>
          <w:p w14:paraId="398EB113"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EDF6E4" w:themeFill="accent5" w:themeFillTint="33"/>
            <w:vAlign w:val="center"/>
          </w:tcPr>
          <w:p w14:paraId="322BF69A"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Composite materials are often hard to recycle because they cannot be separated. Design components, therefore, where appropriate, with only one material to increase recyclability. </w:t>
            </w:r>
          </w:p>
          <w:p w14:paraId="5BA03D79"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 xml:space="preserve">Adidas has launched </w:t>
            </w:r>
            <w:proofErr w:type="spellStart"/>
            <w:r w:rsidRPr="00DB28B2">
              <w:rPr>
                <w:rFonts w:cs="Arial"/>
                <w:i/>
                <w:iCs/>
                <w:color w:val="222222"/>
                <w:sz w:val="16"/>
                <w:szCs w:val="16"/>
              </w:rPr>
              <w:t>Futurecraft.Loop</w:t>
            </w:r>
            <w:proofErr w:type="spellEnd"/>
            <w:r w:rsidRPr="00DB28B2">
              <w:rPr>
                <w:rFonts w:cs="Arial"/>
                <w:i/>
                <w:iCs/>
                <w:color w:val="222222"/>
                <w:sz w:val="16"/>
                <w:szCs w:val="16"/>
              </w:rPr>
              <w:t>, a shoe made from one recyclable material and no glue. It can be recycled into pellets that can be turned into a new shoe.</w:t>
            </w:r>
          </w:p>
        </w:tc>
      </w:tr>
      <w:tr w:rsidR="002963E1" w:rsidRPr="00DB28B2" w14:paraId="6A4767BB" w14:textId="77777777" w:rsidTr="009760B1">
        <w:tc>
          <w:tcPr>
            <w:tcW w:w="1053" w:type="dxa"/>
            <w:shd w:val="clear" w:color="auto" w:fill="EDF6E4" w:themeFill="accent5" w:themeFillTint="33"/>
            <w:vAlign w:val="center"/>
          </w:tcPr>
          <w:p w14:paraId="50117193"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483EE7CC"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with materials suitable for primary recycling</w:t>
            </w:r>
          </w:p>
        </w:tc>
        <w:tc>
          <w:tcPr>
            <w:tcW w:w="1838" w:type="dxa"/>
            <w:shd w:val="clear" w:color="auto" w:fill="EDF6E4" w:themeFill="accent5" w:themeFillTint="33"/>
            <w:vAlign w:val="center"/>
          </w:tcPr>
          <w:p w14:paraId="304F5D52"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EDF6E4" w:themeFill="accent5" w:themeFillTint="33"/>
            <w:vAlign w:val="center"/>
          </w:tcPr>
          <w:p w14:paraId="6FBBCEF4"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Try and design for primary recycling, that is: recycling that can turn materials into materials with equivalent properties. </w:t>
            </w:r>
          </w:p>
          <w:p w14:paraId="12FF6160"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 xml:space="preserve">Aquafil has designed the </w:t>
            </w:r>
            <w:proofErr w:type="spellStart"/>
            <w:r w:rsidRPr="00DB28B2">
              <w:rPr>
                <w:rFonts w:cs="Arial"/>
                <w:i/>
                <w:iCs/>
                <w:color w:val="222222"/>
                <w:sz w:val="16"/>
                <w:szCs w:val="16"/>
              </w:rPr>
              <w:t>Econyl</w:t>
            </w:r>
            <w:proofErr w:type="spellEnd"/>
            <w:r w:rsidRPr="00DB28B2">
              <w:rPr>
                <w:rFonts w:cs="Arial"/>
                <w:i/>
                <w:iCs/>
                <w:color w:val="222222"/>
                <w:sz w:val="16"/>
                <w:szCs w:val="16"/>
              </w:rPr>
              <w:t xml:space="preserve"> system, which enables Polyamide 6 or Nylon 6 waste to be manufactured into new Nylon 6, with no loss of quality.</w:t>
            </w:r>
          </w:p>
        </w:tc>
      </w:tr>
      <w:tr w:rsidR="002963E1" w:rsidRPr="00DB28B2" w14:paraId="4C51760C" w14:textId="77777777" w:rsidTr="009760B1">
        <w:tc>
          <w:tcPr>
            <w:tcW w:w="1053" w:type="dxa"/>
            <w:shd w:val="clear" w:color="auto" w:fill="EDF6E4" w:themeFill="accent5" w:themeFillTint="33"/>
            <w:vAlign w:val="center"/>
          </w:tcPr>
          <w:p w14:paraId="50635231"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0D54F2CD"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for easy disassembly at the end of the product lives</w:t>
            </w:r>
          </w:p>
        </w:tc>
        <w:tc>
          <w:tcPr>
            <w:tcW w:w="1838" w:type="dxa"/>
            <w:shd w:val="clear" w:color="auto" w:fill="EDF6E4" w:themeFill="accent5" w:themeFillTint="33"/>
            <w:vAlign w:val="center"/>
          </w:tcPr>
          <w:p w14:paraId="0EF36384"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EDF6E4" w:themeFill="accent5" w:themeFillTint="33"/>
            <w:vAlign w:val="center"/>
          </w:tcPr>
          <w:p w14:paraId="2A3D658B"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Easy disassembly allows product components to be more easily recycled. </w:t>
            </w:r>
          </w:p>
          <w:p w14:paraId="106D4DE1"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Magnomer</w:t>
            </w:r>
            <w:proofErr w:type="spellEnd"/>
            <w:r w:rsidRPr="00DB28B2">
              <w:rPr>
                <w:rFonts w:cs="Arial"/>
                <w:i/>
                <w:iCs/>
                <w:color w:val="222222"/>
                <w:sz w:val="16"/>
                <w:szCs w:val="16"/>
              </w:rPr>
              <w:t xml:space="preserve"> uses magnetizable ink on packaging labels to allow for easier separation during the recycling process.</w:t>
            </w:r>
          </w:p>
        </w:tc>
      </w:tr>
      <w:tr w:rsidR="002963E1" w:rsidRPr="00DB28B2" w14:paraId="165C7695" w14:textId="77777777" w:rsidTr="009760B1">
        <w:tc>
          <w:tcPr>
            <w:tcW w:w="1053" w:type="dxa"/>
            <w:shd w:val="clear" w:color="auto" w:fill="EDF6E4" w:themeFill="accent5" w:themeFillTint="33"/>
            <w:vAlign w:val="center"/>
          </w:tcPr>
          <w:p w14:paraId="6C2A84DF"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36384909" w14:textId="77777777" w:rsidR="002963E1" w:rsidRPr="00DB28B2" w:rsidRDefault="002963E1" w:rsidP="009760B1">
            <w:pPr>
              <w:jc w:val="center"/>
              <w:rPr>
                <w:rFonts w:cs="Arial"/>
                <w:color w:val="222222"/>
                <w:sz w:val="16"/>
                <w:szCs w:val="16"/>
              </w:rPr>
            </w:pPr>
            <w:r w:rsidRPr="00DB28B2">
              <w:rPr>
                <w:rFonts w:cs="Arial"/>
                <w:color w:val="222222"/>
                <w:sz w:val="16"/>
                <w:szCs w:val="16"/>
              </w:rPr>
              <w:t>Reuse and sell components and materials from discarded products</w:t>
            </w:r>
          </w:p>
        </w:tc>
        <w:tc>
          <w:tcPr>
            <w:tcW w:w="1838" w:type="dxa"/>
            <w:shd w:val="clear" w:color="auto" w:fill="EDF6E4" w:themeFill="accent5" w:themeFillTint="33"/>
            <w:vAlign w:val="center"/>
          </w:tcPr>
          <w:p w14:paraId="2856B902"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EDF6E4" w:themeFill="accent5" w:themeFillTint="33"/>
            <w:vAlign w:val="center"/>
          </w:tcPr>
          <w:p w14:paraId="22045A4B"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Create new value from wasted products and components. </w:t>
            </w:r>
          </w:p>
          <w:p w14:paraId="1C08BD8C"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Roetz</w:t>
            </w:r>
            <w:proofErr w:type="spellEnd"/>
            <w:r w:rsidRPr="00DB28B2">
              <w:rPr>
                <w:rFonts w:cs="Arial"/>
                <w:i/>
                <w:iCs/>
                <w:color w:val="222222"/>
                <w:sz w:val="16"/>
                <w:szCs w:val="16"/>
              </w:rPr>
              <w:t xml:space="preserve"> recovers bicycle components that were thrown away and uses them to let customers assemble their own bikes.</w:t>
            </w:r>
          </w:p>
        </w:tc>
      </w:tr>
      <w:tr w:rsidR="002963E1" w:rsidRPr="00DB28B2" w14:paraId="4CE11088" w14:textId="77777777" w:rsidTr="009760B1">
        <w:tc>
          <w:tcPr>
            <w:tcW w:w="1053" w:type="dxa"/>
            <w:shd w:val="clear" w:color="auto" w:fill="EDF6E4" w:themeFill="accent5" w:themeFillTint="33"/>
            <w:vAlign w:val="center"/>
          </w:tcPr>
          <w:p w14:paraId="743DF9FB"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08AC19CF" w14:textId="77777777" w:rsidR="002963E1" w:rsidRPr="00DB28B2" w:rsidRDefault="002963E1" w:rsidP="009760B1">
            <w:pPr>
              <w:jc w:val="center"/>
              <w:rPr>
                <w:rFonts w:cs="Arial"/>
                <w:color w:val="222222"/>
                <w:sz w:val="16"/>
                <w:szCs w:val="16"/>
              </w:rPr>
            </w:pPr>
            <w:r w:rsidRPr="00DB28B2">
              <w:rPr>
                <w:rFonts w:cs="Arial"/>
                <w:color w:val="222222"/>
                <w:sz w:val="16"/>
                <w:szCs w:val="16"/>
              </w:rPr>
              <w:t>Enable and incentivize product returns</w:t>
            </w:r>
          </w:p>
        </w:tc>
        <w:tc>
          <w:tcPr>
            <w:tcW w:w="1838" w:type="dxa"/>
            <w:shd w:val="clear" w:color="auto" w:fill="EDF6E4" w:themeFill="accent5" w:themeFillTint="33"/>
            <w:vAlign w:val="center"/>
          </w:tcPr>
          <w:p w14:paraId="4D66C4FC"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EDF6E4" w:themeFill="accent5" w:themeFillTint="33"/>
            <w:vAlign w:val="center"/>
          </w:tcPr>
          <w:p w14:paraId="7A9FC685"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Make sure that you can get the products back that you put on the market. </w:t>
            </w:r>
          </w:p>
          <w:p w14:paraId="5E8FC763"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 xml:space="preserve">The clothing company </w:t>
            </w:r>
            <w:proofErr w:type="spellStart"/>
            <w:r w:rsidRPr="00DB28B2">
              <w:rPr>
                <w:rFonts w:cs="Arial"/>
                <w:i/>
                <w:iCs/>
                <w:color w:val="222222"/>
                <w:sz w:val="16"/>
                <w:szCs w:val="16"/>
              </w:rPr>
              <w:t>Teemill</w:t>
            </w:r>
            <w:proofErr w:type="spellEnd"/>
            <w:r w:rsidRPr="00DB28B2">
              <w:rPr>
                <w:rFonts w:cs="Arial"/>
                <w:i/>
                <w:iCs/>
                <w:color w:val="222222"/>
                <w:sz w:val="16"/>
                <w:szCs w:val="16"/>
              </w:rPr>
              <w:t xml:space="preserve"> makes users send back old and worn out products. Users can scan a QR code in the wash-care label to generate a free post label, which can be used to send the garment back to </w:t>
            </w:r>
            <w:proofErr w:type="spellStart"/>
            <w:r w:rsidRPr="00DB28B2">
              <w:rPr>
                <w:rFonts w:cs="Arial"/>
                <w:i/>
                <w:iCs/>
                <w:color w:val="222222"/>
                <w:sz w:val="16"/>
                <w:szCs w:val="16"/>
              </w:rPr>
              <w:t>Teemill</w:t>
            </w:r>
            <w:proofErr w:type="spellEnd"/>
            <w:r w:rsidRPr="00DB28B2">
              <w:rPr>
                <w:rFonts w:cs="Arial"/>
                <w:i/>
                <w:iCs/>
                <w:color w:val="222222"/>
                <w:sz w:val="16"/>
                <w:szCs w:val="16"/>
              </w:rPr>
              <w:t>. Sending back products earns users credit for their next purchase.</w:t>
            </w:r>
          </w:p>
        </w:tc>
      </w:tr>
      <w:tr w:rsidR="002963E1" w:rsidRPr="00DB28B2" w14:paraId="5F66E36E" w14:textId="77777777" w:rsidTr="009760B1">
        <w:tc>
          <w:tcPr>
            <w:tcW w:w="1053" w:type="dxa"/>
            <w:shd w:val="clear" w:color="auto" w:fill="EDF6E4" w:themeFill="accent5" w:themeFillTint="33"/>
            <w:vAlign w:val="center"/>
          </w:tcPr>
          <w:p w14:paraId="71441D00"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5D1982E8" w14:textId="77777777" w:rsidR="002963E1" w:rsidRPr="00DB28B2" w:rsidRDefault="002963E1" w:rsidP="009760B1">
            <w:pPr>
              <w:jc w:val="center"/>
              <w:rPr>
                <w:rFonts w:cs="Arial"/>
                <w:color w:val="222222"/>
                <w:sz w:val="16"/>
                <w:szCs w:val="16"/>
              </w:rPr>
            </w:pPr>
            <w:r w:rsidRPr="00DB28B2">
              <w:rPr>
                <w:rFonts w:cs="Arial"/>
                <w:color w:val="222222"/>
                <w:sz w:val="16"/>
                <w:szCs w:val="16"/>
              </w:rPr>
              <w:t>Recycle products in proper facilities</w:t>
            </w:r>
          </w:p>
        </w:tc>
        <w:tc>
          <w:tcPr>
            <w:tcW w:w="1838" w:type="dxa"/>
            <w:shd w:val="clear" w:color="auto" w:fill="EDF6E4" w:themeFill="accent5" w:themeFillTint="33"/>
            <w:vAlign w:val="center"/>
          </w:tcPr>
          <w:p w14:paraId="36BFEC80"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EDF6E4" w:themeFill="accent5" w:themeFillTint="33"/>
            <w:vAlign w:val="center"/>
          </w:tcPr>
          <w:p w14:paraId="7BE0CBC1"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Make sure that the products you put on the market get recycled in proper facilities. </w:t>
            </w:r>
          </w:p>
          <w:p w14:paraId="79F5A279"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initiative ‘Closing the Loop’ supports users and sellers of phones to be material-neutral and waste free. It collects scrap phones on behalf of customers and recycles them.</w:t>
            </w:r>
          </w:p>
        </w:tc>
      </w:tr>
      <w:tr w:rsidR="002963E1" w:rsidRPr="00DB28B2" w14:paraId="76B6882F" w14:textId="77777777" w:rsidTr="009760B1">
        <w:tc>
          <w:tcPr>
            <w:tcW w:w="1053" w:type="dxa"/>
            <w:shd w:val="clear" w:color="auto" w:fill="EDF6E4" w:themeFill="accent5" w:themeFillTint="33"/>
            <w:vAlign w:val="center"/>
          </w:tcPr>
          <w:p w14:paraId="092FED53"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0EB02E05" w14:textId="77777777" w:rsidR="002963E1" w:rsidRPr="00DB28B2" w:rsidRDefault="002963E1" w:rsidP="009760B1">
            <w:pPr>
              <w:jc w:val="center"/>
              <w:rPr>
                <w:rFonts w:cs="Arial"/>
                <w:color w:val="222222"/>
                <w:sz w:val="16"/>
                <w:szCs w:val="16"/>
              </w:rPr>
            </w:pPr>
            <w:r w:rsidRPr="00DB28B2">
              <w:rPr>
                <w:rFonts w:cs="Arial"/>
                <w:color w:val="222222"/>
                <w:sz w:val="16"/>
                <w:szCs w:val="16"/>
              </w:rPr>
              <w:t>Build local waste-to-product loops</w:t>
            </w:r>
          </w:p>
        </w:tc>
        <w:tc>
          <w:tcPr>
            <w:tcW w:w="1838" w:type="dxa"/>
            <w:shd w:val="clear" w:color="auto" w:fill="EDF6E4" w:themeFill="accent5" w:themeFillTint="33"/>
            <w:vAlign w:val="center"/>
          </w:tcPr>
          <w:p w14:paraId="17E23762"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EDF6E4" w:themeFill="accent5" w:themeFillTint="33"/>
            <w:vAlign w:val="center"/>
          </w:tcPr>
          <w:p w14:paraId="5C735B9A"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Create local resource loops by turning the waste of a given facility into new products that can be sold back to the facility. </w:t>
            </w:r>
          </w:p>
          <w:p w14:paraId="508E1B34"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firm SOOP has designed an ecosystem that collects waste (coffee grounds and orange peels) from offices, processes it, and re-delivers products to the offices that are made from to the waste.</w:t>
            </w:r>
          </w:p>
        </w:tc>
      </w:tr>
      <w:tr w:rsidR="002963E1" w:rsidRPr="00DB28B2" w14:paraId="6D95070A" w14:textId="77777777" w:rsidTr="009760B1">
        <w:tc>
          <w:tcPr>
            <w:tcW w:w="1053" w:type="dxa"/>
            <w:shd w:val="clear" w:color="auto" w:fill="EDF6E4" w:themeFill="accent5" w:themeFillTint="33"/>
            <w:vAlign w:val="center"/>
          </w:tcPr>
          <w:p w14:paraId="53935B4C" w14:textId="77777777" w:rsidR="002963E1" w:rsidRPr="00DB28B2" w:rsidRDefault="002963E1" w:rsidP="009760B1">
            <w:pPr>
              <w:jc w:val="center"/>
              <w:rPr>
                <w:rFonts w:cs="Arial"/>
                <w:color w:val="222222"/>
                <w:sz w:val="16"/>
                <w:szCs w:val="16"/>
              </w:rPr>
            </w:pPr>
            <w:r w:rsidRPr="00DB28B2">
              <w:rPr>
                <w:rFonts w:cs="Arial"/>
                <w:color w:val="222222"/>
                <w:sz w:val="16"/>
                <w:szCs w:val="16"/>
              </w:rPr>
              <w:t>Close</w:t>
            </w:r>
          </w:p>
        </w:tc>
        <w:tc>
          <w:tcPr>
            <w:tcW w:w="1633" w:type="dxa"/>
            <w:shd w:val="clear" w:color="auto" w:fill="EDF6E4" w:themeFill="accent5" w:themeFillTint="33"/>
            <w:vAlign w:val="center"/>
          </w:tcPr>
          <w:p w14:paraId="572265EC" w14:textId="77777777" w:rsidR="002963E1" w:rsidRPr="00DB28B2" w:rsidRDefault="002963E1" w:rsidP="009760B1">
            <w:pPr>
              <w:jc w:val="center"/>
              <w:rPr>
                <w:rFonts w:cs="Arial"/>
                <w:color w:val="222222"/>
                <w:sz w:val="16"/>
                <w:szCs w:val="16"/>
              </w:rPr>
            </w:pPr>
            <w:r w:rsidRPr="00DB28B2">
              <w:rPr>
                <w:rFonts w:cs="Arial"/>
                <w:color w:val="222222"/>
                <w:sz w:val="16"/>
                <w:szCs w:val="16"/>
              </w:rPr>
              <w:t>Engage in industrial symbiosis</w:t>
            </w:r>
          </w:p>
        </w:tc>
        <w:tc>
          <w:tcPr>
            <w:tcW w:w="1838" w:type="dxa"/>
            <w:shd w:val="clear" w:color="auto" w:fill="EDF6E4" w:themeFill="accent5" w:themeFillTint="33"/>
            <w:vAlign w:val="center"/>
          </w:tcPr>
          <w:p w14:paraId="5DACFD7A"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EDF6E4" w:themeFill="accent5" w:themeFillTint="33"/>
            <w:vAlign w:val="center"/>
          </w:tcPr>
          <w:p w14:paraId="50851CFE"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Share or exchange by-products, materials, energy, or waste among nearby firms. </w:t>
            </w:r>
          </w:p>
          <w:p w14:paraId="1DB616CA"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 xml:space="preserve">The </w:t>
            </w:r>
            <w:proofErr w:type="spellStart"/>
            <w:r w:rsidRPr="00DB28B2">
              <w:rPr>
                <w:rFonts w:cs="Arial"/>
                <w:i/>
                <w:iCs/>
                <w:color w:val="222222"/>
                <w:sz w:val="16"/>
                <w:szCs w:val="16"/>
              </w:rPr>
              <w:t>Kalundborg</w:t>
            </w:r>
            <w:proofErr w:type="spellEnd"/>
            <w:r w:rsidRPr="00DB28B2">
              <w:rPr>
                <w:rFonts w:cs="Arial"/>
                <w:i/>
                <w:iCs/>
                <w:color w:val="222222"/>
                <w:sz w:val="16"/>
                <w:szCs w:val="16"/>
              </w:rPr>
              <w:t xml:space="preserve"> Eco-industrial park is an example where firms collaborate to share by-products from their factories.</w:t>
            </w:r>
          </w:p>
        </w:tc>
      </w:tr>
      <w:tr w:rsidR="002963E1" w:rsidRPr="00DB28B2" w14:paraId="77F722DF" w14:textId="77777777" w:rsidTr="009760B1">
        <w:tc>
          <w:tcPr>
            <w:tcW w:w="1053" w:type="dxa"/>
            <w:shd w:val="clear" w:color="auto" w:fill="F4F9EE" w:themeFill="accent6" w:themeFillTint="33"/>
            <w:vAlign w:val="center"/>
          </w:tcPr>
          <w:p w14:paraId="093C0BAA"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5F982424"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with renewable materials</w:t>
            </w:r>
          </w:p>
        </w:tc>
        <w:tc>
          <w:tcPr>
            <w:tcW w:w="1838" w:type="dxa"/>
            <w:shd w:val="clear" w:color="auto" w:fill="F4F9EE" w:themeFill="accent6" w:themeFillTint="33"/>
            <w:vAlign w:val="center"/>
          </w:tcPr>
          <w:p w14:paraId="6AAF596F"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4F9EE" w:themeFill="accent6" w:themeFillTint="33"/>
            <w:vAlign w:val="center"/>
          </w:tcPr>
          <w:p w14:paraId="6406E7CA"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Design products with renewable and low-carbon materials. Timber wood, for example, can replace non-renewable building materials. Renewable materials should only be chosen when its extraction rate is equal to or lower than its recovery rate. Further, next to its properties, materials need to be selected based on their expected end-of-life treatment to avoid unintended consequences.</w:t>
            </w:r>
          </w:p>
        </w:tc>
      </w:tr>
      <w:tr w:rsidR="002963E1" w:rsidRPr="00DB28B2" w14:paraId="0B2A2200" w14:textId="77777777" w:rsidTr="009760B1">
        <w:tc>
          <w:tcPr>
            <w:tcW w:w="1053" w:type="dxa"/>
            <w:shd w:val="clear" w:color="auto" w:fill="F4F9EE" w:themeFill="accent6" w:themeFillTint="33"/>
            <w:vAlign w:val="center"/>
          </w:tcPr>
          <w:p w14:paraId="5F01B3D4"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5F5CBEBB"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self-charging products</w:t>
            </w:r>
          </w:p>
        </w:tc>
        <w:tc>
          <w:tcPr>
            <w:tcW w:w="1838" w:type="dxa"/>
            <w:shd w:val="clear" w:color="auto" w:fill="F4F9EE" w:themeFill="accent6" w:themeFillTint="33"/>
            <w:vAlign w:val="center"/>
          </w:tcPr>
          <w:p w14:paraId="040DE94C"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4F9EE" w:themeFill="accent6" w:themeFillTint="33"/>
            <w:vAlign w:val="center"/>
          </w:tcPr>
          <w:p w14:paraId="24BBC886"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that can charge themselves with renewable energy. This is especially relevant for mobility assets. </w:t>
            </w:r>
          </w:p>
          <w:p w14:paraId="53089432"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company Sono Motors has designed a car with solar cells integrated into its body, allowing it to charge itself throughout the day.</w:t>
            </w:r>
          </w:p>
        </w:tc>
      </w:tr>
      <w:tr w:rsidR="002963E1" w:rsidRPr="00DB28B2" w14:paraId="48B1A0B3" w14:textId="77777777" w:rsidTr="009760B1">
        <w:tc>
          <w:tcPr>
            <w:tcW w:w="1053" w:type="dxa"/>
            <w:shd w:val="clear" w:color="auto" w:fill="F4F9EE" w:themeFill="accent6" w:themeFillTint="33"/>
            <w:vAlign w:val="center"/>
          </w:tcPr>
          <w:p w14:paraId="6A6719B0"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10515DEA"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with living materials</w:t>
            </w:r>
          </w:p>
        </w:tc>
        <w:tc>
          <w:tcPr>
            <w:tcW w:w="1838" w:type="dxa"/>
            <w:shd w:val="clear" w:color="auto" w:fill="F4F9EE" w:themeFill="accent6" w:themeFillTint="33"/>
            <w:vAlign w:val="center"/>
          </w:tcPr>
          <w:p w14:paraId="1C8C9FD8"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4F9EE" w:themeFill="accent6" w:themeFillTint="33"/>
            <w:vAlign w:val="center"/>
          </w:tcPr>
          <w:p w14:paraId="59DCE008"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Living materials leverages the properties of natural materials. </w:t>
            </w:r>
          </w:p>
          <w:p w14:paraId="098B8673"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Ecovative</w:t>
            </w:r>
            <w:proofErr w:type="spellEnd"/>
            <w:r w:rsidRPr="00DB28B2">
              <w:rPr>
                <w:rFonts w:cs="Arial"/>
                <w:i/>
                <w:iCs/>
                <w:color w:val="222222"/>
                <w:sz w:val="16"/>
                <w:szCs w:val="16"/>
              </w:rPr>
              <w:t xml:space="preserve">, for example, produces mycelium-based </w:t>
            </w:r>
            <w:proofErr w:type="spellStart"/>
            <w:r w:rsidRPr="00DB28B2">
              <w:rPr>
                <w:rFonts w:cs="Arial"/>
                <w:i/>
                <w:iCs/>
                <w:color w:val="222222"/>
                <w:sz w:val="16"/>
                <w:szCs w:val="16"/>
              </w:rPr>
              <w:t>fibers</w:t>
            </w:r>
            <w:proofErr w:type="spellEnd"/>
            <w:r w:rsidRPr="00DB28B2">
              <w:rPr>
                <w:rFonts w:cs="Arial"/>
                <w:i/>
                <w:iCs/>
                <w:color w:val="222222"/>
                <w:sz w:val="16"/>
                <w:szCs w:val="16"/>
              </w:rPr>
              <w:t xml:space="preserve"> and materials with natural glue properties. Used for packaging, apparel and in the medical industries.</w:t>
            </w:r>
          </w:p>
        </w:tc>
      </w:tr>
      <w:tr w:rsidR="002963E1" w:rsidRPr="00DB28B2" w14:paraId="0DFC8E7C" w14:textId="77777777" w:rsidTr="009760B1">
        <w:tc>
          <w:tcPr>
            <w:tcW w:w="1053" w:type="dxa"/>
            <w:shd w:val="clear" w:color="auto" w:fill="F4F9EE" w:themeFill="accent6" w:themeFillTint="33"/>
            <w:vAlign w:val="center"/>
          </w:tcPr>
          <w:p w14:paraId="616ED256"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738808E0"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with non-toxic materials</w:t>
            </w:r>
          </w:p>
        </w:tc>
        <w:tc>
          <w:tcPr>
            <w:tcW w:w="1838" w:type="dxa"/>
            <w:shd w:val="clear" w:color="auto" w:fill="F4F9EE" w:themeFill="accent6" w:themeFillTint="33"/>
            <w:vAlign w:val="center"/>
          </w:tcPr>
          <w:p w14:paraId="44C97F32"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F4F9EE" w:themeFill="accent6" w:themeFillTint="33"/>
            <w:vAlign w:val="center"/>
          </w:tcPr>
          <w:p w14:paraId="01218AE4"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Avoid using toxic materials and substances in any of your products or operations. Toxic substances tend to accumulate in the biosphere and cause negative health effects for humans and other species. </w:t>
            </w:r>
          </w:p>
          <w:p w14:paraId="7EDA0B9D"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Vestaron</w:t>
            </w:r>
            <w:proofErr w:type="spellEnd"/>
            <w:r w:rsidRPr="00DB28B2">
              <w:rPr>
                <w:rFonts w:cs="Arial"/>
                <w:i/>
                <w:iCs/>
                <w:color w:val="222222"/>
                <w:sz w:val="16"/>
                <w:szCs w:val="16"/>
              </w:rPr>
              <w:t xml:space="preserve"> substitutes synthetic pesticides with biological ones that are safe for humans, birds, fish and pollinators.</w:t>
            </w:r>
          </w:p>
        </w:tc>
      </w:tr>
      <w:tr w:rsidR="002963E1" w:rsidRPr="00DB28B2" w14:paraId="375A3195" w14:textId="77777777" w:rsidTr="009760B1">
        <w:tc>
          <w:tcPr>
            <w:tcW w:w="1053" w:type="dxa"/>
            <w:shd w:val="clear" w:color="auto" w:fill="F4F9EE" w:themeFill="accent6" w:themeFillTint="33"/>
            <w:vAlign w:val="center"/>
          </w:tcPr>
          <w:p w14:paraId="2CF2E139"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7CB707B1" w14:textId="77777777" w:rsidR="002963E1" w:rsidRPr="00DB28B2" w:rsidRDefault="002963E1" w:rsidP="009760B1">
            <w:pPr>
              <w:jc w:val="center"/>
              <w:rPr>
                <w:rFonts w:cs="Arial"/>
                <w:color w:val="222222"/>
                <w:sz w:val="16"/>
                <w:szCs w:val="16"/>
              </w:rPr>
            </w:pPr>
            <w:r w:rsidRPr="00DB28B2">
              <w:rPr>
                <w:rFonts w:cs="Arial"/>
                <w:color w:val="222222"/>
                <w:sz w:val="16"/>
                <w:szCs w:val="16"/>
              </w:rPr>
              <w:t>Produce and process with renewable energy</w:t>
            </w:r>
          </w:p>
        </w:tc>
        <w:tc>
          <w:tcPr>
            <w:tcW w:w="1838" w:type="dxa"/>
            <w:shd w:val="clear" w:color="auto" w:fill="F4F9EE" w:themeFill="accent6" w:themeFillTint="33"/>
            <w:vAlign w:val="center"/>
          </w:tcPr>
          <w:p w14:paraId="14AF1627"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4F9EE" w:themeFill="accent6" w:themeFillTint="33"/>
            <w:vAlign w:val="center"/>
          </w:tcPr>
          <w:p w14:paraId="1BF18B98"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Build up your capacity as a company to produce and process with renewable energy. </w:t>
            </w:r>
          </w:p>
          <w:p w14:paraId="1C850D41"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In 2019, Apple has been the company with the biggest installed capacity for solar energy, 400 MW.</w:t>
            </w:r>
          </w:p>
        </w:tc>
      </w:tr>
      <w:tr w:rsidR="002963E1" w:rsidRPr="00DB28B2" w14:paraId="1BE1E3F1" w14:textId="77777777" w:rsidTr="009760B1">
        <w:tc>
          <w:tcPr>
            <w:tcW w:w="1053" w:type="dxa"/>
            <w:shd w:val="clear" w:color="auto" w:fill="F4F9EE" w:themeFill="accent6" w:themeFillTint="33"/>
            <w:vAlign w:val="center"/>
          </w:tcPr>
          <w:p w14:paraId="1A2CF919"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4A5CF100" w14:textId="77777777" w:rsidR="002963E1" w:rsidRPr="00DB28B2" w:rsidRDefault="002963E1" w:rsidP="009760B1">
            <w:pPr>
              <w:jc w:val="center"/>
              <w:rPr>
                <w:rFonts w:cs="Arial"/>
                <w:color w:val="222222"/>
                <w:sz w:val="16"/>
                <w:szCs w:val="16"/>
              </w:rPr>
            </w:pPr>
            <w:r w:rsidRPr="00DB28B2">
              <w:rPr>
                <w:rFonts w:cs="Arial"/>
                <w:color w:val="222222"/>
                <w:sz w:val="16"/>
                <w:szCs w:val="16"/>
              </w:rPr>
              <w:t>Power transportation with renewable energy</w:t>
            </w:r>
          </w:p>
        </w:tc>
        <w:tc>
          <w:tcPr>
            <w:tcW w:w="1838" w:type="dxa"/>
            <w:shd w:val="clear" w:color="auto" w:fill="F4F9EE" w:themeFill="accent6" w:themeFillTint="33"/>
            <w:vAlign w:val="center"/>
          </w:tcPr>
          <w:p w14:paraId="6A965A53"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4F9EE" w:themeFill="accent6" w:themeFillTint="33"/>
            <w:vAlign w:val="center"/>
          </w:tcPr>
          <w:p w14:paraId="25140D6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Find ways to power your transportation needs with renewable energy. </w:t>
            </w:r>
          </w:p>
          <w:p w14:paraId="0D51F2F2"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 xml:space="preserve">The company </w:t>
            </w:r>
            <w:proofErr w:type="spellStart"/>
            <w:r w:rsidRPr="00DB28B2">
              <w:rPr>
                <w:rFonts w:cs="Arial"/>
                <w:i/>
                <w:iCs/>
                <w:color w:val="222222"/>
                <w:sz w:val="16"/>
                <w:szCs w:val="16"/>
              </w:rPr>
              <w:t>Foodlogica</w:t>
            </w:r>
            <w:proofErr w:type="spellEnd"/>
            <w:r w:rsidRPr="00DB28B2">
              <w:rPr>
                <w:rFonts w:cs="Arial"/>
                <w:i/>
                <w:iCs/>
                <w:color w:val="222222"/>
                <w:sz w:val="16"/>
                <w:szCs w:val="16"/>
              </w:rPr>
              <w:t xml:space="preserve"> links local food, consumers and businesses in Amsterdam’s city </w:t>
            </w:r>
            <w:proofErr w:type="spellStart"/>
            <w:r w:rsidRPr="00DB28B2">
              <w:rPr>
                <w:rFonts w:cs="Arial"/>
                <w:i/>
                <w:iCs/>
                <w:color w:val="222222"/>
                <w:sz w:val="16"/>
                <w:szCs w:val="16"/>
              </w:rPr>
              <w:t>center</w:t>
            </w:r>
            <w:proofErr w:type="spellEnd"/>
            <w:r w:rsidRPr="00DB28B2">
              <w:rPr>
                <w:rFonts w:cs="Arial"/>
                <w:i/>
                <w:iCs/>
                <w:color w:val="222222"/>
                <w:sz w:val="16"/>
                <w:szCs w:val="16"/>
              </w:rPr>
              <w:t xml:space="preserve"> through a light-weight mobility system, powered by renewable energy.</w:t>
            </w:r>
          </w:p>
        </w:tc>
      </w:tr>
      <w:tr w:rsidR="002963E1" w:rsidRPr="00DB28B2" w14:paraId="0DB8D044" w14:textId="77777777" w:rsidTr="009760B1">
        <w:tc>
          <w:tcPr>
            <w:tcW w:w="1053" w:type="dxa"/>
            <w:shd w:val="clear" w:color="auto" w:fill="F4F9EE" w:themeFill="accent6" w:themeFillTint="33"/>
            <w:vAlign w:val="center"/>
          </w:tcPr>
          <w:p w14:paraId="43F2469A"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408B68AC" w14:textId="77777777" w:rsidR="002963E1" w:rsidRPr="00DB28B2" w:rsidRDefault="002963E1" w:rsidP="009760B1">
            <w:pPr>
              <w:jc w:val="center"/>
              <w:rPr>
                <w:rFonts w:cs="Arial"/>
                <w:color w:val="222222"/>
                <w:sz w:val="16"/>
                <w:szCs w:val="16"/>
              </w:rPr>
            </w:pPr>
            <w:r w:rsidRPr="00DB28B2">
              <w:rPr>
                <w:rFonts w:cs="Arial"/>
                <w:color w:val="222222"/>
                <w:sz w:val="16"/>
                <w:szCs w:val="16"/>
              </w:rPr>
              <w:t>Power the use of the product with renewable energy</w:t>
            </w:r>
          </w:p>
        </w:tc>
        <w:tc>
          <w:tcPr>
            <w:tcW w:w="1838" w:type="dxa"/>
            <w:shd w:val="clear" w:color="auto" w:fill="F4F9EE" w:themeFill="accent6" w:themeFillTint="33"/>
            <w:vAlign w:val="center"/>
          </w:tcPr>
          <w:p w14:paraId="3F3B6973"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F4F9EE" w:themeFill="accent6" w:themeFillTint="33"/>
            <w:vAlign w:val="center"/>
          </w:tcPr>
          <w:p w14:paraId="654927E2"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Find ways of powering your product with renewable energy, through creative partnerships or product and service design. </w:t>
            </w:r>
          </w:p>
          <w:p w14:paraId="428BF167"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 xml:space="preserve">Waka </w:t>
            </w:r>
            <w:proofErr w:type="spellStart"/>
            <w:r w:rsidRPr="00DB28B2">
              <w:rPr>
                <w:rFonts w:cs="Arial"/>
                <w:i/>
                <w:iCs/>
                <w:color w:val="222222"/>
                <w:sz w:val="16"/>
                <w:szCs w:val="16"/>
              </w:rPr>
              <w:t>Waka</w:t>
            </w:r>
            <w:proofErr w:type="spellEnd"/>
            <w:r w:rsidRPr="00DB28B2">
              <w:rPr>
                <w:rFonts w:cs="Arial"/>
                <w:i/>
                <w:iCs/>
                <w:color w:val="222222"/>
                <w:sz w:val="16"/>
                <w:szCs w:val="16"/>
              </w:rPr>
              <w:t xml:space="preserve"> provides portable devices with photovoltaic panels that can power every-day electronics.</w:t>
            </w:r>
          </w:p>
        </w:tc>
      </w:tr>
      <w:tr w:rsidR="002963E1" w:rsidRPr="00DB28B2" w14:paraId="22C38856" w14:textId="77777777" w:rsidTr="009760B1">
        <w:tc>
          <w:tcPr>
            <w:tcW w:w="1053" w:type="dxa"/>
            <w:shd w:val="clear" w:color="auto" w:fill="F4F9EE" w:themeFill="accent6" w:themeFillTint="33"/>
            <w:vAlign w:val="center"/>
          </w:tcPr>
          <w:p w14:paraId="061A7E00"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41606971" w14:textId="77777777" w:rsidR="002963E1" w:rsidRPr="00DB28B2" w:rsidRDefault="002963E1" w:rsidP="009760B1">
            <w:pPr>
              <w:jc w:val="center"/>
              <w:rPr>
                <w:rFonts w:cs="Arial"/>
                <w:color w:val="222222"/>
                <w:sz w:val="16"/>
                <w:szCs w:val="16"/>
              </w:rPr>
            </w:pPr>
            <w:r w:rsidRPr="00DB28B2">
              <w:rPr>
                <w:rFonts w:cs="Arial"/>
                <w:color w:val="222222"/>
                <w:sz w:val="16"/>
                <w:szCs w:val="16"/>
              </w:rPr>
              <w:t>Embed renewable energy production in the existing infrastructure</w:t>
            </w:r>
          </w:p>
        </w:tc>
        <w:tc>
          <w:tcPr>
            <w:tcW w:w="1838" w:type="dxa"/>
            <w:shd w:val="clear" w:color="auto" w:fill="F4F9EE" w:themeFill="accent6" w:themeFillTint="33"/>
            <w:vAlign w:val="center"/>
          </w:tcPr>
          <w:p w14:paraId="2AB9EAAB"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F4F9EE" w:themeFill="accent6" w:themeFillTint="33"/>
            <w:vAlign w:val="center"/>
          </w:tcPr>
          <w:p w14:paraId="396C7B1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Find ways of making renewable energy production part of the existing infrastructure. </w:t>
            </w:r>
          </w:p>
          <w:p w14:paraId="11B9DF98"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‘Solar Roadways’ has developed a modular system of solar panels that can be walked and driven upon.</w:t>
            </w:r>
          </w:p>
        </w:tc>
      </w:tr>
      <w:tr w:rsidR="002963E1" w:rsidRPr="00DB28B2" w14:paraId="5207848F" w14:textId="77777777" w:rsidTr="009760B1">
        <w:tc>
          <w:tcPr>
            <w:tcW w:w="1053" w:type="dxa"/>
            <w:shd w:val="clear" w:color="auto" w:fill="F4F9EE" w:themeFill="accent6" w:themeFillTint="33"/>
            <w:vAlign w:val="center"/>
          </w:tcPr>
          <w:p w14:paraId="425214F9"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61FB641B" w14:textId="77777777" w:rsidR="002963E1" w:rsidRPr="00DB28B2" w:rsidRDefault="002963E1" w:rsidP="009760B1">
            <w:pPr>
              <w:jc w:val="center"/>
              <w:rPr>
                <w:rFonts w:cs="Arial"/>
                <w:color w:val="222222"/>
                <w:sz w:val="16"/>
                <w:szCs w:val="16"/>
              </w:rPr>
            </w:pPr>
            <w:r w:rsidRPr="00DB28B2">
              <w:rPr>
                <w:rFonts w:cs="Arial"/>
                <w:color w:val="222222"/>
                <w:sz w:val="16"/>
                <w:szCs w:val="16"/>
              </w:rPr>
              <w:t>Recover nutrients from urban areas</w:t>
            </w:r>
          </w:p>
        </w:tc>
        <w:tc>
          <w:tcPr>
            <w:tcW w:w="1838" w:type="dxa"/>
            <w:shd w:val="clear" w:color="auto" w:fill="F4F9EE" w:themeFill="accent6" w:themeFillTint="33"/>
            <w:vAlign w:val="center"/>
          </w:tcPr>
          <w:p w14:paraId="043C3CE0"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F4F9EE" w:themeFill="accent6" w:themeFillTint="33"/>
            <w:vAlign w:val="center"/>
          </w:tcPr>
          <w:p w14:paraId="15F8016B"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Find ways of recovering valuable nutrients from urban areas that are usually lost. </w:t>
            </w:r>
          </w:p>
          <w:p w14:paraId="665B2782"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Lystec</w:t>
            </w:r>
            <w:proofErr w:type="spellEnd"/>
            <w:r w:rsidRPr="00DB28B2">
              <w:rPr>
                <w:rFonts w:cs="Arial"/>
                <w:i/>
                <w:iCs/>
                <w:color w:val="222222"/>
                <w:sz w:val="16"/>
                <w:szCs w:val="16"/>
              </w:rPr>
              <w:t xml:space="preserve"> Inc. helps the city of Guelph to turn biosolids from </w:t>
            </w:r>
            <w:proofErr w:type="spellStart"/>
            <w:r w:rsidRPr="00DB28B2">
              <w:rPr>
                <w:rFonts w:cs="Arial"/>
                <w:i/>
                <w:iCs/>
                <w:color w:val="222222"/>
                <w:sz w:val="16"/>
                <w:szCs w:val="16"/>
              </w:rPr>
              <w:t>wasterwater</w:t>
            </w:r>
            <w:proofErr w:type="spellEnd"/>
            <w:r w:rsidRPr="00DB28B2">
              <w:rPr>
                <w:rFonts w:cs="Arial"/>
                <w:i/>
                <w:iCs/>
                <w:color w:val="222222"/>
                <w:sz w:val="16"/>
                <w:szCs w:val="16"/>
              </w:rPr>
              <w:t xml:space="preserve"> treatment into organic nutrients for surrounding agriculture.</w:t>
            </w:r>
          </w:p>
        </w:tc>
      </w:tr>
      <w:tr w:rsidR="002963E1" w:rsidRPr="00DB28B2" w14:paraId="360BEF21" w14:textId="77777777" w:rsidTr="009760B1">
        <w:tc>
          <w:tcPr>
            <w:tcW w:w="1053" w:type="dxa"/>
            <w:shd w:val="clear" w:color="auto" w:fill="F4F9EE" w:themeFill="accent6" w:themeFillTint="33"/>
            <w:vAlign w:val="center"/>
          </w:tcPr>
          <w:p w14:paraId="05755618"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017478AA"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 polluted ecosystems</w:t>
            </w:r>
          </w:p>
        </w:tc>
        <w:tc>
          <w:tcPr>
            <w:tcW w:w="1838" w:type="dxa"/>
            <w:shd w:val="clear" w:color="auto" w:fill="F4F9EE" w:themeFill="accent6" w:themeFillTint="33"/>
            <w:vAlign w:val="center"/>
          </w:tcPr>
          <w:p w14:paraId="6C45D019"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F4F9EE" w:themeFill="accent6" w:themeFillTint="33"/>
            <w:vAlign w:val="center"/>
          </w:tcPr>
          <w:p w14:paraId="4D4D2DB8"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Contribute to regenerating polluted ecosystems that affect your business. </w:t>
            </w:r>
          </w:p>
          <w:p w14:paraId="24DFBABF"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Ocean Cleanup Project develops technology to clean oceans from plastic pollution.</w:t>
            </w:r>
          </w:p>
        </w:tc>
      </w:tr>
      <w:tr w:rsidR="002963E1" w:rsidRPr="00DB28B2" w14:paraId="3C4FA34B" w14:textId="77777777" w:rsidTr="009760B1">
        <w:tc>
          <w:tcPr>
            <w:tcW w:w="1053" w:type="dxa"/>
            <w:shd w:val="clear" w:color="auto" w:fill="F4F9EE" w:themeFill="accent6" w:themeFillTint="33"/>
            <w:vAlign w:val="center"/>
          </w:tcPr>
          <w:p w14:paraId="02E1923E" w14:textId="77777777" w:rsidR="002963E1" w:rsidRPr="00DB28B2" w:rsidRDefault="002963E1" w:rsidP="009760B1">
            <w:pPr>
              <w:jc w:val="center"/>
              <w:rPr>
                <w:rFonts w:cs="Arial"/>
                <w:color w:val="222222"/>
                <w:sz w:val="16"/>
                <w:szCs w:val="16"/>
              </w:rPr>
            </w:pPr>
            <w:r w:rsidRPr="00DB28B2">
              <w:rPr>
                <w:rFonts w:cs="Arial"/>
                <w:color w:val="222222"/>
                <w:sz w:val="16"/>
                <w:szCs w:val="16"/>
              </w:rPr>
              <w:t>Regenerate</w:t>
            </w:r>
          </w:p>
        </w:tc>
        <w:tc>
          <w:tcPr>
            <w:tcW w:w="1633" w:type="dxa"/>
            <w:shd w:val="clear" w:color="auto" w:fill="F4F9EE" w:themeFill="accent6" w:themeFillTint="33"/>
            <w:vAlign w:val="center"/>
          </w:tcPr>
          <w:p w14:paraId="22B4126B" w14:textId="77777777" w:rsidR="002963E1" w:rsidRPr="00DB28B2" w:rsidRDefault="002963E1" w:rsidP="009760B1">
            <w:pPr>
              <w:jc w:val="center"/>
              <w:rPr>
                <w:rFonts w:cs="Arial"/>
                <w:color w:val="222222"/>
                <w:sz w:val="16"/>
                <w:szCs w:val="16"/>
              </w:rPr>
            </w:pPr>
            <w:r w:rsidRPr="00DB28B2">
              <w:rPr>
                <w:rFonts w:cs="Arial"/>
                <w:color w:val="222222"/>
                <w:sz w:val="16"/>
                <w:szCs w:val="16"/>
              </w:rPr>
              <w:t>Manage and sustain critical ecosystem services</w:t>
            </w:r>
          </w:p>
        </w:tc>
        <w:tc>
          <w:tcPr>
            <w:tcW w:w="1838" w:type="dxa"/>
            <w:shd w:val="clear" w:color="auto" w:fill="F4F9EE" w:themeFill="accent6" w:themeFillTint="33"/>
            <w:vAlign w:val="center"/>
          </w:tcPr>
          <w:p w14:paraId="713347B2"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F4F9EE" w:themeFill="accent6" w:themeFillTint="33"/>
            <w:vAlign w:val="center"/>
          </w:tcPr>
          <w:p w14:paraId="57526AAE"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Engage in projects that manage and sustain the natural ecosystems that surround and/or affect your business operations. </w:t>
            </w:r>
          </w:p>
          <w:p w14:paraId="0FD36829"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Nestle’s Häagen-Dazs has partnered with the nonprofit Xerces Society to plant the largest pollinator habitat in the United States. Without pollination services from bees, many critical ingredients for the ice-cream would not exist anymore.</w:t>
            </w:r>
          </w:p>
        </w:tc>
      </w:tr>
      <w:tr w:rsidR="002963E1" w:rsidRPr="00DB28B2" w14:paraId="076B278D" w14:textId="77777777" w:rsidTr="009760B1">
        <w:tc>
          <w:tcPr>
            <w:tcW w:w="1053" w:type="dxa"/>
            <w:shd w:val="clear" w:color="auto" w:fill="D9D9D9" w:themeFill="background1" w:themeFillShade="D9"/>
            <w:vAlign w:val="center"/>
          </w:tcPr>
          <w:p w14:paraId="56384924"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485ABC33" w14:textId="77777777" w:rsidR="002963E1" w:rsidRPr="00DB28B2" w:rsidRDefault="002963E1" w:rsidP="009760B1">
            <w:pPr>
              <w:jc w:val="center"/>
              <w:rPr>
                <w:rFonts w:cs="Arial"/>
                <w:color w:val="222222"/>
                <w:sz w:val="16"/>
                <w:szCs w:val="16"/>
              </w:rPr>
            </w:pPr>
            <w:r w:rsidRPr="00DB28B2">
              <w:rPr>
                <w:rFonts w:cs="Arial"/>
                <w:color w:val="222222"/>
                <w:sz w:val="16"/>
                <w:szCs w:val="16"/>
              </w:rPr>
              <w:t>Use artificial intelligence to develop new materials with circular properties</w:t>
            </w:r>
          </w:p>
        </w:tc>
        <w:tc>
          <w:tcPr>
            <w:tcW w:w="1838" w:type="dxa"/>
            <w:shd w:val="clear" w:color="auto" w:fill="D9D9D9" w:themeFill="background1" w:themeFillShade="D9"/>
            <w:vAlign w:val="center"/>
          </w:tcPr>
          <w:p w14:paraId="5BF2CD5D"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D9D9D9" w:themeFill="background1" w:themeFillShade="D9"/>
            <w:vAlign w:val="center"/>
          </w:tcPr>
          <w:p w14:paraId="0CBD44A7"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Developing a new material requires data about the structure and properties of materials. AI can help </w:t>
            </w:r>
            <w:proofErr w:type="spellStart"/>
            <w:r w:rsidRPr="00DB28B2">
              <w:rPr>
                <w:rFonts w:cs="Arial"/>
                <w:color w:val="222222"/>
                <w:sz w:val="16"/>
                <w:szCs w:val="16"/>
              </w:rPr>
              <w:t>analyze</w:t>
            </w:r>
            <w:proofErr w:type="spellEnd"/>
            <w:r w:rsidRPr="00DB28B2">
              <w:rPr>
                <w:rFonts w:cs="Arial"/>
                <w:color w:val="222222"/>
                <w:sz w:val="16"/>
                <w:szCs w:val="16"/>
              </w:rPr>
              <w:t xml:space="preserve"> the required and available data quickly to inform design decisions based on circular requirements. </w:t>
            </w:r>
          </w:p>
          <w:p w14:paraId="53FF624E"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‘Accelerated Metallurgy project’, run by the European Space Agency, has used AI to produce and test new metal alloys. AI enabled the project to speed up the process of finding new materials.</w:t>
            </w:r>
          </w:p>
        </w:tc>
      </w:tr>
      <w:tr w:rsidR="002963E1" w:rsidRPr="00DB28B2" w14:paraId="3CB4E797" w14:textId="77777777" w:rsidTr="009760B1">
        <w:tc>
          <w:tcPr>
            <w:tcW w:w="1053" w:type="dxa"/>
            <w:shd w:val="clear" w:color="auto" w:fill="D9D9D9" w:themeFill="background1" w:themeFillShade="D9"/>
            <w:vAlign w:val="center"/>
          </w:tcPr>
          <w:p w14:paraId="34D8FE33"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039CCA4A" w14:textId="77777777" w:rsidR="002963E1" w:rsidRPr="00DB28B2" w:rsidRDefault="002963E1" w:rsidP="009760B1">
            <w:pPr>
              <w:jc w:val="center"/>
              <w:rPr>
                <w:rFonts w:cs="Arial"/>
                <w:color w:val="222222"/>
                <w:sz w:val="16"/>
                <w:szCs w:val="16"/>
              </w:rPr>
            </w:pPr>
            <w:r w:rsidRPr="00DB28B2">
              <w:rPr>
                <w:rFonts w:cs="Arial"/>
                <w:color w:val="222222"/>
                <w:sz w:val="16"/>
                <w:szCs w:val="16"/>
              </w:rPr>
              <w:t>Virtualize</w:t>
            </w:r>
          </w:p>
        </w:tc>
        <w:tc>
          <w:tcPr>
            <w:tcW w:w="1838" w:type="dxa"/>
            <w:shd w:val="clear" w:color="auto" w:fill="D9D9D9" w:themeFill="background1" w:themeFillShade="D9"/>
            <w:vAlign w:val="center"/>
          </w:tcPr>
          <w:p w14:paraId="3109319B"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D9D9D9" w:themeFill="background1" w:themeFillShade="D9"/>
            <w:vAlign w:val="center"/>
          </w:tcPr>
          <w:p w14:paraId="48C0CE0A"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Deliver utility virtually. Virtualizing reduces the need for materials to deliver the same utility. </w:t>
            </w:r>
          </w:p>
          <w:p w14:paraId="27AD4175"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reMarkable</w:t>
            </w:r>
            <w:proofErr w:type="spellEnd"/>
            <w:r w:rsidRPr="00DB28B2">
              <w:rPr>
                <w:rFonts w:cs="Arial"/>
                <w:i/>
                <w:iCs/>
                <w:color w:val="222222"/>
                <w:sz w:val="16"/>
                <w:szCs w:val="16"/>
              </w:rPr>
              <w:t xml:space="preserve"> has designed a digital device that “feels like paper”. A tool for note-taking, reading and reviewing documents.</w:t>
            </w:r>
          </w:p>
        </w:tc>
      </w:tr>
      <w:tr w:rsidR="002963E1" w:rsidRPr="00DB28B2" w14:paraId="4771632E" w14:textId="77777777" w:rsidTr="009760B1">
        <w:tc>
          <w:tcPr>
            <w:tcW w:w="1053" w:type="dxa"/>
            <w:shd w:val="clear" w:color="auto" w:fill="D9D9D9" w:themeFill="background1" w:themeFillShade="D9"/>
            <w:vAlign w:val="center"/>
          </w:tcPr>
          <w:p w14:paraId="03256DA4"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4DEBE1A0" w14:textId="77777777" w:rsidR="002963E1" w:rsidRPr="00DB28B2" w:rsidRDefault="002963E1" w:rsidP="009760B1">
            <w:pPr>
              <w:jc w:val="center"/>
              <w:rPr>
                <w:rFonts w:cs="Arial"/>
                <w:color w:val="222222"/>
                <w:sz w:val="16"/>
                <w:szCs w:val="16"/>
              </w:rPr>
            </w:pPr>
            <w:r w:rsidRPr="00DB28B2">
              <w:rPr>
                <w:rFonts w:cs="Arial"/>
                <w:color w:val="222222"/>
                <w:sz w:val="16"/>
                <w:szCs w:val="16"/>
              </w:rPr>
              <w:t>Design connected products</w:t>
            </w:r>
          </w:p>
        </w:tc>
        <w:tc>
          <w:tcPr>
            <w:tcW w:w="1838" w:type="dxa"/>
            <w:shd w:val="clear" w:color="auto" w:fill="D9D9D9" w:themeFill="background1" w:themeFillShade="D9"/>
            <w:vAlign w:val="center"/>
          </w:tcPr>
          <w:p w14:paraId="6D3BA80B" w14:textId="77777777" w:rsidR="002963E1" w:rsidRPr="00DB28B2" w:rsidRDefault="002963E1" w:rsidP="009760B1">
            <w:pPr>
              <w:jc w:val="center"/>
              <w:rPr>
                <w:rFonts w:cs="Arial"/>
                <w:color w:val="222222"/>
                <w:sz w:val="16"/>
                <w:szCs w:val="16"/>
              </w:rPr>
            </w:pPr>
            <w:r w:rsidRPr="00DB28B2">
              <w:rPr>
                <w:rFonts w:cs="Arial"/>
                <w:color w:val="222222"/>
                <w:sz w:val="16"/>
                <w:szCs w:val="16"/>
              </w:rPr>
              <w:t>Product</w:t>
            </w:r>
          </w:p>
        </w:tc>
        <w:tc>
          <w:tcPr>
            <w:tcW w:w="9363" w:type="dxa"/>
            <w:shd w:val="clear" w:color="auto" w:fill="D9D9D9" w:themeFill="background1" w:themeFillShade="D9"/>
            <w:vAlign w:val="center"/>
          </w:tcPr>
          <w:p w14:paraId="24AA9493"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Design products with sensors that can send and receive different types of data. </w:t>
            </w:r>
          </w:p>
          <w:p w14:paraId="3F129881"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Delta Development, as part of its ‘product-as-a-service’ model, has sensors in some of their elevators to inform maintenance needs.</w:t>
            </w:r>
          </w:p>
        </w:tc>
      </w:tr>
      <w:tr w:rsidR="002963E1" w:rsidRPr="00DB28B2" w14:paraId="7C0D08A3" w14:textId="77777777" w:rsidTr="009760B1">
        <w:tc>
          <w:tcPr>
            <w:tcW w:w="1053" w:type="dxa"/>
            <w:shd w:val="clear" w:color="auto" w:fill="D9D9D9" w:themeFill="background1" w:themeFillShade="D9"/>
            <w:vAlign w:val="center"/>
          </w:tcPr>
          <w:p w14:paraId="63F6BF24"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0C0FA358" w14:textId="77777777" w:rsidR="002963E1" w:rsidRPr="00DB28B2" w:rsidRDefault="002963E1" w:rsidP="009760B1">
            <w:pPr>
              <w:jc w:val="center"/>
              <w:rPr>
                <w:rFonts w:cs="Arial"/>
                <w:color w:val="222222"/>
                <w:sz w:val="16"/>
                <w:szCs w:val="16"/>
              </w:rPr>
            </w:pPr>
            <w:r w:rsidRPr="00DB28B2">
              <w:rPr>
                <w:rFonts w:cs="Arial"/>
                <w:color w:val="222222"/>
                <w:sz w:val="16"/>
                <w:szCs w:val="16"/>
              </w:rPr>
              <w:t>Use product-in-use data for circular design</w:t>
            </w:r>
          </w:p>
        </w:tc>
        <w:tc>
          <w:tcPr>
            <w:tcW w:w="1838" w:type="dxa"/>
            <w:shd w:val="clear" w:color="auto" w:fill="D9D9D9" w:themeFill="background1" w:themeFillShade="D9"/>
            <w:vAlign w:val="center"/>
          </w:tcPr>
          <w:p w14:paraId="4EFA2396"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D9D9D9" w:themeFill="background1" w:themeFillShade="D9"/>
            <w:vAlign w:val="center"/>
          </w:tcPr>
          <w:p w14:paraId="6D34094E"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Data on how a product is used can be valuable to make better design decisions for future products and services. </w:t>
            </w:r>
          </w:p>
          <w:p w14:paraId="0055F10C"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Rolls-Royce aggregates product-in-use data to make their engines more efficient, durable and long-lasting.</w:t>
            </w:r>
          </w:p>
        </w:tc>
      </w:tr>
      <w:tr w:rsidR="002963E1" w:rsidRPr="00DB28B2" w14:paraId="248473A2" w14:textId="77777777" w:rsidTr="009760B1">
        <w:tc>
          <w:tcPr>
            <w:tcW w:w="1053" w:type="dxa"/>
            <w:shd w:val="clear" w:color="auto" w:fill="D9D9D9" w:themeFill="background1" w:themeFillShade="D9"/>
            <w:vAlign w:val="center"/>
          </w:tcPr>
          <w:p w14:paraId="1B1146A9"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00D08369" w14:textId="77777777" w:rsidR="002963E1" w:rsidRPr="00DB28B2" w:rsidRDefault="002963E1" w:rsidP="009760B1">
            <w:pPr>
              <w:jc w:val="center"/>
              <w:rPr>
                <w:rFonts w:cs="Arial"/>
                <w:color w:val="222222"/>
                <w:sz w:val="16"/>
                <w:szCs w:val="16"/>
              </w:rPr>
            </w:pPr>
            <w:r w:rsidRPr="00DB28B2">
              <w:rPr>
                <w:rFonts w:cs="Arial"/>
                <w:color w:val="222222"/>
                <w:sz w:val="16"/>
                <w:szCs w:val="16"/>
              </w:rPr>
              <w:t>Track the resource intensity of the product-in-use</w:t>
            </w:r>
          </w:p>
        </w:tc>
        <w:tc>
          <w:tcPr>
            <w:tcW w:w="1838" w:type="dxa"/>
            <w:shd w:val="clear" w:color="auto" w:fill="D9D9D9" w:themeFill="background1" w:themeFillShade="D9"/>
            <w:vAlign w:val="center"/>
          </w:tcPr>
          <w:p w14:paraId="5A4E0798"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D9D9D9" w:themeFill="background1" w:themeFillShade="D9"/>
            <w:vAlign w:val="center"/>
          </w:tcPr>
          <w:p w14:paraId="7E8631C0"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Tracking the resource use of products while they are used can, for example, help to influence user </w:t>
            </w:r>
            <w:proofErr w:type="spellStart"/>
            <w:r w:rsidRPr="00DB28B2">
              <w:rPr>
                <w:rFonts w:cs="Arial"/>
                <w:color w:val="222222"/>
                <w:sz w:val="16"/>
                <w:szCs w:val="16"/>
              </w:rPr>
              <w:t>behavior</w:t>
            </w:r>
            <w:proofErr w:type="spellEnd"/>
            <w:r w:rsidRPr="00DB28B2">
              <w:rPr>
                <w:rFonts w:cs="Arial"/>
                <w:color w:val="222222"/>
                <w:sz w:val="16"/>
                <w:szCs w:val="16"/>
              </w:rPr>
              <w:t xml:space="preserve"> to decrease the resource intensity of product use. </w:t>
            </w:r>
          </w:p>
          <w:p w14:paraId="7D2F8EC1"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Philips uses sensors to track data on how their lights are used within their lighting-as-a-service model to save electricity.</w:t>
            </w:r>
          </w:p>
        </w:tc>
      </w:tr>
      <w:tr w:rsidR="002963E1" w:rsidRPr="00DB28B2" w14:paraId="333DB6CA" w14:textId="77777777" w:rsidTr="009760B1">
        <w:tc>
          <w:tcPr>
            <w:tcW w:w="1053" w:type="dxa"/>
            <w:shd w:val="clear" w:color="auto" w:fill="D9D9D9" w:themeFill="background1" w:themeFillShade="D9"/>
            <w:vAlign w:val="center"/>
          </w:tcPr>
          <w:p w14:paraId="0854C886"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379D78C6" w14:textId="77777777" w:rsidR="002963E1" w:rsidRPr="00DB28B2" w:rsidRDefault="002963E1" w:rsidP="009760B1">
            <w:pPr>
              <w:jc w:val="center"/>
              <w:rPr>
                <w:rFonts w:cs="Arial"/>
                <w:color w:val="222222"/>
                <w:sz w:val="16"/>
                <w:szCs w:val="16"/>
              </w:rPr>
            </w:pPr>
            <w:r w:rsidRPr="00DB28B2">
              <w:rPr>
                <w:rFonts w:cs="Arial"/>
                <w:color w:val="222222"/>
                <w:sz w:val="16"/>
                <w:szCs w:val="16"/>
              </w:rPr>
              <w:t>Track the condition, location, and/or availability of the product</w:t>
            </w:r>
          </w:p>
        </w:tc>
        <w:tc>
          <w:tcPr>
            <w:tcW w:w="1838" w:type="dxa"/>
            <w:shd w:val="clear" w:color="auto" w:fill="D9D9D9" w:themeFill="background1" w:themeFillShade="D9"/>
            <w:vAlign w:val="center"/>
          </w:tcPr>
          <w:p w14:paraId="2F2F1155" w14:textId="77777777" w:rsidR="002963E1" w:rsidRPr="00DB28B2" w:rsidRDefault="002963E1" w:rsidP="009760B1">
            <w:pPr>
              <w:jc w:val="center"/>
              <w:rPr>
                <w:rFonts w:cs="Arial"/>
                <w:color w:val="222222"/>
                <w:sz w:val="16"/>
                <w:szCs w:val="16"/>
              </w:rPr>
            </w:pPr>
            <w:r w:rsidRPr="00DB28B2">
              <w:rPr>
                <w:rFonts w:cs="Arial"/>
                <w:color w:val="222222"/>
                <w:sz w:val="16"/>
                <w:szCs w:val="16"/>
              </w:rPr>
              <w:t>Business Model</w:t>
            </w:r>
          </w:p>
        </w:tc>
        <w:tc>
          <w:tcPr>
            <w:tcW w:w="9363" w:type="dxa"/>
            <w:shd w:val="clear" w:color="auto" w:fill="D9D9D9" w:themeFill="background1" w:themeFillShade="D9"/>
            <w:vAlign w:val="center"/>
          </w:tcPr>
          <w:p w14:paraId="3BB8B5B5"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Tracking the condition of the products can help to predict when it will be necessary to service (e.g., repair, maintain) them. Tracking the location and availability can, for example, enable the maximizing of their use capacity. </w:t>
            </w:r>
          </w:p>
          <w:p w14:paraId="381FB3B3"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Zipcar uses the data to optimize their car sharing service.</w:t>
            </w:r>
          </w:p>
        </w:tc>
      </w:tr>
      <w:tr w:rsidR="002963E1" w:rsidRPr="00DB28B2" w14:paraId="57C3A8D7" w14:textId="77777777" w:rsidTr="009760B1">
        <w:tc>
          <w:tcPr>
            <w:tcW w:w="1053" w:type="dxa"/>
            <w:shd w:val="clear" w:color="auto" w:fill="D9D9D9" w:themeFill="background1" w:themeFillShade="D9"/>
            <w:vAlign w:val="center"/>
          </w:tcPr>
          <w:p w14:paraId="619A3846"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746DCDE9" w14:textId="77777777" w:rsidR="002963E1" w:rsidRPr="00DB28B2" w:rsidRDefault="002963E1" w:rsidP="009760B1">
            <w:pPr>
              <w:jc w:val="center"/>
              <w:rPr>
                <w:rFonts w:cs="Arial"/>
                <w:color w:val="222222"/>
                <w:sz w:val="16"/>
                <w:szCs w:val="16"/>
              </w:rPr>
            </w:pPr>
            <w:r w:rsidRPr="00DB28B2">
              <w:rPr>
                <w:rFonts w:cs="Arial"/>
                <w:color w:val="222222"/>
                <w:sz w:val="16"/>
                <w:szCs w:val="16"/>
              </w:rPr>
              <w:t>Market circular products, components and materials through online platforms</w:t>
            </w:r>
          </w:p>
        </w:tc>
        <w:tc>
          <w:tcPr>
            <w:tcW w:w="1838" w:type="dxa"/>
            <w:shd w:val="clear" w:color="auto" w:fill="D9D9D9" w:themeFill="background1" w:themeFillShade="D9"/>
            <w:vAlign w:val="center"/>
          </w:tcPr>
          <w:p w14:paraId="338166D8"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D9D9D9" w:themeFill="background1" w:themeFillShade="D9"/>
            <w:vAlign w:val="center"/>
          </w:tcPr>
          <w:p w14:paraId="06534869"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Online platforms can serve to market circular products, components and materials. </w:t>
            </w:r>
          </w:p>
          <w:p w14:paraId="440D92C0"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Stuffstr</w:t>
            </w:r>
            <w:proofErr w:type="spellEnd"/>
            <w:r w:rsidRPr="00DB28B2">
              <w:rPr>
                <w:rFonts w:cs="Arial"/>
                <w:i/>
                <w:iCs/>
                <w:color w:val="222222"/>
                <w:sz w:val="16"/>
                <w:szCs w:val="16"/>
              </w:rPr>
              <w:t xml:space="preserve"> buys and collects used products from consumers and sells them in </w:t>
            </w:r>
            <w:proofErr w:type="spellStart"/>
            <w:r w:rsidRPr="00DB28B2">
              <w:rPr>
                <w:rFonts w:cs="Arial"/>
                <w:i/>
                <w:iCs/>
                <w:color w:val="222222"/>
                <w:sz w:val="16"/>
                <w:szCs w:val="16"/>
              </w:rPr>
              <w:t>secondhand</w:t>
            </w:r>
            <w:proofErr w:type="spellEnd"/>
            <w:r w:rsidRPr="00DB28B2">
              <w:rPr>
                <w:rFonts w:cs="Arial"/>
                <w:i/>
                <w:iCs/>
                <w:color w:val="222222"/>
                <w:sz w:val="16"/>
                <w:szCs w:val="16"/>
              </w:rPr>
              <w:t xml:space="preserve"> markets. An AI algorithm helps </w:t>
            </w:r>
            <w:proofErr w:type="spellStart"/>
            <w:r w:rsidRPr="00DB28B2">
              <w:rPr>
                <w:rFonts w:cs="Arial"/>
                <w:i/>
                <w:iCs/>
                <w:color w:val="222222"/>
                <w:sz w:val="16"/>
                <w:szCs w:val="16"/>
              </w:rPr>
              <w:t>Stuffstr</w:t>
            </w:r>
            <w:proofErr w:type="spellEnd"/>
            <w:r w:rsidRPr="00DB28B2">
              <w:rPr>
                <w:rFonts w:cs="Arial"/>
                <w:i/>
                <w:iCs/>
                <w:color w:val="222222"/>
                <w:sz w:val="16"/>
                <w:szCs w:val="16"/>
              </w:rPr>
              <w:t xml:space="preserve"> to set competitive prices for the seller, while offering </w:t>
            </w:r>
            <w:proofErr w:type="spellStart"/>
            <w:r w:rsidRPr="00DB28B2">
              <w:rPr>
                <w:rFonts w:cs="Arial"/>
                <w:i/>
                <w:iCs/>
                <w:color w:val="222222"/>
                <w:sz w:val="16"/>
                <w:szCs w:val="16"/>
              </w:rPr>
              <w:t>Stuffstr</w:t>
            </w:r>
            <w:proofErr w:type="spellEnd"/>
            <w:r w:rsidRPr="00DB28B2">
              <w:rPr>
                <w:rFonts w:cs="Arial"/>
                <w:i/>
                <w:iCs/>
                <w:color w:val="222222"/>
                <w:sz w:val="16"/>
                <w:szCs w:val="16"/>
              </w:rPr>
              <w:t xml:space="preserve"> a good margin on the </w:t>
            </w:r>
            <w:proofErr w:type="spellStart"/>
            <w:r w:rsidRPr="00DB28B2">
              <w:rPr>
                <w:rFonts w:cs="Arial"/>
                <w:i/>
                <w:iCs/>
                <w:color w:val="222222"/>
                <w:sz w:val="16"/>
                <w:szCs w:val="16"/>
              </w:rPr>
              <w:t>secondhand</w:t>
            </w:r>
            <w:proofErr w:type="spellEnd"/>
            <w:r w:rsidRPr="00DB28B2">
              <w:rPr>
                <w:rFonts w:cs="Arial"/>
                <w:i/>
                <w:iCs/>
                <w:color w:val="222222"/>
                <w:sz w:val="16"/>
                <w:szCs w:val="16"/>
              </w:rPr>
              <w:t xml:space="preserve"> market.</w:t>
            </w:r>
          </w:p>
        </w:tc>
      </w:tr>
      <w:tr w:rsidR="002963E1" w:rsidRPr="00DB28B2" w14:paraId="585CC672" w14:textId="77777777" w:rsidTr="009760B1">
        <w:tc>
          <w:tcPr>
            <w:tcW w:w="1053" w:type="dxa"/>
            <w:shd w:val="clear" w:color="auto" w:fill="D9D9D9" w:themeFill="background1" w:themeFillShade="D9"/>
            <w:vAlign w:val="center"/>
          </w:tcPr>
          <w:p w14:paraId="083118D3"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5E920C86" w14:textId="77777777" w:rsidR="002963E1" w:rsidRPr="00DB28B2" w:rsidRDefault="002963E1" w:rsidP="009760B1">
            <w:pPr>
              <w:jc w:val="center"/>
              <w:rPr>
                <w:rFonts w:cs="Arial"/>
                <w:color w:val="222222"/>
                <w:sz w:val="16"/>
                <w:szCs w:val="16"/>
              </w:rPr>
            </w:pPr>
            <w:r w:rsidRPr="00DB28B2">
              <w:rPr>
                <w:rFonts w:cs="Arial"/>
                <w:color w:val="222222"/>
                <w:sz w:val="16"/>
                <w:szCs w:val="16"/>
              </w:rPr>
              <w:t>Build material database ecosystems</w:t>
            </w:r>
          </w:p>
        </w:tc>
        <w:tc>
          <w:tcPr>
            <w:tcW w:w="1838" w:type="dxa"/>
            <w:shd w:val="clear" w:color="auto" w:fill="D9D9D9" w:themeFill="background1" w:themeFillShade="D9"/>
            <w:vAlign w:val="center"/>
          </w:tcPr>
          <w:p w14:paraId="23F76186"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D9D9D9" w:themeFill="background1" w:themeFillShade="D9"/>
            <w:vAlign w:val="center"/>
          </w:tcPr>
          <w:p w14:paraId="64651A49"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Create or leverage material databases. They describe the characteristics of materials and components in products so that products can be more easily reused and their materials recovered. </w:t>
            </w:r>
          </w:p>
          <w:p w14:paraId="15AE3CBC"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project ‘Buildings as Material Banks’ has brought together different stakeholders to develop a material database ecosystem for buildings.</w:t>
            </w:r>
          </w:p>
        </w:tc>
      </w:tr>
      <w:tr w:rsidR="002963E1" w:rsidRPr="00DB28B2" w14:paraId="4DE8AE11" w14:textId="77777777" w:rsidTr="009760B1">
        <w:tc>
          <w:tcPr>
            <w:tcW w:w="1053" w:type="dxa"/>
            <w:shd w:val="clear" w:color="auto" w:fill="D9D9D9" w:themeFill="background1" w:themeFillShade="D9"/>
            <w:vAlign w:val="center"/>
          </w:tcPr>
          <w:p w14:paraId="7A35EE8F"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020DDA6A" w14:textId="77777777" w:rsidR="002963E1" w:rsidRPr="00DB28B2" w:rsidRDefault="002963E1" w:rsidP="009760B1">
            <w:pPr>
              <w:jc w:val="center"/>
              <w:rPr>
                <w:rFonts w:cs="Arial"/>
                <w:color w:val="222222"/>
                <w:sz w:val="16"/>
                <w:szCs w:val="16"/>
              </w:rPr>
            </w:pPr>
            <w:r w:rsidRPr="00DB28B2">
              <w:rPr>
                <w:rFonts w:cs="Arial"/>
                <w:color w:val="222222"/>
                <w:sz w:val="16"/>
                <w:szCs w:val="16"/>
              </w:rPr>
              <w:t>Co-create products, components, materials and information via online platforms</w:t>
            </w:r>
          </w:p>
        </w:tc>
        <w:tc>
          <w:tcPr>
            <w:tcW w:w="1838" w:type="dxa"/>
            <w:shd w:val="clear" w:color="auto" w:fill="D9D9D9" w:themeFill="background1" w:themeFillShade="D9"/>
            <w:vAlign w:val="center"/>
          </w:tcPr>
          <w:p w14:paraId="6880CEBA"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D9D9D9" w:themeFill="background1" w:themeFillShade="D9"/>
            <w:vAlign w:val="center"/>
          </w:tcPr>
          <w:p w14:paraId="30879495"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Online platforms can be used to ‘crowdsource’ design projects for circular products, components and materials. </w:t>
            </w:r>
          </w:p>
          <w:p w14:paraId="5C5BEEE5"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online platform launchforth.io connects designers and engineers with firms to co-create new products.</w:t>
            </w:r>
          </w:p>
        </w:tc>
      </w:tr>
      <w:tr w:rsidR="002963E1" w:rsidRPr="00DB28B2" w14:paraId="00AAD931" w14:textId="77777777" w:rsidTr="009760B1">
        <w:tc>
          <w:tcPr>
            <w:tcW w:w="1053" w:type="dxa"/>
            <w:shd w:val="clear" w:color="auto" w:fill="D9D9D9" w:themeFill="background1" w:themeFillShade="D9"/>
            <w:vAlign w:val="center"/>
          </w:tcPr>
          <w:p w14:paraId="726AAB13"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0131DD22" w14:textId="77777777" w:rsidR="002963E1" w:rsidRPr="00DB28B2" w:rsidRDefault="002963E1" w:rsidP="009760B1">
            <w:pPr>
              <w:jc w:val="center"/>
              <w:rPr>
                <w:rFonts w:cs="Arial"/>
                <w:color w:val="222222"/>
                <w:sz w:val="16"/>
                <w:szCs w:val="16"/>
              </w:rPr>
            </w:pPr>
            <w:r w:rsidRPr="00DB28B2">
              <w:rPr>
                <w:rFonts w:cs="Arial"/>
                <w:color w:val="222222"/>
                <w:sz w:val="16"/>
                <w:szCs w:val="16"/>
              </w:rPr>
              <w:t>Use artificial intelligence to optimize circular infrastructure</w:t>
            </w:r>
          </w:p>
        </w:tc>
        <w:tc>
          <w:tcPr>
            <w:tcW w:w="1838" w:type="dxa"/>
            <w:shd w:val="clear" w:color="auto" w:fill="D9D9D9" w:themeFill="background1" w:themeFillShade="D9"/>
            <w:vAlign w:val="center"/>
          </w:tcPr>
          <w:p w14:paraId="70FD241C"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D9D9D9" w:themeFill="background1" w:themeFillShade="D9"/>
            <w:vAlign w:val="center"/>
          </w:tcPr>
          <w:p w14:paraId="3A5F404F"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The circular economy requires the collecting, sorting, separating, treating, and redistributing of products, components and materials. Often, products, components and materials are diverse and difficult to handle. Artificial intelligence can help to optimize the infrastructure required for a circular economy. </w:t>
            </w:r>
          </w:p>
          <w:p w14:paraId="7332D88F" w14:textId="77777777" w:rsidR="002963E1" w:rsidRPr="00DB28B2" w:rsidRDefault="002963E1" w:rsidP="009760B1">
            <w:pPr>
              <w:spacing w:before="120" w:after="120"/>
              <w:rPr>
                <w:rFonts w:cs="Arial"/>
                <w:i/>
                <w:iCs/>
                <w:color w:val="222222"/>
                <w:sz w:val="16"/>
                <w:szCs w:val="16"/>
              </w:rPr>
            </w:pPr>
            <w:proofErr w:type="spellStart"/>
            <w:r w:rsidRPr="00DB28B2">
              <w:rPr>
                <w:rFonts w:cs="Arial"/>
                <w:i/>
                <w:iCs/>
                <w:color w:val="222222"/>
                <w:sz w:val="16"/>
                <w:szCs w:val="16"/>
              </w:rPr>
              <w:t>ZenRobotics</w:t>
            </w:r>
            <w:proofErr w:type="spellEnd"/>
            <w:r w:rsidRPr="00DB28B2">
              <w:rPr>
                <w:rFonts w:cs="Arial"/>
                <w:i/>
                <w:iCs/>
                <w:color w:val="222222"/>
                <w:sz w:val="16"/>
                <w:szCs w:val="16"/>
              </w:rPr>
              <w:t xml:space="preserve"> uses robots with cameras and sensors to automatically sort all kinds of waste streams with an accuracy level of 98%.</w:t>
            </w:r>
          </w:p>
        </w:tc>
      </w:tr>
      <w:tr w:rsidR="002963E1" w:rsidRPr="00DB28B2" w14:paraId="0138931C" w14:textId="77777777" w:rsidTr="009760B1">
        <w:tc>
          <w:tcPr>
            <w:tcW w:w="1053" w:type="dxa"/>
            <w:shd w:val="clear" w:color="auto" w:fill="D9D9D9" w:themeFill="background1" w:themeFillShade="D9"/>
            <w:vAlign w:val="center"/>
          </w:tcPr>
          <w:p w14:paraId="355AEE5D" w14:textId="77777777" w:rsidR="002963E1" w:rsidRPr="00DB28B2" w:rsidRDefault="002963E1" w:rsidP="009760B1">
            <w:pPr>
              <w:jc w:val="center"/>
              <w:rPr>
                <w:rFonts w:cs="Arial"/>
                <w:color w:val="222222"/>
                <w:sz w:val="16"/>
                <w:szCs w:val="16"/>
              </w:rPr>
            </w:pPr>
            <w:r w:rsidRPr="00DB28B2">
              <w:rPr>
                <w:rFonts w:cs="Arial"/>
                <w:color w:val="222222"/>
                <w:sz w:val="16"/>
                <w:szCs w:val="16"/>
              </w:rPr>
              <w:t>Inform</w:t>
            </w:r>
          </w:p>
        </w:tc>
        <w:tc>
          <w:tcPr>
            <w:tcW w:w="1633" w:type="dxa"/>
            <w:shd w:val="clear" w:color="auto" w:fill="D9D9D9" w:themeFill="background1" w:themeFillShade="D9"/>
            <w:vAlign w:val="center"/>
          </w:tcPr>
          <w:p w14:paraId="7C773D26" w14:textId="77777777" w:rsidR="002963E1" w:rsidRPr="00DB28B2" w:rsidRDefault="002963E1" w:rsidP="009760B1">
            <w:pPr>
              <w:jc w:val="center"/>
              <w:rPr>
                <w:rFonts w:cs="Arial"/>
                <w:color w:val="222222"/>
                <w:sz w:val="16"/>
                <w:szCs w:val="16"/>
              </w:rPr>
            </w:pPr>
            <w:r w:rsidRPr="00DB28B2">
              <w:rPr>
                <w:rFonts w:cs="Arial"/>
                <w:color w:val="222222"/>
                <w:sz w:val="16"/>
                <w:szCs w:val="16"/>
              </w:rPr>
              <w:t>Operate service ecosystems via online platforms</w:t>
            </w:r>
          </w:p>
        </w:tc>
        <w:tc>
          <w:tcPr>
            <w:tcW w:w="1838" w:type="dxa"/>
            <w:shd w:val="clear" w:color="auto" w:fill="D9D9D9" w:themeFill="background1" w:themeFillShade="D9"/>
            <w:vAlign w:val="center"/>
          </w:tcPr>
          <w:p w14:paraId="0571DE92" w14:textId="77777777" w:rsidR="002963E1" w:rsidRPr="00DB28B2" w:rsidRDefault="002963E1" w:rsidP="009760B1">
            <w:pPr>
              <w:jc w:val="center"/>
              <w:rPr>
                <w:rFonts w:cs="Arial"/>
                <w:color w:val="222222"/>
                <w:sz w:val="16"/>
                <w:szCs w:val="16"/>
              </w:rPr>
            </w:pPr>
            <w:r w:rsidRPr="00DB28B2">
              <w:rPr>
                <w:rFonts w:cs="Arial"/>
                <w:color w:val="222222"/>
                <w:sz w:val="16"/>
                <w:szCs w:val="16"/>
              </w:rPr>
              <w:t>Ecosystem</w:t>
            </w:r>
          </w:p>
        </w:tc>
        <w:tc>
          <w:tcPr>
            <w:tcW w:w="9363" w:type="dxa"/>
            <w:shd w:val="clear" w:color="auto" w:fill="D9D9D9" w:themeFill="background1" w:themeFillShade="D9"/>
            <w:vAlign w:val="center"/>
          </w:tcPr>
          <w:p w14:paraId="7C74375D" w14:textId="77777777" w:rsidR="002963E1" w:rsidRPr="00DB28B2" w:rsidRDefault="002963E1" w:rsidP="009760B1">
            <w:pPr>
              <w:spacing w:before="120" w:after="120"/>
              <w:rPr>
                <w:rFonts w:cs="Arial"/>
                <w:color w:val="222222"/>
                <w:sz w:val="16"/>
                <w:szCs w:val="16"/>
              </w:rPr>
            </w:pPr>
            <w:r w:rsidRPr="00DB28B2">
              <w:rPr>
                <w:rFonts w:cs="Arial"/>
                <w:color w:val="222222"/>
                <w:sz w:val="16"/>
                <w:szCs w:val="16"/>
              </w:rPr>
              <w:t xml:space="preserve">Online platforms can serve to operate service ecosystems that require several actors who need to coordinate their interactions and economic exchange. </w:t>
            </w:r>
          </w:p>
          <w:p w14:paraId="117CF10F" w14:textId="77777777" w:rsidR="002963E1" w:rsidRPr="00DB28B2" w:rsidRDefault="002963E1" w:rsidP="009760B1">
            <w:pPr>
              <w:spacing w:before="120" w:after="120"/>
              <w:rPr>
                <w:rFonts w:cs="Arial"/>
                <w:i/>
                <w:iCs/>
                <w:color w:val="222222"/>
                <w:sz w:val="16"/>
                <w:szCs w:val="16"/>
              </w:rPr>
            </w:pPr>
            <w:r w:rsidRPr="00DB28B2">
              <w:rPr>
                <w:rFonts w:cs="Arial"/>
                <w:i/>
                <w:iCs/>
                <w:color w:val="222222"/>
                <w:sz w:val="16"/>
                <w:szCs w:val="16"/>
              </w:rPr>
              <w:t>The online platform Whim operates mobility-as-a-service ecosystems in cities combining different private and public transportation options for a seamless mobility experience.</w:t>
            </w:r>
          </w:p>
        </w:tc>
      </w:tr>
    </w:tbl>
    <w:p w14:paraId="727057A9" w14:textId="77777777" w:rsidR="002963E1" w:rsidRDefault="002963E1" w:rsidP="002963E1"/>
    <w:p w14:paraId="7C3ECB68" w14:textId="77777777" w:rsidR="002963E1" w:rsidRDefault="002963E1" w:rsidP="005734D6"/>
    <w:sectPr w:rsidR="002963E1" w:rsidSect="00B87972">
      <w:headerReference w:type="default" r:id="rId37"/>
      <w:footerReference w:type="even" r:id="rId38"/>
      <w:footerReference w:type="default" r:id="rId39"/>
      <w:footerReference w:type="first" r:id="rId40"/>
      <w:pgSz w:w="16820" w:h="11900" w:orient="landscape" w:code="9"/>
      <w:pgMar w:top="1582" w:right="1176" w:bottom="1298" w:left="1298" w:header="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D900" w14:textId="77777777" w:rsidR="003C51CF" w:rsidRDefault="003C51CF">
      <w:pPr>
        <w:spacing w:after="0" w:line="240" w:lineRule="auto"/>
      </w:pPr>
      <w:r>
        <w:separator/>
      </w:r>
    </w:p>
  </w:endnote>
  <w:endnote w:type="continuationSeparator" w:id="0">
    <w:p w14:paraId="758C9F42" w14:textId="77777777" w:rsidR="003C51CF" w:rsidRDefault="003C5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8AFF" w14:textId="1A207C43" w:rsidR="00F37CAF" w:rsidRDefault="00F37CAF">
    <w:pPr>
      <w:pStyle w:val="Footer"/>
    </w:pPr>
    <w:r>
      <w:rPr>
        <w:noProof/>
      </w:rPr>
      <mc:AlternateContent>
        <mc:Choice Requires="wps">
          <w:drawing>
            <wp:anchor distT="0" distB="0" distL="0" distR="0" simplePos="0" relativeHeight="251658241" behindDoc="0" locked="0" layoutInCell="1" allowOverlap="1" wp14:anchorId="6B4BE0AB" wp14:editId="5CEB4E29">
              <wp:simplePos x="635" y="635"/>
              <wp:positionH relativeFrom="page">
                <wp:align>left</wp:align>
              </wp:positionH>
              <wp:positionV relativeFrom="page">
                <wp:align>bottom</wp:align>
              </wp:positionV>
              <wp:extent cx="711200" cy="371475"/>
              <wp:effectExtent l="0" t="0" r="1270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584E266" w14:textId="45EE2AC3"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4357EC4">
            <v:shapetype id="_x0000_t202" coordsize="21600,21600" o:spt="202" path="m,l,21600r21600,l21600,xe" w14:anchorId="6B4BE0AB">
              <v:stroke joinstyle="miter"/>
              <v:path gradientshapeok="t" o:connecttype="rect"/>
            </v:shapetype>
            <v:shape id="Text Box 3" style="position:absolute;margin-left:0;margin-top:0;width:56pt;height:29.25pt;z-index:251658243;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">
              <v:textbox style="mso-fit-shape-to-text:t" inset="20pt,0,0,15pt">
                <w:txbxContent>
                  <w:p w:rsidRPr="00F37CAF" w:rsidR="00F37CAF" w:rsidP="00F37CAF" w:rsidRDefault="00F37CAF" w14:paraId="08CE8BEA" w14:textId="45EE2AC3">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E255" w14:textId="02511FD4" w:rsidR="00F37CAF" w:rsidRDefault="00F37CAF">
    <w:pPr>
      <w:pStyle w:val="Footer"/>
    </w:pPr>
    <w:r>
      <w:rPr>
        <w:noProof/>
      </w:rPr>
      <mc:AlternateContent>
        <mc:Choice Requires="wps">
          <w:drawing>
            <wp:anchor distT="0" distB="0" distL="0" distR="0" simplePos="0" relativeHeight="251658247" behindDoc="0" locked="0" layoutInCell="1" allowOverlap="1" wp14:anchorId="7D3EC8AD" wp14:editId="7C28F887">
              <wp:simplePos x="635" y="635"/>
              <wp:positionH relativeFrom="page">
                <wp:align>left</wp:align>
              </wp:positionH>
              <wp:positionV relativeFrom="page">
                <wp:align>bottom</wp:align>
              </wp:positionV>
              <wp:extent cx="711200" cy="371475"/>
              <wp:effectExtent l="0" t="0" r="1270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03A7D0FF" w14:textId="580969B4"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8D37E0E">
            <v:shapetype id="_x0000_t202" coordsize="21600,21600" o:spt="202" path="m,l,21600r21600,l21600,xe" w14:anchorId="7D3EC8AD">
              <v:stroke joinstyle="miter"/>
              <v:path gradientshapeok="t" o:connecttype="rect"/>
            </v:shapetype>
            <v:shape id="Text Box 12" style="position:absolute;margin-left:0;margin-top:0;width:56pt;height:29.25pt;z-index:251658249;visibility:visible;mso-wrap-style:none;mso-wrap-distance-left:0;mso-wrap-distance-top:0;mso-wrap-distance-right:0;mso-wrap-distance-bottom:0;mso-position-horizontal:left;mso-position-horizontal-relative:page;mso-position-vertical:bottom;mso-position-vertical-relative:page;v-text-anchor:bottom" alt="OFFICIAL"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9TEQIAACI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">
              <v:textbox style="mso-fit-shape-to-text:t" inset="20pt,0,0,15pt">
                <w:txbxContent>
                  <w:p w:rsidRPr="00F37CAF" w:rsidR="00F37CAF" w:rsidP="00F37CAF" w:rsidRDefault="00F37CAF" w14:paraId="2CCFEE10" w14:textId="580969B4">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A9EA" w14:textId="1D96E520" w:rsidR="00F37CAF" w:rsidRDefault="00F37CAF">
    <w:pPr>
      <w:pStyle w:val="Footer"/>
    </w:pPr>
    <w:r>
      <w:rPr>
        <w:noProof/>
      </w:rPr>
      <mc:AlternateContent>
        <mc:Choice Requires="wps">
          <w:drawing>
            <wp:anchor distT="0" distB="0" distL="0" distR="0" simplePos="0" relativeHeight="251658248" behindDoc="0" locked="0" layoutInCell="1" allowOverlap="1" wp14:anchorId="40E0C3A8" wp14:editId="0AA32B88">
              <wp:simplePos x="635" y="635"/>
              <wp:positionH relativeFrom="page">
                <wp:align>left</wp:align>
              </wp:positionH>
              <wp:positionV relativeFrom="page">
                <wp:align>bottom</wp:align>
              </wp:positionV>
              <wp:extent cx="711200" cy="371475"/>
              <wp:effectExtent l="0" t="0" r="1270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5E60C107" w14:textId="40DA1D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C16D5B3">
            <v:shapetype id="_x0000_t202" coordsize="21600,21600" o:spt="202" path="m,l,21600r21600,l21600,xe" w14:anchorId="40E0C3A8">
              <v:stroke joinstyle="miter"/>
              <v:path gradientshapeok="t" o:connecttype="rect"/>
            </v:shapetype>
            <v:shape id="Text Box 13" style="position:absolute;margin-left:0;margin-top:0;width:56pt;height:29.25pt;z-index:251658250;visibility:visible;mso-wrap-style:none;mso-wrap-distance-left:0;mso-wrap-distance-top:0;mso-wrap-distance-right:0;mso-wrap-distance-bottom:0;mso-position-horizontal:left;mso-position-horizontal-relative:page;mso-position-vertical:bottom;mso-position-vertical-relative:page;v-text-anchor:bottom" alt="OFFICIAL"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6e+7bEgIA&#10;ACI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09E77742" w14:textId="40DA1D4F">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097B" w14:textId="22108813" w:rsidR="00F37CAF" w:rsidRDefault="00F37CAF">
    <w:pPr>
      <w:pStyle w:val="Footer"/>
    </w:pPr>
    <w:r>
      <w:rPr>
        <w:noProof/>
      </w:rPr>
      <mc:AlternateContent>
        <mc:Choice Requires="wps">
          <w:drawing>
            <wp:anchor distT="0" distB="0" distL="0" distR="0" simplePos="0" relativeHeight="251658246" behindDoc="0" locked="0" layoutInCell="1" allowOverlap="1" wp14:anchorId="6F410D67" wp14:editId="38F04068">
              <wp:simplePos x="635" y="635"/>
              <wp:positionH relativeFrom="page">
                <wp:align>left</wp:align>
              </wp:positionH>
              <wp:positionV relativeFrom="page">
                <wp:align>bottom</wp:align>
              </wp:positionV>
              <wp:extent cx="711200" cy="371475"/>
              <wp:effectExtent l="0" t="0" r="1270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BB0D83A" w14:textId="0A63FD12"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84EB13C">
            <v:shapetype id="_x0000_t202" coordsize="21600,21600" o:spt="202" path="m,l,21600r21600,l21600,xe" w14:anchorId="6F410D67">
              <v:stroke joinstyle="miter"/>
              <v:path gradientshapeok="t" o:connecttype="rect"/>
            </v:shapetype>
            <v:shape id="Text Box 11" style="position:absolute;margin-left:0;margin-top:0;width:56pt;height:29.25pt;z-index:251658248;visibility:visible;mso-wrap-style:none;mso-wrap-distance-left:0;mso-wrap-distance-top:0;mso-wrap-distance-right:0;mso-wrap-distance-bottom:0;mso-position-horizontal:left;mso-position-horizontal-relative:page;mso-position-vertical:bottom;mso-position-vertical-relative:page;v-text-anchor:bottom" alt="OFFICIAL"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2ZEwIAACI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">
              <v:textbox style="mso-fit-shape-to-text:t" inset="20pt,0,0,15pt">
                <w:txbxContent>
                  <w:p w:rsidRPr="00F37CAF" w:rsidR="00F37CAF" w:rsidP="00F37CAF" w:rsidRDefault="00F37CAF" w14:paraId="6E4A0F12" w14:textId="0A63FD12">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1BC" w14:textId="22028301" w:rsidR="00205B23" w:rsidRDefault="00F37CAF">
    <w:pPr>
      <w:pStyle w:val="Footer"/>
    </w:pPr>
    <w:r>
      <w:rPr>
        <w:noProof/>
      </w:rPr>
      <mc:AlternateContent>
        <mc:Choice Requires="wps">
          <w:drawing>
            <wp:anchor distT="0" distB="0" distL="0" distR="0" simplePos="0" relativeHeight="251658242" behindDoc="0" locked="0" layoutInCell="1" allowOverlap="1" wp14:anchorId="5568915B" wp14:editId="2869BD72">
              <wp:simplePos x="635" y="635"/>
              <wp:positionH relativeFrom="page">
                <wp:align>left</wp:align>
              </wp:positionH>
              <wp:positionV relativeFrom="page">
                <wp:align>bottom</wp:align>
              </wp:positionV>
              <wp:extent cx="711200" cy="371475"/>
              <wp:effectExtent l="0" t="0" r="1270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45F45FCD" w14:textId="4B0C0D5E"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2A38076">
            <v:shapetype id="_x0000_t202" coordsize="21600,21600" o:spt="202" path="m,l,21600r21600,l21600,xe" w14:anchorId="5568915B">
              <v:stroke joinstyle="miter"/>
              <v:path gradientshapeok="t" o:connecttype="rect"/>
            </v:shapetype>
            <v:shape id="Text Box 7" style="position:absolute;margin-left:0;margin-top:0;width:56pt;height:29.25pt;z-index:251658244;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3+QoRACAAAh&#10;BAAADgAAAAAAAAAAAAAAAAAuAgAAZHJzL2Uyb0RvYy54bWxQSwECLQAUAAYACAAAACEAtc0rbdkA&#10;AAAEAQAADwAAAAAAAAAAAAAAAABqBAAAZHJzL2Rvd25yZXYueG1sUEsFBgAAAAAEAAQA8wAAAHAF&#10;AAAAAA==&#10;">
              <v:textbox style="mso-fit-shape-to-text:t" inset="20pt,0,0,15pt">
                <w:txbxContent>
                  <w:p w:rsidRPr="00F37CAF" w:rsidR="00F37CAF" w:rsidP="00F37CAF" w:rsidRDefault="00F37CAF" w14:paraId="70DA405C" w14:textId="4B0C0D5E">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r w:rsidR="009B1EE8">
      <w:fldChar w:fldCharType="begin"/>
    </w:r>
    <w:r w:rsidR="009B1EE8">
      <w:instrText xml:space="preserve"> PAGE   \* MERGEFORMAT </w:instrText>
    </w:r>
    <w:r w:rsidR="009B1EE8">
      <w:fldChar w:fldCharType="separate"/>
    </w:r>
    <w:r w:rsidR="004170BA">
      <w:rPr>
        <w:noProof/>
      </w:rPr>
      <w:t>2</w:t>
    </w:r>
    <w:r w:rsidR="009B1EE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29F7" w14:textId="3FF76AE0" w:rsidR="005734D6" w:rsidRDefault="00F37CAF">
    <w:pPr>
      <w:pStyle w:val="Footer"/>
    </w:pPr>
    <w:r>
      <w:rPr>
        <w:noProof/>
        <w:lang w:eastAsia="en-AU"/>
      </w:rPr>
      <mc:AlternateContent>
        <mc:Choice Requires="wps">
          <w:drawing>
            <wp:anchor distT="0" distB="0" distL="0" distR="0" simplePos="0" relativeHeight="251658240" behindDoc="0" locked="0" layoutInCell="1" allowOverlap="1" wp14:anchorId="084B202C" wp14:editId="11CBD89D">
              <wp:simplePos x="635" y="635"/>
              <wp:positionH relativeFrom="page">
                <wp:align>left</wp:align>
              </wp:positionH>
              <wp:positionV relativeFrom="page">
                <wp:align>bottom</wp:align>
              </wp:positionV>
              <wp:extent cx="711200" cy="371475"/>
              <wp:effectExtent l="0" t="0" r="1270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32360331" w14:textId="5D252D1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05350E1">
            <v:shapetype id="_x0000_t202" coordsize="21600,21600" o:spt="202" path="m,l,21600r21600,l21600,xe" w14:anchorId="084B202C">
              <v:stroke joinstyle="miter"/>
              <v:path gradientshapeok="t" o:connecttype="rect"/>
            </v:shapetype>
            <v:shape id="Text Box 2" style="position:absolute;margin-left:0;margin-top:0;width:56pt;height:29.25pt;z-index:251658242;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Pj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XdDpOv4P6hEs5GPj2lq9bbL1hPjwzhwTjtCja&#10;8ISHVNBVFM4WJQ24H3/zx3zEHaOUdCiYihpUNCXqm0E+prObPGIQ0g0NNxq7ZBSf81mMm4O+B9Ri&#10;gc/C8mTG5KBGUzrQr6jpVeyGIWY49qzobjTvwyBffBNcrFYpCbVkWdiYreWxdMQsAvrSvzJnz6gH&#10;pOsRRkmx8g34Q27809vVISAFiZmI74DmGXbUYeL2/Gai0H+9p6zry17+B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C26WPj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6D44D65D" w14:textId="5D252D11">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F511" w14:textId="3C2BD4EC" w:rsidR="00F37CAF" w:rsidRDefault="00F37CAF">
    <w:pPr>
      <w:pStyle w:val="Footer"/>
    </w:pPr>
    <w:r>
      <w:rPr>
        <w:noProof/>
      </w:rPr>
      <mc:AlternateContent>
        <mc:Choice Requires="wps">
          <w:drawing>
            <wp:anchor distT="0" distB="0" distL="0" distR="0" simplePos="0" relativeHeight="251658244" behindDoc="0" locked="0" layoutInCell="1" allowOverlap="1" wp14:anchorId="78943C9F" wp14:editId="20D8B8C9">
              <wp:simplePos x="635" y="635"/>
              <wp:positionH relativeFrom="page">
                <wp:align>left</wp:align>
              </wp:positionH>
              <wp:positionV relativeFrom="page">
                <wp:align>bottom</wp:align>
              </wp:positionV>
              <wp:extent cx="711200" cy="371475"/>
              <wp:effectExtent l="0" t="0" r="1270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2BF2A050" w14:textId="15FCDDE1"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44644E48">
            <v:shapetype id="_x0000_t202" coordsize="21600,21600" o:spt="202" path="m,l,21600r21600,l21600,xe" w14:anchorId="78943C9F">
              <v:stroke joinstyle="miter"/>
              <v:path gradientshapeok="t" o:connecttype="rect"/>
            </v:shapetype>
            <v:shape id="Text Box 9" style="position:absolute;margin-left:0;margin-top:0;width:56pt;height:29.25pt;z-index:251658246;visibility:visible;mso-wrap-style:none;mso-wrap-distance-left:0;mso-wrap-distance-top:0;mso-wrap-distance-right:0;mso-wrap-distance-bottom:0;mso-position-horizontal:left;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JrEgIAACEEAAAOAAAAZHJzL2Uyb0RvYy54bWysU01v2zAMvQ/YfxB0X2xnzdIZ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BGZuJr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42DD9960" w14:textId="15FCDDE1">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E263" w14:textId="0074E230" w:rsidR="00F37CAF" w:rsidRDefault="00F37CAF">
    <w:pPr>
      <w:pStyle w:val="Footer"/>
    </w:pPr>
    <w:r>
      <w:rPr>
        <w:noProof/>
      </w:rPr>
      <mc:AlternateContent>
        <mc:Choice Requires="wps">
          <w:drawing>
            <wp:anchor distT="0" distB="0" distL="0" distR="0" simplePos="0" relativeHeight="251658245" behindDoc="0" locked="0" layoutInCell="1" allowOverlap="1" wp14:anchorId="1F160117" wp14:editId="66D1E6FB">
              <wp:simplePos x="635" y="635"/>
              <wp:positionH relativeFrom="page">
                <wp:align>left</wp:align>
              </wp:positionH>
              <wp:positionV relativeFrom="page">
                <wp:align>bottom</wp:align>
              </wp:positionV>
              <wp:extent cx="711200" cy="371475"/>
              <wp:effectExtent l="0" t="0" r="1270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14FE5834" w14:textId="7C8A75B0"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AFE1DE0">
            <v:shapetype id="_x0000_t202" coordsize="21600,21600" o:spt="202" path="m,l,21600r21600,l21600,xe" w14:anchorId="1F160117">
              <v:stroke joinstyle="miter"/>
              <v:path gradientshapeok="t" o:connecttype="rect"/>
            </v:shapetype>
            <v:shape id="Text Box 10" style="position:absolute;margin-left:0;margin-top:0;width:56pt;height:29.25pt;z-index:251658247;visibility:visible;mso-wrap-style:none;mso-wrap-distance-left:0;mso-wrap-distance-top:0;mso-wrap-distance-right:0;mso-wrap-distance-bottom:0;mso-position-horizontal:left;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">
              <v:textbox style="mso-fit-shape-to-text:t" inset="20pt,0,0,15pt">
                <w:txbxContent>
                  <w:p w:rsidRPr="00F37CAF" w:rsidR="00F37CAF" w:rsidP="00F37CAF" w:rsidRDefault="00F37CAF" w14:paraId="75F360E3" w14:textId="7C8A75B0">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F0AC" w14:textId="09407BBB" w:rsidR="00F37CAF" w:rsidRDefault="00F37CAF">
    <w:pPr>
      <w:pStyle w:val="Footer"/>
    </w:pPr>
    <w:r>
      <w:rPr>
        <w:noProof/>
      </w:rPr>
      <mc:AlternateContent>
        <mc:Choice Requires="wps">
          <w:drawing>
            <wp:anchor distT="0" distB="0" distL="0" distR="0" simplePos="0" relativeHeight="251658243" behindDoc="0" locked="0" layoutInCell="1" allowOverlap="1" wp14:anchorId="09D76078" wp14:editId="507B0634">
              <wp:simplePos x="635" y="635"/>
              <wp:positionH relativeFrom="page">
                <wp:align>left</wp:align>
              </wp:positionH>
              <wp:positionV relativeFrom="page">
                <wp:align>bottom</wp:align>
              </wp:positionV>
              <wp:extent cx="711200" cy="371475"/>
              <wp:effectExtent l="0" t="0" r="1270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1200" cy="371475"/>
                      </a:xfrm>
                      <a:prstGeom prst="rect">
                        <a:avLst/>
                      </a:prstGeom>
                      <a:noFill/>
                      <a:ln>
                        <a:noFill/>
                      </a:ln>
                    </wps:spPr>
                    <wps:txbx>
                      <w:txbxContent>
                        <w:p w14:paraId="6DE61828" w14:textId="2F399E4F" w:rsidR="00F37CAF" w:rsidRPr="00F37CAF" w:rsidRDefault="00F37CAF" w:rsidP="00F37CAF">
                          <w:pPr>
                            <w:spacing w:after="0"/>
                            <w:rPr>
                              <w:rFonts w:ascii="Calibri" w:eastAsia="Calibri" w:hAnsi="Calibri" w:cs="Calibri"/>
                              <w:noProof/>
                              <w:color w:val="FF0000"/>
                              <w:szCs w:val="20"/>
                            </w:rPr>
                          </w:pPr>
                          <w:r w:rsidRPr="00F37CAF">
                            <w:rPr>
                              <w:rFonts w:ascii="Calibri" w:eastAsia="Calibri" w:hAnsi="Calibri" w:cs="Calibri"/>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BCD4DB9">
            <v:shapetype id="_x0000_t202" coordsize="21600,21600" o:spt="202" path="m,l,21600r21600,l21600,xe" w14:anchorId="09D76078">
              <v:stroke joinstyle="miter"/>
              <v:path gradientshapeok="t" o:connecttype="rect"/>
            </v:shapetype>
            <v:shape id="Text Box 8" style="position:absolute;margin-left:0;margin-top:0;width:56pt;height:29.25pt;z-index:251658245;visibility:visible;mso-wrap-style:none;mso-wrap-distance-left:0;mso-wrap-distance-top:0;mso-wrap-distance-right:0;mso-wrap-distance-bottom:0;mso-position-horizontal:left;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">
              <v:textbox style="mso-fit-shape-to-text:t" inset="20pt,0,0,15pt">
                <w:txbxContent>
                  <w:p w:rsidRPr="00F37CAF" w:rsidR="00F37CAF" w:rsidP="00F37CAF" w:rsidRDefault="00F37CAF" w14:paraId="1DE42834" w14:textId="2F399E4F">
                    <w:pPr>
                      <w:spacing w:after="0"/>
                      <w:rPr>
                        <w:rFonts w:ascii="Calibri" w:hAnsi="Calibri" w:eastAsia="Calibri" w:cs="Calibri"/>
                        <w:noProof/>
                        <w:color w:val="FF0000"/>
                        <w:szCs w:val="20"/>
                      </w:rPr>
                    </w:pPr>
                    <w:r w:rsidRPr="00F37CAF">
                      <w:rPr>
                        <w:rFonts w:ascii="Calibri" w:hAnsi="Calibri" w:eastAsia="Calibri" w:cs="Calibri"/>
                        <w:noProof/>
                        <w:color w:val="FF000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E3CA" w14:textId="77777777" w:rsidR="002963E1" w:rsidRDefault="002963E1">
    <w:pPr>
      <w:pStyle w:val="Footer"/>
    </w:pPr>
    <w:r>
      <w:rPr>
        <w:noProof/>
      </w:rPr>
      <mc:AlternateContent>
        <mc:Choice Requires="wps">
          <w:drawing>
            <wp:anchor distT="0" distB="0" distL="0" distR="0" simplePos="0" relativeHeight="251658250" behindDoc="0" locked="0" layoutInCell="1" allowOverlap="1" wp14:anchorId="1EFDCDCC" wp14:editId="09CCC927">
              <wp:simplePos x="635" y="635"/>
              <wp:positionH relativeFrom="page">
                <wp:align>left</wp:align>
              </wp:positionH>
              <wp:positionV relativeFrom="page">
                <wp:align>bottom</wp:align>
              </wp:positionV>
              <wp:extent cx="772795" cy="357505"/>
              <wp:effectExtent l="0" t="0" r="8255" b="0"/>
              <wp:wrapNone/>
              <wp:docPr id="76365364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D6B175A" w14:textId="77777777" w:rsidR="002963E1" w:rsidRPr="006A0E42" w:rsidRDefault="002963E1" w:rsidP="009760B1">
                          <w:pPr>
                            <w:spacing w:after="0"/>
                            <w:rPr>
                              <w:rFonts w:ascii="Aptos" w:eastAsia="Aptos" w:hAnsi="Aptos" w:cs="Aptos"/>
                              <w:noProof/>
                              <w:color w:val="FF0000"/>
                              <w:szCs w:val="20"/>
                            </w:rPr>
                          </w:pPr>
                          <w:r w:rsidRPr="006A0E42">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8EA01FA">
            <v:shapetype id="_x0000_t202" coordsize="21600,21600" o:spt="202" path="m,l,21600r21600,l21600,xe" w14:anchorId="1EFDCDCC">
              <v:stroke joinstyle="miter"/>
              <v:path gradientshapeok="t" o:connecttype="rect"/>
            </v:shapetype>
            <v:shape id="_x0000_s1039" style="position:absolute;margin-left:0;margin-top:0;width:60.85pt;height:28.15pt;z-index:251660298;visibility:visible;mso-wrap-style:none;mso-wrap-distance-left:0;mso-wrap-distance-top:0;mso-wrap-distance-right:0;mso-wrap-distance-bottom:0;mso-position-horizontal:left;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Xb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cZBx+h3UJ1zKwcC3t3zdYusN8+GZOSQY90DR&#10;hic8pIKuonC2KGnA/fibP+Yj7hilpEPBVNSgoilR3wzyMSs+5XkUWLqh4UZjl4zpbV7EuDnoe0At&#10;TvFZWJ7MmBzUaEoH+hU1vYrdMMQMx54V3Y3mfRjki2+Ci9UqJaGWLAsbs7U8lo6YRUBf+lfm7Bn1&#10;gHQ9wigpVr4Bf8iNf3q7OgSkIDET8R3QPMOOOkzcnt9MFPqv95R1fdnLnwA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OAX1dsT&#10;AgAAIQQAAA4AAAAAAAAAAAAAAAAALgIAAGRycy9lMm9Eb2MueG1sUEsBAi0AFAAGAAgAAAAhAAyn&#10;DJzaAAAABAEAAA8AAAAAAAAAAAAAAAAAbQQAAGRycy9kb3ducmV2LnhtbFBLBQYAAAAABAAEAPMA&#10;AAB0BQAAAAA=&#10;">
              <v:textbox style="mso-fit-shape-to-text:t" inset="20pt,0,0,15pt">
                <w:txbxContent>
                  <w:p w:rsidRPr="006A0E42" w:rsidR="002963E1" w:rsidP="006A0E42" w:rsidRDefault="002963E1" w14:paraId="171AAEBA" w14:textId="77777777">
                    <w:pPr>
                      <w:spacing w:after="0"/>
                      <w:rPr>
                        <w:rFonts w:ascii="Aptos" w:hAnsi="Aptos" w:eastAsia="Aptos" w:cs="Aptos"/>
                        <w:noProof/>
                        <w:color w:val="FF0000"/>
                        <w:szCs w:val="20"/>
                      </w:rPr>
                    </w:pPr>
                    <w:r w:rsidRPr="006A0E42">
                      <w:rPr>
                        <w:rFonts w:ascii="Aptos" w:hAnsi="Aptos" w:eastAsia="Aptos" w:cs="Aptos"/>
                        <w:noProof/>
                        <w:color w:val="FF000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511E" w14:textId="18CBED51" w:rsidR="002963E1" w:rsidRDefault="00F14B8A">
    <w:pPr>
      <w:pStyle w:val="Footer"/>
    </w:pPr>
    <w:r w:rsidRPr="004C4A40">
      <w:rPr>
        <w:b/>
        <w:bCs/>
        <w:noProof/>
        <w:color w:val="auto"/>
        <w:sz w:val="14"/>
        <w:szCs w:val="14"/>
        <w:lang w:eastAsia="en-AU"/>
      </w:rPr>
      <w:drawing>
        <wp:anchor distT="0" distB="0" distL="114300" distR="114300" simplePos="0" relativeHeight="251658253" behindDoc="0" locked="0" layoutInCell="1" allowOverlap="1" wp14:anchorId="697260E3" wp14:editId="7D4C50AA">
          <wp:simplePos x="0" y="0"/>
          <wp:positionH relativeFrom="column">
            <wp:posOffset>4894729</wp:posOffset>
          </wp:positionH>
          <wp:positionV relativeFrom="paragraph">
            <wp:posOffset>164954</wp:posOffset>
          </wp:positionV>
          <wp:extent cx="1616075" cy="320040"/>
          <wp:effectExtent l="0" t="0" r="0" b="0"/>
          <wp:wrapSquare wrapText="bothSides"/>
          <wp:docPr id="663223573" name="Picture 663223573"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r w:rsidR="002963E1">
      <w:rPr>
        <w:noProof/>
      </w:rPr>
      <mc:AlternateContent>
        <mc:Choice Requires="wps">
          <w:drawing>
            <wp:anchor distT="0" distB="0" distL="0" distR="0" simplePos="0" relativeHeight="251658251" behindDoc="0" locked="0" layoutInCell="1" allowOverlap="1" wp14:anchorId="7F2E57DD" wp14:editId="2FEDC241">
              <wp:simplePos x="914400" y="9899650"/>
              <wp:positionH relativeFrom="page">
                <wp:align>left</wp:align>
              </wp:positionH>
              <wp:positionV relativeFrom="page">
                <wp:align>bottom</wp:align>
              </wp:positionV>
              <wp:extent cx="772795" cy="357505"/>
              <wp:effectExtent l="0" t="0" r="8255" b="0"/>
              <wp:wrapNone/>
              <wp:docPr id="164318444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04D9FEF" w14:textId="77777777" w:rsidR="002963E1" w:rsidRPr="006A0E42" w:rsidRDefault="002963E1" w:rsidP="009760B1">
                          <w:pPr>
                            <w:spacing w:after="0"/>
                            <w:rPr>
                              <w:rFonts w:ascii="Aptos" w:eastAsia="Aptos" w:hAnsi="Aptos" w:cs="Aptos"/>
                              <w:noProof/>
                              <w:color w:val="FF0000"/>
                              <w:szCs w:val="20"/>
                            </w:rPr>
                          </w:pPr>
                          <w:r w:rsidRPr="006A0E42">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xmlns:aclsh="http://schemas.microsoft.com/office/drawing/2020/classificationShape" xmlns:arto="http://schemas.microsoft.com/office/word/2006/arto">
          <w:pict w14:anchorId="6E8764CF">
            <v:shapetype id="_x0000_t202" coordsize="21600,21600" o:spt="202" path="m,l,21600r21600,l21600,xe" w14:anchorId="7F2E57DD">
              <v:stroke joinstyle="miter"/>
              <v:path gradientshapeok="t" o:connecttype="rect"/>
            </v:shapetype>
            <v:shape id="_x0000_s1040" style="position:absolute;margin-left:0;margin-top:0;width:60.85pt;height:28.15pt;z-index:251660298;visibility:visible;mso-wrap-style:none;mso-wrap-distance-left:0;mso-wrap-distance-top:0;mso-wrap-distance-right:0;mso-wrap-distance-bottom:0;mso-position-horizontal:left;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plJ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3ozTr+D+oRLORj49pavW2y9YT48M4cE4x4o&#10;2vCEh1TQVRTOFiUNuB9/88d8xB2jlHQomIoaVDQl6ptBPmbFpzyPAks3NNxo7JIxvc2LGDcHfQ+o&#10;xSk+C8uTGZODGk3pQL+iplexG4aY4dizorvRvA+DfPFNcLFapSTUkmVhY7aWx9IRswjoS//KnD2j&#10;HpCuRxglxco34A+58U9vV4eAFCRmIr4DmmfYUYeJ2/ObiUL/9Z6yri97+RM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LTemUkT&#10;AgAAIQQAAA4AAAAAAAAAAAAAAAAALgIAAGRycy9lMm9Eb2MueG1sUEsBAi0AFAAGAAgAAAAhAAyn&#10;DJzaAAAABAEAAA8AAAAAAAAAAAAAAAAAbQQAAGRycy9kb3ducmV2LnhtbFBLBQYAAAAABAAEAPMA&#10;AAB0BQAAAAA=&#10;">
              <v:textbox style="mso-fit-shape-to-text:t" inset="20pt,0,0,15pt">
                <w:txbxContent>
                  <w:p w:rsidRPr="006A0E42" w:rsidR="002963E1" w:rsidP="006A0E42" w:rsidRDefault="002963E1" w14:paraId="17D1F485" w14:textId="77777777">
                    <w:pPr>
                      <w:spacing w:after="0"/>
                      <w:rPr>
                        <w:rFonts w:ascii="Aptos" w:hAnsi="Aptos" w:eastAsia="Aptos" w:cs="Aptos"/>
                        <w:noProof/>
                        <w:color w:val="FF0000"/>
                        <w:szCs w:val="20"/>
                      </w:rPr>
                    </w:pPr>
                    <w:r w:rsidRPr="006A0E42">
                      <w:rPr>
                        <w:rFonts w:ascii="Aptos" w:hAnsi="Aptos" w:eastAsia="Aptos" w:cs="Aptos"/>
                        <w:noProof/>
                        <w:color w:val="FF0000"/>
                        <w:szCs w:val="20"/>
                      </w:rPr>
                      <w:t>OFFICIAL</w:t>
                    </w:r>
                  </w:p>
                </w:txbxContent>
              </v:textbox>
              <w10:wrap anchorx="page" anchory="page"/>
            </v:shape>
          </w:pict>
        </mc:Fallback>
      </mc:AlternateContent>
    </w:r>
  </w:p>
  <w:p w14:paraId="5580E030" w14:textId="4E2159E9" w:rsidR="002963E1" w:rsidRDefault="006D3738">
    <w:pPr>
      <w:pStyle w:val="Footer"/>
    </w:pPr>
    <w:r>
      <w:rPr>
        <w:color w:val="auto"/>
        <w:sz w:val="14"/>
        <w:szCs w:val="14"/>
      </w:rPr>
      <w:t xml:space="preserve">Circular Economy Matrix Background document </w:t>
    </w:r>
    <w:r w:rsidRPr="004C4A40">
      <w:rPr>
        <w:color w:val="auto"/>
        <w:sz w:val="14"/>
        <w:szCs w:val="14"/>
      </w:rPr>
      <w:br/>
      <w:t>Published December 2025</w:t>
    </w:r>
  </w:p>
  <w:p w14:paraId="4C2567AE" w14:textId="3B85D868" w:rsidR="002963E1" w:rsidRDefault="002963E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32AC4" w14:textId="77777777" w:rsidR="002963E1" w:rsidRDefault="002963E1">
    <w:pPr>
      <w:pStyle w:val="Footer"/>
    </w:pPr>
    <w:r>
      <w:rPr>
        <w:noProof/>
      </w:rPr>
      <mc:AlternateContent>
        <mc:Choice Requires="wps">
          <w:drawing>
            <wp:anchor distT="0" distB="0" distL="0" distR="0" simplePos="0" relativeHeight="251658252" behindDoc="0" locked="0" layoutInCell="1" allowOverlap="1" wp14:anchorId="375B0DC8" wp14:editId="3B2C8786">
              <wp:simplePos x="635" y="635"/>
              <wp:positionH relativeFrom="page">
                <wp:align>left</wp:align>
              </wp:positionH>
              <wp:positionV relativeFrom="page">
                <wp:align>bottom</wp:align>
              </wp:positionV>
              <wp:extent cx="772795" cy="357505"/>
              <wp:effectExtent l="0" t="0" r="8255" b="0"/>
              <wp:wrapNone/>
              <wp:docPr id="180080043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F4212F3" w14:textId="77777777" w:rsidR="002963E1" w:rsidRPr="006A0E42" w:rsidRDefault="002963E1" w:rsidP="009760B1">
                          <w:pPr>
                            <w:spacing w:after="0"/>
                            <w:rPr>
                              <w:rFonts w:ascii="Aptos" w:eastAsia="Aptos" w:hAnsi="Aptos" w:cs="Aptos"/>
                              <w:noProof/>
                              <w:color w:val="FF0000"/>
                              <w:szCs w:val="20"/>
                            </w:rPr>
                          </w:pPr>
                          <w:r w:rsidRPr="006A0E42">
                            <w:rPr>
                              <w:rFonts w:ascii="Aptos" w:eastAsia="Aptos" w:hAnsi="Aptos" w:cs="Aptos"/>
                              <w:noProof/>
                              <w:color w:val="FF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DB2EDF3">
            <v:shapetype id="_x0000_t202" coordsize="21600,21600" o:spt="202" path="m,l,21600r21600,l21600,xe" w14:anchorId="375B0DC8">
              <v:stroke joinstyle="miter"/>
              <v:path gradientshapeok="t" o:connecttype="rect"/>
            </v:shapetype>
            <v:shape id="Text Box 1" style="position:absolute;margin-left:0;margin-top:0;width:60.85pt;height:28.15pt;z-index:251660298;visibility:visible;mso-wrap-style:none;mso-wrap-distance-left:0;mso-wrap-distance-top:0;mso-wrap-distance-right:0;mso-wrap-distance-bottom:0;mso-position-horizontal:left;mso-position-horizontal-relative:page;mso-position-vertical:bottom;mso-position-vertical-relative:page;v-text-anchor:bottom" alt="OFFICIAL"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ERRGMET&#10;AgAAIQQAAA4AAAAAAAAAAAAAAAAALgIAAGRycy9lMm9Eb2MueG1sUEsBAi0AFAAGAAgAAAAhAAyn&#10;DJzaAAAABAEAAA8AAAAAAAAAAAAAAAAAbQQAAGRycy9kb3ducmV2LnhtbFBLBQYAAAAABAAEAPMA&#10;AAB0BQAAAAA=&#10;">
              <v:textbox style="mso-fit-shape-to-text:t" inset="20pt,0,0,15pt">
                <w:txbxContent>
                  <w:p w:rsidRPr="006A0E42" w:rsidR="002963E1" w:rsidP="006A0E42" w:rsidRDefault="002963E1" w14:paraId="6E1199A7" w14:textId="77777777">
                    <w:pPr>
                      <w:spacing w:after="0"/>
                      <w:rPr>
                        <w:rFonts w:ascii="Aptos" w:hAnsi="Aptos" w:eastAsia="Aptos" w:cs="Aptos"/>
                        <w:noProof/>
                        <w:color w:val="FF0000"/>
                        <w:szCs w:val="20"/>
                      </w:rPr>
                    </w:pPr>
                    <w:r w:rsidRPr="006A0E42">
                      <w:rPr>
                        <w:rFonts w:ascii="Aptos" w:hAnsi="Aptos" w:eastAsia="Aptos" w:cs="Aptos"/>
                        <w:noProof/>
                        <w:color w:val="FF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2A89" w14:textId="77777777" w:rsidR="003C51CF" w:rsidRDefault="003C51CF">
      <w:pPr>
        <w:spacing w:after="0" w:line="240" w:lineRule="auto"/>
      </w:pPr>
      <w:r>
        <w:separator/>
      </w:r>
    </w:p>
  </w:footnote>
  <w:footnote w:type="continuationSeparator" w:id="0">
    <w:p w14:paraId="2B7E621A" w14:textId="77777777" w:rsidR="003C51CF" w:rsidRDefault="003C5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4891B38" w14:textId="77777777" w:rsidTr="666BF5D5">
      <w:tc>
        <w:tcPr>
          <w:tcW w:w="3005" w:type="dxa"/>
        </w:tcPr>
        <w:p w14:paraId="6823C092" w14:textId="26F4AAF5" w:rsidR="666BF5D5" w:rsidRDefault="666BF5D5" w:rsidP="666BF5D5">
          <w:pPr>
            <w:pStyle w:val="Header"/>
            <w:ind w:left="-115"/>
            <w:rPr>
              <w:rFonts w:eastAsia="Arial"/>
              <w:szCs w:val="20"/>
            </w:rPr>
          </w:pPr>
        </w:p>
      </w:tc>
      <w:tc>
        <w:tcPr>
          <w:tcW w:w="3005" w:type="dxa"/>
        </w:tcPr>
        <w:p w14:paraId="4C9C0282" w14:textId="73785F2A" w:rsidR="666BF5D5" w:rsidRDefault="666BF5D5" w:rsidP="666BF5D5">
          <w:pPr>
            <w:pStyle w:val="Header"/>
            <w:jc w:val="center"/>
            <w:rPr>
              <w:rFonts w:eastAsia="Arial"/>
              <w:szCs w:val="20"/>
            </w:rPr>
          </w:pPr>
        </w:p>
      </w:tc>
      <w:tc>
        <w:tcPr>
          <w:tcW w:w="3005" w:type="dxa"/>
        </w:tcPr>
        <w:p w14:paraId="59E247CD" w14:textId="4F8FBA6D" w:rsidR="666BF5D5" w:rsidRDefault="666BF5D5" w:rsidP="666BF5D5">
          <w:pPr>
            <w:pStyle w:val="Header"/>
            <w:ind w:right="-115"/>
            <w:jc w:val="right"/>
            <w:rPr>
              <w:rFonts w:eastAsia="Arial"/>
              <w:szCs w:val="20"/>
            </w:rPr>
          </w:pPr>
        </w:p>
      </w:tc>
    </w:tr>
  </w:tbl>
  <w:p w14:paraId="6BE8B34B" w14:textId="3B3D2CA3" w:rsidR="666BF5D5" w:rsidRDefault="666BF5D5" w:rsidP="666BF5D5">
    <w:pPr>
      <w:pStyle w:val="Header"/>
      <w:rPr>
        <w:rFonts w:eastAsia="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448CA9FD" w14:textId="77777777" w:rsidTr="666BF5D5">
      <w:tc>
        <w:tcPr>
          <w:tcW w:w="3005" w:type="dxa"/>
        </w:tcPr>
        <w:p w14:paraId="78199C7A" w14:textId="41F063FB" w:rsidR="666BF5D5" w:rsidRDefault="666BF5D5" w:rsidP="666BF5D5">
          <w:pPr>
            <w:pStyle w:val="Header"/>
            <w:ind w:left="-115"/>
            <w:rPr>
              <w:rFonts w:eastAsia="Arial"/>
              <w:szCs w:val="20"/>
            </w:rPr>
          </w:pPr>
        </w:p>
      </w:tc>
      <w:tc>
        <w:tcPr>
          <w:tcW w:w="3005" w:type="dxa"/>
        </w:tcPr>
        <w:p w14:paraId="626B17AF" w14:textId="079F8A24" w:rsidR="666BF5D5" w:rsidRDefault="666BF5D5" w:rsidP="666BF5D5">
          <w:pPr>
            <w:pStyle w:val="Header"/>
            <w:jc w:val="center"/>
            <w:rPr>
              <w:rFonts w:eastAsia="Arial"/>
              <w:szCs w:val="20"/>
            </w:rPr>
          </w:pPr>
        </w:p>
      </w:tc>
      <w:tc>
        <w:tcPr>
          <w:tcW w:w="3005" w:type="dxa"/>
        </w:tcPr>
        <w:p w14:paraId="21CF417F" w14:textId="1BA89D47" w:rsidR="666BF5D5" w:rsidRDefault="666BF5D5" w:rsidP="666BF5D5">
          <w:pPr>
            <w:pStyle w:val="Header"/>
            <w:ind w:right="-115"/>
            <w:jc w:val="right"/>
            <w:rPr>
              <w:rFonts w:eastAsia="Arial"/>
              <w:szCs w:val="20"/>
            </w:rPr>
          </w:pPr>
        </w:p>
      </w:tc>
    </w:tr>
  </w:tbl>
  <w:p w14:paraId="0839F8ED" w14:textId="0F62BFC6" w:rsidR="666BF5D5" w:rsidRDefault="666BF5D5" w:rsidP="666BF5D5">
    <w:pPr>
      <w:pStyle w:val="Header"/>
      <w:rPr>
        <w:rFonts w:eastAsia="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C959" w14:textId="77777777" w:rsidR="002963E1" w:rsidRDefault="002963E1">
    <w:pPr>
      <w:pStyle w:val="Header"/>
      <w:jc w:val="right"/>
      <w:rPr>
        <w:color w:val="3EC98C" w:themeColor="text2" w:themeTint="99"/>
        <w:sz w:val="24"/>
        <w:szCs w:val="24"/>
      </w:rPr>
    </w:pPr>
    <w:r>
      <w:rPr>
        <w:noProof/>
        <w:color w:val="3EC98C" w:themeColor="text2" w:themeTint="99"/>
        <w:sz w:val="24"/>
        <w:szCs w:val="24"/>
      </w:rPr>
      <mc:AlternateContent>
        <mc:Choice Requires="wpg">
          <w:drawing>
            <wp:anchor distT="0" distB="0" distL="114300" distR="114300" simplePos="0" relativeHeight="251658249" behindDoc="0" locked="0" layoutInCell="1" allowOverlap="1" wp14:anchorId="5123B492" wp14:editId="61D32CD0">
              <wp:simplePos x="0" y="0"/>
              <wp:positionH relativeFrom="rightMargin">
                <wp:align>left</wp:align>
              </wp:positionH>
              <wp:positionV relativeFrom="topMargin">
                <wp:posOffset>284521</wp:posOffset>
              </wp:positionV>
              <wp:extent cx="731520" cy="740664"/>
              <wp:effectExtent l="0" t="0" r="0" b="2540"/>
              <wp:wrapNone/>
              <wp:docPr id="70" name="Group 17"/>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reeform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7AA2DE" w14:textId="77777777" w:rsidR="002963E1" w:rsidRDefault="002963E1">
                            <w:pPr>
                              <w:jc w:val="right"/>
                            </w:pPr>
                            <w:r>
                              <w:rPr>
                                <w:color w:val="3EC98C" w:themeColor="text2" w:themeTint="99"/>
                                <w:sz w:val="24"/>
                                <w:szCs w:val="24"/>
                              </w:rPr>
                              <w:fldChar w:fldCharType="begin"/>
                            </w:r>
                            <w:r>
                              <w:rPr>
                                <w:color w:val="3EC98C" w:themeColor="text2" w:themeTint="99"/>
                                <w:sz w:val="24"/>
                                <w:szCs w:val="24"/>
                              </w:rPr>
                              <w:instrText xml:space="preserve"> PAGE   \* MERGEFORMAT </w:instrText>
                            </w:r>
                            <w:r>
                              <w:rPr>
                                <w:color w:val="3EC98C" w:themeColor="text2" w:themeTint="99"/>
                                <w:sz w:val="24"/>
                                <w:szCs w:val="24"/>
                              </w:rPr>
                              <w:fldChar w:fldCharType="separate"/>
                            </w:r>
                            <w:r>
                              <w:rPr>
                                <w:noProof/>
                                <w:color w:val="3EC98C" w:themeColor="text2" w:themeTint="99"/>
                                <w:sz w:val="24"/>
                                <w:szCs w:val="24"/>
                              </w:rPr>
                              <w:t>2</w:t>
                            </w:r>
                            <w:r>
                              <w:rPr>
                                <w:color w:val="3EC98C"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B3E7D2F">
            <v:group id="Group 17" style="position:absolute;left:0;text-align:left;margin-left:0;margin-top:22.4pt;width:57.6pt;height:58.3pt;z-index:251660298;mso-position-horizontal:left;mso-position-horizontal-relative:right-margin-area;mso-position-vertical-relative:top-margin-area;mso-width-relative:margin;mso-height-relative:margin" coordsize="7317,7466" coordorigin=",121" o:spid="_x0000_s1032" w14:anchorId="5123B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">
              <v:shape id="Freeform 71" style="position:absolute;left:2560;top:121;width:4756;height:4733;visibility:visible;mso-wrap-style:square;v-text-anchor:top" coordsize="420,420" o:spid="_x0000_s1033" fillcolor="#3ec98c [1951]" stroked="f" path="m,420r,l416,r4,l,4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v:path arrowok="t" o:connecttype="custom" o:connectlocs="0,473242;0,473242;471071,0;475601,0;0,473242" o:connectangles="0,0,0,0,0"/>
              </v:shape>
              <v:shape id="Freeform 72" style="position:absolute;left:1341;top:487;width:5956;height:5927;visibility:visible;mso-wrap-style:square;v-text-anchor:top" coordsize="526,526" o:spid="_x0000_s1034" fillcolor="#3ec98c [1951]" stroked="f" path="m,526r,l522,r4,4l,5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v:path arrowok="t" o:connecttype="custom" o:connectlocs="0,592679;0,592679;591104,0;595634,4507;0,592679" o:connectangles="0,0,0,0,0"/>
              </v:shape>
              <v:shape id="Freeform 73" style="position:absolute;left:1463;top:365;width:5854;height:5826;visibility:visible;mso-wrap-style:square;v-text-anchor:top" coordsize="517,517" o:spid="_x0000_s1035" fillcolor="#3ec98c [1951]" stroked="f" path="m,517r,-5l513,r4,l,5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v:path arrowok="t" o:connecttype="custom" o:connectlocs="0,582539;0,576905;580913,0;585443,0;0,582539" o:connectangles="0,0,0,0,0"/>
              </v:shape>
              <v:shape id="Freeform 74" style="position:absolute;left:2072;top:975;width:5220;height:5206;visibility:visible;mso-wrap-style:square;v-text-anchor:top" coordsize="461,462" o:spid="_x0000_s1036" fillcolor="#3ec98c [1951]" stroked="f" path="m,462r,l457,r4,5l,4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v:path arrowok="t" o:connecttype="custom" o:connectlocs="0,520566;0,520566;517499,0;522029,5634;0,520566" o:connectangles="0,0,0,0,0"/>
              </v:shape>
              <v:shape id="Freeform 75" style="position:absolute;top:365;width:7315;height:7223;visibility:visible;mso-wrap-style:square;v-text-anchor:top" coordsize="646,641" o:spid="_x0000_s1037" fillcolor="#3ec98c [1951]" stroked="f" path="m5,641r-5,l642,r4,l5,6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style="position:absolute;left:731;top:121;width:3563;height:3502;visibility:visible;mso-wrap-style:square;v-text-anchor:top" o:spid="_x0000_s103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v:textbox inset="0,0,0,0">
                  <w:txbxContent>
                    <w:p w:rsidR="002963E1" w:rsidRDefault="002963E1" w14:paraId="2903CBC8" w14:textId="77777777">
                      <w:pPr>
                        <w:jc w:val="right"/>
                      </w:pPr>
                      <w:r>
                        <w:rPr>
                          <w:color w:val="3EC98C" w:themeColor="text2" w:themeTint="99"/>
                          <w:sz w:val="24"/>
                          <w:szCs w:val="24"/>
                        </w:rPr>
                        <w:fldChar w:fldCharType="begin"/>
                      </w:r>
                      <w:r>
                        <w:rPr>
                          <w:color w:val="3EC98C" w:themeColor="text2" w:themeTint="99"/>
                          <w:sz w:val="24"/>
                          <w:szCs w:val="24"/>
                        </w:rPr>
                        <w:instrText xml:space="preserve"> PAGE   \* MERGEFORMAT </w:instrText>
                      </w:r>
                      <w:r>
                        <w:rPr>
                          <w:color w:val="3EC98C" w:themeColor="text2" w:themeTint="99"/>
                          <w:sz w:val="24"/>
                          <w:szCs w:val="24"/>
                        </w:rPr>
                        <w:fldChar w:fldCharType="separate"/>
                      </w:r>
                      <w:r>
                        <w:rPr>
                          <w:noProof/>
                          <w:color w:val="3EC98C" w:themeColor="text2" w:themeTint="99"/>
                          <w:sz w:val="24"/>
                          <w:szCs w:val="24"/>
                        </w:rPr>
                        <w:t>2</w:t>
                      </w:r>
                      <w:r>
                        <w:rPr>
                          <w:color w:val="3EC98C" w:themeColor="text2" w:themeTint="99"/>
                          <w:sz w:val="24"/>
                          <w:szCs w:val="24"/>
                        </w:rPr>
                        <w:fldChar w:fldCharType="end"/>
                      </w:r>
                    </w:p>
                  </w:txbxContent>
                </v:textbox>
              </v:shape>
              <w10:wrap anchorx="margin" anchory="margin"/>
            </v:group>
          </w:pict>
        </mc:Fallback>
      </mc:AlternateContent>
    </w:r>
  </w:p>
  <w:p w14:paraId="23B149A1" w14:textId="77777777" w:rsidR="002963E1" w:rsidRDefault="002963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6BF5D5" w14:paraId="3B82A0B3" w14:textId="77777777" w:rsidTr="666BF5D5">
      <w:tc>
        <w:tcPr>
          <w:tcW w:w="3005" w:type="dxa"/>
        </w:tcPr>
        <w:p w14:paraId="09EBE9BF" w14:textId="436E2FE2" w:rsidR="666BF5D5" w:rsidRDefault="666BF5D5" w:rsidP="666BF5D5">
          <w:pPr>
            <w:pStyle w:val="Header"/>
            <w:ind w:left="-115"/>
            <w:rPr>
              <w:rFonts w:eastAsia="Arial"/>
              <w:szCs w:val="20"/>
            </w:rPr>
          </w:pPr>
        </w:p>
      </w:tc>
      <w:tc>
        <w:tcPr>
          <w:tcW w:w="3005" w:type="dxa"/>
        </w:tcPr>
        <w:p w14:paraId="7457B9FB" w14:textId="59016DCF" w:rsidR="666BF5D5" w:rsidRDefault="666BF5D5" w:rsidP="666BF5D5">
          <w:pPr>
            <w:pStyle w:val="Header"/>
            <w:jc w:val="center"/>
            <w:rPr>
              <w:rFonts w:eastAsia="Arial"/>
              <w:szCs w:val="20"/>
            </w:rPr>
          </w:pPr>
        </w:p>
      </w:tc>
      <w:tc>
        <w:tcPr>
          <w:tcW w:w="3005" w:type="dxa"/>
        </w:tcPr>
        <w:p w14:paraId="071E3118" w14:textId="09BE9EB7" w:rsidR="666BF5D5" w:rsidRDefault="666BF5D5" w:rsidP="666BF5D5">
          <w:pPr>
            <w:pStyle w:val="Header"/>
            <w:ind w:right="-115"/>
            <w:jc w:val="right"/>
            <w:rPr>
              <w:rFonts w:eastAsia="Arial"/>
              <w:szCs w:val="20"/>
            </w:rPr>
          </w:pPr>
        </w:p>
      </w:tc>
    </w:tr>
  </w:tbl>
  <w:p w14:paraId="4F46E906" w14:textId="1B028023" w:rsidR="666BF5D5" w:rsidRDefault="666BF5D5" w:rsidP="666BF5D5">
    <w:pPr>
      <w:pStyle w:val="Header"/>
      <w:rPr>
        <w:rFonts w:eastAsia="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FFFFFF89"/>
    <w:multiLevelType w:val="singleLevel"/>
    <w:tmpl w:val="637AA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93C70"/>
    <w:multiLevelType w:val="hybridMultilevel"/>
    <w:tmpl w:val="1F488032"/>
    <w:lvl w:ilvl="0" w:tplc="CC14BEFC">
      <w:start w:val="1"/>
      <w:numFmt w:val="bullet"/>
      <w:lvlText w:val=""/>
      <w:lvlJc w:val="left"/>
      <w:pPr>
        <w:tabs>
          <w:tab w:val="num" w:pos="864"/>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E3BD8"/>
    <w:multiLevelType w:val="hybridMultilevel"/>
    <w:tmpl w:val="19146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CF2C59"/>
    <w:multiLevelType w:val="hybridMultilevel"/>
    <w:tmpl w:val="764234E2"/>
    <w:lvl w:ilvl="0" w:tplc="6316993A">
      <w:start w:val="1"/>
      <w:numFmt w:val="bullet"/>
      <w:lvlText w:val=""/>
      <w:lvlJc w:val="left"/>
      <w:pPr>
        <w:tabs>
          <w:tab w:val="num" w:pos="864"/>
        </w:tabs>
        <w:ind w:left="360" w:firstLine="50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BF1437"/>
    <w:multiLevelType w:val="hybridMultilevel"/>
    <w:tmpl w:val="7B501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B0177F"/>
    <w:multiLevelType w:val="hybridMultilevel"/>
    <w:tmpl w:val="27843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D31A03"/>
    <w:multiLevelType w:val="hybridMultilevel"/>
    <w:tmpl w:val="FBEE79CA"/>
    <w:lvl w:ilvl="0" w:tplc="0B5062FC">
      <w:start w:val="1"/>
      <w:numFmt w:val="bullet"/>
      <w:lvlText w:val=""/>
      <w:lvlJc w:val="left"/>
      <w:pPr>
        <w:tabs>
          <w:tab w:val="num" w:pos="1152"/>
        </w:tabs>
        <w:ind w:left="288" w:firstLine="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360751">
    <w:abstractNumId w:val="9"/>
  </w:num>
  <w:num w:numId="2" w16cid:durableId="41487868">
    <w:abstractNumId w:val="14"/>
  </w:num>
  <w:num w:numId="3" w16cid:durableId="1310548288">
    <w:abstractNumId w:val="12"/>
  </w:num>
  <w:num w:numId="4" w16cid:durableId="392126186">
    <w:abstractNumId w:val="17"/>
  </w:num>
  <w:num w:numId="5" w16cid:durableId="1569457636">
    <w:abstractNumId w:val="17"/>
  </w:num>
  <w:num w:numId="6" w16cid:durableId="1662469162">
    <w:abstractNumId w:val="8"/>
  </w:num>
  <w:num w:numId="7" w16cid:durableId="242685085">
    <w:abstractNumId w:val="8"/>
  </w:num>
  <w:num w:numId="8" w16cid:durableId="1089352171">
    <w:abstractNumId w:val="10"/>
  </w:num>
  <w:num w:numId="9" w16cid:durableId="1125736192">
    <w:abstractNumId w:val="7"/>
  </w:num>
  <w:num w:numId="10" w16cid:durableId="512689398">
    <w:abstractNumId w:val="6"/>
  </w:num>
  <w:num w:numId="11" w16cid:durableId="51737040">
    <w:abstractNumId w:val="5"/>
  </w:num>
  <w:num w:numId="12" w16cid:durableId="1656103755">
    <w:abstractNumId w:val="4"/>
  </w:num>
  <w:num w:numId="13" w16cid:durableId="131212822">
    <w:abstractNumId w:val="3"/>
  </w:num>
  <w:num w:numId="14" w16cid:durableId="115829474">
    <w:abstractNumId w:val="2"/>
  </w:num>
  <w:num w:numId="15" w16cid:durableId="1875921264">
    <w:abstractNumId w:val="1"/>
  </w:num>
  <w:num w:numId="16" w16cid:durableId="424500907">
    <w:abstractNumId w:val="0"/>
  </w:num>
  <w:num w:numId="17" w16cid:durableId="1703632603">
    <w:abstractNumId w:val="16"/>
  </w:num>
  <w:num w:numId="18" w16cid:durableId="1837963768">
    <w:abstractNumId w:val="11"/>
  </w:num>
  <w:num w:numId="19" w16cid:durableId="1819804663">
    <w:abstractNumId w:val="13"/>
  </w:num>
  <w:num w:numId="20" w16cid:durableId="5303848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SV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053B8"/>
    <w:rsid w:val="00046B37"/>
    <w:rsid w:val="00047E20"/>
    <w:rsid w:val="00062C4F"/>
    <w:rsid w:val="0006370C"/>
    <w:rsid w:val="000714CC"/>
    <w:rsid w:val="000F5783"/>
    <w:rsid w:val="0010314E"/>
    <w:rsid w:val="00121B40"/>
    <w:rsid w:val="00125996"/>
    <w:rsid w:val="00127537"/>
    <w:rsid w:val="00146527"/>
    <w:rsid w:val="00160D91"/>
    <w:rsid w:val="00171FCC"/>
    <w:rsid w:val="00194AD5"/>
    <w:rsid w:val="001B2074"/>
    <w:rsid w:val="001B3EC2"/>
    <w:rsid w:val="001F3E79"/>
    <w:rsid w:val="00205B23"/>
    <w:rsid w:val="00230907"/>
    <w:rsid w:val="002476B7"/>
    <w:rsid w:val="00260184"/>
    <w:rsid w:val="00261B74"/>
    <w:rsid w:val="00261F05"/>
    <w:rsid w:val="00282D3A"/>
    <w:rsid w:val="00287883"/>
    <w:rsid w:val="002963E1"/>
    <w:rsid w:val="002B02B2"/>
    <w:rsid w:val="002C0836"/>
    <w:rsid w:val="002C1ADE"/>
    <w:rsid w:val="002C3D63"/>
    <w:rsid w:val="002D036B"/>
    <w:rsid w:val="002F32E5"/>
    <w:rsid w:val="00340D74"/>
    <w:rsid w:val="003535D6"/>
    <w:rsid w:val="00354CC2"/>
    <w:rsid w:val="00363031"/>
    <w:rsid w:val="00371DF2"/>
    <w:rsid w:val="003829D2"/>
    <w:rsid w:val="00396249"/>
    <w:rsid w:val="003C51CF"/>
    <w:rsid w:val="004170BA"/>
    <w:rsid w:val="004243C9"/>
    <w:rsid w:val="00437E65"/>
    <w:rsid w:val="00444C0C"/>
    <w:rsid w:val="00467B91"/>
    <w:rsid w:val="00477B66"/>
    <w:rsid w:val="00485746"/>
    <w:rsid w:val="004A7C8B"/>
    <w:rsid w:val="004E1136"/>
    <w:rsid w:val="00514959"/>
    <w:rsid w:val="005157FD"/>
    <w:rsid w:val="00516A52"/>
    <w:rsid w:val="00545462"/>
    <w:rsid w:val="005734D6"/>
    <w:rsid w:val="00587704"/>
    <w:rsid w:val="00590627"/>
    <w:rsid w:val="00595115"/>
    <w:rsid w:val="005A4B1B"/>
    <w:rsid w:val="005B1C94"/>
    <w:rsid w:val="005D5F90"/>
    <w:rsid w:val="00614A9B"/>
    <w:rsid w:val="00633BF3"/>
    <w:rsid w:val="00635C86"/>
    <w:rsid w:val="00642A6F"/>
    <w:rsid w:val="006431F9"/>
    <w:rsid w:val="006D3738"/>
    <w:rsid w:val="006F7B3E"/>
    <w:rsid w:val="00763D50"/>
    <w:rsid w:val="00770C6A"/>
    <w:rsid w:val="007A25E9"/>
    <w:rsid w:val="007C3A9D"/>
    <w:rsid w:val="007C3DA4"/>
    <w:rsid w:val="007D4C1B"/>
    <w:rsid w:val="00834407"/>
    <w:rsid w:val="0084169E"/>
    <w:rsid w:val="0085166B"/>
    <w:rsid w:val="00862F1E"/>
    <w:rsid w:val="00880CFD"/>
    <w:rsid w:val="008D0D95"/>
    <w:rsid w:val="00940508"/>
    <w:rsid w:val="009760B1"/>
    <w:rsid w:val="009779A9"/>
    <w:rsid w:val="009801B2"/>
    <w:rsid w:val="009A2C4A"/>
    <w:rsid w:val="009B1EE8"/>
    <w:rsid w:val="009C510D"/>
    <w:rsid w:val="009F0B56"/>
    <w:rsid w:val="009F7171"/>
    <w:rsid w:val="00A17D9C"/>
    <w:rsid w:val="00A267D0"/>
    <w:rsid w:val="00A47F1E"/>
    <w:rsid w:val="00A52C76"/>
    <w:rsid w:val="00A74FCC"/>
    <w:rsid w:val="00A87F8E"/>
    <w:rsid w:val="00A96BE2"/>
    <w:rsid w:val="00AA0AA6"/>
    <w:rsid w:val="00AD4A7D"/>
    <w:rsid w:val="00B35F83"/>
    <w:rsid w:val="00B5121F"/>
    <w:rsid w:val="00B55DA9"/>
    <w:rsid w:val="00B56BC2"/>
    <w:rsid w:val="00B71CA9"/>
    <w:rsid w:val="00B862D1"/>
    <w:rsid w:val="00B87972"/>
    <w:rsid w:val="00B9709A"/>
    <w:rsid w:val="00B97BB2"/>
    <w:rsid w:val="00B97EC4"/>
    <w:rsid w:val="00BA2E0C"/>
    <w:rsid w:val="00BA75FF"/>
    <w:rsid w:val="00BB021C"/>
    <w:rsid w:val="00BB0314"/>
    <w:rsid w:val="00BD5027"/>
    <w:rsid w:val="00BD6E35"/>
    <w:rsid w:val="00C03986"/>
    <w:rsid w:val="00C40D9C"/>
    <w:rsid w:val="00C44E6D"/>
    <w:rsid w:val="00C507B4"/>
    <w:rsid w:val="00C61033"/>
    <w:rsid w:val="00C637B3"/>
    <w:rsid w:val="00C66548"/>
    <w:rsid w:val="00C72F6A"/>
    <w:rsid w:val="00C8043D"/>
    <w:rsid w:val="00C8279A"/>
    <w:rsid w:val="00CB0BCF"/>
    <w:rsid w:val="00CB6CCC"/>
    <w:rsid w:val="00CF4C4A"/>
    <w:rsid w:val="00D107C0"/>
    <w:rsid w:val="00D22907"/>
    <w:rsid w:val="00D32558"/>
    <w:rsid w:val="00D6004B"/>
    <w:rsid w:val="00D716A4"/>
    <w:rsid w:val="00D810AE"/>
    <w:rsid w:val="00DB37A9"/>
    <w:rsid w:val="00DB6837"/>
    <w:rsid w:val="00DC773A"/>
    <w:rsid w:val="00DD16A9"/>
    <w:rsid w:val="00DE5AEC"/>
    <w:rsid w:val="00E23744"/>
    <w:rsid w:val="00E31159"/>
    <w:rsid w:val="00E40F85"/>
    <w:rsid w:val="00E77D97"/>
    <w:rsid w:val="00E914B7"/>
    <w:rsid w:val="00EC3E1C"/>
    <w:rsid w:val="00EC40D4"/>
    <w:rsid w:val="00EC4209"/>
    <w:rsid w:val="00EC6394"/>
    <w:rsid w:val="00ED73F7"/>
    <w:rsid w:val="00EF5D75"/>
    <w:rsid w:val="00F1332D"/>
    <w:rsid w:val="00F14B8A"/>
    <w:rsid w:val="00F30662"/>
    <w:rsid w:val="00F3190F"/>
    <w:rsid w:val="00F37CAF"/>
    <w:rsid w:val="00F53853"/>
    <w:rsid w:val="00F66660"/>
    <w:rsid w:val="00F77194"/>
    <w:rsid w:val="00F821D4"/>
    <w:rsid w:val="00FA0286"/>
    <w:rsid w:val="00FA3A10"/>
    <w:rsid w:val="00FA705F"/>
    <w:rsid w:val="00FD5005"/>
    <w:rsid w:val="00FF11B1"/>
    <w:rsid w:val="4741FE42"/>
    <w:rsid w:val="4E5BD006"/>
    <w:rsid w:val="647A7231"/>
    <w:rsid w:val="666BF5D5"/>
    <w:rsid w:val="764F55E4"/>
    <w:rsid w:val="7ACEBD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5B580"/>
  <w14:defaultImageDpi w14:val="330"/>
  <w15:chartTrackingRefBased/>
  <w15:docId w15:val="{EABA36CF-5B11-4D93-AAE8-717BF0E5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A6F"/>
    <w:pPr>
      <w:spacing w:line="300" w:lineRule="auto"/>
    </w:pPr>
    <w:rPr>
      <w:rFonts w:ascii="Arial" w:hAnsi="Arial"/>
      <w:color w:val="000000" w:themeColor="text1"/>
      <w:sz w:val="20"/>
    </w:rPr>
  </w:style>
  <w:style w:type="paragraph" w:styleId="Heading1">
    <w:name w:val="heading 1"/>
    <w:basedOn w:val="Normal"/>
    <w:next w:val="Normal"/>
    <w:link w:val="Heading1Char"/>
    <w:uiPriority w:val="9"/>
    <w:qFormat/>
    <w:rsid w:val="00F53853"/>
    <w:pPr>
      <w:keepNext/>
      <w:keepLines/>
      <w:spacing w:before="480" w:after="20"/>
      <w:contextualSpacing/>
      <w:outlineLvl w:val="0"/>
    </w:pPr>
    <w:rPr>
      <w:rFonts w:eastAsiaTheme="majorEastAsia" w:cstheme="majorBidi"/>
      <w:b/>
      <w:color w:val="174F37"/>
      <w:sz w:val="40"/>
      <w:szCs w:val="32"/>
    </w:rPr>
  </w:style>
  <w:style w:type="paragraph" w:styleId="Heading2">
    <w:name w:val="heading 2"/>
    <w:basedOn w:val="Normal"/>
    <w:next w:val="Normal"/>
    <w:link w:val="Heading2Char"/>
    <w:uiPriority w:val="9"/>
    <w:unhideWhenUsed/>
    <w:qFormat/>
    <w:rsid w:val="00EC4209"/>
    <w:pPr>
      <w:keepNext/>
      <w:keepLines/>
      <w:spacing w:before="420" w:after="20"/>
      <w:contextualSpacing/>
      <w:outlineLvl w:val="1"/>
    </w:pPr>
    <w:rPr>
      <w:rFonts w:eastAsiaTheme="majorEastAsia" w:cstheme="majorBidi"/>
      <w:b/>
      <w:color w:val="595959" w:themeColor="text1" w:themeTint="A6"/>
      <w:sz w:val="32"/>
      <w:szCs w:val="26"/>
    </w:rPr>
  </w:style>
  <w:style w:type="paragraph" w:styleId="Heading3">
    <w:name w:val="heading 3"/>
    <w:basedOn w:val="Normal"/>
    <w:next w:val="Normal"/>
    <w:link w:val="Heading3Char"/>
    <w:uiPriority w:val="9"/>
    <w:unhideWhenUsed/>
    <w:qFormat/>
    <w:rsid w:val="00EC4209"/>
    <w:pPr>
      <w:keepNext/>
      <w:keepLines/>
      <w:spacing w:before="420" w:after="20"/>
      <w:contextualSpacing/>
      <w:outlineLvl w:val="2"/>
    </w:pPr>
    <w:rPr>
      <w:rFonts w:eastAsiaTheme="majorEastAsia" w:cstheme="majorBidi"/>
      <w:b/>
      <w:color w:val="595959" w:themeColor="text1" w:themeTint="A6"/>
      <w:sz w:val="28"/>
      <w:szCs w:val="24"/>
    </w:rPr>
  </w:style>
  <w:style w:type="paragraph" w:styleId="Heading4">
    <w:name w:val="heading 4"/>
    <w:basedOn w:val="Normal"/>
    <w:next w:val="Normal"/>
    <w:link w:val="Heading4Char"/>
    <w:autoRedefine/>
    <w:uiPriority w:val="9"/>
    <w:unhideWhenUsed/>
    <w:qFormat/>
    <w:rsid w:val="00EC4209"/>
    <w:pPr>
      <w:keepNext/>
      <w:keepLines/>
      <w:spacing w:before="420" w:after="20"/>
      <w:contextualSpacing/>
      <w:outlineLvl w:val="3"/>
    </w:pPr>
    <w:rPr>
      <w:rFonts w:eastAsiaTheme="majorEastAsia" w:cstheme="majorBidi"/>
      <w:iCs/>
      <w:sz w:val="28"/>
    </w:rPr>
  </w:style>
  <w:style w:type="paragraph" w:styleId="Heading5">
    <w:name w:val="heading 5"/>
    <w:basedOn w:val="Normal"/>
    <w:next w:val="Normal"/>
    <w:link w:val="Heading5Char"/>
    <w:uiPriority w:val="9"/>
    <w:unhideWhenUsed/>
    <w:qFormat/>
    <w:rsid w:val="00EC4209"/>
    <w:pPr>
      <w:keepNext/>
      <w:keepLines/>
      <w:spacing w:before="420" w:after="20"/>
      <w:contextualSpacing/>
      <w:outlineLvl w:val="4"/>
    </w:pPr>
    <w:rPr>
      <w:rFonts w:eastAsiaTheme="majorEastAsia" w:cstheme="majorBidi"/>
      <w:sz w:val="24"/>
    </w:rPr>
  </w:style>
  <w:style w:type="paragraph" w:styleId="Heading6">
    <w:name w:val="heading 6"/>
    <w:basedOn w:val="Normal"/>
    <w:next w:val="Normal"/>
    <w:link w:val="Heading6Char"/>
    <w:uiPriority w:val="9"/>
    <w:unhideWhenUsed/>
    <w:qFormat/>
    <w:rsid w:val="00EC4209"/>
    <w:pPr>
      <w:keepNext/>
      <w:keepLines/>
      <w:spacing w:before="420" w:after="20"/>
      <w:contextualSpacing/>
      <w:outlineLvl w:val="5"/>
    </w:pPr>
    <w:rPr>
      <w:rFonts w:eastAsiaTheme="majorEastAsia" w:cstheme="majorBidi"/>
      <w:b/>
      <w:color w:val="0D0D0D" w:themeColor="text1" w:themeTint="F2"/>
    </w:rPr>
  </w:style>
  <w:style w:type="paragraph" w:styleId="Heading7">
    <w:name w:val="heading 7"/>
    <w:basedOn w:val="Normal"/>
    <w:next w:val="Normal"/>
    <w:link w:val="Heading7Char"/>
    <w:uiPriority w:val="9"/>
    <w:semiHidden/>
    <w:unhideWhenUsed/>
    <w:rsid w:val="00C72F6A"/>
    <w:pPr>
      <w:keepNext/>
      <w:keepLines/>
      <w:spacing w:before="420" w:after="20"/>
      <w:contextualSpacing/>
      <w:outlineLvl w:val="6"/>
    </w:pPr>
    <w:rPr>
      <w:rFonts w:eastAsiaTheme="majorEastAsia" w:cstheme="majorBidi"/>
      <w:i/>
      <w:iCs/>
      <w:sz w:val="24"/>
    </w:rPr>
  </w:style>
  <w:style w:type="paragraph" w:styleId="Heading8">
    <w:name w:val="heading 8"/>
    <w:basedOn w:val="Normal"/>
    <w:next w:val="Normal"/>
    <w:link w:val="Heading8Char"/>
    <w:uiPriority w:val="9"/>
    <w:semiHidden/>
    <w:unhideWhenUsed/>
    <w:qFormat/>
    <w:rsid w:val="00C72F6A"/>
    <w:pPr>
      <w:keepNext/>
      <w:keepLines/>
      <w:spacing w:before="420" w:after="20"/>
      <w:contextualSpacing/>
      <w:outlineLvl w:val="7"/>
    </w:pPr>
    <w:rPr>
      <w:rFonts w:eastAsiaTheme="majorEastAsia" w:cstheme="majorBidi"/>
      <w:i/>
      <w:color w:val="41631F" w:themeColor="accent1" w:themeShade="80"/>
      <w:sz w:val="24"/>
      <w:szCs w:val="21"/>
    </w:rPr>
  </w:style>
  <w:style w:type="paragraph" w:styleId="Heading9">
    <w:name w:val="heading 9"/>
    <w:basedOn w:val="Normal"/>
    <w:next w:val="Normal"/>
    <w:link w:val="Heading9Char"/>
    <w:uiPriority w:val="9"/>
    <w:semiHidden/>
    <w:unhideWhenUsed/>
    <w:qFormat/>
    <w:rsid w:val="00C72F6A"/>
    <w:pPr>
      <w:keepNext/>
      <w:keepLines/>
      <w:spacing w:before="420" w:after="20"/>
      <w:contextualSpacing/>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 w:val="22"/>
    </w:rPr>
  </w:style>
  <w:style w:type="character" w:customStyle="1" w:styleId="Heading1Char">
    <w:name w:val="Heading 1 Char"/>
    <w:basedOn w:val="DefaultParagraphFont"/>
    <w:link w:val="Heading1"/>
    <w:uiPriority w:val="9"/>
    <w:rsid w:val="00F53853"/>
    <w:rPr>
      <w:rFonts w:ascii="Arial" w:eastAsiaTheme="majorEastAsia" w:hAnsi="Arial" w:cstheme="majorBidi"/>
      <w:b/>
      <w:color w:val="174F37"/>
      <w:sz w:val="40"/>
      <w:szCs w:val="32"/>
    </w:rPr>
  </w:style>
  <w:style w:type="character" w:customStyle="1" w:styleId="Heading2Char">
    <w:name w:val="Heading 2 Char"/>
    <w:basedOn w:val="DefaultParagraphFont"/>
    <w:link w:val="Heading2"/>
    <w:uiPriority w:val="9"/>
    <w:rsid w:val="00EC4209"/>
    <w:rPr>
      <w:rFonts w:ascii="Arial" w:eastAsiaTheme="majorEastAsia" w:hAnsi="Arial" w:cstheme="majorBidi"/>
      <w:b/>
      <w:sz w:val="32"/>
      <w:szCs w:val="26"/>
    </w:rPr>
  </w:style>
  <w:style w:type="paragraph" w:styleId="ListBullet">
    <w:name w:val="List Bullet"/>
    <w:basedOn w:val="Normal"/>
    <w:uiPriority w:val="13"/>
    <w:qFormat/>
    <w:pPr>
      <w:numPr>
        <w:numId w:val="8"/>
      </w:numPr>
      <w:ind w:left="864" w:hanging="288"/>
      <w:contextualSpacing/>
    </w:pPr>
  </w:style>
  <w:style w:type="character" w:customStyle="1" w:styleId="Heading3Char">
    <w:name w:val="Heading 3 Char"/>
    <w:basedOn w:val="DefaultParagraphFont"/>
    <w:link w:val="Heading3"/>
    <w:uiPriority w:val="9"/>
    <w:rsid w:val="00EC4209"/>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EC4209"/>
    <w:rPr>
      <w:rFonts w:ascii="Arial" w:eastAsiaTheme="majorEastAsia" w:hAnsi="Arial" w:cstheme="majorBidi"/>
      <w:iCs/>
      <w:color w:val="000000" w:themeColor="text1"/>
      <w:sz w:val="28"/>
    </w:rPr>
  </w:style>
  <w:style w:type="character" w:customStyle="1" w:styleId="Heading5Char">
    <w:name w:val="Heading 5 Char"/>
    <w:basedOn w:val="DefaultParagraphFont"/>
    <w:link w:val="Heading5"/>
    <w:uiPriority w:val="9"/>
    <w:rsid w:val="00EC4209"/>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EC4209"/>
    <w:rPr>
      <w:rFonts w:ascii="Arial" w:eastAsiaTheme="majorEastAsia" w:hAnsi="Arial" w:cstheme="majorBidi"/>
      <w:b/>
      <w:color w:val="0D0D0D" w:themeColor="text1" w:themeTint="F2"/>
      <w:sz w:val="20"/>
    </w:rPr>
  </w:style>
  <w:style w:type="character" w:customStyle="1" w:styleId="Heading7Char">
    <w:name w:val="Heading 7 Char"/>
    <w:basedOn w:val="DefaultParagraphFont"/>
    <w:link w:val="Heading7"/>
    <w:uiPriority w:val="9"/>
    <w:semiHidden/>
    <w:rsid w:val="00C72F6A"/>
    <w:rPr>
      <w:rFonts w:ascii="Arial" w:eastAsiaTheme="majorEastAsia" w:hAnsi="Arial" w:cstheme="majorBidi"/>
      <w:i/>
      <w:iCs/>
      <w:color w:val="000000" w:themeColor="text1"/>
      <w:sz w:val="24"/>
    </w:rPr>
  </w:style>
  <w:style w:type="character" w:customStyle="1" w:styleId="Heading8Char">
    <w:name w:val="Heading 8 Char"/>
    <w:basedOn w:val="DefaultParagraphFont"/>
    <w:link w:val="Heading8"/>
    <w:uiPriority w:val="9"/>
    <w:semiHidden/>
    <w:rsid w:val="00C72F6A"/>
    <w:rPr>
      <w:rFonts w:ascii="Arial" w:eastAsiaTheme="majorEastAsia" w:hAnsi="Arial" w:cstheme="majorBidi"/>
      <w:i/>
      <w:color w:val="41631F" w:themeColor="accent1" w:themeShade="80"/>
      <w:sz w:val="24"/>
      <w:szCs w:val="21"/>
    </w:rPr>
  </w:style>
  <w:style w:type="character" w:customStyle="1" w:styleId="Heading9Char">
    <w:name w:val="Heading 9 Char"/>
    <w:basedOn w:val="DefaultParagraphFont"/>
    <w:link w:val="Heading9"/>
    <w:uiPriority w:val="9"/>
    <w:semiHidden/>
    <w:rsid w:val="00C72F6A"/>
    <w:rPr>
      <w:rFonts w:ascii="Arial" w:eastAsiaTheme="majorEastAsia" w:hAnsi="Arial" w:cstheme="majorBidi"/>
      <w:iCs/>
      <w:color w:val="000000" w:themeColor="text1"/>
      <w:sz w:val="20"/>
      <w:szCs w:val="21"/>
    </w:rPr>
  </w:style>
  <w:style w:type="character" w:styleId="Strong">
    <w:name w:val="Strong"/>
    <w:basedOn w:val="DefaultParagraphFont"/>
    <w:uiPriority w:val="22"/>
    <w:semiHidden/>
    <w:unhideWhenUsed/>
    <w:qFormat/>
    <w:rPr>
      <w:b/>
      <w:bCs/>
      <w:color w:val="595959" w:themeColor="text1" w:themeTint="A6"/>
      <w:sz w:val="22"/>
    </w:rPr>
  </w:style>
  <w:style w:type="paragraph" w:styleId="Title">
    <w:name w:val="Title"/>
    <w:basedOn w:val="Normal"/>
    <w:link w:val="TitleChar"/>
    <w:uiPriority w:val="10"/>
    <w:qFormat/>
    <w:rsid w:val="002D036B"/>
    <w:pPr>
      <w:spacing w:before="120" w:after="120" w:line="240" w:lineRule="auto"/>
      <w:contextualSpacing/>
    </w:pPr>
    <w:rPr>
      <w:rFonts w:eastAsiaTheme="majorEastAsia" w:cstheme="majorBidi"/>
      <w:b/>
      <w:color w:val="174F37"/>
      <w:kern w:val="28"/>
      <w:sz w:val="56"/>
      <w:szCs w:val="56"/>
    </w:rPr>
  </w:style>
  <w:style w:type="character" w:customStyle="1" w:styleId="TitleChar">
    <w:name w:val="Title Char"/>
    <w:basedOn w:val="DefaultParagraphFont"/>
    <w:link w:val="Title"/>
    <w:uiPriority w:val="10"/>
    <w:rsid w:val="002D036B"/>
    <w:rPr>
      <w:rFonts w:ascii="Arial" w:eastAsiaTheme="majorEastAsia" w:hAnsi="Arial" w:cstheme="majorBidi"/>
      <w:b/>
      <w:color w:val="174F37"/>
      <w:kern w:val="28"/>
      <w:sz w:val="56"/>
      <w:szCs w:val="56"/>
    </w:rPr>
  </w:style>
  <w:style w:type="paragraph" w:styleId="Subtitle">
    <w:name w:val="Subtitle"/>
    <w:basedOn w:val="Normal"/>
    <w:link w:val="SubtitleChar"/>
    <w:uiPriority w:val="11"/>
    <w:qFormat/>
    <w:rsid w:val="00EC4209"/>
    <w:pPr>
      <w:numPr>
        <w:ilvl w:val="1"/>
      </w:numPr>
      <w:spacing w:before="120" w:after="120"/>
    </w:pPr>
    <w:rPr>
      <w:rFonts w:eastAsiaTheme="minorEastAsia"/>
      <w:sz w:val="32"/>
    </w:rPr>
  </w:style>
  <w:style w:type="character" w:customStyle="1" w:styleId="SubtitleChar">
    <w:name w:val="Subtitle Char"/>
    <w:basedOn w:val="DefaultParagraphFont"/>
    <w:link w:val="Subtitle"/>
    <w:uiPriority w:val="11"/>
    <w:rsid w:val="00EC4209"/>
    <w:rPr>
      <w:rFonts w:ascii="Arial" w:eastAsiaTheme="minorEastAsia" w:hAnsi="Arial"/>
      <w:color w:val="000000" w:themeColor="text1"/>
      <w:sz w:val="32"/>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link w:val="NoSpacingChar"/>
    <w:uiPriority w:val="1"/>
    <w:rsid w:val="002D036B"/>
    <w:pPr>
      <w:spacing w:after="0" w:line="240" w:lineRule="auto"/>
    </w:pPr>
    <w:rPr>
      <w:rFonts w:ascii="Arial" w:hAnsi="Arial"/>
      <w:sz w:val="20"/>
    </w:rPr>
  </w:style>
  <w:style w:type="paragraph" w:styleId="BlockText">
    <w:name w:val="Block Text"/>
    <w:basedOn w:val="Normal"/>
    <w:uiPriority w:val="12"/>
    <w:qFormat/>
    <w:rsid w:val="002D036B"/>
    <w:pPr>
      <w:spacing w:before="60" w:after="0" w:line="250" w:lineRule="auto"/>
      <w:contextualSpacing/>
    </w:pPr>
    <w:rPr>
      <w:rFonts w:eastAsiaTheme="minorEastAsia"/>
      <w:iCs/>
    </w:rPr>
  </w:style>
  <w:style w:type="paragraph" w:styleId="ListNumber">
    <w:name w:val="List Number"/>
    <w:basedOn w:val="Normal"/>
    <w:uiPriority w:val="14"/>
    <w:qFormat/>
    <w:pPr>
      <w:numPr>
        <w:numId w:val="7"/>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customStyle="1" w:styleId="BodyTextChar">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customStyle="1" w:styleId="BodyText2Char">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customStyle="1" w:styleId="BodyText3Char">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customStyle="1" w:styleId="BodyTextFirstIndentChar">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customStyle="1" w:styleId="BodyTextIndentChar">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customStyle="1" w:styleId="BodyTextIndent2Char">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customStyle="1" w:styleId="BodyTextIndent3Char">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64F36"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customStyle="1" w:styleId="ClosingChar">
    <w:name w:val="Closing Char"/>
    <w:basedOn w:val="DefaultParagraphFont"/>
    <w:link w:val="Closing"/>
    <w:uiPriority w:val="99"/>
    <w:semiHidden/>
    <w:rsid w:val="006431F9"/>
    <w:rPr>
      <w:sz w:val="22"/>
    </w:rPr>
  </w:style>
  <w:style w:type="table" w:styleId="Colo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3D9" w:themeFill="accent1" w:themeFillTint="33"/>
    </w:tcPr>
    <w:tblStylePr w:type="firstRow">
      <w:rPr>
        <w:b/>
        <w:bCs/>
      </w:rPr>
      <w:tblPr/>
      <w:tcPr>
        <w:shd w:val="clear" w:color="auto" w:fill="CCE7B3" w:themeFill="accent1" w:themeFillTint="66"/>
      </w:tcPr>
    </w:tblStylePr>
    <w:tblStylePr w:type="lastRow">
      <w:rPr>
        <w:b/>
        <w:bCs/>
        <w:color w:val="000000" w:themeColor="text1"/>
      </w:rPr>
      <w:tblPr/>
      <w:tcPr>
        <w:shd w:val="clear" w:color="auto" w:fill="CCE7B3" w:themeFill="accent1" w:themeFillTint="66"/>
      </w:tcPr>
    </w:tblStylePr>
    <w:tblStylePr w:type="firstCol">
      <w:rPr>
        <w:color w:val="FFFFFF" w:themeColor="background1"/>
      </w:rPr>
      <w:tblPr/>
      <w:tcPr>
        <w:shd w:val="clear" w:color="auto" w:fill="61932E" w:themeFill="accent1" w:themeFillShade="BF"/>
      </w:tcPr>
    </w:tblStylePr>
    <w:tblStylePr w:type="lastCol">
      <w:rPr>
        <w:color w:val="FFFFFF" w:themeColor="background1"/>
      </w:rPr>
      <w:tblPr/>
      <w:tcPr>
        <w:shd w:val="clear" w:color="auto" w:fill="61932E" w:themeFill="accent1" w:themeFillShade="BF"/>
      </w:tc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Colo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FFEA" w:themeFill="accent2" w:themeFillTint="33"/>
    </w:tcPr>
    <w:tblStylePr w:type="firstRow">
      <w:rPr>
        <w:b/>
        <w:bCs/>
      </w:rPr>
      <w:tblPr/>
      <w:tcPr>
        <w:shd w:val="clear" w:color="auto" w:fill="71FFD5" w:themeFill="accent2" w:themeFillTint="66"/>
      </w:tcPr>
    </w:tblStylePr>
    <w:tblStylePr w:type="lastRow">
      <w:rPr>
        <w:b/>
        <w:bCs/>
        <w:color w:val="000000" w:themeColor="text1"/>
      </w:rPr>
      <w:tblPr/>
      <w:tcPr>
        <w:shd w:val="clear" w:color="auto" w:fill="71FFD5" w:themeFill="accent2" w:themeFillTint="66"/>
      </w:tcPr>
    </w:tblStylePr>
    <w:tblStylePr w:type="firstCol">
      <w:rPr>
        <w:color w:val="FFFFFF" w:themeColor="background1"/>
      </w:rPr>
      <w:tblPr/>
      <w:tcPr>
        <w:shd w:val="clear" w:color="auto" w:fill="007553" w:themeFill="accent2" w:themeFillShade="BF"/>
      </w:tcPr>
    </w:tblStylePr>
    <w:tblStylePr w:type="lastCol">
      <w:rPr>
        <w:color w:val="FFFFFF" w:themeColor="background1"/>
      </w:rPr>
      <w:tblPr/>
      <w:tcPr>
        <w:shd w:val="clear" w:color="auto" w:fill="007553" w:themeFill="accent2" w:themeFillShade="BF"/>
      </w:tc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Colo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EB" w:themeFill="accent3" w:themeFillTint="33"/>
    </w:tcPr>
    <w:tblStylePr w:type="firstRow">
      <w:rPr>
        <w:b/>
        <w:bCs/>
      </w:rPr>
      <w:tblPr/>
      <w:tcPr>
        <w:shd w:val="clear" w:color="auto" w:fill="EDF2D8" w:themeFill="accent3" w:themeFillTint="66"/>
      </w:tcPr>
    </w:tblStylePr>
    <w:tblStylePr w:type="lastRow">
      <w:rPr>
        <w:b/>
        <w:bCs/>
        <w:color w:val="000000" w:themeColor="text1"/>
      </w:rPr>
      <w:tblPr/>
      <w:tcPr>
        <w:shd w:val="clear" w:color="auto" w:fill="EDF2D8" w:themeFill="accent3" w:themeFillTint="66"/>
      </w:tcPr>
    </w:tblStylePr>
    <w:tblStylePr w:type="firstCol">
      <w:rPr>
        <w:color w:val="FFFFFF" w:themeColor="background1"/>
      </w:rPr>
      <w:tblPr/>
      <w:tcPr>
        <w:shd w:val="clear" w:color="auto" w:fill="B3C658" w:themeFill="accent3" w:themeFillShade="BF"/>
      </w:tcPr>
    </w:tblStylePr>
    <w:tblStylePr w:type="lastCol">
      <w:rPr>
        <w:color w:val="FFFFFF" w:themeColor="background1"/>
      </w:rPr>
      <w:tblPr/>
      <w:tcPr>
        <w:shd w:val="clear" w:color="auto" w:fill="B3C658" w:themeFill="accent3" w:themeFillShade="BF"/>
      </w:tc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Colo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6CE" w:themeFill="accent4" w:themeFillTint="33"/>
    </w:tcPr>
    <w:tblStylePr w:type="firstRow">
      <w:rPr>
        <w:b/>
        <w:bCs/>
      </w:rPr>
      <w:tblPr/>
      <w:tcPr>
        <w:shd w:val="clear" w:color="auto" w:fill="D2ED9E" w:themeFill="accent4" w:themeFillTint="66"/>
      </w:tcPr>
    </w:tblStylePr>
    <w:tblStylePr w:type="lastRow">
      <w:rPr>
        <w:b/>
        <w:bCs/>
        <w:color w:val="000000" w:themeColor="text1"/>
      </w:rPr>
      <w:tblPr/>
      <w:tcPr>
        <w:shd w:val="clear" w:color="auto" w:fill="D2ED9E" w:themeFill="accent4" w:themeFillTint="66"/>
      </w:tcPr>
    </w:tblStylePr>
    <w:tblStylePr w:type="firstCol">
      <w:rPr>
        <w:color w:val="FFFFFF" w:themeColor="background1"/>
      </w:rPr>
      <w:tblPr/>
      <w:tcPr>
        <w:shd w:val="clear" w:color="auto" w:fill="668D1A" w:themeFill="accent4" w:themeFillShade="BF"/>
      </w:tcPr>
    </w:tblStylePr>
    <w:tblStylePr w:type="lastCol">
      <w:rPr>
        <w:color w:val="FFFFFF" w:themeColor="background1"/>
      </w:rPr>
      <w:tblPr/>
      <w:tcPr>
        <w:shd w:val="clear" w:color="auto" w:fill="668D1A" w:themeFill="accent4" w:themeFillShade="BF"/>
      </w:tc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Colo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6E4" w:themeFill="accent5" w:themeFillTint="33"/>
    </w:tcPr>
    <w:tblStylePr w:type="firstRow">
      <w:rPr>
        <w:b/>
        <w:bCs/>
      </w:rPr>
      <w:tblPr/>
      <w:tcPr>
        <w:shd w:val="clear" w:color="auto" w:fill="DBEDC9" w:themeFill="accent5" w:themeFillTint="66"/>
      </w:tcPr>
    </w:tblStylePr>
    <w:tblStylePr w:type="lastRow">
      <w:rPr>
        <w:b/>
        <w:bCs/>
        <w:color w:val="000000" w:themeColor="text1"/>
      </w:rPr>
      <w:tblPr/>
      <w:tcPr>
        <w:shd w:val="clear" w:color="auto" w:fill="DBEDC9" w:themeFill="accent5" w:themeFillTint="66"/>
      </w:tcPr>
    </w:tblStylePr>
    <w:tblStylePr w:type="firstCol">
      <w:rPr>
        <w:color w:val="FFFFFF" w:themeColor="background1"/>
      </w:rPr>
      <w:tblPr/>
      <w:tcPr>
        <w:shd w:val="clear" w:color="auto" w:fill="7EB93D" w:themeFill="accent5" w:themeFillShade="BF"/>
      </w:tcPr>
    </w:tblStylePr>
    <w:tblStylePr w:type="lastCol">
      <w:rPr>
        <w:color w:val="FFFFFF" w:themeColor="background1"/>
      </w:rPr>
      <w:tblPr/>
      <w:tcPr>
        <w:shd w:val="clear" w:color="auto" w:fill="7EB93D" w:themeFill="accent5" w:themeFillShade="BF"/>
      </w:tc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Colo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9EE" w:themeFill="accent6" w:themeFillTint="33"/>
    </w:tcPr>
    <w:tblStylePr w:type="firstRow">
      <w:rPr>
        <w:b/>
        <w:bCs/>
      </w:rPr>
      <w:tblPr/>
      <w:tcPr>
        <w:shd w:val="clear" w:color="auto" w:fill="EAF3DE" w:themeFill="accent6" w:themeFillTint="66"/>
      </w:tcPr>
    </w:tblStylePr>
    <w:tblStylePr w:type="lastRow">
      <w:rPr>
        <w:b/>
        <w:bCs/>
        <w:color w:val="000000" w:themeColor="text1"/>
      </w:rPr>
      <w:tblPr/>
      <w:tcPr>
        <w:shd w:val="clear" w:color="auto" w:fill="EAF3DE" w:themeFill="accent6" w:themeFillTint="66"/>
      </w:tcPr>
    </w:tblStylePr>
    <w:tblStylePr w:type="firstCol">
      <w:rPr>
        <w:color w:val="FFFFFF" w:themeColor="background1"/>
      </w:rPr>
      <w:tblPr/>
      <w:tcPr>
        <w:shd w:val="clear" w:color="auto" w:fill="9AC963" w:themeFill="accent6" w:themeFillShade="BF"/>
      </w:tcPr>
    </w:tblStylePr>
    <w:tblStylePr w:type="lastCol">
      <w:rPr>
        <w:color w:val="FFFFFF" w:themeColor="background1"/>
      </w:rPr>
      <w:tblPr/>
      <w:tcPr>
        <w:shd w:val="clear" w:color="auto" w:fill="9AC963" w:themeFill="accent6" w:themeFillShade="BF"/>
      </w:tc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Colo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C" w:themeFill="accent1"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0CF" w:themeFill="accent1" w:themeFillTint="3F"/>
      </w:tcPr>
    </w:tblStylePr>
    <w:tblStylePr w:type="band1Horz">
      <w:tblPr/>
      <w:tcPr>
        <w:shd w:val="clear" w:color="auto" w:fill="E5F3D9" w:themeFill="accent1" w:themeFillTint="33"/>
      </w:tcPr>
    </w:tblStylePr>
  </w:style>
  <w:style w:type="table" w:styleId="Colo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DCFFF4" w:themeFill="accent2" w:themeFillTint="19"/>
    </w:tcPr>
    <w:tblStylePr w:type="firstRow">
      <w:rPr>
        <w:b/>
        <w:bCs/>
        <w:color w:val="FFFFFF" w:themeColor="background1"/>
      </w:rPr>
      <w:tblPr/>
      <w:tcPr>
        <w:tcBorders>
          <w:bottom w:val="single" w:sz="12" w:space="0" w:color="FFFFFF" w:themeColor="background1"/>
        </w:tcBorders>
        <w:shd w:val="clear" w:color="auto" w:fill="007D58" w:themeFill="accent2" w:themeFillShade="CC"/>
      </w:tcPr>
    </w:tblStylePr>
    <w:tblStylePr w:type="lastRow">
      <w:rPr>
        <w:b/>
        <w:bCs/>
        <w:color w:val="007D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E5" w:themeFill="accent2" w:themeFillTint="3F"/>
      </w:tcPr>
    </w:tblStylePr>
    <w:tblStylePr w:type="band1Horz">
      <w:tblPr/>
      <w:tcPr>
        <w:shd w:val="clear" w:color="auto" w:fill="B8FFEA" w:themeFill="accent2" w:themeFillTint="33"/>
      </w:tcPr>
    </w:tblStylePr>
  </w:style>
  <w:style w:type="table" w:styleId="Colo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AFBF5" w:themeFill="accent3" w:themeFillTint="19"/>
    </w:tcPr>
    <w:tblStylePr w:type="firstRow">
      <w:rPr>
        <w:b/>
        <w:bCs/>
        <w:color w:val="FFFFFF" w:themeColor="background1"/>
      </w:rPr>
      <w:tblPr/>
      <w:tcPr>
        <w:tcBorders>
          <w:bottom w:val="single" w:sz="12" w:space="0" w:color="FFFFFF" w:themeColor="background1"/>
        </w:tcBorders>
        <w:shd w:val="clear" w:color="auto" w:fill="6C961C" w:themeFill="accent4" w:themeFillShade="CC"/>
      </w:tcPr>
    </w:tblStylePr>
    <w:tblStylePr w:type="lastRow">
      <w:rPr>
        <w:b/>
        <w:bCs/>
        <w:color w:val="6C96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E7" w:themeFill="accent3" w:themeFillTint="3F"/>
      </w:tcPr>
    </w:tblStylePr>
    <w:tblStylePr w:type="band1Horz">
      <w:tblPr/>
      <w:tcPr>
        <w:shd w:val="clear" w:color="auto" w:fill="F6F8EB" w:themeFill="accent3" w:themeFillTint="33"/>
      </w:tcPr>
    </w:tblStylePr>
  </w:style>
  <w:style w:type="table" w:styleId="Colo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3FAE7" w:themeFill="accent4" w:themeFillTint="19"/>
    </w:tcPr>
    <w:tblStylePr w:type="firstRow">
      <w:rPr>
        <w:b/>
        <w:bCs/>
        <w:color w:val="FFFFFF" w:themeColor="background1"/>
      </w:rPr>
      <w:tblPr/>
      <w:tcPr>
        <w:tcBorders>
          <w:bottom w:val="single" w:sz="12" w:space="0" w:color="FFFFFF" w:themeColor="background1"/>
        </w:tcBorders>
        <w:shd w:val="clear" w:color="auto" w:fill="B9CB66" w:themeFill="accent3" w:themeFillShade="CC"/>
      </w:tcPr>
    </w:tblStylePr>
    <w:tblStylePr w:type="lastRow">
      <w:rPr>
        <w:b/>
        <w:bCs/>
        <w:color w:val="B9CB6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4C3" w:themeFill="accent4" w:themeFillTint="3F"/>
      </w:tcPr>
    </w:tblStylePr>
    <w:tblStylePr w:type="band1Horz">
      <w:tblPr/>
      <w:tcPr>
        <w:shd w:val="clear" w:color="auto" w:fill="E8F6CE" w:themeFill="accent4" w:themeFillTint="33"/>
      </w:tcPr>
    </w:tblStylePr>
  </w:style>
  <w:style w:type="table" w:styleId="Colo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6FAF1" w:themeFill="accent5" w:themeFillTint="19"/>
    </w:tcPr>
    <w:tblStylePr w:type="firstRow">
      <w:rPr>
        <w:b/>
        <w:bCs/>
        <w:color w:val="FFFFFF" w:themeColor="background1"/>
      </w:rPr>
      <w:tblPr/>
      <w:tcPr>
        <w:tcBorders>
          <w:bottom w:val="single" w:sz="12" w:space="0" w:color="FFFFFF" w:themeColor="background1"/>
        </w:tcBorders>
        <w:shd w:val="clear" w:color="auto" w:fill="A4CE72" w:themeFill="accent6" w:themeFillShade="CC"/>
      </w:tcPr>
    </w:tblStylePr>
    <w:tblStylePr w:type="lastRow">
      <w:rPr>
        <w:b/>
        <w:bCs/>
        <w:color w:val="A4CE7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3DD" w:themeFill="accent5" w:themeFillTint="3F"/>
      </w:tcPr>
    </w:tblStylePr>
    <w:tblStylePr w:type="band1Horz">
      <w:tblPr/>
      <w:tcPr>
        <w:shd w:val="clear" w:color="auto" w:fill="EDF6E4" w:themeFill="accent5" w:themeFillTint="33"/>
      </w:tcPr>
    </w:tblStylePr>
  </w:style>
  <w:style w:type="table" w:styleId="Colo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9FCF6" w:themeFill="accent6" w:themeFillTint="19"/>
    </w:tcPr>
    <w:tblStylePr w:type="firstRow">
      <w:rPr>
        <w:b/>
        <w:bCs/>
        <w:color w:val="FFFFFF" w:themeColor="background1"/>
      </w:rPr>
      <w:tblPr/>
      <w:tcPr>
        <w:tcBorders>
          <w:bottom w:val="single" w:sz="12" w:space="0" w:color="FFFFFF" w:themeColor="background1"/>
        </w:tcBorders>
        <w:shd w:val="clear" w:color="auto" w:fill="86C146" w:themeFill="accent5" w:themeFillShade="CC"/>
      </w:tcPr>
    </w:tblStylePr>
    <w:tblStylePr w:type="lastRow">
      <w:rPr>
        <w:b/>
        <w:bCs/>
        <w:color w:val="86C1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EA" w:themeFill="accent6" w:themeFillTint="3F"/>
      </w:tcPr>
    </w:tblStylePr>
    <w:tblStylePr w:type="band1Horz">
      <w:tblPr/>
      <w:tcPr>
        <w:shd w:val="clear" w:color="auto" w:fill="F4F9EE" w:themeFill="accent6" w:themeFillTint="33"/>
      </w:tcPr>
    </w:tblStylePr>
  </w:style>
  <w:style w:type="table" w:styleId="Colo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82C341" w:themeColor="accent1"/>
        <w:bottom w:val="single" w:sz="4" w:space="0" w:color="82C341" w:themeColor="accent1"/>
        <w:right w:val="single" w:sz="4" w:space="0" w:color="82C341" w:themeColor="accent1"/>
        <w:insideH w:val="single" w:sz="4" w:space="0" w:color="FFFFFF" w:themeColor="background1"/>
        <w:insideV w:val="single" w:sz="4" w:space="0" w:color="FFFFFF" w:themeColor="background1"/>
      </w:tblBorders>
    </w:tblPr>
    <w:tcPr>
      <w:shd w:val="clear" w:color="auto" w:fill="F2F9EC" w:themeFill="accent1"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7625" w:themeFill="accent1" w:themeFillShade="99"/>
      </w:tcPr>
    </w:tblStylePr>
    <w:tblStylePr w:type="firstCol">
      <w:rPr>
        <w:color w:val="FFFFFF" w:themeColor="background1"/>
      </w:rPr>
      <w:tblPr/>
      <w:tcPr>
        <w:tcBorders>
          <w:top w:val="nil"/>
          <w:left w:val="nil"/>
          <w:bottom w:val="nil"/>
          <w:right w:val="nil"/>
          <w:insideH w:val="single" w:sz="4" w:space="0" w:color="4D7625" w:themeColor="accent1" w:themeShade="99"/>
          <w:insideV w:val="nil"/>
        </w:tcBorders>
        <w:shd w:val="clear" w:color="auto" w:fill="4D76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D7625" w:themeFill="accent1" w:themeFillShade="99"/>
      </w:tcPr>
    </w:tblStylePr>
    <w:tblStylePr w:type="band1Vert">
      <w:tblPr/>
      <w:tcPr>
        <w:shd w:val="clear" w:color="auto" w:fill="CCE7B3" w:themeFill="accent1" w:themeFillTint="66"/>
      </w:tcPr>
    </w:tblStylePr>
    <w:tblStylePr w:type="band1Horz">
      <w:tblPr/>
      <w:tcPr>
        <w:shd w:val="clear" w:color="auto" w:fill="C0E1A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70" w:themeColor="accent2"/>
        <w:left w:val="single" w:sz="4" w:space="0" w:color="009D70" w:themeColor="accent2"/>
        <w:bottom w:val="single" w:sz="4" w:space="0" w:color="009D70" w:themeColor="accent2"/>
        <w:right w:val="single" w:sz="4" w:space="0" w:color="009D70" w:themeColor="accent2"/>
        <w:insideH w:val="single" w:sz="4" w:space="0" w:color="FFFFFF" w:themeColor="background1"/>
        <w:insideV w:val="single" w:sz="4" w:space="0" w:color="FFFFFF" w:themeColor="background1"/>
      </w:tblBorders>
    </w:tblPr>
    <w:tcPr>
      <w:shd w:val="clear" w:color="auto" w:fill="DCFFF4" w:themeFill="accent2" w:themeFillTint="19"/>
    </w:tcPr>
    <w:tblStylePr w:type="firstRow">
      <w:rPr>
        <w:b/>
        <w:bCs/>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42" w:themeFill="accent2" w:themeFillShade="99"/>
      </w:tcPr>
    </w:tblStylePr>
    <w:tblStylePr w:type="firstCol">
      <w:rPr>
        <w:color w:val="FFFFFF" w:themeColor="background1"/>
      </w:rPr>
      <w:tblPr/>
      <w:tcPr>
        <w:tcBorders>
          <w:top w:val="nil"/>
          <w:left w:val="nil"/>
          <w:bottom w:val="nil"/>
          <w:right w:val="nil"/>
          <w:insideH w:val="single" w:sz="4" w:space="0" w:color="005E42" w:themeColor="accent2" w:themeShade="99"/>
          <w:insideV w:val="nil"/>
        </w:tcBorders>
        <w:shd w:val="clear" w:color="auto" w:fill="005E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E42" w:themeFill="accent2" w:themeFillShade="99"/>
      </w:tcPr>
    </w:tblStylePr>
    <w:tblStylePr w:type="band1Vert">
      <w:tblPr/>
      <w:tcPr>
        <w:shd w:val="clear" w:color="auto" w:fill="71FFD5" w:themeFill="accent2" w:themeFillTint="66"/>
      </w:tcPr>
    </w:tblStylePr>
    <w:tblStylePr w:type="band1Horz">
      <w:tblPr/>
      <w:tcPr>
        <w:shd w:val="clear" w:color="auto" w:fill="4FFFCB"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89BD23" w:themeColor="accent4"/>
        <w:left w:val="single" w:sz="4" w:space="0" w:color="D4DFA0" w:themeColor="accent3"/>
        <w:bottom w:val="single" w:sz="4" w:space="0" w:color="D4DFA0" w:themeColor="accent3"/>
        <w:right w:val="single" w:sz="4" w:space="0" w:color="D4DFA0" w:themeColor="accent3"/>
        <w:insideH w:val="single" w:sz="4" w:space="0" w:color="FFFFFF" w:themeColor="background1"/>
        <w:insideV w:val="single" w:sz="4" w:space="0" w:color="FFFFFF" w:themeColor="background1"/>
      </w:tblBorders>
    </w:tblPr>
    <w:tcPr>
      <w:shd w:val="clear" w:color="auto" w:fill="FAFBF5" w:themeFill="accent3" w:themeFillTint="19"/>
    </w:tcPr>
    <w:tblStylePr w:type="firstRow">
      <w:rPr>
        <w:b/>
        <w:bCs/>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AB3A" w:themeFill="accent3" w:themeFillShade="99"/>
      </w:tcPr>
    </w:tblStylePr>
    <w:tblStylePr w:type="firstCol">
      <w:rPr>
        <w:color w:val="FFFFFF" w:themeColor="background1"/>
      </w:rPr>
      <w:tblPr/>
      <w:tcPr>
        <w:tcBorders>
          <w:top w:val="nil"/>
          <w:left w:val="nil"/>
          <w:bottom w:val="nil"/>
          <w:right w:val="nil"/>
          <w:insideH w:val="single" w:sz="4" w:space="0" w:color="97AB3A" w:themeColor="accent3" w:themeShade="99"/>
          <w:insideV w:val="nil"/>
        </w:tcBorders>
        <w:shd w:val="clear" w:color="auto" w:fill="97AB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7AB3A" w:themeFill="accent3" w:themeFillShade="99"/>
      </w:tcPr>
    </w:tblStylePr>
    <w:tblStylePr w:type="band1Vert">
      <w:tblPr/>
      <w:tcPr>
        <w:shd w:val="clear" w:color="auto" w:fill="EDF2D8" w:themeFill="accent3" w:themeFillTint="66"/>
      </w:tcPr>
    </w:tblStylePr>
    <w:tblStylePr w:type="band1Horz">
      <w:tblPr/>
      <w:tcPr>
        <w:shd w:val="clear" w:color="auto" w:fill="E9EFCF" w:themeFill="accent3" w:themeFillTint="7F"/>
      </w:tcPr>
    </w:tblStylePr>
  </w:style>
  <w:style w:type="table" w:styleId="Colo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D4DFA0" w:themeColor="accent3"/>
        <w:left w:val="single" w:sz="4" w:space="0" w:color="89BD23" w:themeColor="accent4"/>
        <w:bottom w:val="single" w:sz="4" w:space="0" w:color="89BD23" w:themeColor="accent4"/>
        <w:right w:val="single" w:sz="4" w:space="0" w:color="89BD23" w:themeColor="accent4"/>
        <w:insideH w:val="single" w:sz="4" w:space="0" w:color="FFFFFF" w:themeColor="background1"/>
        <w:insideV w:val="single" w:sz="4" w:space="0" w:color="FFFFFF" w:themeColor="background1"/>
      </w:tblBorders>
    </w:tblPr>
    <w:tcPr>
      <w:shd w:val="clear" w:color="auto" w:fill="F3FAE7" w:themeFill="accent4" w:themeFillTint="19"/>
    </w:tcPr>
    <w:tblStylePr w:type="firstRow">
      <w:rPr>
        <w:b/>
        <w:bCs/>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7115" w:themeFill="accent4" w:themeFillShade="99"/>
      </w:tcPr>
    </w:tblStylePr>
    <w:tblStylePr w:type="firstCol">
      <w:rPr>
        <w:color w:val="FFFFFF" w:themeColor="background1"/>
      </w:rPr>
      <w:tblPr/>
      <w:tcPr>
        <w:tcBorders>
          <w:top w:val="nil"/>
          <w:left w:val="nil"/>
          <w:bottom w:val="nil"/>
          <w:right w:val="nil"/>
          <w:insideH w:val="single" w:sz="4" w:space="0" w:color="517115" w:themeColor="accent4" w:themeShade="99"/>
          <w:insideV w:val="nil"/>
        </w:tcBorders>
        <w:shd w:val="clear" w:color="auto" w:fill="5171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17115" w:themeFill="accent4" w:themeFillShade="99"/>
      </w:tcPr>
    </w:tblStylePr>
    <w:tblStylePr w:type="band1Vert">
      <w:tblPr/>
      <w:tcPr>
        <w:shd w:val="clear" w:color="auto" w:fill="D2ED9E" w:themeFill="accent4" w:themeFillTint="66"/>
      </w:tcPr>
    </w:tblStylePr>
    <w:tblStylePr w:type="band1Horz">
      <w:tblPr/>
      <w:tcPr>
        <w:shd w:val="clear" w:color="auto" w:fill="C7E88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CBE3AE" w:themeColor="accent6"/>
        <w:left w:val="single" w:sz="4" w:space="0" w:color="A7D278" w:themeColor="accent5"/>
        <w:bottom w:val="single" w:sz="4" w:space="0" w:color="A7D278" w:themeColor="accent5"/>
        <w:right w:val="single" w:sz="4" w:space="0" w:color="A7D278" w:themeColor="accent5"/>
        <w:insideH w:val="single" w:sz="4" w:space="0" w:color="FFFFFF" w:themeColor="background1"/>
        <w:insideV w:val="single" w:sz="4" w:space="0" w:color="FFFFFF" w:themeColor="background1"/>
      </w:tblBorders>
    </w:tblPr>
    <w:tcPr>
      <w:shd w:val="clear" w:color="auto" w:fill="F6FAF1" w:themeFill="accent5" w:themeFillTint="19"/>
    </w:tcPr>
    <w:tblStylePr w:type="firstRow">
      <w:rPr>
        <w:b/>
        <w:bCs/>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9431" w:themeFill="accent5" w:themeFillShade="99"/>
      </w:tcPr>
    </w:tblStylePr>
    <w:tblStylePr w:type="firstCol">
      <w:rPr>
        <w:color w:val="FFFFFF" w:themeColor="background1"/>
      </w:rPr>
      <w:tblPr/>
      <w:tcPr>
        <w:tcBorders>
          <w:top w:val="nil"/>
          <w:left w:val="nil"/>
          <w:bottom w:val="nil"/>
          <w:right w:val="nil"/>
          <w:insideH w:val="single" w:sz="4" w:space="0" w:color="659431" w:themeColor="accent5" w:themeShade="99"/>
          <w:insideV w:val="nil"/>
        </w:tcBorders>
        <w:shd w:val="clear" w:color="auto" w:fill="6594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9431" w:themeFill="accent5" w:themeFillShade="99"/>
      </w:tcPr>
    </w:tblStylePr>
    <w:tblStylePr w:type="band1Vert">
      <w:tblPr/>
      <w:tcPr>
        <w:shd w:val="clear" w:color="auto" w:fill="DBEDC9" w:themeFill="accent5" w:themeFillTint="66"/>
      </w:tcPr>
    </w:tblStylePr>
    <w:tblStylePr w:type="band1Horz">
      <w:tblPr/>
      <w:tcPr>
        <w:shd w:val="clear" w:color="auto" w:fill="D3E8B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sz="24" w:space="0" w:color="A7D278" w:themeColor="accent5"/>
        <w:left w:val="single" w:sz="4" w:space="0" w:color="CBE3AE" w:themeColor="accent6"/>
        <w:bottom w:val="single" w:sz="4" w:space="0" w:color="CBE3AE" w:themeColor="accent6"/>
        <w:right w:val="single" w:sz="4" w:space="0" w:color="CBE3AE" w:themeColor="accent6"/>
        <w:insideH w:val="single" w:sz="4" w:space="0" w:color="FFFFFF" w:themeColor="background1"/>
        <w:insideV w:val="single" w:sz="4" w:space="0" w:color="FFFFFF" w:themeColor="background1"/>
      </w:tblBorders>
    </w:tblPr>
    <w:tcPr>
      <w:shd w:val="clear" w:color="auto" w:fill="F9FCF6" w:themeFill="accent6" w:themeFillTint="19"/>
    </w:tcPr>
    <w:tblStylePr w:type="firstRow">
      <w:rPr>
        <w:b/>
        <w:bCs/>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B23D" w:themeFill="accent6" w:themeFillShade="99"/>
      </w:tcPr>
    </w:tblStylePr>
    <w:tblStylePr w:type="firstCol">
      <w:rPr>
        <w:color w:val="FFFFFF" w:themeColor="background1"/>
      </w:rPr>
      <w:tblPr/>
      <w:tcPr>
        <w:tcBorders>
          <w:top w:val="nil"/>
          <w:left w:val="nil"/>
          <w:bottom w:val="nil"/>
          <w:right w:val="nil"/>
          <w:insideH w:val="single" w:sz="4" w:space="0" w:color="7DB23D" w:themeColor="accent6" w:themeShade="99"/>
          <w:insideV w:val="nil"/>
        </w:tcBorders>
        <w:shd w:val="clear" w:color="auto" w:fill="7DB2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B23D" w:themeFill="accent6" w:themeFillShade="99"/>
      </w:tcPr>
    </w:tblStylePr>
    <w:tblStylePr w:type="band1Vert">
      <w:tblPr/>
      <w:tcPr>
        <w:shd w:val="clear" w:color="auto" w:fill="EAF3DE" w:themeFill="accent6" w:themeFillTint="66"/>
      </w:tcPr>
    </w:tblStylePr>
    <w:tblStylePr w:type="band1Horz">
      <w:tblPr/>
      <w:tcPr>
        <w:shd w:val="clear" w:color="auto" w:fill="E5F1D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customStyle="1" w:styleId="CommentTextChar">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customStyle="1" w:styleId="CommentSubjectChar">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2C3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62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1932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1932E" w:themeFill="accent1" w:themeFillShade="BF"/>
      </w:tcPr>
    </w:tblStylePr>
    <w:tblStylePr w:type="band1Vert">
      <w:tblPr/>
      <w:tcPr>
        <w:tcBorders>
          <w:top w:val="nil"/>
          <w:left w:val="nil"/>
          <w:bottom w:val="nil"/>
          <w:right w:val="nil"/>
          <w:insideH w:val="nil"/>
          <w:insideV w:val="nil"/>
        </w:tcBorders>
        <w:shd w:val="clear" w:color="auto" w:fill="61932E" w:themeFill="accent1" w:themeFillShade="BF"/>
      </w:tcPr>
    </w:tblStylePr>
    <w:tblStylePr w:type="band1Horz">
      <w:tblPr/>
      <w:tcPr>
        <w:tcBorders>
          <w:top w:val="nil"/>
          <w:left w:val="nil"/>
          <w:bottom w:val="nil"/>
          <w:right w:val="nil"/>
          <w:insideH w:val="nil"/>
          <w:insideV w:val="nil"/>
        </w:tcBorders>
        <w:shd w:val="clear" w:color="auto" w:fill="61932E"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3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5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53" w:themeFill="accent2" w:themeFillShade="BF"/>
      </w:tcPr>
    </w:tblStylePr>
    <w:tblStylePr w:type="band1Vert">
      <w:tblPr/>
      <w:tcPr>
        <w:tcBorders>
          <w:top w:val="nil"/>
          <w:left w:val="nil"/>
          <w:bottom w:val="nil"/>
          <w:right w:val="nil"/>
          <w:insideH w:val="nil"/>
          <w:insideV w:val="nil"/>
        </w:tcBorders>
        <w:shd w:val="clear" w:color="auto" w:fill="007553" w:themeFill="accent2" w:themeFillShade="BF"/>
      </w:tcPr>
    </w:tblStylePr>
    <w:tblStylePr w:type="band1Horz">
      <w:tblPr/>
      <w:tcPr>
        <w:tcBorders>
          <w:top w:val="nil"/>
          <w:left w:val="nil"/>
          <w:bottom w:val="nil"/>
          <w:right w:val="nil"/>
          <w:insideH w:val="nil"/>
          <w:insideV w:val="nil"/>
        </w:tcBorders>
        <w:shd w:val="clear" w:color="auto" w:fill="007553"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D4DFA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8E3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6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658" w:themeFill="accent3" w:themeFillShade="BF"/>
      </w:tcPr>
    </w:tblStylePr>
    <w:tblStylePr w:type="band1Vert">
      <w:tblPr/>
      <w:tcPr>
        <w:tcBorders>
          <w:top w:val="nil"/>
          <w:left w:val="nil"/>
          <w:bottom w:val="nil"/>
          <w:right w:val="nil"/>
          <w:insideH w:val="nil"/>
          <w:insideV w:val="nil"/>
        </w:tcBorders>
        <w:shd w:val="clear" w:color="auto" w:fill="B3C658" w:themeFill="accent3" w:themeFillShade="BF"/>
      </w:tcPr>
    </w:tblStylePr>
    <w:tblStylePr w:type="band1Horz">
      <w:tblPr/>
      <w:tcPr>
        <w:tcBorders>
          <w:top w:val="nil"/>
          <w:left w:val="nil"/>
          <w:bottom w:val="nil"/>
          <w:right w:val="nil"/>
          <w:insideH w:val="nil"/>
          <w:insideV w:val="nil"/>
        </w:tcBorders>
        <w:shd w:val="clear" w:color="auto" w:fill="B3C658"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89BD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5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D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D1A" w:themeFill="accent4" w:themeFillShade="BF"/>
      </w:tcPr>
    </w:tblStylePr>
    <w:tblStylePr w:type="band1Vert">
      <w:tblPr/>
      <w:tcPr>
        <w:tcBorders>
          <w:top w:val="nil"/>
          <w:left w:val="nil"/>
          <w:bottom w:val="nil"/>
          <w:right w:val="nil"/>
          <w:insideH w:val="nil"/>
          <w:insideV w:val="nil"/>
        </w:tcBorders>
        <w:shd w:val="clear" w:color="auto" w:fill="668D1A" w:themeFill="accent4" w:themeFillShade="BF"/>
      </w:tcPr>
    </w:tblStylePr>
    <w:tblStylePr w:type="band1Horz">
      <w:tblPr/>
      <w:tcPr>
        <w:tcBorders>
          <w:top w:val="nil"/>
          <w:left w:val="nil"/>
          <w:bottom w:val="nil"/>
          <w:right w:val="nil"/>
          <w:insideH w:val="nil"/>
          <w:insideV w:val="nil"/>
        </w:tcBorders>
        <w:shd w:val="clear" w:color="auto" w:fill="668D1A"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A7D2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7B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B93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B93D" w:themeFill="accent5" w:themeFillShade="BF"/>
      </w:tcPr>
    </w:tblStylePr>
    <w:tblStylePr w:type="band1Vert">
      <w:tblPr/>
      <w:tcPr>
        <w:tcBorders>
          <w:top w:val="nil"/>
          <w:left w:val="nil"/>
          <w:bottom w:val="nil"/>
          <w:right w:val="nil"/>
          <w:insideH w:val="nil"/>
          <w:insideV w:val="nil"/>
        </w:tcBorders>
        <w:shd w:val="clear" w:color="auto" w:fill="7EB93D" w:themeFill="accent5" w:themeFillShade="BF"/>
      </w:tcPr>
    </w:tblStylePr>
    <w:tblStylePr w:type="band1Horz">
      <w:tblPr/>
      <w:tcPr>
        <w:tcBorders>
          <w:top w:val="nil"/>
          <w:left w:val="nil"/>
          <w:bottom w:val="nil"/>
          <w:right w:val="nil"/>
          <w:insideH w:val="nil"/>
          <w:insideV w:val="nil"/>
        </w:tcBorders>
        <w:shd w:val="clear" w:color="auto" w:fill="7EB93D"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CBE3A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94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AC96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AC963" w:themeFill="accent6" w:themeFillShade="BF"/>
      </w:tcPr>
    </w:tblStylePr>
    <w:tblStylePr w:type="band1Vert">
      <w:tblPr/>
      <w:tcPr>
        <w:tcBorders>
          <w:top w:val="nil"/>
          <w:left w:val="nil"/>
          <w:bottom w:val="nil"/>
          <w:right w:val="nil"/>
          <w:insideH w:val="nil"/>
          <w:insideV w:val="nil"/>
        </w:tcBorders>
        <w:shd w:val="clear" w:color="auto" w:fill="9AC963" w:themeFill="accent6" w:themeFillShade="BF"/>
      </w:tcPr>
    </w:tblStylePr>
    <w:tblStylePr w:type="band1Horz">
      <w:tblPr/>
      <w:tcPr>
        <w:tcBorders>
          <w:top w:val="nil"/>
          <w:left w:val="nil"/>
          <w:bottom w:val="nil"/>
          <w:right w:val="nil"/>
          <w:insideH w:val="nil"/>
          <w:insideV w:val="nil"/>
        </w:tcBorders>
        <w:shd w:val="clear" w:color="auto" w:fill="9AC963" w:themeFill="accent6" w:themeFillShade="BF"/>
      </w:tcPr>
    </w:tblStylePr>
  </w:style>
  <w:style w:type="paragraph" w:styleId="Date">
    <w:name w:val="Date"/>
    <w:basedOn w:val="Normal"/>
    <w:next w:val="Normal"/>
    <w:link w:val="DateChar"/>
    <w:uiPriority w:val="99"/>
    <w:semiHidden/>
    <w:unhideWhenUsed/>
    <w:rsid w:val="006431F9"/>
  </w:style>
  <w:style w:type="character" w:customStyle="1" w:styleId="DateChar">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customStyle="1" w:styleId="E-mailSignatureChar">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customStyle="1" w:styleId="EndnoteTextChar">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eastAsiaTheme="majorEastAsia" w:hAnsiTheme="majorHAnsi" w:cstheme="majorBidi"/>
    </w:rPr>
  </w:style>
  <w:style w:type="character" w:styleId="FollowedHyperlink">
    <w:name w:val="FollowedHyperlink"/>
    <w:basedOn w:val="Hyperlink"/>
    <w:uiPriority w:val="99"/>
    <w:unhideWhenUsed/>
    <w:rsid w:val="00BD6E35"/>
    <w:rPr>
      <w:color w:val="404040" w:themeColor="text1" w:themeTint="BF"/>
      <w:sz w:val="20"/>
      <w:u w:val="dotted" w:color="000000" w:themeColor="text1"/>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autoRedefine/>
    <w:uiPriority w:val="99"/>
    <w:unhideWhenUsed/>
    <w:qFormat/>
    <w:rsid w:val="00D107C0"/>
    <w:pPr>
      <w:spacing w:after="0" w:line="240" w:lineRule="auto"/>
    </w:pPr>
    <w:rPr>
      <w:sz w:val="16"/>
    </w:rPr>
  </w:style>
  <w:style w:type="character" w:customStyle="1" w:styleId="FootnoteTextChar">
    <w:name w:val="Footnote Text Char"/>
    <w:basedOn w:val="DefaultParagraphFont"/>
    <w:link w:val="FootnoteText"/>
    <w:uiPriority w:val="99"/>
    <w:rsid w:val="00D107C0"/>
    <w:rPr>
      <w:rFonts w:ascii="Arial" w:hAnsi="Arial"/>
      <w:color w:val="000000" w:themeColor="text1"/>
      <w:sz w:val="16"/>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431F9"/>
    <w:pPr>
      <w:spacing w:after="0" w:line="240" w:lineRule="auto"/>
    </w:pPr>
    <w:tblPr>
      <w:tblStyleRowBandSize w:val="1"/>
      <w:tblStyleColBandSize w:val="1"/>
      <w:tblBorders>
        <w:top w:val="single" w:sz="4" w:space="0" w:color="CCE7B3" w:themeColor="accent1" w:themeTint="66"/>
        <w:left w:val="single" w:sz="4" w:space="0" w:color="CCE7B3" w:themeColor="accent1" w:themeTint="66"/>
        <w:bottom w:val="single" w:sz="4" w:space="0" w:color="CCE7B3" w:themeColor="accent1" w:themeTint="66"/>
        <w:right w:val="single" w:sz="4" w:space="0" w:color="CCE7B3" w:themeColor="accent1" w:themeTint="66"/>
        <w:insideH w:val="single" w:sz="4" w:space="0" w:color="CCE7B3" w:themeColor="accent1" w:themeTint="66"/>
        <w:insideV w:val="single" w:sz="4" w:space="0" w:color="CCE7B3" w:themeColor="accent1" w:themeTint="66"/>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2" w:space="0" w:color="B3DB8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sz="4" w:space="0" w:color="71FFD5" w:themeColor="accent2" w:themeTint="66"/>
        <w:left w:val="single" w:sz="4" w:space="0" w:color="71FFD5" w:themeColor="accent2" w:themeTint="66"/>
        <w:bottom w:val="single" w:sz="4" w:space="0" w:color="71FFD5" w:themeColor="accent2" w:themeTint="66"/>
        <w:right w:val="single" w:sz="4" w:space="0" w:color="71FFD5" w:themeColor="accent2" w:themeTint="66"/>
        <w:insideH w:val="single" w:sz="4" w:space="0" w:color="71FFD5" w:themeColor="accent2" w:themeTint="66"/>
        <w:insideV w:val="single" w:sz="4" w:space="0" w:color="71FFD5" w:themeColor="accent2" w:themeTint="66"/>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2" w:space="0" w:color="2BFFC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sz="4" w:space="0" w:color="EDF2D8" w:themeColor="accent3" w:themeTint="66"/>
        <w:left w:val="single" w:sz="4" w:space="0" w:color="EDF2D8" w:themeColor="accent3" w:themeTint="66"/>
        <w:bottom w:val="single" w:sz="4" w:space="0" w:color="EDF2D8" w:themeColor="accent3" w:themeTint="66"/>
        <w:right w:val="single" w:sz="4" w:space="0" w:color="EDF2D8" w:themeColor="accent3" w:themeTint="66"/>
        <w:insideH w:val="single" w:sz="4" w:space="0" w:color="EDF2D8" w:themeColor="accent3" w:themeTint="66"/>
        <w:insideV w:val="single" w:sz="4" w:space="0" w:color="EDF2D8" w:themeColor="accent3" w:themeTint="66"/>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2" w:space="0" w:color="E5EB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sz="4" w:space="0" w:color="D2ED9E" w:themeColor="accent4" w:themeTint="66"/>
        <w:left w:val="single" w:sz="4" w:space="0" w:color="D2ED9E" w:themeColor="accent4" w:themeTint="66"/>
        <w:bottom w:val="single" w:sz="4" w:space="0" w:color="D2ED9E" w:themeColor="accent4" w:themeTint="66"/>
        <w:right w:val="single" w:sz="4" w:space="0" w:color="D2ED9E" w:themeColor="accent4" w:themeTint="66"/>
        <w:insideH w:val="single" w:sz="4" w:space="0" w:color="D2ED9E" w:themeColor="accent4" w:themeTint="66"/>
        <w:insideV w:val="single" w:sz="4" w:space="0" w:color="D2ED9E" w:themeColor="accent4" w:themeTint="66"/>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2" w:space="0" w:color="BBE46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sz="4" w:space="0" w:color="DBEDC9" w:themeColor="accent5" w:themeTint="66"/>
        <w:left w:val="single" w:sz="4" w:space="0" w:color="DBEDC9" w:themeColor="accent5" w:themeTint="66"/>
        <w:bottom w:val="single" w:sz="4" w:space="0" w:color="DBEDC9" w:themeColor="accent5" w:themeTint="66"/>
        <w:right w:val="single" w:sz="4" w:space="0" w:color="DBEDC9" w:themeColor="accent5" w:themeTint="66"/>
        <w:insideH w:val="single" w:sz="4" w:space="0" w:color="DBEDC9" w:themeColor="accent5" w:themeTint="66"/>
        <w:insideV w:val="single" w:sz="4" w:space="0" w:color="DBEDC9" w:themeColor="accent5" w:themeTint="66"/>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2" w:space="0" w:color="CAE4A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sz="4" w:space="0" w:color="EAF3DE" w:themeColor="accent6" w:themeTint="66"/>
        <w:left w:val="single" w:sz="4" w:space="0" w:color="EAF3DE" w:themeColor="accent6" w:themeTint="66"/>
        <w:bottom w:val="single" w:sz="4" w:space="0" w:color="EAF3DE" w:themeColor="accent6" w:themeTint="66"/>
        <w:right w:val="single" w:sz="4" w:space="0" w:color="EAF3DE" w:themeColor="accent6" w:themeTint="66"/>
        <w:insideH w:val="single" w:sz="4" w:space="0" w:color="EAF3DE" w:themeColor="accent6" w:themeTint="66"/>
        <w:insideV w:val="single" w:sz="4" w:space="0" w:color="EAF3DE" w:themeColor="accent6" w:themeTint="66"/>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2" w:space="0" w:color="DFEEC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sz="2" w:space="0" w:color="B3DB8D" w:themeColor="accent1" w:themeTint="99"/>
        <w:bottom w:val="single" w:sz="2" w:space="0" w:color="B3DB8D" w:themeColor="accent1" w:themeTint="99"/>
        <w:insideH w:val="single" w:sz="2" w:space="0" w:color="B3DB8D" w:themeColor="accent1" w:themeTint="99"/>
        <w:insideV w:val="single" w:sz="2" w:space="0" w:color="B3DB8D" w:themeColor="accent1" w:themeTint="99"/>
      </w:tblBorders>
    </w:tblPr>
    <w:tblStylePr w:type="firstRow">
      <w:rPr>
        <w:b/>
        <w:bCs/>
      </w:rPr>
      <w:tblPr/>
      <w:tcPr>
        <w:tcBorders>
          <w:top w:val="nil"/>
          <w:bottom w:val="single" w:sz="12" w:space="0" w:color="B3DB8D" w:themeColor="accent1" w:themeTint="99"/>
          <w:insideH w:val="nil"/>
          <w:insideV w:val="nil"/>
        </w:tcBorders>
        <w:shd w:val="clear" w:color="auto" w:fill="FFFFFF" w:themeFill="background1"/>
      </w:tcPr>
    </w:tblStylePr>
    <w:tblStylePr w:type="lastRow">
      <w:rPr>
        <w:b/>
        <w:bCs/>
      </w:rPr>
      <w:tblPr/>
      <w:tcPr>
        <w:tcBorders>
          <w:top w:val="double" w:sz="2" w:space="0" w:color="B3DB8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sz="2" w:space="0" w:color="2BFFC1" w:themeColor="accent2" w:themeTint="99"/>
        <w:bottom w:val="single" w:sz="2" w:space="0" w:color="2BFFC1" w:themeColor="accent2" w:themeTint="99"/>
        <w:insideH w:val="single" w:sz="2" w:space="0" w:color="2BFFC1" w:themeColor="accent2" w:themeTint="99"/>
        <w:insideV w:val="single" w:sz="2" w:space="0" w:color="2BFFC1" w:themeColor="accent2" w:themeTint="99"/>
      </w:tblBorders>
    </w:tblPr>
    <w:tblStylePr w:type="firstRow">
      <w:rPr>
        <w:b/>
        <w:bCs/>
      </w:rPr>
      <w:tblPr/>
      <w:tcPr>
        <w:tcBorders>
          <w:top w:val="nil"/>
          <w:bottom w:val="single" w:sz="12" w:space="0" w:color="2BFFC1" w:themeColor="accent2" w:themeTint="99"/>
          <w:insideH w:val="nil"/>
          <w:insideV w:val="nil"/>
        </w:tcBorders>
        <w:shd w:val="clear" w:color="auto" w:fill="FFFFFF" w:themeFill="background1"/>
      </w:tcPr>
    </w:tblStylePr>
    <w:tblStylePr w:type="lastRow">
      <w:rPr>
        <w:b/>
        <w:bCs/>
      </w:rPr>
      <w:tblPr/>
      <w:tcPr>
        <w:tcBorders>
          <w:top w:val="double" w:sz="2" w:space="0" w:color="2BFFC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sz="2" w:space="0" w:color="E5EBC5" w:themeColor="accent3" w:themeTint="99"/>
        <w:bottom w:val="single" w:sz="2" w:space="0" w:color="E5EBC5" w:themeColor="accent3" w:themeTint="99"/>
        <w:insideH w:val="single" w:sz="2" w:space="0" w:color="E5EBC5" w:themeColor="accent3" w:themeTint="99"/>
        <w:insideV w:val="single" w:sz="2" w:space="0" w:color="E5EBC5" w:themeColor="accent3" w:themeTint="99"/>
      </w:tblBorders>
    </w:tblPr>
    <w:tblStylePr w:type="firstRow">
      <w:rPr>
        <w:b/>
        <w:bCs/>
      </w:rPr>
      <w:tblPr/>
      <w:tcPr>
        <w:tcBorders>
          <w:top w:val="nil"/>
          <w:bottom w:val="single" w:sz="12" w:space="0" w:color="E5EBC5" w:themeColor="accent3" w:themeTint="99"/>
          <w:insideH w:val="nil"/>
          <w:insideV w:val="nil"/>
        </w:tcBorders>
        <w:shd w:val="clear" w:color="auto" w:fill="FFFFFF" w:themeFill="background1"/>
      </w:tcPr>
    </w:tblStylePr>
    <w:tblStylePr w:type="lastRow">
      <w:rPr>
        <w:b/>
        <w:bCs/>
      </w:rPr>
      <w:tblPr/>
      <w:tcPr>
        <w:tcBorders>
          <w:top w:val="double" w:sz="2" w:space="0" w:color="E5EBC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sz="2" w:space="0" w:color="BBE46E" w:themeColor="accent4" w:themeTint="99"/>
        <w:bottom w:val="single" w:sz="2" w:space="0" w:color="BBE46E" w:themeColor="accent4" w:themeTint="99"/>
        <w:insideH w:val="single" w:sz="2" w:space="0" w:color="BBE46E" w:themeColor="accent4" w:themeTint="99"/>
        <w:insideV w:val="single" w:sz="2" w:space="0" w:color="BBE46E" w:themeColor="accent4" w:themeTint="99"/>
      </w:tblBorders>
    </w:tblPr>
    <w:tblStylePr w:type="firstRow">
      <w:rPr>
        <w:b/>
        <w:bCs/>
      </w:rPr>
      <w:tblPr/>
      <w:tcPr>
        <w:tcBorders>
          <w:top w:val="nil"/>
          <w:bottom w:val="single" w:sz="12" w:space="0" w:color="BBE46E" w:themeColor="accent4" w:themeTint="99"/>
          <w:insideH w:val="nil"/>
          <w:insideV w:val="nil"/>
        </w:tcBorders>
        <w:shd w:val="clear" w:color="auto" w:fill="FFFFFF" w:themeFill="background1"/>
      </w:tcPr>
    </w:tblStylePr>
    <w:tblStylePr w:type="lastRow">
      <w:rPr>
        <w:b/>
        <w:bCs/>
      </w:rPr>
      <w:tblPr/>
      <w:tcPr>
        <w:tcBorders>
          <w:top w:val="double" w:sz="2" w:space="0" w:color="BBE46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sz="2" w:space="0" w:color="CAE4AE" w:themeColor="accent5" w:themeTint="99"/>
        <w:bottom w:val="single" w:sz="2" w:space="0" w:color="CAE4AE" w:themeColor="accent5" w:themeTint="99"/>
        <w:insideH w:val="single" w:sz="2" w:space="0" w:color="CAE4AE" w:themeColor="accent5" w:themeTint="99"/>
        <w:insideV w:val="single" w:sz="2" w:space="0" w:color="CAE4AE" w:themeColor="accent5" w:themeTint="99"/>
      </w:tblBorders>
    </w:tblPr>
    <w:tblStylePr w:type="firstRow">
      <w:rPr>
        <w:b/>
        <w:bCs/>
      </w:rPr>
      <w:tblPr/>
      <w:tcPr>
        <w:tcBorders>
          <w:top w:val="nil"/>
          <w:bottom w:val="single" w:sz="12" w:space="0" w:color="CAE4AE" w:themeColor="accent5" w:themeTint="99"/>
          <w:insideH w:val="nil"/>
          <w:insideV w:val="nil"/>
        </w:tcBorders>
        <w:shd w:val="clear" w:color="auto" w:fill="FFFFFF" w:themeFill="background1"/>
      </w:tcPr>
    </w:tblStylePr>
    <w:tblStylePr w:type="lastRow">
      <w:rPr>
        <w:b/>
        <w:bCs/>
      </w:rPr>
      <w:tblPr/>
      <w:tcPr>
        <w:tcBorders>
          <w:top w:val="double" w:sz="2" w:space="0" w:color="CAE4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sz="2" w:space="0" w:color="DFEECE" w:themeColor="accent6" w:themeTint="99"/>
        <w:bottom w:val="single" w:sz="2" w:space="0" w:color="DFEECE" w:themeColor="accent6" w:themeTint="99"/>
        <w:insideH w:val="single" w:sz="2" w:space="0" w:color="DFEECE" w:themeColor="accent6" w:themeTint="99"/>
        <w:insideV w:val="single" w:sz="2" w:space="0" w:color="DFEECE" w:themeColor="accent6" w:themeTint="99"/>
      </w:tblBorders>
    </w:tblPr>
    <w:tblStylePr w:type="firstRow">
      <w:rPr>
        <w:b/>
        <w:bCs/>
      </w:rPr>
      <w:tblPr/>
      <w:tcPr>
        <w:tcBorders>
          <w:top w:val="nil"/>
          <w:bottom w:val="single" w:sz="12" w:space="0" w:color="DFEECE" w:themeColor="accent6" w:themeTint="99"/>
          <w:insideH w:val="nil"/>
          <w:insideV w:val="nil"/>
        </w:tcBorders>
        <w:shd w:val="clear" w:color="auto" w:fill="FFFFFF" w:themeFill="background1"/>
      </w:tcPr>
    </w:tblStylePr>
    <w:tblStylePr w:type="lastRow">
      <w:rPr>
        <w:b/>
        <w:bCs/>
      </w:rPr>
      <w:tblPr/>
      <w:tcPr>
        <w:tcBorders>
          <w:top w:val="double" w:sz="2" w:space="0" w:color="DFEEC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insideV w:val="nil"/>
        </w:tcBorders>
        <w:shd w:val="clear" w:color="auto" w:fill="82C341" w:themeFill="accent1"/>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insideV w:val="nil"/>
        </w:tcBorders>
        <w:shd w:val="clear" w:color="auto" w:fill="009D70" w:themeFill="accent2"/>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insideV w:val="nil"/>
        </w:tcBorders>
        <w:shd w:val="clear" w:color="auto" w:fill="D4DFA0" w:themeFill="accent3"/>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insideV w:val="nil"/>
        </w:tcBorders>
        <w:shd w:val="clear" w:color="auto" w:fill="89BD23" w:themeFill="accent4"/>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insideV w:val="nil"/>
        </w:tcBorders>
        <w:shd w:val="clear" w:color="auto" w:fill="A7D278" w:themeFill="accent5"/>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insideV w:val="nil"/>
        </w:tcBorders>
        <w:shd w:val="clear" w:color="auto" w:fill="CBE3AE" w:themeFill="accent6"/>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C3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C3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C3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C341" w:themeFill="accent1"/>
      </w:tcPr>
    </w:tblStylePr>
    <w:tblStylePr w:type="band1Vert">
      <w:tblPr/>
      <w:tcPr>
        <w:shd w:val="clear" w:color="auto" w:fill="CCE7B3" w:themeFill="accent1" w:themeFillTint="66"/>
      </w:tcPr>
    </w:tblStylePr>
    <w:tblStylePr w:type="band1Horz">
      <w:tblPr/>
      <w:tcPr>
        <w:shd w:val="clear" w:color="auto" w:fill="CCE7B3"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E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70" w:themeFill="accent2"/>
      </w:tcPr>
    </w:tblStylePr>
    <w:tblStylePr w:type="band1Vert">
      <w:tblPr/>
      <w:tcPr>
        <w:shd w:val="clear" w:color="auto" w:fill="71FFD5" w:themeFill="accent2" w:themeFillTint="66"/>
      </w:tcPr>
    </w:tblStylePr>
    <w:tblStylePr w:type="band1Horz">
      <w:tblPr/>
      <w:tcPr>
        <w:shd w:val="clear" w:color="auto" w:fill="71FFD5"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FA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FA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FA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FA0" w:themeFill="accent3"/>
      </w:tcPr>
    </w:tblStylePr>
    <w:tblStylePr w:type="band1Vert">
      <w:tblPr/>
      <w:tcPr>
        <w:shd w:val="clear" w:color="auto" w:fill="EDF2D8" w:themeFill="accent3" w:themeFillTint="66"/>
      </w:tcPr>
    </w:tblStylePr>
    <w:tblStylePr w:type="band1Horz">
      <w:tblPr/>
      <w:tcPr>
        <w:shd w:val="clear" w:color="auto" w:fill="EDF2D8"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6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BD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BD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BD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BD23" w:themeFill="accent4"/>
      </w:tcPr>
    </w:tblStylePr>
    <w:tblStylePr w:type="band1Vert">
      <w:tblPr/>
      <w:tcPr>
        <w:shd w:val="clear" w:color="auto" w:fill="D2ED9E" w:themeFill="accent4" w:themeFillTint="66"/>
      </w:tcPr>
    </w:tblStylePr>
    <w:tblStylePr w:type="band1Horz">
      <w:tblPr/>
      <w:tcPr>
        <w:shd w:val="clear" w:color="auto" w:fill="D2ED9E"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2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2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2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278" w:themeFill="accent5"/>
      </w:tcPr>
    </w:tblStylePr>
    <w:tblStylePr w:type="band1Vert">
      <w:tblPr/>
      <w:tcPr>
        <w:shd w:val="clear" w:color="auto" w:fill="DBEDC9" w:themeFill="accent5" w:themeFillTint="66"/>
      </w:tcPr>
    </w:tblStylePr>
    <w:tblStylePr w:type="band1Horz">
      <w:tblPr/>
      <w:tcPr>
        <w:shd w:val="clear" w:color="auto" w:fill="DBEDC9"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9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E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E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E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E3AE" w:themeFill="accent6"/>
      </w:tcPr>
    </w:tblStylePr>
    <w:tblStylePr w:type="band1Vert">
      <w:tblPr/>
      <w:tcPr>
        <w:shd w:val="clear" w:color="auto" w:fill="EAF3DE" w:themeFill="accent6" w:themeFillTint="66"/>
      </w:tcPr>
    </w:tblStylePr>
    <w:tblStylePr w:type="band1Horz">
      <w:tblPr/>
      <w:tcPr>
        <w:shd w:val="clear" w:color="auto" w:fill="EAF3DE" w:themeFill="accent6" w:themeFillTint="66"/>
      </w:tcPr>
    </w:tblStylePr>
  </w:style>
  <w:style w:type="table" w:styleId="GridTable6Colo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bottom w:val="single" w:sz="12" w:space="0" w:color="B3DB8D" w:themeColor="accent1" w:themeTint="99"/>
        </w:tcBorders>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GridTable6Colorful-Accent2">
    <w:name w:val="Grid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bottom w:val="single" w:sz="12" w:space="0" w:color="2BFFC1" w:themeColor="accent2" w:themeTint="99"/>
        </w:tcBorders>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GridTable6Colorful-Accent3">
    <w:name w:val="Grid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bottom w:val="single" w:sz="12" w:space="0" w:color="E5EBC5" w:themeColor="accent3" w:themeTint="99"/>
        </w:tcBorders>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GridTable6Colorful-Accent4">
    <w:name w:val="Grid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bottom w:val="single" w:sz="12" w:space="0" w:color="BBE46E" w:themeColor="accent4" w:themeTint="99"/>
        </w:tcBorders>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GridTable6Colorful-Accent5">
    <w:name w:val="Grid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bottom w:val="single" w:sz="12" w:space="0" w:color="CAE4AE" w:themeColor="accent5" w:themeTint="99"/>
        </w:tcBorders>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GridTable6Colorful-Accent6">
    <w:name w:val="Grid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bottom w:val="single" w:sz="12" w:space="0" w:color="DFEECE" w:themeColor="accent6" w:themeTint="99"/>
        </w:tcBorders>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GridTable7Colo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431F9"/>
    <w:pPr>
      <w:spacing w:after="0" w:line="240" w:lineRule="auto"/>
    </w:pPr>
    <w:rPr>
      <w:color w:val="61932E" w:themeColor="accent1" w:themeShade="BF"/>
    </w:r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insideV w:val="single" w:sz="4" w:space="0" w:color="B3DB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bottom w:val="single" w:sz="4" w:space="0" w:color="B3DB8D" w:themeColor="accent1" w:themeTint="99"/>
        </w:tcBorders>
      </w:tcPr>
    </w:tblStylePr>
    <w:tblStylePr w:type="nwCell">
      <w:tblPr/>
      <w:tcPr>
        <w:tcBorders>
          <w:bottom w:val="single" w:sz="4" w:space="0" w:color="B3DB8D" w:themeColor="accent1" w:themeTint="99"/>
        </w:tcBorders>
      </w:tcPr>
    </w:tblStylePr>
    <w:tblStylePr w:type="seCell">
      <w:tblPr/>
      <w:tcPr>
        <w:tcBorders>
          <w:top w:val="single" w:sz="4" w:space="0" w:color="B3DB8D" w:themeColor="accent1" w:themeTint="99"/>
        </w:tcBorders>
      </w:tcPr>
    </w:tblStylePr>
    <w:tblStylePr w:type="swCell">
      <w:tblPr/>
      <w:tcPr>
        <w:tcBorders>
          <w:top w:val="single" w:sz="4" w:space="0" w:color="B3DB8D" w:themeColor="accent1" w:themeTint="99"/>
        </w:tcBorders>
      </w:tcPr>
    </w:tblStylePr>
  </w:style>
  <w:style w:type="table" w:styleId="GridTable7Colorful-Accent2">
    <w:name w:val="Grid Table 7 Colorful Accent 2"/>
    <w:basedOn w:val="TableNormal"/>
    <w:uiPriority w:val="52"/>
    <w:rsid w:val="006431F9"/>
    <w:pPr>
      <w:spacing w:after="0" w:line="240" w:lineRule="auto"/>
    </w:pPr>
    <w:rPr>
      <w:color w:val="007553" w:themeColor="accent2" w:themeShade="BF"/>
    </w:r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insideV w:val="single" w:sz="4" w:space="0" w:color="2BFFC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bottom w:val="single" w:sz="4" w:space="0" w:color="2BFFC1" w:themeColor="accent2" w:themeTint="99"/>
        </w:tcBorders>
      </w:tcPr>
    </w:tblStylePr>
    <w:tblStylePr w:type="nwCell">
      <w:tblPr/>
      <w:tcPr>
        <w:tcBorders>
          <w:bottom w:val="single" w:sz="4" w:space="0" w:color="2BFFC1" w:themeColor="accent2" w:themeTint="99"/>
        </w:tcBorders>
      </w:tcPr>
    </w:tblStylePr>
    <w:tblStylePr w:type="seCell">
      <w:tblPr/>
      <w:tcPr>
        <w:tcBorders>
          <w:top w:val="single" w:sz="4" w:space="0" w:color="2BFFC1" w:themeColor="accent2" w:themeTint="99"/>
        </w:tcBorders>
      </w:tcPr>
    </w:tblStylePr>
    <w:tblStylePr w:type="swCell">
      <w:tblPr/>
      <w:tcPr>
        <w:tcBorders>
          <w:top w:val="single" w:sz="4" w:space="0" w:color="2BFFC1" w:themeColor="accent2" w:themeTint="99"/>
        </w:tcBorders>
      </w:tcPr>
    </w:tblStylePr>
  </w:style>
  <w:style w:type="table" w:styleId="GridTable7Colorful-Accent3">
    <w:name w:val="Grid Table 7 Colorful Accent 3"/>
    <w:basedOn w:val="TableNormal"/>
    <w:uiPriority w:val="52"/>
    <w:rsid w:val="006431F9"/>
    <w:pPr>
      <w:spacing w:after="0" w:line="240" w:lineRule="auto"/>
    </w:pPr>
    <w:rPr>
      <w:color w:val="B3C658" w:themeColor="accent3" w:themeShade="BF"/>
    </w:r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insideV w:val="single" w:sz="4" w:space="0" w:color="E5EB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bottom w:val="single" w:sz="4" w:space="0" w:color="E5EBC5" w:themeColor="accent3" w:themeTint="99"/>
        </w:tcBorders>
      </w:tcPr>
    </w:tblStylePr>
    <w:tblStylePr w:type="nwCell">
      <w:tblPr/>
      <w:tcPr>
        <w:tcBorders>
          <w:bottom w:val="single" w:sz="4" w:space="0" w:color="E5EBC5" w:themeColor="accent3" w:themeTint="99"/>
        </w:tcBorders>
      </w:tcPr>
    </w:tblStylePr>
    <w:tblStylePr w:type="seCell">
      <w:tblPr/>
      <w:tcPr>
        <w:tcBorders>
          <w:top w:val="single" w:sz="4" w:space="0" w:color="E5EBC5" w:themeColor="accent3" w:themeTint="99"/>
        </w:tcBorders>
      </w:tcPr>
    </w:tblStylePr>
    <w:tblStylePr w:type="swCell">
      <w:tblPr/>
      <w:tcPr>
        <w:tcBorders>
          <w:top w:val="single" w:sz="4" w:space="0" w:color="E5EBC5" w:themeColor="accent3" w:themeTint="99"/>
        </w:tcBorders>
      </w:tcPr>
    </w:tblStylePr>
  </w:style>
  <w:style w:type="table" w:styleId="GridTable7Colorful-Accent4">
    <w:name w:val="Grid Table 7 Colorful Accent 4"/>
    <w:basedOn w:val="TableNormal"/>
    <w:uiPriority w:val="52"/>
    <w:rsid w:val="006431F9"/>
    <w:pPr>
      <w:spacing w:after="0" w:line="240" w:lineRule="auto"/>
    </w:pPr>
    <w:rPr>
      <w:color w:val="668D1A" w:themeColor="accent4" w:themeShade="BF"/>
    </w:r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insideV w:val="single" w:sz="4" w:space="0" w:color="BBE46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bottom w:val="single" w:sz="4" w:space="0" w:color="BBE46E" w:themeColor="accent4" w:themeTint="99"/>
        </w:tcBorders>
      </w:tcPr>
    </w:tblStylePr>
    <w:tblStylePr w:type="nwCell">
      <w:tblPr/>
      <w:tcPr>
        <w:tcBorders>
          <w:bottom w:val="single" w:sz="4" w:space="0" w:color="BBE46E" w:themeColor="accent4" w:themeTint="99"/>
        </w:tcBorders>
      </w:tcPr>
    </w:tblStylePr>
    <w:tblStylePr w:type="seCell">
      <w:tblPr/>
      <w:tcPr>
        <w:tcBorders>
          <w:top w:val="single" w:sz="4" w:space="0" w:color="BBE46E" w:themeColor="accent4" w:themeTint="99"/>
        </w:tcBorders>
      </w:tcPr>
    </w:tblStylePr>
    <w:tblStylePr w:type="swCell">
      <w:tblPr/>
      <w:tcPr>
        <w:tcBorders>
          <w:top w:val="single" w:sz="4" w:space="0" w:color="BBE46E" w:themeColor="accent4" w:themeTint="99"/>
        </w:tcBorders>
      </w:tcPr>
    </w:tblStylePr>
  </w:style>
  <w:style w:type="table" w:styleId="GridTable7Colorful-Accent5">
    <w:name w:val="Grid Table 7 Colorful Accent 5"/>
    <w:basedOn w:val="TableNormal"/>
    <w:uiPriority w:val="52"/>
    <w:rsid w:val="006431F9"/>
    <w:pPr>
      <w:spacing w:after="0" w:line="240" w:lineRule="auto"/>
    </w:pPr>
    <w:rPr>
      <w:color w:val="7EB93D" w:themeColor="accent5" w:themeShade="BF"/>
    </w:r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insideV w:val="single" w:sz="4" w:space="0" w:color="CAE4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bottom w:val="single" w:sz="4" w:space="0" w:color="CAE4AE" w:themeColor="accent5" w:themeTint="99"/>
        </w:tcBorders>
      </w:tcPr>
    </w:tblStylePr>
    <w:tblStylePr w:type="nwCell">
      <w:tblPr/>
      <w:tcPr>
        <w:tcBorders>
          <w:bottom w:val="single" w:sz="4" w:space="0" w:color="CAE4AE" w:themeColor="accent5" w:themeTint="99"/>
        </w:tcBorders>
      </w:tcPr>
    </w:tblStylePr>
    <w:tblStylePr w:type="seCell">
      <w:tblPr/>
      <w:tcPr>
        <w:tcBorders>
          <w:top w:val="single" w:sz="4" w:space="0" w:color="CAE4AE" w:themeColor="accent5" w:themeTint="99"/>
        </w:tcBorders>
      </w:tcPr>
    </w:tblStylePr>
    <w:tblStylePr w:type="swCell">
      <w:tblPr/>
      <w:tcPr>
        <w:tcBorders>
          <w:top w:val="single" w:sz="4" w:space="0" w:color="CAE4AE" w:themeColor="accent5" w:themeTint="99"/>
        </w:tcBorders>
      </w:tcPr>
    </w:tblStylePr>
  </w:style>
  <w:style w:type="table" w:styleId="GridTable7Colorful-Accent6">
    <w:name w:val="Grid Table 7 Colorful Accent 6"/>
    <w:basedOn w:val="TableNormal"/>
    <w:uiPriority w:val="52"/>
    <w:rsid w:val="006431F9"/>
    <w:pPr>
      <w:spacing w:after="0" w:line="240" w:lineRule="auto"/>
    </w:pPr>
    <w:rPr>
      <w:color w:val="9AC963" w:themeColor="accent6" w:themeShade="BF"/>
    </w:r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insideV w:val="single" w:sz="4" w:space="0" w:color="DFEEC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bottom w:val="single" w:sz="4" w:space="0" w:color="DFEECE" w:themeColor="accent6" w:themeTint="99"/>
        </w:tcBorders>
      </w:tcPr>
    </w:tblStylePr>
    <w:tblStylePr w:type="nwCell">
      <w:tblPr/>
      <w:tcPr>
        <w:tcBorders>
          <w:bottom w:val="single" w:sz="4" w:space="0" w:color="DFEECE" w:themeColor="accent6" w:themeTint="99"/>
        </w:tcBorders>
      </w:tcPr>
    </w:tblStylePr>
    <w:tblStylePr w:type="seCell">
      <w:tblPr/>
      <w:tcPr>
        <w:tcBorders>
          <w:top w:val="single" w:sz="4" w:space="0" w:color="DFEECE" w:themeColor="accent6" w:themeTint="99"/>
        </w:tcBorders>
      </w:tcPr>
    </w:tblStylePr>
    <w:tblStylePr w:type="swCell">
      <w:tblPr/>
      <w:tcPr>
        <w:tcBorders>
          <w:top w:val="single" w:sz="4" w:space="0" w:color="DFEECE" w:themeColor="accent6" w:themeTint="99"/>
        </w:tcBorders>
      </w:tcPr>
    </w:tblStylePr>
  </w:style>
  <w:style w:type="character" w:customStyle="1" w:styleId="Hashtag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customStyle="1" w:styleId="HTMLAddressChar">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qFormat/>
    <w:rsid w:val="00BD6E35"/>
    <w:rPr>
      <w:color w:val="000000" w:themeColor="text1"/>
      <w:sz w:val="20"/>
      <w:u w:val="dotted" w:color="174F37"/>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55DA9"/>
    <w:rPr>
      <w:i/>
      <w:iCs/>
      <w:color w:val="61932E" w:themeColor="accent1" w:themeShade="BF"/>
      <w:sz w:val="22"/>
    </w:rPr>
  </w:style>
  <w:style w:type="paragraph" w:styleId="IntenseQuote">
    <w:name w:val="Intense Quote"/>
    <w:basedOn w:val="Normal"/>
    <w:next w:val="Normal"/>
    <w:link w:val="IntenseQuoteChar"/>
    <w:uiPriority w:val="30"/>
    <w:unhideWhenUsed/>
    <w:qFormat/>
    <w:rsid w:val="00D107C0"/>
    <w:pPr>
      <w:framePr w:wrap="around" w:vAnchor="text" w:hAnchor="text" w:y="1"/>
      <w:pBdr>
        <w:left w:val="single" w:sz="4" w:space="12" w:color="61932E" w:themeColor="accent1" w:themeShade="BF"/>
      </w:pBdr>
      <w:spacing w:before="360" w:after="360"/>
      <w:ind w:left="864" w:right="864"/>
    </w:pPr>
    <w:rPr>
      <w:iCs/>
      <w:color w:val="164F36" w:themeColor="text2"/>
      <w:sz w:val="28"/>
    </w:rPr>
  </w:style>
  <w:style w:type="character" w:customStyle="1" w:styleId="IntenseQuoteChar">
    <w:name w:val="Intense Quote Char"/>
    <w:basedOn w:val="DefaultParagraphFont"/>
    <w:link w:val="IntenseQuote"/>
    <w:uiPriority w:val="30"/>
    <w:rsid w:val="00D107C0"/>
    <w:rPr>
      <w:rFonts w:ascii="Arial" w:hAnsi="Arial"/>
      <w:iCs/>
      <w:color w:val="164F36" w:themeColor="text2"/>
      <w:sz w:val="28"/>
    </w:rPr>
  </w:style>
  <w:style w:type="character" w:styleId="IntenseReference">
    <w:name w:val="Intense Reference"/>
    <w:basedOn w:val="DefaultParagraphFont"/>
    <w:uiPriority w:val="32"/>
    <w:semiHidden/>
    <w:unhideWhenUsed/>
    <w:qFormat/>
    <w:rsid w:val="00B55DA9"/>
    <w:rPr>
      <w:b/>
      <w:bCs/>
      <w:caps w:val="0"/>
      <w:smallCaps/>
      <w:color w:val="61932E"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18" w:space="0" w:color="82C341" w:themeColor="accent1"/>
          <w:right w:val="single" w:sz="8" w:space="0" w:color="82C341" w:themeColor="accent1"/>
          <w:insideH w:val="nil"/>
          <w:insideV w:val="single" w:sz="8" w:space="0" w:color="82C34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insideH w:val="nil"/>
          <w:insideV w:val="single" w:sz="8" w:space="0" w:color="82C34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shd w:val="clear" w:color="auto" w:fill="DFF0CF" w:themeFill="accent1" w:themeFillTint="3F"/>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shd w:val="clear" w:color="auto" w:fill="DFF0CF" w:themeFill="accent1" w:themeFillTint="3F"/>
      </w:tcPr>
    </w:tblStylePr>
    <w:tblStylePr w:type="band2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insideV w:val="single" w:sz="8" w:space="0" w:color="82C341" w:themeColor="accent1"/>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18" w:space="0" w:color="009D70" w:themeColor="accent2"/>
          <w:right w:val="single" w:sz="8" w:space="0" w:color="009D70" w:themeColor="accent2"/>
          <w:insideH w:val="nil"/>
          <w:insideV w:val="single" w:sz="8" w:space="0" w:color="009D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insideH w:val="nil"/>
          <w:insideV w:val="single" w:sz="8" w:space="0" w:color="009D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shd w:val="clear" w:color="auto" w:fill="A7FFE5" w:themeFill="accent2" w:themeFillTint="3F"/>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shd w:val="clear" w:color="auto" w:fill="A7FFE5" w:themeFill="accent2" w:themeFillTint="3F"/>
      </w:tcPr>
    </w:tblStylePr>
    <w:tblStylePr w:type="band2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insideV w:val="single" w:sz="8" w:space="0" w:color="009D70" w:themeColor="accent2"/>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18" w:space="0" w:color="D4DFA0" w:themeColor="accent3"/>
          <w:right w:val="single" w:sz="8" w:space="0" w:color="D4DFA0" w:themeColor="accent3"/>
          <w:insideH w:val="nil"/>
          <w:insideV w:val="single" w:sz="8" w:space="0" w:color="D4DFA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insideH w:val="nil"/>
          <w:insideV w:val="single" w:sz="8" w:space="0" w:color="D4DFA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shd w:val="clear" w:color="auto" w:fill="F4F7E7" w:themeFill="accent3" w:themeFillTint="3F"/>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shd w:val="clear" w:color="auto" w:fill="F4F7E7" w:themeFill="accent3" w:themeFillTint="3F"/>
      </w:tcPr>
    </w:tblStylePr>
    <w:tblStylePr w:type="band2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insideV w:val="single" w:sz="8" w:space="0" w:color="D4DFA0" w:themeColor="accent3"/>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18" w:space="0" w:color="89BD23" w:themeColor="accent4"/>
          <w:right w:val="single" w:sz="8" w:space="0" w:color="89BD23" w:themeColor="accent4"/>
          <w:insideH w:val="nil"/>
          <w:insideV w:val="single" w:sz="8" w:space="0" w:color="89BD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insideH w:val="nil"/>
          <w:insideV w:val="single" w:sz="8" w:space="0" w:color="89BD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shd w:val="clear" w:color="auto" w:fill="E3F4C3" w:themeFill="accent4" w:themeFillTint="3F"/>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shd w:val="clear" w:color="auto" w:fill="E3F4C3" w:themeFill="accent4" w:themeFillTint="3F"/>
      </w:tcPr>
    </w:tblStylePr>
    <w:tblStylePr w:type="band2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insideV w:val="single" w:sz="8" w:space="0" w:color="89BD23" w:themeColor="accent4"/>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18" w:space="0" w:color="A7D278" w:themeColor="accent5"/>
          <w:right w:val="single" w:sz="8" w:space="0" w:color="A7D278" w:themeColor="accent5"/>
          <w:insideH w:val="nil"/>
          <w:insideV w:val="single" w:sz="8" w:space="0" w:color="A7D2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insideH w:val="nil"/>
          <w:insideV w:val="single" w:sz="8" w:space="0" w:color="A7D2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shd w:val="clear" w:color="auto" w:fill="E9F3DD" w:themeFill="accent5" w:themeFillTint="3F"/>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shd w:val="clear" w:color="auto" w:fill="E9F3DD" w:themeFill="accent5" w:themeFillTint="3F"/>
      </w:tcPr>
    </w:tblStylePr>
    <w:tblStylePr w:type="band2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insideV w:val="single" w:sz="8" w:space="0" w:color="A7D278" w:themeColor="accent5"/>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18" w:space="0" w:color="CBE3AE" w:themeColor="accent6"/>
          <w:right w:val="single" w:sz="8" w:space="0" w:color="CBE3AE" w:themeColor="accent6"/>
          <w:insideH w:val="nil"/>
          <w:insideV w:val="single" w:sz="8" w:space="0" w:color="CBE3A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insideH w:val="nil"/>
          <w:insideV w:val="single" w:sz="8" w:space="0" w:color="CBE3A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shd w:val="clear" w:color="auto" w:fill="F2F8EA" w:themeFill="accent6" w:themeFillTint="3F"/>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shd w:val="clear" w:color="auto" w:fill="F2F8EA" w:themeFill="accent6" w:themeFillTint="3F"/>
      </w:tcPr>
    </w:tblStylePr>
    <w:tblStylePr w:type="band2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insideV w:val="single" w:sz="8" w:space="0" w:color="CBE3AE" w:themeColor="accent6"/>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pPr>
        <w:spacing w:before="0" w:after="0" w:line="240" w:lineRule="auto"/>
      </w:pPr>
      <w:rPr>
        <w:b/>
        <w:bCs/>
        <w:color w:val="FFFFFF" w:themeColor="background1"/>
      </w:rPr>
      <w:tblPr/>
      <w:tcPr>
        <w:shd w:val="clear" w:color="auto" w:fill="82C341" w:themeFill="accent1"/>
      </w:tcPr>
    </w:tblStylePr>
    <w:tblStylePr w:type="lastRow">
      <w:pPr>
        <w:spacing w:before="0" w:after="0" w:line="240" w:lineRule="auto"/>
      </w:pPr>
      <w:rPr>
        <w:b/>
        <w:bCs/>
      </w:rPr>
      <w:tblPr/>
      <w:tcPr>
        <w:tcBorders>
          <w:top w:val="double" w:sz="6" w:space="0" w:color="82C341" w:themeColor="accent1"/>
          <w:left w:val="single" w:sz="8" w:space="0" w:color="82C341" w:themeColor="accent1"/>
          <w:bottom w:val="single" w:sz="8" w:space="0" w:color="82C341" w:themeColor="accent1"/>
          <w:right w:val="single" w:sz="8" w:space="0" w:color="82C341" w:themeColor="accent1"/>
        </w:tcBorders>
      </w:tcPr>
    </w:tblStylePr>
    <w:tblStylePr w:type="firstCol">
      <w:rPr>
        <w:b/>
        <w:bCs/>
      </w:rPr>
    </w:tblStylePr>
    <w:tblStylePr w:type="lastCol">
      <w:rPr>
        <w:b/>
        <w:bCs/>
      </w:rPr>
    </w:tblStylePr>
    <w:tblStylePr w:type="band1Vert">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tblStylePr w:type="band1Horz">
      <w:tblPr/>
      <w:tcPr>
        <w:tcBorders>
          <w:top w:val="single" w:sz="8" w:space="0" w:color="82C341" w:themeColor="accent1"/>
          <w:left w:val="single" w:sz="8" w:space="0" w:color="82C341" w:themeColor="accent1"/>
          <w:bottom w:val="single" w:sz="8" w:space="0" w:color="82C341" w:themeColor="accent1"/>
          <w:right w:val="single" w:sz="8" w:space="0" w:color="82C341" w:themeColor="accent1"/>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pPr>
        <w:spacing w:before="0" w:after="0" w:line="240" w:lineRule="auto"/>
      </w:pPr>
      <w:rPr>
        <w:b/>
        <w:bCs/>
        <w:color w:val="FFFFFF" w:themeColor="background1"/>
      </w:rPr>
      <w:tblPr/>
      <w:tcPr>
        <w:shd w:val="clear" w:color="auto" w:fill="009D70" w:themeFill="accent2"/>
      </w:tcPr>
    </w:tblStylePr>
    <w:tblStylePr w:type="lastRow">
      <w:pPr>
        <w:spacing w:before="0" w:after="0" w:line="240" w:lineRule="auto"/>
      </w:pPr>
      <w:rPr>
        <w:b/>
        <w:bCs/>
      </w:rPr>
      <w:tblPr/>
      <w:tcPr>
        <w:tcBorders>
          <w:top w:val="double" w:sz="6" w:space="0" w:color="009D70" w:themeColor="accent2"/>
          <w:left w:val="single" w:sz="8" w:space="0" w:color="009D70" w:themeColor="accent2"/>
          <w:bottom w:val="single" w:sz="8" w:space="0" w:color="009D70" w:themeColor="accent2"/>
          <w:right w:val="single" w:sz="8" w:space="0" w:color="009D70" w:themeColor="accent2"/>
        </w:tcBorders>
      </w:tcPr>
    </w:tblStylePr>
    <w:tblStylePr w:type="firstCol">
      <w:rPr>
        <w:b/>
        <w:bCs/>
      </w:rPr>
    </w:tblStylePr>
    <w:tblStylePr w:type="lastCol">
      <w:rPr>
        <w:b/>
        <w:bCs/>
      </w:rPr>
    </w:tblStylePr>
    <w:tblStylePr w:type="band1Vert">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tblStylePr w:type="band1Horz">
      <w:tblPr/>
      <w:tcPr>
        <w:tcBorders>
          <w:top w:val="single" w:sz="8" w:space="0" w:color="009D70" w:themeColor="accent2"/>
          <w:left w:val="single" w:sz="8" w:space="0" w:color="009D70" w:themeColor="accent2"/>
          <w:bottom w:val="single" w:sz="8" w:space="0" w:color="009D70" w:themeColor="accent2"/>
          <w:right w:val="single" w:sz="8" w:space="0" w:color="009D70" w:themeColor="accent2"/>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pPr>
        <w:spacing w:before="0" w:after="0" w:line="240" w:lineRule="auto"/>
      </w:pPr>
      <w:rPr>
        <w:b/>
        <w:bCs/>
        <w:color w:val="FFFFFF" w:themeColor="background1"/>
      </w:rPr>
      <w:tblPr/>
      <w:tcPr>
        <w:shd w:val="clear" w:color="auto" w:fill="D4DFA0" w:themeFill="accent3"/>
      </w:tcPr>
    </w:tblStylePr>
    <w:tblStylePr w:type="lastRow">
      <w:pPr>
        <w:spacing w:before="0" w:after="0" w:line="240" w:lineRule="auto"/>
      </w:pPr>
      <w:rPr>
        <w:b/>
        <w:bCs/>
      </w:rPr>
      <w:tblPr/>
      <w:tcPr>
        <w:tcBorders>
          <w:top w:val="double" w:sz="6" w:space="0" w:color="D4DFA0" w:themeColor="accent3"/>
          <w:left w:val="single" w:sz="8" w:space="0" w:color="D4DFA0" w:themeColor="accent3"/>
          <w:bottom w:val="single" w:sz="8" w:space="0" w:color="D4DFA0" w:themeColor="accent3"/>
          <w:right w:val="single" w:sz="8" w:space="0" w:color="D4DFA0" w:themeColor="accent3"/>
        </w:tcBorders>
      </w:tcPr>
    </w:tblStylePr>
    <w:tblStylePr w:type="firstCol">
      <w:rPr>
        <w:b/>
        <w:bCs/>
      </w:rPr>
    </w:tblStylePr>
    <w:tblStylePr w:type="lastCol">
      <w:rPr>
        <w:b/>
        <w:bCs/>
      </w:rPr>
    </w:tblStylePr>
    <w:tblStylePr w:type="band1Vert">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tblStylePr w:type="band1Horz">
      <w:tblPr/>
      <w:tcPr>
        <w:tcBorders>
          <w:top w:val="single" w:sz="8" w:space="0" w:color="D4DFA0" w:themeColor="accent3"/>
          <w:left w:val="single" w:sz="8" w:space="0" w:color="D4DFA0" w:themeColor="accent3"/>
          <w:bottom w:val="single" w:sz="8" w:space="0" w:color="D4DFA0" w:themeColor="accent3"/>
          <w:right w:val="single" w:sz="8" w:space="0" w:color="D4DFA0" w:themeColor="accent3"/>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pPr>
        <w:spacing w:before="0" w:after="0" w:line="240" w:lineRule="auto"/>
      </w:pPr>
      <w:rPr>
        <w:b/>
        <w:bCs/>
        <w:color w:val="FFFFFF" w:themeColor="background1"/>
      </w:rPr>
      <w:tblPr/>
      <w:tcPr>
        <w:shd w:val="clear" w:color="auto" w:fill="89BD23" w:themeFill="accent4"/>
      </w:tcPr>
    </w:tblStylePr>
    <w:tblStylePr w:type="lastRow">
      <w:pPr>
        <w:spacing w:before="0" w:after="0" w:line="240" w:lineRule="auto"/>
      </w:pPr>
      <w:rPr>
        <w:b/>
        <w:bCs/>
      </w:rPr>
      <w:tblPr/>
      <w:tcPr>
        <w:tcBorders>
          <w:top w:val="double" w:sz="6" w:space="0" w:color="89BD23" w:themeColor="accent4"/>
          <w:left w:val="single" w:sz="8" w:space="0" w:color="89BD23" w:themeColor="accent4"/>
          <w:bottom w:val="single" w:sz="8" w:space="0" w:color="89BD23" w:themeColor="accent4"/>
          <w:right w:val="single" w:sz="8" w:space="0" w:color="89BD23" w:themeColor="accent4"/>
        </w:tcBorders>
      </w:tcPr>
    </w:tblStylePr>
    <w:tblStylePr w:type="firstCol">
      <w:rPr>
        <w:b/>
        <w:bCs/>
      </w:rPr>
    </w:tblStylePr>
    <w:tblStylePr w:type="lastCol">
      <w:rPr>
        <w:b/>
        <w:bCs/>
      </w:rPr>
    </w:tblStylePr>
    <w:tblStylePr w:type="band1Vert">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tblStylePr w:type="band1Horz">
      <w:tblPr/>
      <w:tcPr>
        <w:tcBorders>
          <w:top w:val="single" w:sz="8" w:space="0" w:color="89BD23" w:themeColor="accent4"/>
          <w:left w:val="single" w:sz="8" w:space="0" w:color="89BD23" w:themeColor="accent4"/>
          <w:bottom w:val="single" w:sz="8" w:space="0" w:color="89BD23" w:themeColor="accent4"/>
          <w:right w:val="single" w:sz="8" w:space="0" w:color="89BD23" w:themeColor="accent4"/>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pPr>
        <w:spacing w:before="0" w:after="0" w:line="240" w:lineRule="auto"/>
      </w:pPr>
      <w:rPr>
        <w:b/>
        <w:bCs/>
        <w:color w:val="FFFFFF" w:themeColor="background1"/>
      </w:rPr>
      <w:tblPr/>
      <w:tcPr>
        <w:shd w:val="clear" w:color="auto" w:fill="A7D278" w:themeFill="accent5"/>
      </w:tcPr>
    </w:tblStylePr>
    <w:tblStylePr w:type="lastRow">
      <w:pPr>
        <w:spacing w:before="0" w:after="0" w:line="240" w:lineRule="auto"/>
      </w:pPr>
      <w:rPr>
        <w:b/>
        <w:bCs/>
      </w:rPr>
      <w:tblPr/>
      <w:tcPr>
        <w:tcBorders>
          <w:top w:val="double" w:sz="6" w:space="0" w:color="A7D278" w:themeColor="accent5"/>
          <w:left w:val="single" w:sz="8" w:space="0" w:color="A7D278" w:themeColor="accent5"/>
          <w:bottom w:val="single" w:sz="8" w:space="0" w:color="A7D278" w:themeColor="accent5"/>
          <w:right w:val="single" w:sz="8" w:space="0" w:color="A7D278" w:themeColor="accent5"/>
        </w:tcBorders>
      </w:tcPr>
    </w:tblStylePr>
    <w:tblStylePr w:type="firstCol">
      <w:rPr>
        <w:b/>
        <w:bCs/>
      </w:rPr>
    </w:tblStylePr>
    <w:tblStylePr w:type="lastCol">
      <w:rPr>
        <w:b/>
        <w:bCs/>
      </w:rPr>
    </w:tblStylePr>
    <w:tblStylePr w:type="band1Vert">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tblStylePr w:type="band1Horz">
      <w:tblPr/>
      <w:tcPr>
        <w:tcBorders>
          <w:top w:val="single" w:sz="8" w:space="0" w:color="A7D278" w:themeColor="accent5"/>
          <w:left w:val="single" w:sz="8" w:space="0" w:color="A7D278" w:themeColor="accent5"/>
          <w:bottom w:val="single" w:sz="8" w:space="0" w:color="A7D278" w:themeColor="accent5"/>
          <w:right w:val="single" w:sz="8" w:space="0" w:color="A7D278" w:themeColor="accent5"/>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pPr>
        <w:spacing w:before="0" w:after="0" w:line="240" w:lineRule="auto"/>
      </w:pPr>
      <w:rPr>
        <w:b/>
        <w:bCs/>
        <w:color w:val="FFFFFF" w:themeColor="background1"/>
      </w:rPr>
      <w:tblPr/>
      <w:tcPr>
        <w:shd w:val="clear" w:color="auto" w:fill="CBE3AE" w:themeFill="accent6"/>
      </w:tcPr>
    </w:tblStylePr>
    <w:tblStylePr w:type="lastRow">
      <w:pPr>
        <w:spacing w:before="0" w:after="0" w:line="240" w:lineRule="auto"/>
      </w:pPr>
      <w:rPr>
        <w:b/>
        <w:bCs/>
      </w:rPr>
      <w:tblPr/>
      <w:tcPr>
        <w:tcBorders>
          <w:top w:val="double" w:sz="6" w:space="0" w:color="CBE3AE" w:themeColor="accent6"/>
          <w:left w:val="single" w:sz="8" w:space="0" w:color="CBE3AE" w:themeColor="accent6"/>
          <w:bottom w:val="single" w:sz="8" w:space="0" w:color="CBE3AE" w:themeColor="accent6"/>
          <w:right w:val="single" w:sz="8" w:space="0" w:color="CBE3AE" w:themeColor="accent6"/>
        </w:tcBorders>
      </w:tcPr>
    </w:tblStylePr>
    <w:tblStylePr w:type="firstCol">
      <w:rPr>
        <w:b/>
        <w:bCs/>
      </w:rPr>
    </w:tblStylePr>
    <w:tblStylePr w:type="lastCol">
      <w:rPr>
        <w:b/>
        <w:bCs/>
      </w:rPr>
    </w:tblStylePr>
    <w:tblStylePr w:type="band1Vert">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tblStylePr w:type="band1Horz">
      <w:tblPr/>
      <w:tcPr>
        <w:tcBorders>
          <w:top w:val="single" w:sz="8" w:space="0" w:color="CBE3AE" w:themeColor="accent6"/>
          <w:left w:val="single" w:sz="8" w:space="0" w:color="CBE3AE" w:themeColor="accent6"/>
          <w:bottom w:val="single" w:sz="8" w:space="0" w:color="CBE3AE" w:themeColor="accent6"/>
          <w:right w:val="single" w:sz="8" w:space="0" w:color="CBE3AE" w:themeColor="accent6"/>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61932E" w:themeColor="accent1" w:themeShade="BF"/>
    </w:rPr>
    <w:tblPr>
      <w:tblStyleRowBandSize w:val="1"/>
      <w:tblStyleColBandSize w:val="1"/>
      <w:tblBorders>
        <w:top w:val="single" w:sz="8" w:space="0" w:color="82C341" w:themeColor="accent1"/>
        <w:bottom w:val="single" w:sz="8" w:space="0" w:color="82C341" w:themeColor="accent1"/>
      </w:tblBorders>
    </w:tblPr>
    <w:tblStylePr w:type="fir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lastRow">
      <w:pPr>
        <w:spacing w:before="0" w:after="0" w:line="240" w:lineRule="auto"/>
      </w:pPr>
      <w:rPr>
        <w:b/>
        <w:bCs/>
      </w:rPr>
      <w:tblPr/>
      <w:tcPr>
        <w:tcBorders>
          <w:top w:val="single" w:sz="8" w:space="0" w:color="82C341" w:themeColor="accent1"/>
          <w:left w:val="nil"/>
          <w:bottom w:val="single" w:sz="8" w:space="0" w:color="82C34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left w:val="nil"/>
          <w:right w:val="nil"/>
          <w:insideH w:val="nil"/>
          <w:insideV w:val="nil"/>
        </w:tcBorders>
        <w:shd w:val="clear" w:color="auto" w:fill="DFF0CF"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53" w:themeColor="accent2" w:themeShade="BF"/>
    </w:rPr>
    <w:tblPr>
      <w:tblStyleRowBandSize w:val="1"/>
      <w:tblStyleColBandSize w:val="1"/>
      <w:tblBorders>
        <w:top w:val="single" w:sz="8" w:space="0" w:color="009D70" w:themeColor="accent2"/>
        <w:bottom w:val="single" w:sz="8" w:space="0" w:color="009D70" w:themeColor="accent2"/>
      </w:tblBorders>
    </w:tblPr>
    <w:tblStylePr w:type="fir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lastRow">
      <w:pPr>
        <w:spacing w:before="0" w:after="0" w:line="240" w:lineRule="auto"/>
      </w:pPr>
      <w:rPr>
        <w:b/>
        <w:bCs/>
      </w:rPr>
      <w:tblPr/>
      <w:tcPr>
        <w:tcBorders>
          <w:top w:val="single" w:sz="8" w:space="0" w:color="009D70" w:themeColor="accent2"/>
          <w:left w:val="nil"/>
          <w:bottom w:val="single" w:sz="8" w:space="0" w:color="009D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left w:val="nil"/>
          <w:right w:val="nil"/>
          <w:insideH w:val="nil"/>
          <w:insideV w:val="nil"/>
        </w:tcBorders>
        <w:shd w:val="clear" w:color="auto" w:fill="A7FFE5"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B3C658" w:themeColor="accent3" w:themeShade="BF"/>
    </w:rPr>
    <w:tblPr>
      <w:tblStyleRowBandSize w:val="1"/>
      <w:tblStyleColBandSize w:val="1"/>
      <w:tblBorders>
        <w:top w:val="single" w:sz="8" w:space="0" w:color="D4DFA0" w:themeColor="accent3"/>
        <w:bottom w:val="single" w:sz="8" w:space="0" w:color="D4DFA0" w:themeColor="accent3"/>
      </w:tblBorders>
    </w:tblPr>
    <w:tblStylePr w:type="fir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lastRow">
      <w:pPr>
        <w:spacing w:before="0" w:after="0" w:line="240" w:lineRule="auto"/>
      </w:pPr>
      <w:rPr>
        <w:b/>
        <w:bCs/>
      </w:rPr>
      <w:tblPr/>
      <w:tcPr>
        <w:tcBorders>
          <w:top w:val="single" w:sz="8" w:space="0" w:color="D4DFA0" w:themeColor="accent3"/>
          <w:left w:val="nil"/>
          <w:bottom w:val="single" w:sz="8" w:space="0" w:color="D4DFA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left w:val="nil"/>
          <w:right w:val="nil"/>
          <w:insideH w:val="nil"/>
          <w:insideV w:val="nil"/>
        </w:tcBorders>
        <w:shd w:val="clear" w:color="auto" w:fill="F4F7E7"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668D1A" w:themeColor="accent4" w:themeShade="BF"/>
    </w:rPr>
    <w:tblPr>
      <w:tblStyleRowBandSize w:val="1"/>
      <w:tblStyleColBandSize w:val="1"/>
      <w:tblBorders>
        <w:top w:val="single" w:sz="8" w:space="0" w:color="89BD23" w:themeColor="accent4"/>
        <w:bottom w:val="single" w:sz="8" w:space="0" w:color="89BD23" w:themeColor="accent4"/>
      </w:tblBorders>
    </w:tblPr>
    <w:tblStylePr w:type="fir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lastRow">
      <w:pPr>
        <w:spacing w:before="0" w:after="0" w:line="240" w:lineRule="auto"/>
      </w:pPr>
      <w:rPr>
        <w:b/>
        <w:bCs/>
      </w:rPr>
      <w:tblPr/>
      <w:tcPr>
        <w:tcBorders>
          <w:top w:val="single" w:sz="8" w:space="0" w:color="89BD23" w:themeColor="accent4"/>
          <w:left w:val="nil"/>
          <w:bottom w:val="single" w:sz="8" w:space="0" w:color="89BD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left w:val="nil"/>
          <w:right w:val="nil"/>
          <w:insideH w:val="nil"/>
          <w:insideV w:val="nil"/>
        </w:tcBorders>
        <w:shd w:val="clear" w:color="auto" w:fill="E3F4C3"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7EB93D" w:themeColor="accent5" w:themeShade="BF"/>
    </w:rPr>
    <w:tblPr>
      <w:tblStyleRowBandSize w:val="1"/>
      <w:tblStyleColBandSize w:val="1"/>
      <w:tblBorders>
        <w:top w:val="single" w:sz="8" w:space="0" w:color="A7D278" w:themeColor="accent5"/>
        <w:bottom w:val="single" w:sz="8" w:space="0" w:color="A7D278" w:themeColor="accent5"/>
      </w:tblBorders>
    </w:tblPr>
    <w:tblStylePr w:type="fir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lastRow">
      <w:pPr>
        <w:spacing w:before="0" w:after="0" w:line="240" w:lineRule="auto"/>
      </w:pPr>
      <w:rPr>
        <w:b/>
        <w:bCs/>
      </w:rPr>
      <w:tblPr/>
      <w:tcPr>
        <w:tcBorders>
          <w:top w:val="single" w:sz="8" w:space="0" w:color="A7D278" w:themeColor="accent5"/>
          <w:left w:val="nil"/>
          <w:bottom w:val="single" w:sz="8" w:space="0" w:color="A7D2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left w:val="nil"/>
          <w:right w:val="nil"/>
          <w:insideH w:val="nil"/>
          <w:insideV w:val="nil"/>
        </w:tcBorders>
        <w:shd w:val="clear" w:color="auto" w:fill="E9F3DD"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9AC963" w:themeColor="accent6" w:themeShade="BF"/>
    </w:rPr>
    <w:tblPr>
      <w:tblStyleRowBandSize w:val="1"/>
      <w:tblStyleColBandSize w:val="1"/>
      <w:tblBorders>
        <w:top w:val="single" w:sz="8" w:space="0" w:color="CBE3AE" w:themeColor="accent6"/>
        <w:bottom w:val="single" w:sz="8" w:space="0" w:color="CBE3AE" w:themeColor="accent6"/>
      </w:tblBorders>
    </w:tblPr>
    <w:tblStylePr w:type="fir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lastRow">
      <w:pPr>
        <w:spacing w:before="0" w:after="0" w:line="240" w:lineRule="auto"/>
      </w:pPr>
      <w:rPr>
        <w:b/>
        <w:bCs/>
      </w:rPr>
      <w:tblPr/>
      <w:tcPr>
        <w:tcBorders>
          <w:top w:val="single" w:sz="8" w:space="0" w:color="CBE3AE" w:themeColor="accent6"/>
          <w:left w:val="nil"/>
          <w:bottom w:val="single" w:sz="8" w:space="0" w:color="CBE3A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left w:val="nil"/>
          <w:right w:val="nil"/>
          <w:insideH w:val="nil"/>
          <w:insideV w:val="nil"/>
        </w:tcBorders>
        <w:shd w:val="clear" w:color="auto" w:fill="F2F8EA"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9"/>
      </w:numPr>
      <w:contextualSpacing/>
    </w:pPr>
  </w:style>
  <w:style w:type="paragraph" w:styleId="ListBullet3">
    <w:name w:val="List Bullet 3"/>
    <w:basedOn w:val="Normal"/>
    <w:uiPriority w:val="99"/>
    <w:semiHidden/>
    <w:unhideWhenUsed/>
    <w:rsid w:val="006431F9"/>
    <w:pPr>
      <w:numPr>
        <w:numId w:val="10"/>
      </w:numPr>
      <w:contextualSpacing/>
    </w:pPr>
  </w:style>
  <w:style w:type="paragraph" w:styleId="ListBullet4">
    <w:name w:val="List Bullet 4"/>
    <w:basedOn w:val="Normal"/>
    <w:uiPriority w:val="99"/>
    <w:semiHidden/>
    <w:unhideWhenUsed/>
    <w:rsid w:val="006431F9"/>
    <w:pPr>
      <w:numPr>
        <w:numId w:val="11"/>
      </w:numPr>
      <w:contextualSpacing/>
    </w:pPr>
  </w:style>
  <w:style w:type="paragraph" w:styleId="ListBullet5">
    <w:name w:val="List Bullet 5"/>
    <w:basedOn w:val="Normal"/>
    <w:uiPriority w:val="99"/>
    <w:semiHidden/>
    <w:unhideWhenUsed/>
    <w:rsid w:val="006431F9"/>
    <w:pPr>
      <w:numPr>
        <w:numId w:val="12"/>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13"/>
      </w:numPr>
      <w:contextualSpacing/>
    </w:pPr>
  </w:style>
  <w:style w:type="paragraph" w:styleId="ListNumber3">
    <w:name w:val="List Number 3"/>
    <w:basedOn w:val="Normal"/>
    <w:uiPriority w:val="99"/>
    <w:semiHidden/>
    <w:unhideWhenUsed/>
    <w:rsid w:val="006431F9"/>
    <w:pPr>
      <w:numPr>
        <w:numId w:val="14"/>
      </w:numPr>
      <w:contextualSpacing/>
    </w:pPr>
  </w:style>
  <w:style w:type="paragraph" w:styleId="ListNumber4">
    <w:name w:val="List Number 4"/>
    <w:basedOn w:val="Normal"/>
    <w:uiPriority w:val="99"/>
    <w:semiHidden/>
    <w:unhideWhenUsed/>
    <w:rsid w:val="006431F9"/>
    <w:pPr>
      <w:numPr>
        <w:numId w:val="15"/>
      </w:numPr>
      <w:contextualSpacing/>
    </w:pPr>
  </w:style>
  <w:style w:type="paragraph" w:styleId="ListNumber5">
    <w:name w:val="List Number 5"/>
    <w:basedOn w:val="Normal"/>
    <w:uiPriority w:val="99"/>
    <w:semiHidden/>
    <w:unhideWhenUsed/>
    <w:rsid w:val="006431F9"/>
    <w:pPr>
      <w:numPr>
        <w:numId w:val="16"/>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3DB8D" w:themeColor="accent1" w:themeTint="99"/>
        </w:tcBorders>
      </w:tcPr>
    </w:tblStylePr>
    <w:tblStylePr w:type="lastRow">
      <w:rPr>
        <w:b/>
        <w:bCs/>
      </w:rPr>
      <w:tblPr/>
      <w:tcPr>
        <w:tcBorders>
          <w:top w:val="sing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2BFFC1" w:themeColor="accent2" w:themeTint="99"/>
        </w:tcBorders>
      </w:tcPr>
    </w:tblStylePr>
    <w:tblStylePr w:type="lastRow">
      <w:rPr>
        <w:b/>
        <w:bCs/>
      </w:rPr>
      <w:tblPr/>
      <w:tcPr>
        <w:tcBorders>
          <w:top w:val="sing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E5EBC5" w:themeColor="accent3" w:themeTint="99"/>
        </w:tcBorders>
      </w:tcPr>
    </w:tblStylePr>
    <w:tblStylePr w:type="lastRow">
      <w:rPr>
        <w:b/>
        <w:bCs/>
      </w:rPr>
      <w:tblPr/>
      <w:tcPr>
        <w:tcBorders>
          <w:top w:val="sing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BE46E" w:themeColor="accent4" w:themeTint="99"/>
        </w:tcBorders>
      </w:tcPr>
    </w:tblStylePr>
    <w:tblStylePr w:type="lastRow">
      <w:rPr>
        <w:b/>
        <w:bCs/>
      </w:rPr>
      <w:tblPr/>
      <w:tcPr>
        <w:tcBorders>
          <w:top w:val="sing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CAE4AE" w:themeColor="accent5" w:themeTint="99"/>
        </w:tcBorders>
      </w:tcPr>
    </w:tblStylePr>
    <w:tblStylePr w:type="lastRow">
      <w:rPr>
        <w:b/>
        <w:bCs/>
      </w:rPr>
      <w:tblPr/>
      <w:tcPr>
        <w:tcBorders>
          <w:top w:val="sing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DFEECE" w:themeColor="accent6" w:themeTint="99"/>
        </w:tcBorders>
      </w:tcPr>
    </w:tblStylePr>
    <w:tblStylePr w:type="lastRow">
      <w:rPr>
        <w:b/>
        <w:bCs/>
      </w:rPr>
      <w:tblPr/>
      <w:tcPr>
        <w:tcBorders>
          <w:top w:val="sing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sz="4" w:space="0" w:color="B3DB8D" w:themeColor="accent1" w:themeTint="99"/>
        <w:bottom w:val="single" w:sz="4" w:space="0" w:color="B3DB8D" w:themeColor="accent1" w:themeTint="99"/>
        <w:insideH w:val="single" w:sz="4" w:space="0" w:color="B3DB8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sz="4" w:space="0" w:color="2BFFC1" w:themeColor="accent2" w:themeTint="99"/>
        <w:bottom w:val="single" w:sz="4" w:space="0" w:color="2BFFC1" w:themeColor="accent2" w:themeTint="99"/>
        <w:insideH w:val="single" w:sz="4" w:space="0" w:color="2BFFC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sz="4" w:space="0" w:color="E5EBC5" w:themeColor="accent3" w:themeTint="99"/>
        <w:bottom w:val="single" w:sz="4" w:space="0" w:color="E5EBC5" w:themeColor="accent3" w:themeTint="99"/>
        <w:insideH w:val="single" w:sz="4" w:space="0" w:color="E5EBC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sz="4" w:space="0" w:color="BBE46E" w:themeColor="accent4" w:themeTint="99"/>
        <w:bottom w:val="single" w:sz="4" w:space="0" w:color="BBE46E" w:themeColor="accent4" w:themeTint="99"/>
        <w:insideH w:val="single" w:sz="4" w:space="0" w:color="BBE46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sz="4" w:space="0" w:color="CAE4AE" w:themeColor="accent5" w:themeTint="99"/>
        <w:bottom w:val="single" w:sz="4" w:space="0" w:color="CAE4AE" w:themeColor="accent5" w:themeTint="99"/>
        <w:insideH w:val="single" w:sz="4" w:space="0" w:color="CAE4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sz="4" w:space="0" w:color="DFEECE" w:themeColor="accent6" w:themeTint="99"/>
        <w:bottom w:val="single" w:sz="4" w:space="0" w:color="DFEECE" w:themeColor="accent6" w:themeTint="99"/>
        <w:insideH w:val="single" w:sz="4" w:space="0" w:color="DFEEC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sz="4" w:space="0" w:color="82C341" w:themeColor="accent1"/>
        <w:left w:val="single" w:sz="4" w:space="0" w:color="82C341" w:themeColor="accent1"/>
        <w:bottom w:val="single" w:sz="4" w:space="0" w:color="82C341" w:themeColor="accent1"/>
        <w:right w:val="single" w:sz="4" w:space="0" w:color="82C341" w:themeColor="accent1"/>
      </w:tblBorders>
    </w:tblPr>
    <w:tblStylePr w:type="firstRow">
      <w:rPr>
        <w:b/>
        <w:bCs/>
        <w:color w:val="FFFFFF" w:themeColor="background1"/>
      </w:rPr>
      <w:tblPr/>
      <w:tcPr>
        <w:shd w:val="clear" w:color="auto" w:fill="82C341" w:themeFill="accent1"/>
      </w:tcPr>
    </w:tblStylePr>
    <w:tblStylePr w:type="lastRow">
      <w:rPr>
        <w:b/>
        <w:bCs/>
      </w:rPr>
      <w:tblPr/>
      <w:tcPr>
        <w:tcBorders>
          <w:top w:val="double" w:sz="4" w:space="0" w:color="82C3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C341" w:themeColor="accent1"/>
          <w:right w:val="single" w:sz="4" w:space="0" w:color="82C341" w:themeColor="accent1"/>
        </w:tcBorders>
      </w:tcPr>
    </w:tblStylePr>
    <w:tblStylePr w:type="band1Horz">
      <w:tblPr/>
      <w:tcPr>
        <w:tcBorders>
          <w:top w:val="single" w:sz="4" w:space="0" w:color="82C341" w:themeColor="accent1"/>
          <w:bottom w:val="single" w:sz="4" w:space="0" w:color="82C3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C341" w:themeColor="accent1"/>
          <w:left w:val="nil"/>
        </w:tcBorders>
      </w:tcPr>
    </w:tblStylePr>
    <w:tblStylePr w:type="swCell">
      <w:tblPr/>
      <w:tcPr>
        <w:tcBorders>
          <w:top w:val="double" w:sz="4" w:space="0" w:color="82C341" w:themeColor="accent1"/>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sz="4" w:space="0" w:color="009D70" w:themeColor="accent2"/>
        <w:left w:val="single" w:sz="4" w:space="0" w:color="009D70" w:themeColor="accent2"/>
        <w:bottom w:val="single" w:sz="4" w:space="0" w:color="009D70" w:themeColor="accent2"/>
        <w:right w:val="single" w:sz="4" w:space="0" w:color="009D70" w:themeColor="accent2"/>
      </w:tblBorders>
    </w:tblPr>
    <w:tblStylePr w:type="firstRow">
      <w:rPr>
        <w:b/>
        <w:bCs/>
        <w:color w:val="FFFFFF" w:themeColor="background1"/>
      </w:rPr>
      <w:tblPr/>
      <w:tcPr>
        <w:shd w:val="clear" w:color="auto" w:fill="009D70" w:themeFill="accent2"/>
      </w:tcPr>
    </w:tblStylePr>
    <w:tblStylePr w:type="lastRow">
      <w:rPr>
        <w:b/>
        <w:bCs/>
      </w:rPr>
      <w:tblPr/>
      <w:tcPr>
        <w:tcBorders>
          <w:top w:val="double" w:sz="4" w:space="0" w:color="009D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70" w:themeColor="accent2"/>
          <w:right w:val="single" w:sz="4" w:space="0" w:color="009D70" w:themeColor="accent2"/>
        </w:tcBorders>
      </w:tcPr>
    </w:tblStylePr>
    <w:tblStylePr w:type="band1Horz">
      <w:tblPr/>
      <w:tcPr>
        <w:tcBorders>
          <w:top w:val="single" w:sz="4" w:space="0" w:color="009D70" w:themeColor="accent2"/>
          <w:bottom w:val="single" w:sz="4" w:space="0" w:color="009D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70" w:themeColor="accent2"/>
          <w:left w:val="nil"/>
        </w:tcBorders>
      </w:tcPr>
    </w:tblStylePr>
    <w:tblStylePr w:type="swCell">
      <w:tblPr/>
      <w:tcPr>
        <w:tcBorders>
          <w:top w:val="double" w:sz="4" w:space="0" w:color="009D70" w:themeColor="accent2"/>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sz="4" w:space="0" w:color="D4DFA0" w:themeColor="accent3"/>
        <w:left w:val="single" w:sz="4" w:space="0" w:color="D4DFA0" w:themeColor="accent3"/>
        <w:bottom w:val="single" w:sz="4" w:space="0" w:color="D4DFA0" w:themeColor="accent3"/>
        <w:right w:val="single" w:sz="4" w:space="0" w:color="D4DFA0" w:themeColor="accent3"/>
      </w:tblBorders>
    </w:tblPr>
    <w:tblStylePr w:type="firstRow">
      <w:rPr>
        <w:b/>
        <w:bCs/>
        <w:color w:val="FFFFFF" w:themeColor="background1"/>
      </w:rPr>
      <w:tblPr/>
      <w:tcPr>
        <w:shd w:val="clear" w:color="auto" w:fill="D4DFA0" w:themeFill="accent3"/>
      </w:tcPr>
    </w:tblStylePr>
    <w:tblStylePr w:type="lastRow">
      <w:rPr>
        <w:b/>
        <w:bCs/>
      </w:rPr>
      <w:tblPr/>
      <w:tcPr>
        <w:tcBorders>
          <w:top w:val="double" w:sz="4" w:space="0" w:color="D4DFA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FA0" w:themeColor="accent3"/>
          <w:right w:val="single" w:sz="4" w:space="0" w:color="D4DFA0" w:themeColor="accent3"/>
        </w:tcBorders>
      </w:tcPr>
    </w:tblStylePr>
    <w:tblStylePr w:type="band1Horz">
      <w:tblPr/>
      <w:tcPr>
        <w:tcBorders>
          <w:top w:val="single" w:sz="4" w:space="0" w:color="D4DFA0" w:themeColor="accent3"/>
          <w:bottom w:val="single" w:sz="4" w:space="0" w:color="D4DFA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FA0" w:themeColor="accent3"/>
          <w:left w:val="nil"/>
        </w:tcBorders>
      </w:tcPr>
    </w:tblStylePr>
    <w:tblStylePr w:type="swCell">
      <w:tblPr/>
      <w:tcPr>
        <w:tcBorders>
          <w:top w:val="double" w:sz="4" w:space="0" w:color="D4DFA0" w:themeColor="accent3"/>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sz="4" w:space="0" w:color="89BD23" w:themeColor="accent4"/>
        <w:left w:val="single" w:sz="4" w:space="0" w:color="89BD23" w:themeColor="accent4"/>
        <w:bottom w:val="single" w:sz="4" w:space="0" w:color="89BD23" w:themeColor="accent4"/>
        <w:right w:val="single" w:sz="4" w:space="0" w:color="89BD23" w:themeColor="accent4"/>
      </w:tblBorders>
    </w:tblPr>
    <w:tblStylePr w:type="firstRow">
      <w:rPr>
        <w:b/>
        <w:bCs/>
        <w:color w:val="FFFFFF" w:themeColor="background1"/>
      </w:rPr>
      <w:tblPr/>
      <w:tcPr>
        <w:shd w:val="clear" w:color="auto" w:fill="89BD23" w:themeFill="accent4"/>
      </w:tcPr>
    </w:tblStylePr>
    <w:tblStylePr w:type="lastRow">
      <w:rPr>
        <w:b/>
        <w:bCs/>
      </w:rPr>
      <w:tblPr/>
      <w:tcPr>
        <w:tcBorders>
          <w:top w:val="double" w:sz="4" w:space="0" w:color="89BD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BD23" w:themeColor="accent4"/>
          <w:right w:val="single" w:sz="4" w:space="0" w:color="89BD23" w:themeColor="accent4"/>
        </w:tcBorders>
      </w:tcPr>
    </w:tblStylePr>
    <w:tblStylePr w:type="band1Horz">
      <w:tblPr/>
      <w:tcPr>
        <w:tcBorders>
          <w:top w:val="single" w:sz="4" w:space="0" w:color="89BD23" w:themeColor="accent4"/>
          <w:bottom w:val="single" w:sz="4" w:space="0" w:color="89BD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BD23" w:themeColor="accent4"/>
          <w:left w:val="nil"/>
        </w:tcBorders>
      </w:tcPr>
    </w:tblStylePr>
    <w:tblStylePr w:type="swCell">
      <w:tblPr/>
      <w:tcPr>
        <w:tcBorders>
          <w:top w:val="double" w:sz="4" w:space="0" w:color="89BD23" w:themeColor="accent4"/>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sz="4" w:space="0" w:color="A7D278" w:themeColor="accent5"/>
        <w:left w:val="single" w:sz="4" w:space="0" w:color="A7D278" w:themeColor="accent5"/>
        <w:bottom w:val="single" w:sz="4" w:space="0" w:color="A7D278" w:themeColor="accent5"/>
        <w:right w:val="single" w:sz="4" w:space="0" w:color="A7D278" w:themeColor="accent5"/>
      </w:tblBorders>
    </w:tblPr>
    <w:tblStylePr w:type="firstRow">
      <w:rPr>
        <w:b/>
        <w:bCs/>
        <w:color w:val="FFFFFF" w:themeColor="background1"/>
      </w:rPr>
      <w:tblPr/>
      <w:tcPr>
        <w:shd w:val="clear" w:color="auto" w:fill="A7D278" w:themeFill="accent5"/>
      </w:tcPr>
    </w:tblStylePr>
    <w:tblStylePr w:type="lastRow">
      <w:rPr>
        <w:b/>
        <w:bCs/>
      </w:rPr>
      <w:tblPr/>
      <w:tcPr>
        <w:tcBorders>
          <w:top w:val="double" w:sz="4" w:space="0" w:color="A7D2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278" w:themeColor="accent5"/>
          <w:right w:val="single" w:sz="4" w:space="0" w:color="A7D278" w:themeColor="accent5"/>
        </w:tcBorders>
      </w:tcPr>
    </w:tblStylePr>
    <w:tblStylePr w:type="band1Horz">
      <w:tblPr/>
      <w:tcPr>
        <w:tcBorders>
          <w:top w:val="single" w:sz="4" w:space="0" w:color="A7D278" w:themeColor="accent5"/>
          <w:bottom w:val="single" w:sz="4" w:space="0" w:color="A7D2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278" w:themeColor="accent5"/>
          <w:left w:val="nil"/>
        </w:tcBorders>
      </w:tcPr>
    </w:tblStylePr>
    <w:tblStylePr w:type="swCell">
      <w:tblPr/>
      <w:tcPr>
        <w:tcBorders>
          <w:top w:val="double" w:sz="4" w:space="0" w:color="A7D278" w:themeColor="accent5"/>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sz="4" w:space="0" w:color="CBE3AE" w:themeColor="accent6"/>
        <w:left w:val="single" w:sz="4" w:space="0" w:color="CBE3AE" w:themeColor="accent6"/>
        <w:bottom w:val="single" w:sz="4" w:space="0" w:color="CBE3AE" w:themeColor="accent6"/>
        <w:right w:val="single" w:sz="4" w:space="0" w:color="CBE3AE" w:themeColor="accent6"/>
      </w:tblBorders>
    </w:tblPr>
    <w:tblStylePr w:type="firstRow">
      <w:rPr>
        <w:b/>
        <w:bCs/>
        <w:color w:val="FFFFFF" w:themeColor="background1"/>
      </w:rPr>
      <w:tblPr/>
      <w:tcPr>
        <w:shd w:val="clear" w:color="auto" w:fill="CBE3AE" w:themeFill="accent6"/>
      </w:tcPr>
    </w:tblStylePr>
    <w:tblStylePr w:type="lastRow">
      <w:rPr>
        <w:b/>
        <w:bCs/>
      </w:rPr>
      <w:tblPr/>
      <w:tcPr>
        <w:tcBorders>
          <w:top w:val="double" w:sz="4" w:space="0" w:color="CBE3A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E3AE" w:themeColor="accent6"/>
          <w:right w:val="single" w:sz="4" w:space="0" w:color="CBE3AE" w:themeColor="accent6"/>
        </w:tcBorders>
      </w:tcPr>
    </w:tblStylePr>
    <w:tblStylePr w:type="band1Horz">
      <w:tblPr/>
      <w:tcPr>
        <w:tcBorders>
          <w:top w:val="single" w:sz="4" w:space="0" w:color="CBE3AE" w:themeColor="accent6"/>
          <w:bottom w:val="single" w:sz="4" w:space="0" w:color="CBE3A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3AE" w:themeColor="accent6"/>
          <w:left w:val="nil"/>
        </w:tcBorders>
      </w:tcPr>
    </w:tblStylePr>
    <w:tblStylePr w:type="swCell">
      <w:tblPr/>
      <w:tcPr>
        <w:tcBorders>
          <w:top w:val="double" w:sz="4" w:space="0" w:color="CBE3AE" w:themeColor="accent6"/>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sz="4" w:space="0" w:color="B3DB8D" w:themeColor="accent1" w:themeTint="99"/>
        <w:left w:val="single" w:sz="4" w:space="0" w:color="B3DB8D" w:themeColor="accent1" w:themeTint="99"/>
        <w:bottom w:val="single" w:sz="4" w:space="0" w:color="B3DB8D" w:themeColor="accent1" w:themeTint="99"/>
        <w:right w:val="single" w:sz="4" w:space="0" w:color="B3DB8D" w:themeColor="accent1" w:themeTint="99"/>
        <w:insideH w:val="single" w:sz="4" w:space="0" w:color="B3DB8D" w:themeColor="accent1" w:themeTint="99"/>
      </w:tblBorders>
    </w:tblPr>
    <w:tblStylePr w:type="firstRow">
      <w:rPr>
        <w:b/>
        <w:bCs/>
        <w:color w:val="FFFFFF" w:themeColor="background1"/>
      </w:rPr>
      <w:tblPr/>
      <w:tcPr>
        <w:tcBorders>
          <w:top w:val="single" w:sz="4" w:space="0" w:color="82C341" w:themeColor="accent1"/>
          <w:left w:val="single" w:sz="4" w:space="0" w:color="82C341" w:themeColor="accent1"/>
          <w:bottom w:val="single" w:sz="4" w:space="0" w:color="82C341" w:themeColor="accent1"/>
          <w:right w:val="single" w:sz="4" w:space="0" w:color="82C341" w:themeColor="accent1"/>
          <w:insideH w:val="nil"/>
        </w:tcBorders>
        <w:shd w:val="clear" w:color="auto" w:fill="82C341" w:themeFill="accent1"/>
      </w:tcPr>
    </w:tblStylePr>
    <w:tblStylePr w:type="lastRow">
      <w:rPr>
        <w:b/>
        <w:bCs/>
      </w:rPr>
      <w:tblPr/>
      <w:tcPr>
        <w:tcBorders>
          <w:top w:val="double" w:sz="4" w:space="0" w:color="B3DB8D" w:themeColor="accent1" w:themeTint="99"/>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sz="4" w:space="0" w:color="2BFFC1" w:themeColor="accent2" w:themeTint="99"/>
        <w:left w:val="single" w:sz="4" w:space="0" w:color="2BFFC1" w:themeColor="accent2" w:themeTint="99"/>
        <w:bottom w:val="single" w:sz="4" w:space="0" w:color="2BFFC1" w:themeColor="accent2" w:themeTint="99"/>
        <w:right w:val="single" w:sz="4" w:space="0" w:color="2BFFC1" w:themeColor="accent2" w:themeTint="99"/>
        <w:insideH w:val="single" w:sz="4" w:space="0" w:color="2BFFC1" w:themeColor="accent2" w:themeTint="99"/>
      </w:tblBorders>
    </w:tblPr>
    <w:tblStylePr w:type="firstRow">
      <w:rPr>
        <w:b/>
        <w:bCs/>
        <w:color w:val="FFFFFF" w:themeColor="background1"/>
      </w:rPr>
      <w:tblPr/>
      <w:tcPr>
        <w:tcBorders>
          <w:top w:val="single" w:sz="4" w:space="0" w:color="009D70" w:themeColor="accent2"/>
          <w:left w:val="single" w:sz="4" w:space="0" w:color="009D70" w:themeColor="accent2"/>
          <w:bottom w:val="single" w:sz="4" w:space="0" w:color="009D70" w:themeColor="accent2"/>
          <w:right w:val="single" w:sz="4" w:space="0" w:color="009D70" w:themeColor="accent2"/>
          <w:insideH w:val="nil"/>
        </w:tcBorders>
        <w:shd w:val="clear" w:color="auto" w:fill="009D70" w:themeFill="accent2"/>
      </w:tcPr>
    </w:tblStylePr>
    <w:tblStylePr w:type="lastRow">
      <w:rPr>
        <w:b/>
        <w:bCs/>
      </w:rPr>
      <w:tblPr/>
      <w:tcPr>
        <w:tcBorders>
          <w:top w:val="double" w:sz="4" w:space="0" w:color="2BFFC1" w:themeColor="accent2" w:themeTint="99"/>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sz="4" w:space="0" w:color="E5EBC5" w:themeColor="accent3" w:themeTint="99"/>
        <w:left w:val="single" w:sz="4" w:space="0" w:color="E5EBC5" w:themeColor="accent3" w:themeTint="99"/>
        <w:bottom w:val="single" w:sz="4" w:space="0" w:color="E5EBC5" w:themeColor="accent3" w:themeTint="99"/>
        <w:right w:val="single" w:sz="4" w:space="0" w:color="E5EBC5" w:themeColor="accent3" w:themeTint="99"/>
        <w:insideH w:val="single" w:sz="4" w:space="0" w:color="E5EBC5" w:themeColor="accent3" w:themeTint="99"/>
      </w:tblBorders>
    </w:tblPr>
    <w:tblStylePr w:type="firstRow">
      <w:rPr>
        <w:b/>
        <w:bCs/>
        <w:color w:val="FFFFFF" w:themeColor="background1"/>
      </w:rPr>
      <w:tblPr/>
      <w:tcPr>
        <w:tcBorders>
          <w:top w:val="single" w:sz="4" w:space="0" w:color="D4DFA0" w:themeColor="accent3"/>
          <w:left w:val="single" w:sz="4" w:space="0" w:color="D4DFA0" w:themeColor="accent3"/>
          <w:bottom w:val="single" w:sz="4" w:space="0" w:color="D4DFA0" w:themeColor="accent3"/>
          <w:right w:val="single" w:sz="4" w:space="0" w:color="D4DFA0" w:themeColor="accent3"/>
          <w:insideH w:val="nil"/>
        </w:tcBorders>
        <w:shd w:val="clear" w:color="auto" w:fill="D4DFA0" w:themeFill="accent3"/>
      </w:tcPr>
    </w:tblStylePr>
    <w:tblStylePr w:type="lastRow">
      <w:rPr>
        <w:b/>
        <w:bCs/>
      </w:rPr>
      <w:tblPr/>
      <w:tcPr>
        <w:tcBorders>
          <w:top w:val="double" w:sz="4" w:space="0" w:color="E5EBC5" w:themeColor="accent3" w:themeTint="99"/>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sz="4" w:space="0" w:color="BBE46E" w:themeColor="accent4" w:themeTint="99"/>
        <w:left w:val="single" w:sz="4" w:space="0" w:color="BBE46E" w:themeColor="accent4" w:themeTint="99"/>
        <w:bottom w:val="single" w:sz="4" w:space="0" w:color="BBE46E" w:themeColor="accent4" w:themeTint="99"/>
        <w:right w:val="single" w:sz="4" w:space="0" w:color="BBE46E" w:themeColor="accent4" w:themeTint="99"/>
        <w:insideH w:val="single" w:sz="4" w:space="0" w:color="BBE46E" w:themeColor="accent4" w:themeTint="99"/>
      </w:tblBorders>
    </w:tblPr>
    <w:tblStylePr w:type="firstRow">
      <w:rPr>
        <w:b/>
        <w:bCs/>
        <w:color w:val="FFFFFF" w:themeColor="background1"/>
      </w:rPr>
      <w:tblPr/>
      <w:tcPr>
        <w:tcBorders>
          <w:top w:val="single" w:sz="4" w:space="0" w:color="89BD23" w:themeColor="accent4"/>
          <w:left w:val="single" w:sz="4" w:space="0" w:color="89BD23" w:themeColor="accent4"/>
          <w:bottom w:val="single" w:sz="4" w:space="0" w:color="89BD23" w:themeColor="accent4"/>
          <w:right w:val="single" w:sz="4" w:space="0" w:color="89BD23" w:themeColor="accent4"/>
          <w:insideH w:val="nil"/>
        </w:tcBorders>
        <w:shd w:val="clear" w:color="auto" w:fill="89BD23" w:themeFill="accent4"/>
      </w:tcPr>
    </w:tblStylePr>
    <w:tblStylePr w:type="lastRow">
      <w:rPr>
        <w:b/>
        <w:bCs/>
      </w:rPr>
      <w:tblPr/>
      <w:tcPr>
        <w:tcBorders>
          <w:top w:val="double" w:sz="4" w:space="0" w:color="BBE46E" w:themeColor="accent4" w:themeTint="99"/>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sz="4" w:space="0" w:color="CAE4AE" w:themeColor="accent5" w:themeTint="99"/>
        <w:left w:val="single" w:sz="4" w:space="0" w:color="CAE4AE" w:themeColor="accent5" w:themeTint="99"/>
        <w:bottom w:val="single" w:sz="4" w:space="0" w:color="CAE4AE" w:themeColor="accent5" w:themeTint="99"/>
        <w:right w:val="single" w:sz="4" w:space="0" w:color="CAE4AE" w:themeColor="accent5" w:themeTint="99"/>
        <w:insideH w:val="single" w:sz="4" w:space="0" w:color="CAE4AE" w:themeColor="accent5" w:themeTint="99"/>
      </w:tblBorders>
    </w:tblPr>
    <w:tblStylePr w:type="firstRow">
      <w:rPr>
        <w:b/>
        <w:bCs/>
        <w:color w:val="FFFFFF" w:themeColor="background1"/>
      </w:rPr>
      <w:tblPr/>
      <w:tcPr>
        <w:tcBorders>
          <w:top w:val="single" w:sz="4" w:space="0" w:color="A7D278" w:themeColor="accent5"/>
          <w:left w:val="single" w:sz="4" w:space="0" w:color="A7D278" w:themeColor="accent5"/>
          <w:bottom w:val="single" w:sz="4" w:space="0" w:color="A7D278" w:themeColor="accent5"/>
          <w:right w:val="single" w:sz="4" w:space="0" w:color="A7D278" w:themeColor="accent5"/>
          <w:insideH w:val="nil"/>
        </w:tcBorders>
        <w:shd w:val="clear" w:color="auto" w:fill="A7D278" w:themeFill="accent5"/>
      </w:tcPr>
    </w:tblStylePr>
    <w:tblStylePr w:type="lastRow">
      <w:rPr>
        <w:b/>
        <w:bCs/>
      </w:rPr>
      <w:tblPr/>
      <w:tcPr>
        <w:tcBorders>
          <w:top w:val="double" w:sz="4" w:space="0" w:color="CAE4AE" w:themeColor="accent5" w:themeTint="99"/>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sz="4" w:space="0" w:color="DFEECE" w:themeColor="accent6" w:themeTint="99"/>
        <w:left w:val="single" w:sz="4" w:space="0" w:color="DFEECE" w:themeColor="accent6" w:themeTint="99"/>
        <w:bottom w:val="single" w:sz="4" w:space="0" w:color="DFEECE" w:themeColor="accent6" w:themeTint="99"/>
        <w:right w:val="single" w:sz="4" w:space="0" w:color="DFEECE" w:themeColor="accent6" w:themeTint="99"/>
        <w:insideH w:val="single" w:sz="4" w:space="0" w:color="DFEECE" w:themeColor="accent6" w:themeTint="99"/>
      </w:tblBorders>
    </w:tblPr>
    <w:tblStylePr w:type="firstRow">
      <w:rPr>
        <w:b/>
        <w:bCs/>
        <w:color w:val="FFFFFF" w:themeColor="background1"/>
      </w:rPr>
      <w:tblPr/>
      <w:tcPr>
        <w:tcBorders>
          <w:top w:val="single" w:sz="4" w:space="0" w:color="CBE3AE" w:themeColor="accent6"/>
          <w:left w:val="single" w:sz="4" w:space="0" w:color="CBE3AE" w:themeColor="accent6"/>
          <w:bottom w:val="single" w:sz="4" w:space="0" w:color="CBE3AE" w:themeColor="accent6"/>
          <w:right w:val="single" w:sz="4" w:space="0" w:color="CBE3AE" w:themeColor="accent6"/>
          <w:insideH w:val="nil"/>
        </w:tcBorders>
        <w:shd w:val="clear" w:color="auto" w:fill="CBE3AE" w:themeFill="accent6"/>
      </w:tcPr>
    </w:tblStylePr>
    <w:tblStylePr w:type="lastRow">
      <w:rPr>
        <w:b/>
        <w:bCs/>
      </w:rPr>
      <w:tblPr/>
      <w:tcPr>
        <w:tcBorders>
          <w:top w:val="double" w:sz="4" w:space="0" w:color="DFEECE" w:themeColor="accent6" w:themeTint="99"/>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sz="24" w:space="0" w:color="82C341" w:themeColor="accent1"/>
        <w:left w:val="single" w:sz="24" w:space="0" w:color="82C341" w:themeColor="accent1"/>
        <w:bottom w:val="single" w:sz="24" w:space="0" w:color="82C341" w:themeColor="accent1"/>
        <w:right w:val="single" w:sz="24" w:space="0" w:color="82C341" w:themeColor="accent1"/>
      </w:tblBorders>
    </w:tblPr>
    <w:tcPr>
      <w:shd w:val="clear" w:color="auto" w:fill="82C34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sz="24" w:space="0" w:color="009D70" w:themeColor="accent2"/>
        <w:left w:val="single" w:sz="24" w:space="0" w:color="009D70" w:themeColor="accent2"/>
        <w:bottom w:val="single" w:sz="24" w:space="0" w:color="009D70" w:themeColor="accent2"/>
        <w:right w:val="single" w:sz="24" w:space="0" w:color="009D70" w:themeColor="accent2"/>
      </w:tblBorders>
    </w:tblPr>
    <w:tcPr>
      <w:shd w:val="clear" w:color="auto" w:fill="009D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sz="24" w:space="0" w:color="D4DFA0" w:themeColor="accent3"/>
        <w:left w:val="single" w:sz="24" w:space="0" w:color="D4DFA0" w:themeColor="accent3"/>
        <w:bottom w:val="single" w:sz="24" w:space="0" w:color="D4DFA0" w:themeColor="accent3"/>
        <w:right w:val="single" w:sz="24" w:space="0" w:color="D4DFA0" w:themeColor="accent3"/>
      </w:tblBorders>
    </w:tblPr>
    <w:tcPr>
      <w:shd w:val="clear" w:color="auto" w:fill="D4DFA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sz="24" w:space="0" w:color="89BD23" w:themeColor="accent4"/>
        <w:left w:val="single" w:sz="24" w:space="0" w:color="89BD23" w:themeColor="accent4"/>
        <w:bottom w:val="single" w:sz="24" w:space="0" w:color="89BD23" w:themeColor="accent4"/>
        <w:right w:val="single" w:sz="24" w:space="0" w:color="89BD23" w:themeColor="accent4"/>
      </w:tblBorders>
    </w:tblPr>
    <w:tcPr>
      <w:shd w:val="clear" w:color="auto" w:fill="89BD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sz="24" w:space="0" w:color="A7D278" w:themeColor="accent5"/>
        <w:left w:val="single" w:sz="24" w:space="0" w:color="A7D278" w:themeColor="accent5"/>
        <w:bottom w:val="single" w:sz="24" w:space="0" w:color="A7D278" w:themeColor="accent5"/>
        <w:right w:val="single" w:sz="24" w:space="0" w:color="A7D278" w:themeColor="accent5"/>
      </w:tblBorders>
    </w:tblPr>
    <w:tcPr>
      <w:shd w:val="clear" w:color="auto" w:fill="A7D2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sz="24" w:space="0" w:color="CBE3AE" w:themeColor="accent6"/>
        <w:left w:val="single" w:sz="24" w:space="0" w:color="CBE3AE" w:themeColor="accent6"/>
        <w:bottom w:val="single" w:sz="24" w:space="0" w:color="CBE3AE" w:themeColor="accent6"/>
        <w:right w:val="single" w:sz="24" w:space="0" w:color="CBE3AE" w:themeColor="accent6"/>
      </w:tblBorders>
    </w:tblPr>
    <w:tcPr>
      <w:shd w:val="clear" w:color="auto" w:fill="CBE3A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431F9"/>
    <w:pPr>
      <w:spacing w:after="0" w:line="240" w:lineRule="auto"/>
    </w:pPr>
    <w:rPr>
      <w:color w:val="61932E" w:themeColor="accent1" w:themeShade="BF"/>
    </w:rPr>
    <w:tblPr>
      <w:tblStyleRowBandSize w:val="1"/>
      <w:tblStyleColBandSize w:val="1"/>
      <w:tblBorders>
        <w:top w:val="single" w:sz="4" w:space="0" w:color="82C341" w:themeColor="accent1"/>
        <w:bottom w:val="single" w:sz="4" w:space="0" w:color="82C341" w:themeColor="accent1"/>
      </w:tblBorders>
    </w:tblPr>
    <w:tblStylePr w:type="firstRow">
      <w:rPr>
        <w:b/>
        <w:bCs/>
      </w:rPr>
      <w:tblPr/>
      <w:tcPr>
        <w:tcBorders>
          <w:bottom w:val="single" w:sz="4" w:space="0" w:color="82C341" w:themeColor="accent1"/>
        </w:tcBorders>
      </w:tcPr>
    </w:tblStylePr>
    <w:tblStylePr w:type="lastRow">
      <w:rPr>
        <w:b/>
        <w:bCs/>
      </w:rPr>
      <w:tblPr/>
      <w:tcPr>
        <w:tcBorders>
          <w:top w:val="double" w:sz="4" w:space="0" w:color="82C341" w:themeColor="accent1"/>
        </w:tcBorders>
      </w:tcPr>
    </w:tblStylePr>
    <w:tblStylePr w:type="firstCol">
      <w:rPr>
        <w:b/>
        <w:bCs/>
      </w:rPr>
    </w:tblStylePr>
    <w:tblStylePr w:type="lastCol">
      <w:rPr>
        <w:b/>
        <w:bCs/>
      </w:rPr>
    </w:tblStylePr>
    <w:tblStylePr w:type="band1Vert">
      <w:tblPr/>
      <w:tcPr>
        <w:shd w:val="clear" w:color="auto" w:fill="E5F3D9" w:themeFill="accent1" w:themeFillTint="33"/>
      </w:tcPr>
    </w:tblStylePr>
    <w:tblStylePr w:type="band1Horz">
      <w:tblPr/>
      <w:tcPr>
        <w:shd w:val="clear" w:color="auto" w:fill="E5F3D9" w:themeFill="accent1" w:themeFillTint="33"/>
      </w:tcPr>
    </w:tblStylePr>
  </w:style>
  <w:style w:type="table" w:styleId="ListTable6Colorful-Accent2">
    <w:name w:val="List Table 6 Colorful Accent 2"/>
    <w:basedOn w:val="TableNormal"/>
    <w:uiPriority w:val="51"/>
    <w:rsid w:val="006431F9"/>
    <w:pPr>
      <w:spacing w:after="0" w:line="240" w:lineRule="auto"/>
    </w:pPr>
    <w:rPr>
      <w:color w:val="007553" w:themeColor="accent2" w:themeShade="BF"/>
    </w:rPr>
    <w:tblPr>
      <w:tblStyleRowBandSize w:val="1"/>
      <w:tblStyleColBandSize w:val="1"/>
      <w:tblBorders>
        <w:top w:val="single" w:sz="4" w:space="0" w:color="009D70" w:themeColor="accent2"/>
        <w:bottom w:val="single" w:sz="4" w:space="0" w:color="009D70" w:themeColor="accent2"/>
      </w:tblBorders>
    </w:tblPr>
    <w:tblStylePr w:type="firstRow">
      <w:rPr>
        <w:b/>
        <w:bCs/>
      </w:rPr>
      <w:tblPr/>
      <w:tcPr>
        <w:tcBorders>
          <w:bottom w:val="single" w:sz="4" w:space="0" w:color="009D70" w:themeColor="accent2"/>
        </w:tcBorders>
      </w:tcPr>
    </w:tblStylePr>
    <w:tblStylePr w:type="lastRow">
      <w:rPr>
        <w:b/>
        <w:bCs/>
      </w:rPr>
      <w:tblPr/>
      <w:tcPr>
        <w:tcBorders>
          <w:top w:val="double" w:sz="4" w:space="0" w:color="009D70" w:themeColor="accent2"/>
        </w:tcBorders>
      </w:tcPr>
    </w:tblStylePr>
    <w:tblStylePr w:type="firstCol">
      <w:rPr>
        <w:b/>
        <w:bCs/>
      </w:rPr>
    </w:tblStylePr>
    <w:tblStylePr w:type="lastCol">
      <w:rPr>
        <w:b/>
        <w:bCs/>
      </w:rPr>
    </w:tblStylePr>
    <w:tblStylePr w:type="band1Vert">
      <w:tblPr/>
      <w:tcPr>
        <w:shd w:val="clear" w:color="auto" w:fill="B8FFEA" w:themeFill="accent2" w:themeFillTint="33"/>
      </w:tcPr>
    </w:tblStylePr>
    <w:tblStylePr w:type="band1Horz">
      <w:tblPr/>
      <w:tcPr>
        <w:shd w:val="clear" w:color="auto" w:fill="B8FFEA" w:themeFill="accent2" w:themeFillTint="33"/>
      </w:tcPr>
    </w:tblStylePr>
  </w:style>
  <w:style w:type="table" w:styleId="ListTable6Colorful-Accent3">
    <w:name w:val="List Table 6 Colorful Accent 3"/>
    <w:basedOn w:val="TableNormal"/>
    <w:uiPriority w:val="51"/>
    <w:rsid w:val="006431F9"/>
    <w:pPr>
      <w:spacing w:after="0" w:line="240" w:lineRule="auto"/>
    </w:pPr>
    <w:rPr>
      <w:color w:val="B3C658" w:themeColor="accent3" w:themeShade="BF"/>
    </w:rPr>
    <w:tblPr>
      <w:tblStyleRowBandSize w:val="1"/>
      <w:tblStyleColBandSize w:val="1"/>
      <w:tblBorders>
        <w:top w:val="single" w:sz="4" w:space="0" w:color="D4DFA0" w:themeColor="accent3"/>
        <w:bottom w:val="single" w:sz="4" w:space="0" w:color="D4DFA0" w:themeColor="accent3"/>
      </w:tblBorders>
    </w:tblPr>
    <w:tblStylePr w:type="firstRow">
      <w:rPr>
        <w:b/>
        <w:bCs/>
      </w:rPr>
      <w:tblPr/>
      <w:tcPr>
        <w:tcBorders>
          <w:bottom w:val="single" w:sz="4" w:space="0" w:color="D4DFA0" w:themeColor="accent3"/>
        </w:tcBorders>
      </w:tcPr>
    </w:tblStylePr>
    <w:tblStylePr w:type="lastRow">
      <w:rPr>
        <w:b/>
        <w:bCs/>
      </w:rPr>
      <w:tblPr/>
      <w:tcPr>
        <w:tcBorders>
          <w:top w:val="double" w:sz="4" w:space="0" w:color="D4DFA0" w:themeColor="accent3"/>
        </w:tcBorders>
      </w:tcPr>
    </w:tblStylePr>
    <w:tblStylePr w:type="firstCol">
      <w:rPr>
        <w:b/>
        <w:bCs/>
      </w:rPr>
    </w:tblStylePr>
    <w:tblStylePr w:type="lastCol">
      <w:rPr>
        <w:b/>
        <w:bCs/>
      </w:rPr>
    </w:tblStylePr>
    <w:tblStylePr w:type="band1Vert">
      <w:tblPr/>
      <w:tcPr>
        <w:shd w:val="clear" w:color="auto" w:fill="F6F8EB" w:themeFill="accent3" w:themeFillTint="33"/>
      </w:tcPr>
    </w:tblStylePr>
    <w:tblStylePr w:type="band1Horz">
      <w:tblPr/>
      <w:tcPr>
        <w:shd w:val="clear" w:color="auto" w:fill="F6F8EB" w:themeFill="accent3" w:themeFillTint="33"/>
      </w:tcPr>
    </w:tblStylePr>
  </w:style>
  <w:style w:type="table" w:styleId="ListTable6Colorful-Accent4">
    <w:name w:val="List Table 6 Colorful Accent 4"/>
    <w:basedOn w:val="TableNormal"/>
    <w:uiPriority w:val="51"/>
    <w:rsid w:val="006431F9"/>
    <w:pPr>
      <w:spacing w:after="0" w:line="240" w:lineRule="auto"/>
    </w:pPr>
    <w:rPr>
      <w:color w:val="668D1A" w:themeColor="accent4" w:themeShade="BF"/>
    </w:rPr>
    <w:tblPr>
      <w:tblStyleRowBandSize w:val="1"/>
      <w:tblStyleColBandSize w:val="1"/>
      <w:tblBorders>
        <w:top w:val="single" w:sz="4" w:space="0" w:color="89BD23" w:themeColor="accent4"/>
        <w:bottom w:val="single" w:sz="4" w:space="0" w:color="89BD23" w:themeColor="accent4"/>
      </w:tblBorders>
    </w:tblPr>
    <w:tblStylePr w:type="firstRow">
      <w:rPr>
        <w:b/>
        <w:bCs/>
      </w:rPr>
      <w:tblPr/>
      <w:tcPr>
        <w:tcBorders>
          <w:bottom w:val="single" w:sz="4" w:space="0" w:color="89BD23" w:themeColor="accent4"/>
        </w:tcBorders>
      </w:tcPr>
    </w:tblStylePr>
    <w:tblStylePr w:type="lastRow">
      <w:rPr>
        <w:b/>
        <w:bCs/>
      </w:rPr>
      <w:tblPr/>
      <w:tcPr>
        <w:tcBorders>
          <w:top w:val="double" w:sz="4" w:space="0" w:color="89BD23" w:themeColor="accent4"/>
        </w:tcBorders>
      </w:tcPr>
    </w:tblStylePr>
    <w:tblStylePr w:type="firstCol">
      <w:rPr>
        <w:b/>
        <w:bCs/>
      </w:rPr>
    </w:tblStylePr>
    <w:tblStylePr w:type="lastCol">
      <w:rPr>
        <w:b/>
        <w:bCs/>
      </w:rPr>
    </w:tblStylePr>
    <w:tblStylePr w:type="band1Vert">
      <w:tblPr/>
      <w:tcPr>
        <w:shd w:val="clear" w:color="auto" w:fill="E8F6CE" w:themeFill="accent4" w:themeFillTint="33"/>
      </w:tcPr>
    </w:tblStylePr>
    <w:tblStylePr w:type="band1Horz">
      <w:tblPr/>
      <w:tcPr>
        <w:shd w:val="clear" w:color="auto" w:fill="E8F6CE" w:themeFill="accent4" w:themeFillTint="33"/>
      </w:tcPr>
    </w:tblStylePr>
  </w:style>
  <w:style w:type="table" w:styleId="ListTable6Colorful-Accent5">
    <w:name w:val="List Table 6 Colorful Accent 5"/>
    <w:basedOn w:val="TableNormal"/>
    <w:uiPriority w:val="51"/>
    <w:rsid w:val="006431F9"/>
    <w:pPr>
      <w:spacing w:after="0" w:line="240" w:lineRule="auto"/>
    </w:pPr>
    <w:rPr>
      <w:color w:val="7EB93D" w:themeColor="accent5" w:themeShade="BF"/>
    </w:rPr>
    <w:tblPr>
      <w:tblStyleRowBandSize w:val="1"/>
      <w:tblStyleColBandSize w:val="1"/>
      <w:tblBorders>
        <w:top w:val="single" w:sz="4" w:space="0" w:color="A7D278" w:themeColor="accent5"/>
        <w:bottom w:val="single" w:sz="4" w:space="0" w:color="A7D278" w:themeColor="accent5"/>
      </w:tblBorders>
    </w:tblPr>
    <w:tblStylePr w:type="firstRow">
      <w:rPr>
        <w:b/>
        <w:bCs/>
      </w:rPr>
      <w:tblPr/>
      <w:tcPr>
        <w:tcBorders>
          <w:bottom w:val="single" w:sz="4" w:space="0" w:color="A7D278" w:themeColor="accent5"/>
        </w:tcBorders>
      </w:tcPr>
    </w:tblStylePr>
    <w:tblStylePr w:type="lastRow">
      <w:rPr>
        <w:b/>
        <w:bCs/>
      </w:rPr>
      <w:tblPr/>
      <w:tcPr>
        <w:tcBorders>
          <w:top w:val="double" w:sz="4" w:space="0" w:color="A7D278" w:themeColor="accent5"/>
        </w:tcBorders>
      </w:tcPr>
    </w:tblStylePr>
    <w:tblStylePr w:type="firstCol">
      <w:rPr>
        <w:b/>
        <w:bCs/>
      </w:rPr>
    </w:tblStylePr>
    <w:tblStylePr w:type="lastCol">
      <w:rPr>
        <w:b/>
        <w:bCs/>
      </w:rPr>
    </w:tblStylePr>
    <w:tblStylePr w:type="band1Vert">
      <w:tblPr/>
      <w:tcPr>
        <w:shd w:val="clear" w:color="auto" w:fill="EDF6E4" w:themeFill="accent5" w:themeFillTint="33"/>
      </w:tcPr>
    </w:tblStylePr>
    <w:tblStylePr w:type="band1Horz">
      <w:tblPr/>
      <w:tcPr>
        <w:shd w:val="clear" w:color="auto" w:fill="EDF6E4" w:themeFill="accent5" w:themeFillTint="33"/>
      </w:tcPr>
    </w:tblStylePr>
  </w:style>
  <w:style w:type="table" w:styleId="ListTable6Colorful-Accent6">
    <w:name w:val="List Table 6 Colorful Accent 6"/>
    <w:basedOn w:val="TableNormal"/>
    <w:uiPriority w:val="51"/>
    <w:rsid w:val="006431F9"/>
    <w:pPr>
      <w:spacing w:after="0" w:line="240" w:lineRule="auto"/>
    </w:pPr>
    <w:rPr>
      <w:color w:val="9AC963" w:themeColor="accent6" w:themeShade="BF"/>
    </w:rPr>
    <w:tblPr>
      <w:tblStyleRowBandSize w:val="1"/>
      <w:tblStyleColBandSize w:val="1"/>
      <w:tblBorders>
        <w:top w:val="single" w:sz="4" w:space="0" w:color="CBE3AE" w:themeColor="accent6"/>
        <w:bottom w:val="single" w:sz="4" w:space="0" w:color="CBE3AE" w:themeColor="accent6"/>
      </w:tblBorders>
    </w:tblPr>
    <w:tblStylePr w:type="firstRow">
      <w:rPr>
        <w:b/>
        <w:bCs/>
      </w:rPr>
      <w:tblPr/>
      <w:tcPr>
        <w:tcBorders>
          <w:bottom w:val="single" w:sz="4" w:space="0" w:color="CBE3AE" w:themeColor="accent6"/>
        </w:tcBorders>
      </w:tcPr>
    </w:tblStylePr>
    <w:tblStylePr w:type="lastRow">
      <w:rPr>
        <w:b/>
        <w:bCs/>
      </w:rPr>
      <w:tblPr/>
      <w:tcPr>
        <w:tcBorders>
          <w:top w:val="double" w:sz="4" w:space="0" w:color="CBE3AE" w:themeColor="accent6"/>
        </w:tcBorders>
      </w:tcPr>
    </w:tblStylePr>
    <w:tblStylePr w:type="firstCol">
      <w:rPr>
        <w:b/>
        <w:bCs/>
      </w:rPr>
    </w:tblStylePr>
    <w:tblStylePr w:type="lastCol">
      <w:rPr>
        <w:b/>
        <w:bCs/>
      </w:rPr>
    </w:tblStylePr>
    <w:tblStylePr w:type="band1Vert">
      <w:tblPr/>
      <w:tcPr>
        <w:shd w:val="clear" w:color="auto" w:fill="F4F9EE" w:themeFill="accent6" w:themeFillTint="33"/>
      </w:tcPr>
    </w:tblStylePr>
    <w:tblStylePr w:type="band1Horz">
      <w:tblPr/>
      <w:tcPr>
        <w:shd w:val="clear" w:color="auto" w:fill="F4F9EE" w:themeFill="accent6" w:themeFillTint="33"/>
      </w:tcPr>
    </w:tblStylePr>
  </w:style>
  <w:style w:type="table" w:styleId="ListTable7Colo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431F9"/>
    <w:pPr>
      <w:spacing w:after="0" w:line="240" w:lineRule="auto"/>
    </w:pPr>
    <w:rPr>
      <w:color w:val="61932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C34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C34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C34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C341" w:themeColor="accent1"/>
        </w:tcBorders>
        <w:shd w:val="clear" w:color="auto" w:fill="FFFFFF" w:themeFill="background1"/>
      </w:tcPr>
    </w:tblStylePr>
    <w:tblStylePr w:type="band1Vert">
      <w:tblPr/>
      <w:tcPr>
        <w:shd w:val="clear" w:color="auto" w:fill="E5F3D9" w:themeFill="accent1" w:themeFillTint="33"/>
      </w:tcPr>
    </w:tblStylePr>
    <w:tblStylePr w:type="band1Horz">
      <w:tblPr/>
      <w:tcPr>
        <w:shd w:val="clear" w:color="auto" w:fill="E5F3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431F9"/>
    <w:pPr>
      <w:spacing w:after="0" w:line="240" w:lineRule="auto"/>
    </w:pPr>
    <w:rPr>
      <w:color w:val="0075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70" w:themeColor="accent2"/>
        </w:tcBorders>
        <w:shd w:val="clear" w:color="auto" w:fill="FFFFFF" w:themeFill="background1"/>
      </w:tcPr>
    </w:tblStylePr>
    <w:tblStylePr w:type="band1Vert">
      <w:tblPr/>
      <w:tcPr>
        <w:shd w:val="clear" w:color="auto" w:fill="B8FFEA" w:themeFill="accent2" w:themeFillTint="33"/>
      </w:tcPr>
    </w:tblStylePr>
    <w:tblStylePr w:type="band1Horz">
      <w:tblPr/>
      <w:tcPr>
        <w:shd w:val="clear" w:color="auto" w:fill="B8FFE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431F9"/>
    <w:pPr>
      <w:spacing w:after="0" w:line="240" w:lineRule="auto"/>
    </w:pPr>
    <w:rPr>
      <w:color w:val="B3C65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FA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FA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FA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FA0" w:themeColor="accent3"/>
        </w:tcBorders>
        <w:shd w:val="clear" w:color="auto" w:fill="FFFFFF" w:themeFill="background1"/>
      </w:tcPr>
    </w:tblStylePr>
    <w:tblStylePr w:type="band1Vert">
      <w:tblPr/>
      <w:tcPr>
        <w:shd w:val="clear" w:color="auto" w:fill="F6F8EB" w:themeFill="accent3" w:themeFillTint="33"/>
      </w:tcPr>
    </w:tblStylePr>
    <w:tblStylePr w:type="band1Horz">
      <w:tblPr/>
      <w:tcPr>
        <w:shd w:val="clear" w:color="auto" w:fill="F6F8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431F9"/>
    <w:pPr>
      <w:spacing w:after="0" w:line="240" w:lineRule="auto"/>
    </w:pPr>
    <w:rPr>
      <w:color w:val="668D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BD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BD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BD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BD23" w:themeColor="accent4"/>
        </w:tcBorders>
        <w:shd w:val="clear" w:color="auto" w:fill="FFFFFF" w:themeFill="background1"/>
      </w:tcPr>
    </w:tblStylePr>
    <w:tblStylePr w:type="band1Vert">
      <w:tblPr/>
      <w:tcPr>
        <w:shd w:val="clear" w:color="auto" w:fill="E8F6CE" w:themeFill="accent4" w:themeFillTint="33"/>
      </w:tcPr>
    </w:tblStylePr>
    <w:tblStylePr w:type="band1Horz">
      <w:tblPr/>
      <w:tcPr>
        <w:shd w:val="clear" w:color="auto" w:fill="E8F6C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431F9"/>
    <w:pPr>
      <w:spacing w:after="0" w:line="240" w:lineRule="auto"/>
    </w:pPr>
    <w:rPr>
      <w:color w:val="7EB93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D2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D2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D2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D278" w:themeColor="accent5"/>
        </w:tcBorders>
        <w:shd w:val="clear" w:color="auto" w:fill="FFFFFF" w:themeFill="background1"/>
      </w:tcPr>
    </w:tblStylePr>
    <w:tblStylePr w:type="band1Vert">
      <w:tblPr/>
      <w:tcPr>
        <w:shd w:val="clear" w:color="auto" w:fill="EDF6E4" w:themeFill="accent5" w:themeFillTint="33"/>
      </w:tcPr>
    </w:tblStylePr>
    <w:tblStylePr w:type="band1Horz">
      <w:tblPr/>
      <w:tcPr>
        <w:shd w:val="clear" w:color="auto" w:fill="EDF6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431F9"/>
    <w:pPr>
      <w:spacing w:after="0" w:line="240" w:lineRule="auto"/>
    </w:pPr>
    <w:rPr>
      <w:color w:val="9AC96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E3A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E3A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E3A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E3AE" w:themeColor="accent6"/>
        </w:tcBorders>
        <w:shd w:val="clear" w:color="auto" w:fill="FFFFFF" w:themeFill="background1"/>
      </w:tcPr>
    </w:tblStylePr>
    <w:tblStylePr w:type="band1Vert">
      <w:tblPr/>
      <w:tcPr>
        <w:shd w:val="clear" w:color="auto" w:fill="F4F9EE" w:themeFill="accent6" w:themeFillTint="33"/>
      </w:tcPr>
    </w:tblStylePr>
    <w:tblStylePr w:type="band1Horz">
      <w:tblPr/>
      <w:tcPr>
        <w:shd w:val="clear" w:color="auto" w:fill="F4F9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insideV w:val="single" w:sz="8" w:space="0" w:color="A1D270" w:themeColor="accent1" w:themeTint="BF"/>
      </w:tblBorders>
    </w:tblPr>
    <w:tcPr>
      <w:shd w:val="clear" w:color="auto" w:fill="DFF0CF" w:themeFill="accent1" w:themeFillTint="3F"/>
    </w:tcPr>
    <w:tblStylePr w:type="firstRow">
      <w:rPr>
        <w:b/>
        <w:bCs/>
      </w:rPr>
    </w:tblStylePr>
    <w:tblStylePr w:type="lastRow">
      <w:rPr>
        <w:b/>
        <w:bCs/>
      </w:rPr>
      <w:tblPr/>
      <w:tcPr>
        <w:tcBorders>
          <w:top w:val="single" w:sz="18" w:space="0" w:color="A1D270" w:themeColor="accent1" w:themeTint="BF"/>
        </w:tcBorders>
      </w:tcPr>
    </w:tblStylePr>
    <w:tblStylePr w:type="firstCol">
      <w:rPr>
        <w:b/>
        <w:bCs/>
      </w:rPr>
    </w:tblStylePr>
    <w:tblStylePr w:type="lastCol">
      <w:rPr>
        <w:b/>
        <w:bCs/>
      </w:rPr>
    </w:tblStylePr>
    <w:tblStylePr w:type="band1Vert">
      <w:tblPr/>
      <w:tcPr>
        <w:shd w:val="clear" w:color="auto" w:fill="C0E1A0" w:themeFill="accent1" w:themeFillTint="7F"/>
      </w:tcPr>
    </w:tblStylePr>
    <w:tblStylePr w:type="band1Horz">
      <w:tblPr/>
      <w:tcPr>
        <w:shd w:val="clear" w:color="auto" w:fill="C0E1A0"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insideV w:val="single" w:sz="8" w:space="0" w:color="00F5AE" w:themeColor="accent2" w:themeTint="BF"/>
      </w:tblBorders>
    </w:tblPr>
    <w:tcPr>
      <w:shd w:val="clear" w:color="auto" w:fill="A7FFE5" w:themeFill="accent2" w:themeFillTint="3F"/>
    </w:tcPr>
    <w:tblStylePr w:type="firstRow">
      <w:rPr>
        <w:b/>
        <w:bCs/>
      </w:rPr>
    </w:tblStylePr>
    <w:tblStylePr w:type="lastRow">
      <w:rPr>
        <w:b/>
        <w:bCs/>
      </w:rPr>
      <w:tblPr/>
      <w:tcPr>
        <w:tcBorders>
          <w:top w:val="single" w:sz="18" w:space="0" w:color="00F5AE" w:themeColor="accent2" w:themeTint="BF"/>
        </w:tcBorders>
      </w:tcPr>
    </w:tblStylePr>
    <w:tblStylePr w:type="firstCol">
      <w:rPr>
        <w:b/>
        <w:bCs/>
      </w:rPr>
    </w:tblStylePr>
    <w:tblStylePr w:type="lastCol">
      <w:rPr>
        <w:b/>
        <w:bCs/>
      </w:rPr>
    </w:tblStylePr>
    <w:tblStylePr w:type="band1Vert">
      <w:tblPr/>
      <w:tcPr>
        <w:shd w:val="clear" w:color="auto" w:fill="4FFFCB" w:themeFill="accent2" w:themeFillTint="7F"/>
      </w:tcPr>
    </w:tblStylePr>
    <w:tblStylePr w:type="band1Horz">
      <w:tblPr/>
      <w:tcPr>
        <w:shd w:val="clear" w:color="auto" w:fill="4FFFCB"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insideV w:val="single" w:sz="8" w:space="0" w:color="DEE7B7" w:themeColor="accent3" w:themeTint="BF"/>
      </w:tblBorders>
    </w:tblPr>
    <w:tcPr>
      <w:shd w:val="clear" w:color="auto" w:fill="F4F7E7" w:themeFill="accent3" w:themeFillTint="3F"/>
    </w:tcPr>
    <w:tblStylePr w:type="firstRow">
      <w:rPr>
        <w:b/>
        <w:bCs/>
      </w:rPr>
    </w:tblStylePr>
    <w:tblStylePr w:type="lastRow">
      <w:rPr>
        <w:b/>
        <w:bCs/>
      </w:rPr>
      <w:tblPr/>
      <w:tcPr>
        <w:tcBorders>
          <w:top w:val="single" w:sz="18" w:space="0" w:color="DEE7B7" w:themeColor="accent3" w:themeTint="BF"/>
        </w:tcBorders>
      </w:tcPr>
    </w:tblStylePr>
    <w:tblStylePr w:type="firstCol">
      <w:rPr>
        <w:b/>
        <w:bCs/>
      </w:rPr>
    </w:tblStylePr>
    <w:tblStylePr w:type="lastCol">
      <w:rPr>
        <w:b/>
        <w:bCs/>
      </w:rPr>
    </w:tblStylePr>
    <w:tblStylePr w:type="band1Vert">
      <w:tblPr/>
      <w:tcPr>
        <w:shd w:val="clear" w:color="auto" w:fill="E9EFCF" w:themeFill="accent3" w:themeFillTint="7F"/>
      </w:tcPr>
    </w:tblStylePr>
    <w:tblStylePr w:type="band1Horz">
      <w:tblPr/>
      <w:tcPr>
        <w:shd w:val="clear" w:color="auto" w:fill="E9EFCF"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insideV w:val="single" w:sz="8" w:space="0" w:color="ABDD4A" w:themeColor="accent4" w:themeTint="BF"/>
      </w:tblBorders>
    </w:tblPr>
    <w:tcPr>
      <w:shd w:val="clear" w:color="auto" w:fill="E3F4C3" w:themeFill="accent4" w:themeFillTint="3F"/>
    </w:tcPr>
    <w:tblStylePr w:type="firstRow">
      <w:rPr>
        <w:b/>
        <w:bCs/>
      </w:rPr>
    </w:tblStylePr>
    <w:tblStylePr w:type="lastRow">
      <w:rPr>
        <w:b/>
        <w:bCs/>
      </w:rPr>
      <w:tblPr/>
      <w:tcPr>
        <w:tcBorders>
          <w:top w:val="single" w:sz="18" w:space="0" w:color="ABDD4A" w:themeColor="accent4" w:themeTint="BF"/>
        </w:tcBorders>
      </w:tcPr>
    </w:tblStylePr>
    <w:tblStylePr w:type="firstCol">
      <w:rPr>
        <w:b/>
        <w:bCs/>
      </w:rPr>
    </w:tblStylePr>
    <w:tblStylePr w:type="lastCol">
      <w:rPr>
        <w:b/>
        <w:bCs/>
      </w:rPr>
    </w:tblStylePr>
    <w:tblStylePr w:type="band1Vert">
      <w:tblPr/>
      <w:tcPr>
        <w:shd w:val="clear" w:color="auto" w:fill="C7E886" w:themeFill="accent4" w:themeFillTint="7F"/>
      </w:tcPr>
    </w:tblStylePr>
    <w:tblStylePr w:type="band1Horz">
      <w:tblPr/>
      <w:tcPr>
        <w:shd w:val="clear" w:color="auto" w:fill="C7E886"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insideV w:val="single" w:sz="8" w:space="0" w:color="BCDD99" w:themeColor="accent5" w:themeTint="BF"/>
      </w:tblBorders>
    </w:tblPr>
    <w:tcPr>
      <w:shd w:val="clear" w:color="auto" w:fill="E9F3DD" w:themeFill="accent5" w:themeFillTint="3F"/>
    </w:tcPr>
    <w:tblStylePr w:type="firstRow">
      <w:rPr>
        <w:b/>
        <w:bCs/>
      </w:rPr>
    </w:tblStylePr>
    <w:tblStylePr w:type="lastRow">
      <w:rPr>
        <w:b/>
        <w:bCs/>
      </w:rPr>
      <w:tblPr/>
      <w:tcPr>
        <w:tcBorders>
          <w:top w:val="single" w:sz="18" w:space="0" w:color="BCDD99" w:themeColor="accent5" w:themeTint="BF"/>
        </w:tcBorders>
      </w:tcPr>
    </w:tblStylePr>
    <w:tblStylePr w:type="firstCol">
      <w:rPr>
        <w:b/>
        <w:bCs/>
      </w:rPr>
    </w:tblStylePr>
    <w:tblStylePr w:type="lastCol">
      <w:rPr>
        <w:b/>
        <w:bCs/>
      </w:rPr>
    </w:tblStylePr>
    <w:tblStylePr w:type="band1Vert">
      <w:tblPr/>
      <w:tcPr>
        <w:shd w:val="clear" w:color="auto" w:fill="D3E8BB" w:themeFill="accent5" w:themeFillTint="7F"/>
      </w:tcPr>
    </w:tblStylePr>
    <w:tblStylePr w:type="band1Horz">
      <w:tblPr/>
      <w:tcPr>
        <w:shd w:val="clear" w:color="auto" w:fill="D3E8BB"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insideV w:val="single" w:sz="8" w:space="0" w:color="D7EAC2" w:themeColor="accent6" w:themeTint="BF"/>
      </w:tblBorders>
    </w:tblPr>
    <w:tcPr>
      <w:shd w:val="clear" w:color="auto" w:fill="F2F8EA" w:themeFill="accent6" w:themeFillTint="3F"/>
    </w:tcPr>
    <w:tblStylePr w:type="firstRow">
      <w:rPr>
        <w:b/>
        <w:bCs/>
      </w:rPr>
    </w:tblStylePr>
    <w:tblStylePr w:type="lastRow">
      <w:rPr>
        <w:b/>
        <w:bCs/>
      </w:rPr>
      <w:tblPr/>
      <w:tcPr>
        <w:tcBorders>
          <w:top w:val="single" w:sz="18" w:space="0" w:color="D7EAC2" w:themeColor="accent6" w:themeTint="BF"/>
        </w:tcBorders>
      </w:tcPr>
    </w:tblStylePr>
    <w:tblStylePr w:type="firstCol">
      <w:rPr>
        <w:b/>
        <w:bCs/>
      </w:rPr>
    </w:tblStylePr>
    <w:tblStylePr w:type="lastCol">
      <w:rPr>
        <w:b/>
        <w:bCs/>
      </w:rPr>
    </w:tblStylePr>
    <w:tblStylePr w:type="band1Vert">
      <w:tblPr/>
      <w:tcPr>
        <w:shd w:val="clear" w:color="auto" w:fill="E5F1D6" w:themeFill="accent6" w:themeFillTint="7F"/>
      </w:tcPr>
    </w:tblStylePr>
    <w:tblStylePr w:type="band1Horz">
      <w:tblPr/>
      <w:tcPr>
        <w:shd w:val="clear" w:color="auto" w:fill="E5F1D6"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insideH w:val="single" w:sz="8" w:space="0" w:color="82C341" w:themeColor="accent1"/>
        <w:insideV w:val="single" w:sz="8" w:space="0" w:color="82C341" w:themeColor="accent1"/>
      </w:tblBorders>
    </w:tblPr>
    <w:tcPr>
      <w:shd w:val="clear" w:color="auto" w:fill="DFF0CF" w:themeFill="accent1" w:themeFillTint="3F"/>
    </w:tcPr>
    <w:tblStylePr w:type="firstRow">
      <w:rPr>
        <w:b/>
        <w:bCs/>
        <w:color w:val="000000" w:themeColor="text1"/>
      </w:rPr>
      <w:tblPr/>
      <w:tcPr>
        <w:shd w:val="clear" w:color="auto" w:fill="F2F9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3D9" w:themeFill="accent1" w:themeFillTint="33"/>
      </w:tcPr>
    </w:tblStylePr>
    <w:tblStylePr w:type="band1Vert">
      <w:tblPr/>
      <w:tcPr>
        <w:shd w:val="clear" w:color="auto" w:fill="C0E1A0" w:themeFill="accent1" w:themeFillTint="7F"/>
      </w:tcPr>
    </w:tblStylePr>
    <w:tblStylePr w:type="band1Horz">
      <w:tblPr/>
      <w:tcPr>
        <w:tcBorders>
          <w:insideH w:val="single" w:sz="6" w:space="0" w:color="82C341" w:themeColor="accent1"/>
          <w:insideV w:val="single" w:sz="6" w:space="0" w:color="82C341" w:themeColor="accent1"/>
        </w:tcBorders>
        <w:shd w:val="clear" w:color="auto" w:fill="C0E1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insideH w:val="single" w:sz="8" w:space="0" w:color="009D70" w:themeColor="accent2"/>
        <w:insideV w:val="single" w:sz="8" w:space="0" w:color="009D70" w:themeColor="accent2"/>
      </w:tblBorders>
    </w:tblPr>
    <w:tcPr>
      <w:shd w:val="clear" w:color="auto" w:fill="A7FFE5" w:themeFill="accent2" w:themeFillTint="3F"/>
    </w:tcPr>
    <w:tblStylePr w:type="firstRow">
      <w:rPr>
        <w:b/>
        <w:bCs/>
        <w:color w:val="000000" w:themeColor="text1"/>
      </w:rPr>
      <w:tblPr/>
      <w:tcPr>
        <w:shd w:val="clear" w:color="auto" w:fill="DCFF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EA" w:themeFill="accent2" w:themeFillTint="33"/>
      </w:tcPr>
    </w:tblStylePr>
    <w:tblStylePr w:type="band1Vert">
      <w:tblPr/>
      <w:tcPr>
        <w:shd w:val="clear" w:color="auto" w:fill="4FFFCB" w:themeFill="accent2" w:themeFillTint="7F"/>
      </w:tcPr>
    </w:tblStylePr>
    <w:tblStylePr w:type="band1Horz">
      <w:tblPr/>
      <w:tcPr>
        <w:tcBorders>
          <w:insideH w:val="single" w:sz="6" w:space="0" w:color="009D70" w:themeColor="accent2"/>
          <w:insideV w:val="single" w:sz="6" w:space="0" w:color="009D70" w:themeColor="accent2"/>
        </w:tcBorders>
        <w:shd w:val="clear" w:color="auto" w:fill="4FFFC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insideH w:val="single" w:sz="8" w:space="0" w:color="D4DFA0" w:themeColor="accent3"/>
        <w:insideV w:val="single" w:sz="8" w:space="0" w:color="D4DFA0" w:themeColor="accent3"/>
      </w:tblBorders>
    </w:tblPr>
    <w:tcPr>
      <w:shd w:val="clear" w:color="auto" w:fill="F4F7E7" w:themeFill="accent3" w:themeFillTint="3F"/>
    </w:tcPr>
    <w:tblStylePr w:type="firstRow">
      <w:rPr>
        <w:b/>
        <w:bCs/>
        <w:color w:val="000000" w:themeColor="text1"/>
      </w:rPr>
      <w:tblPr/>
      <w:tcPr>
        <w:shd w:val="clear" w:color="auto" w:fill="FAFB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EB" w:themeFill="accent3" w:themeFillTint="33"/>
      </w:tcPr>
    </w:tblStylePr>
    <w:tblStylePr w:type="band1Vert">
      <w:tblPr/>
      <w:tcPr>
        <w:shd w:val="clear" w:color="auto" w:fill="E9EFCF" w:themeFill="accent3" w:themeFillTint="7F"/>
      </w:tcPr>
    </w:tblStylePr>
    <w:tblStylePr w:type="band1Horz">
      <w:tblPr/>
      <w:tcPr>
        <w:tcBorders>
          <w:insideH w:val="single" w:sz="6" w:space="0" w:color="D4DFA0" w:themeColor="accent3"/>
          <w:insideV w:val="single" w:sz="6" w:space="0" w:color="D4DFA0" w:themeColor="accent3"/>
        </w:tcBorders>
        <w:shd w:val="clear" w:color="auto" w:fill="E9EF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insideH w:val="single" w:sz="8" w:space="0" w:color="89BD23" w:themeColor="accent4"/>
        <w:insideV w:val="single" w:sz="8" w:space="0" w:color="89BD23" w:themeColor="accent4"/>
      </w:tblBorders>
    </w:tblPr>
    <w:tcPr>
      <w:shd w:val="clear" w:color="auto" w:fill="E3F4C3" w:themeFill="accent4" w:themeFillTint="3F"/>
    </w:tcPr>
    <w:tblStylePr w:type="firstRow">
      <w:rPr>
        <w:b/>
        <w:bCs/>
        <w:color w:val="000000" w:themeColor="text1"/>
      </w:rPr>
      <w:tblPr/>
      <w:tcPr>
        <w:shd w:val="clear" w:color="auto" w:fill="F3FA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6CE" w:themeFill="accent4" w:themeFillTint="33"/>
      </w:tcPr>
    </w:tblStylePr>
    <w:tblStylePr w:type="band1Vert">
      <w:tblPr/>
      <w:tcPr>
        <w:shd w:val="clear" w:color="auto" w:fill="C7E886" w:themeFill="accent4" w:themeFillTint="7F"/>
      </w:tcPr>
    </w:tblStylePr>
    <w:tblStylePr w:type="band1Horz">
      <w:tblPr/>
      <w:tcPr>
        <w:tcBorders>
          <w:insideH w:val="single" w:sz="6" w:space="0" w:color="89BD23" w:themeColor="accent4"/>
          <w:insideV w:val="single" w:sz="6" w:space="0" w:color="89BD23" w:themeColor="accent4"/>
        </w:tcBorders>
        <w:shd w:val="clear" w:color="auto" w:fill="C7E8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insideH w:val="single" w:sz="8" w:space="0" w:color="A7D278" w:themeColor="accent5"/>
        <w:insideV w:val="single" w:sz="8" w:space="0" w:color="A7D278" w:themeColor="accent5"/>
      </w:tblBorders>
    </w:tblPr>
    <w:tcPr>
      <w:shd w:val="clear" w:color="auto" w:fill="E9F3DD" w:themeFill="accent5" w:themeFillTint="3F"/>
    </w:tcPr>
    <w:tblStylePr w:type="firstRow">
      <w:rPr>
        <w:b/>
        <w:bCs/>
        <w:color w:val="000000" w:themeColor="text1"/>
      </w:rPr>
      <w:tblPr/>
      <w:tcPr>
        <w:shd w:val="clear" w:color="auto" w:fill="F6FA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6E4" w:themeFill="accent5" w:themeFillTint="33"/>
      </w:tcPr>
    </w:tblStylePr>
    <w:tblStylePr w:type="band1Vert">
      <w:tblPr/>
      <w:tcPr>
        <w:shd w:val="clear" w:color="auto" w:fill="D3E8BB" w:themeFill="accent5" w:themeFillTint="7F"/>
      </w:tcPr>
    </w:tblStylePr>
    <w:tblStylePr w:type="band1Horz">
      <w:tblPr/>
      <w:tcPr>
        <w:tcBorders>
          <w:insideH w:val="single" w:sz="6" w:space="0" w:color="A7D278" w:themeColor="accent5"/>
          <w:insideV w:val="single" w:sz="6" w:space="0" w:color="A7D278" w:themeColor="accent5"/>
        </w:tcBorders>
        <w:shd w:val="clear" w:color="auto" w:fill="D3E8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insideH w:val="single" w:sz="8" w:space="0" w:color="CBE3AE" w:themeColor="accent6"/>
        <w:insideV w:val="single" w:sz="8" w:space="0" w:color="CBE3AE" w:themeColor="accent6"/>
      </w:tblBorders>
    </w:tblPr>
    <w:tcPr>
      <w:shd w:val="clear" w:color="auto" w:fill="F2F8EA" w:themeFill="accent6" w:themeFillTint="3F"/>
    </w:tcPr>
    <w:tblStylePr w:type="firstRow">
      <w:rPr>
        <w:b/>
        <w:bCs/>
        <w:color w:val="000000" w:themeColor="text1"/>
      </w:rPr>
      <w:tblPr/>
      <w:tcPr>
        <w:shd w:val="clear" w:color="auto" w:fill="F9FC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9EE" w:themeFill="accent6" w:themeFillTint="33"/>
      </w:tcPr>
    </w:tblStylePr>
    <w:tblStylePr w:type="band1Vert">
      <w:tblPr/>
      <w:tcPr>
        <w:shd w:val="clear" w:color="auto" w:fill="E5F1D6" w:themeFill="accent6" w:themeFillTint="7F"/>
      </w:tcPr>
    </w:tblStylePr>
    <w:tblStylePr w:type="band1Horz">
      <w:tblPr/>
      <w:tcPr>
        <w:tcBorders>
          <w:insideH w:val="single" w:sz="6" w:space="0" w:color="CBE3AE" w:themeColor="accent6"/>
          <w:insideV w:val="single" w:sz="6" w:space="0" w:color="CBE3AE" w:themeColor="accent6"/>
        </w:tcBorders>
        <w:shd w:val="clear" w:color="auto" w:fill="E5F1D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0C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C34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C34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C34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E1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E1A0"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E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FFC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FFCB"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FA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FA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FA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C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CF"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4C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BD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BD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BD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8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886"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3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D2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D2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D2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8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8BB"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E3A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E3A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E3A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1D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1D6"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4F3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sz="8" w:space="0" w:color="82C341" w:themeColor="accent1"/>
        <w:bottom w:val="single" w:sz="8" w:space="0" w:color="82C341" w:themeColor="accent1"/>
      </w:tblBorders>
    </w:tblPr>
    <w:tblStylePr w:type="firstRow">
      <w:rPr>
        <w:rFonts w:asciiTheme="majorHAnsi" w:eastAsiaTheme="majorEastAsia" w:hAnsiTheme="majorHAnsi" w:cstheme="majorBidi"/>
      </w:rPr>
      <w:tblPr/>
      <w:tcPr>
        <w:tcBorders>
          <w:top w:val="nil"/>
          <w:bottom w:val="single" w:sz="8" w:space="0" w:color="82C341" w:themeColor="accent1"/>
        </w:tcBorders>
      </w:tcPr>
    </w:tblStylePr>
    <w:tblStylePr w:type="lastRow">
      <w:rPr>
        <w:b/>
        <w:bCs/>
        <w:color w:val="164F36" w:themeColor="text2"/>
      </w:rPr>
      <w:tblPr/>
      <w:tcPr>
        <w:tcBorders>
          <w:top w:val="single" w:sz="8" w:space="0" w:color="82C341" w:themeColor="accent1"/>
          <w:bottom w:val="single" w:sz="8" w:space="0" w:color="82C341" w:themeColor="accent1"/>
        </w:tcBorders>
      </w:tcPr>
    </w:tblStylePr>
    <w:tblStylePr w:type="firstCol">
      <w:rPr>
        <w:b/>
        <w:bCs/>
      </w:rPr>
    </w:tblStylePr>
    <w:tblStylePr w:type="lastCol">
      <w:rPr>
        <w:b/>
        <w:bCs/>
      </w:rPr>
      <w:tblPr/>
      <w:tcPr>
        <w:tcBorders>
          <w:top w:val="single" w:sz="8" w:space="0" w:color="82C341" w:themeColor="accent1"/>
          <w:bottom w:val="single" w:sz="8" w:space="0" w:color="82C341" w:themeColor="accent1"/>
        </w:tcBorders>
      </w:tcPr>
    </w:tblStylePr>
    <w:tblStylePr w:type="band1Vert">
      <w:tblPr/>
      <w:tcPr>
        <w:shd w:val="clear" w:color="auto" w:fill="DFF0CF" w:themeFill="accent1" w:themeFillTint="3F"/>
      </w:tcPr>
    </w:tblStylePr>
    <w:tblStylePr w:type="band1Horz">
      <w:tblPr/>
      <w:tcPr>
        <w:shd w:val="clear" w:color="auto" w:fill="DFF0CF"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9D70" w:themeColor="accent2"/>
        <w:bottom w:val="single" w:sz="8" w:space="0" w:color="009D70" w:themeColor="accent2"/>
      </w:tblBorders>
    </w:tblPr>
    <w:tblStylePr w:type="firstRow">
      <w:rPr>
        <w:rFonts w:asciiTheme="majorHAnsi" w:eastAsiaTheme="majorEastAsia" w:hAnsiTheme="majorHAnsi" w:cstheme="majorBidi"/>
      </w:rPr>
      <w:tblPr/>
      <w:tcPr>
        <w:tcBorders>
          <w:top w:val="nil"/>
          <w:bottom w:val="single" w:sz="8" w:space="0" w:color="009D70" w:themeColor="accent2"/>
        </w:tcBorders>
      </w:tcPr>
    </w:tblStylePr>
    <w:tblStylePr w:type="lastRow">
      <w:rPr>
        <w:b/>
        <w:bCs/>
        <w:color w:val="164F36" w:themeColor="text2"/>
      </w:rPr>
      <w:tblPr/>
      <w:tcPr>
        <w:tcBorders>
          <w:top w:val="single" w:sz="8" w:space="0" w:color="009D70" w:themeColor="accent2"/>
          <w:bottom w:val="single" w:sz="8" w:space="0" w:color="009D70" w:themeColor="accent2"/>
        </w:tcBorders>
      </w:tcPr>
    </w:tblStylePr>
    <w:tblStylePr w:type="firstCol">
      <w:rPr>
        <w:b/>
        <w:bCs/>
      </w:rPr>
    </w:tblStylePr>
    <w:tblStylePr w:type="lastCol">
      <w:rPr>
        <w:b/>
        <w:bCs/>
      </w:rPr>
      <w:tblPr/>
      <w:tcPr>
        <w:tcBorders>
          <w:top w:val="single" w:sz="8" w:space="0" w:color="009D70" w:themeColor="accent2"/>
          <w:bottom w:val="single" w:sz="8" w:space="0" w:color="009D70" w:themeColor="accent2"/>
        </w:tcBorders>
      </w:tcPr>
    </w:tblStylePr>
    <w:tblStylePr w:type="band1Vert">
      <w:tblPr/>
      <w:tcPr>
        <w:shd w:val="clear" w:color="auto" w:fill="A7FFE5" w:themeFill="accent2" w:themeFillTint="3F"/>
      </w:tcPr>
    </w:tblStylePr>
    <w:tblStylePr w:type="band1Horz">
      <w:tblPr/>
      <w:tcPr>
        <w:shd w:val="clear" w:color="auto" w:fill="A7FFE5"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D4DFA0" w:themeColor="accent3"/>
        <w:bottom w:val="single" w:sz="8" w:space="0" w:color="D4DFA0" w:themeColor="accent3"/>
      </w:tblBorders>
    </w:tblPr>
    <w:tblStylePr w:type="firstRow">
      <w:rPr>
        <w:rFonts w:asciiTheme="majorHAnsi" w:eastAsiaTheme="majorEastAsia" w:hAnsiTheme="majorHAnsi" w:cstheme="majorBidi"/>
      </w:rPr>
      <w:tblPr/>
      <w:tcPr>
        <w:tcBorders>
          <w:top w:val="nil"/>
          <w:bottom w:val="single" w:sz="8" w:space="0" w:color="D4DFA0" w:themeColor="accent3"/>
        </w:tcBorders>
      </w:tcPr>
    </w:tblStylePr>
    <w:tblStylePr w:type="lastRow">
      <w:rPr>
        <w:b/>
        <w:bCs/>
        <w:color w:val="164F36" w:themeColor="text2"/>
      </w:rPr>
      <w:tblPr/>
      <w:tcPr>
        <w:tcBorders>
          <w:top w:val="single" w:sz="8" w:space="0" w:color="D4DFA0" w:themeColor="accent3"/>
          <w:bottom w:val="single" w:sz="8" w:space="0" w:color="D4DFA0" w:themeColor="accent3"/>
        </w:tcBorders>
      </w:tcPr>
    </w:tblStylePr>
    <w:tblStylePr w:type="firstCol">
      <w:rPr>
        <w:b/>
        <w:bCs/>
      </w:rPr>
    </w:tblStylePr>
    <w:tblStylePr w:type="lastCol">
      <w:rPr>
        <w:b/>
        <w:bCs/>
      </w:rPr>
      <w:tblPr/>
      <w:tcPr>
        <w:tcBorders>
          <w:top w:val="single" w:sz="8" w:space="0" w:color="D4DFA0" w:themeColor="accent3"/>
          <w:bottom w:val="single" w:sz="8" w:space="0" w:color="D4DFA0" w:themeColor="accent3"/>
        </w:tcBorders>
      </w:tcPr>
    </w:tblStylePr>
    <w:tblStylePr w:type="band1Vert">
      <w:tblPr/>
      <w:tcPr>
        <w:shd w:val="clear" w:color="auto" w:fill="F4F7E7" w:themeFill="accent3" w:themeFillTint="3F"/>
      </w:tcPr>
    </w:tblStylePr>
    <w:tblStylePr w:type="band1Horz">
      <w:tblPr/>
      <w:tcPr>
        <w:shd w:val="clear" w:color="auto" w:fill="F4F7E7"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89BD23" w:themeColor="accent4"/>
        <w:bottom w:val="single" w:sz="8" w:space="0" w:color="89BD23" w:themeColor="accent4"/>
      </w:tblBorders>
    </w:tblPr>
    <w:tblStylePr w:type="firstRow">
      <w:rPr>
        <w:rFonts w:asciiTheme="majorHAnsi" w:eastAsiaTheme="majorEastAsia" w:hAnsiTheme="majorHAnsi" w:cstheme="majorBidi"/>
      </w:rPr>
      <w:tblPr/>
      <w:tcPr>
        <w:tcBorders>
          <w:top w:val="nil"/>
          <w:bottom w:val="single" w:sz="8" w:space="0" w:color="89BD23" w:themeColor="accent4"/>
        </w:tcBorders>
      </w:tcPr>
    </w:tblStylePr>
    <w:tblStylePr w:type="lastRow">
      <w:rPr>
        <w:b/>
        <w:bCs/>
        <w:color w:val="164F36" w:themeColor="text2"/>
      </w:rPr>
      <w:tblPr/>
      <w:tcPr>
        <w:tcBorders>
          <w:top w:val="single" w:sz="8" w:space="0" w:color="89BD23" w:themeColor="accent4"/>
          <w:bottom w:val="single" w:sz="8" w:space="0" w:color="89BD23" w:themeColor="accent4"/>
        </w:tcBorders>
      </w:tcPr>
    </w:tblStylePr>
    <w:tblStylePr w:type="firstCol">
      <w:rPr>
        <w:b/>
        <w:bCs/>
      </w:rPr>
    </w:tblStylePr>
    <w:tblStylePr w:type="lastCol">
      <w:rPr>
        <w:b/>
        <w:bCs/>
      </w:rPr>
      <w:tblPr/>
      <w:tcPr>
        <w:tcBorders>
          <w:top w:val="single" w:sz="8" w:space="0" w:color="89BD23" w:themeColor="accent4"/>
          <w:bottom w:val="single" w:sz="8" w:space="0" w:color="89BD23" w:themeColor="accent4"/>
        </w:tcBorders>
      </w:tcPr>
    </w:tblStylePr>
    <w:tblStylePr w:type="band1Vert">
      <w:tblPr/>
      <w:tcPr>
        <w:shd w:val="clear" w:color="auto" w:fill="E3F4C3" w:themeFill="accent4" w:themeFillTint="3F"/>
      </w:tcPr>
    </w:tblStylePr>
    <w:tblStylePr w:type="band1Horz">
      <w:tblPr/>
      <w:tcPr>
        <w:shd w:val="clear" w:color="auto" w:fill="E3F4C3"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A7D278" w:themeColor="accent5"/>
        <w:bottom w:val="single" w:sz="8" w:space="0" w:color="A7D278" w:themeColor="accent5"/>
      </w:tblBorders>
    </w:tblPr>
    <w:tblStylePr w:type="firstRow">
      <w:rPr>
        <w:rFonts w:asciiTheme="majorHAnsi" w:eastAsiaTheme="majorEastAsia" w:hAnsiTheme="majorHAnsi" w:cstheme="majorBidi"/>
      </w:rPr>
      <w:tblPr/>
      <w:tcPr>
        <w:tcBorders>
          <w:top w:val="nil"/>
          <w:bottom w:val="single" w:sz="8" w:space="0" w:color="A7D278" w:themeColor="accent5"/>
        </w:tcBorders>
      </w:tcPr>
    </w:tblStylePr>
    <w:tblStylePr w:type="lastRow">
      <w:rPr>
        <w:b/>
        <w:bCs/>
        <w:color w:val="164F36" w:themeColor="text2"/>
      </w:rPr>
      <w:tblPr/>
      <w:tcPr>
        <w:tcBorders>
          <w:top w:val="single" w:sz="8" w:space="0" w:color="A7D278" w:themeColor="accent5"/>
          <w:bottom w:val="single" w:sz="8" w:space="0" w:color="A7D278" w:themeColor="accent5"/>
        </w:tcBorders>
      </w:tcPr>
    </w:tblStylePr>
    <w:tblStylePr w:type="firstCol">
      <w:rPr>
        <w:b/>
        <w:bCs/>
      </w:rPr>
    </w:tblStylePr>
    <w:tblStylePr w:type="lastCol">
      <w:rPr>
        <w:b/>
        <w:bCs/>
      </w:rPr>
      <w:tblPr/>
      <w:tcPr>
        <w:tcBorders>
          <w:top w:val="single" w:sz="8" w:space="0" w:color="A7D278" w:themeColor="accent5"/>
          <w:bottom w:val="single" w:sz="8" w:space="0" w:color="A7D278" w:themeColor="accent5"/>
        </w:tcBorders>
      </w:tcPr>
    </w:tblStylePr>
    <w:tblStylePr w:type="band1Vert">
      <w:tblPr/>
      <w:tcPr>
        <w:shd w:val="clear" w:color="auto" w:fill="E9F3DD" w:themeFill="accent5" w:themeFillTint="3F"/>
      </w:tcPr>
    </w:tblStylePr>
    <w:tblStylePr w:type="band1Horz">
      <w:tblPr/>
      <w:tcPr>
        <w:shd w:val="clear" w:color="auto" w:fill="E9F3DD"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CBE3AE" w:themeColor="accent6"/>
        <w:bottom w:val="single" w:sz="8" w:space="0" w:color="CBE3AE" w:themeColor="accent6"/>
      </w:tblBorders>
    </w:tblPr>
    <w:tblStylePr w:type="firstRow">
      <w:rPr>
        <w:rFonts w:asciiTheme="majorHAnsi" w:eastAsiaTheme="majorEastAsia" w:hAnsiTheme="majorHAnsi" w:cstheme="majorBidi"/>
      </w:rPr>
      <w:tblPr/>
      <w:tcPr>
        <w:tcBorders>
          <w:top w:val="nil"/>
          <w:bottom w:val="single" w:sz="8" w:space="0" w:color="CBE3AE" w:themeColor="accent6"/>
        </w:tcBorders>
      </w:tcPr>
    </w:tblStylePr>
    <w:tblStylePr w:type="lastRow">
      <w:rPr>
        <w:b/>
        <w:bCs/>
        <w:color w:val="164F36" w:themeColor="text2"/>
      </w:rPr>
      <w:tblPr/>
      <w:tcPr>
        <w:tcBorders>
          <w:top w:val="single" w:sz="8" w:space="0" w:color="CBE3AE" w:themeColor="accent6"/>
          <w:bottom w:val="single" w:sz="8" w:space="0" w:color="CBE3AE" w:themeColor="accent6"/>
        </w:tcBorders>
      </w:tcPr>
    </w:tblStylePr>
    <w:tblStylePr w:type="firstCol">
      <w:rPr>
        <w:b/>
        <w:bCs/>
      </w:rPr>
    </w:tblStylePr>
    <w:tblStylePr w:type="lastCol">
      <w:rPr>
        <w:b/>
        <w:bCs/>
      </w:rPr>
      <w:tblPr/>
      <w:tcPr>
        <w:tcBorders>
          <w:top w:val="single" w:sz="8" w:space="0" w:color="CBE3AE" w:themeColor="accent6"/>
          <w:bottom w:val="single" w:sz="8" w:space="0" w:color="CBE3AE" w:themeColor="accent6"/>
        </w:tcBorders>
      </w:tcPr>
    </w:tblStylePr>
    <w:tblStylePr w:type="band1Vert">
      <w:tblPr/>
      <w:tcPr>
        <w:shd w:val="clear" w:color="auto" w:fill="F2F8EA" w:themeFill="accent6" w:themeFillTint="3F"/>
      </w:tcPr>
    </w:tblStylePr>
    <w:tblStylePr w:type="band1Horz">
      <w:tblPr/>
      <w:tcPr>
        <w:shd w:val="clear" w:color="auto" w:fill="F2F8EA"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C341" w:themeColor="accent1"/>
        <w:left w:val="single" w:sz="8" w:space="0" w:color="82C341" w:themeColor="accent1"/>
        <w:bottom w:val="single" w:sz="8" w:space="0" w:color="82C341" w:themeColor="accent1"/>
        <w:right w:val="single" w:sz="8" w:space="0" w:color="82C341" w:themeColor="accent1"/>
      </w:tblBorders>
    </w:tblPr>
    <w:tblStylePr w:type="firstRow">
      <w:rPr>
        <w:sz w:val="24"/>
        <w:szCs w:val="24"/>
      </w:rPr>
      <w:tblPr/>
      <w:tcPr>
        <w:tcBorders>
          <w:top w:val="nil"/>
          <w:left w:val="nil"/>
          <w:bottom w:val="single" w:sz="24" w:space="0" w:color="82C34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C341" w:themeColor="accent1"/>
          <w:insideH w:val="nil"/>
          <w:insideV w:val="nil"/>
        </w:tcBorders>
        <w:shd w:val="clear" w:color="auto" w:fill="FFFFFF" w:themeFill="background1"/>
      </w:tcPr>
    </w:tblStylePr>
    <w:tblStylePr w:type="lastCol">
      <w:tblPr/>
      <w:tcPr>
        <w:tcBorders>
          <w:top w:val="nil"/>
          <w:left w:val="single" w:sz="8" w:space="0" w:color="82C3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0CF" w:themeFill="accent1" w:themeFillTint="3F"/>
      </w:tcPr>
    </w:tblStylePr>
    <w:tblStylePr w:type="band1Horz">
      <w:tblPr/>
      <w:tcPr>
        <w:tcBorders>
          <w:top w:val="nil"/>
          <w:bottom w:val="nil"/>
          <w:insideH w:val="nil"/>
          <w:insideV w:val="nil"/>
        </w:tcBorders>
        <w:shd w:val="clear" w:color="auto" w:fill="DFF0C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70" w:themeColor="accent2"/>
        <w:left w:val="single" w:sz="8" w:space="0" w:color="009D70" w:themeColor="accent2"/>
        <w:bottom w:val="single" w:sz="8" w:space="0" w:color="009D70" w:themeColor="accent2"/>
        <w:right w:val="single" w:sz="8" w:space="0" w:color="009D70" w:themeColor="accent2"/>
      </w:tblBorders>
    </w:tblPr>
    <w:tblStylePr w:type="firstRow">
      <w:rPr>
        <w:sz w:val="24"/>
        <w:szCs w:val="24"/>
      </w:rPr>
      <w:tblPr/>
      <w:tcPr>
        <w:tcBorders>
          <w:top w:val="nil"/>
          <w:left w:val="nil"/>
          <w:bottom w:val="single" w:sz="24" w:space="0" w:color="009D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70" w:themeColor="accent2"/>
          <w:insideH w:val="nil"/>
          <w:insideV w:val="nil"/>
        </w:tcBorders>
        <w:shd w:val="clear" w:color="auto" w:fill="FFFFFF" w:themeFill="background1"/>
      </w:tcPr>
    </w:tblStylePr>
    <w:tblStylePr w:type="lastCol">
      <w:tblPr/>
      <w:tcPr>
        <w:tcBorders>
          <w:top w:val="nil"/>
          <w:left w:val="single" w:sz="8" w:space="0" w:color="009D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E5" w:themeFill="accent2" w:themeFillTint="3F"/>
      </w:tcPr>
    </w:tblStylePr>
    <w:tblStylePr w:type="band1Horz">
      <w:tblPr/>
      <w:tcPr>
        <w:tcBorders>
          <w:top w:val="nil"/>
          <w:bottom w:val="nil"/>
          <w:insideH w:val="nil"/>
          <w:insideV w:val="nil"/>
        </w:tcBorders>
        <w:shd w:val="clear" w:color="auto" w:fill="A7FFE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4DFA0" w:themeColor="accent3"/>
        <w:left w:val="single" w:sz="8" w:space="0" w:color="D4DFA0" w:themeColor="accent3"/>
        <w:bottom w:val="single" w:sz="8" w:space="0" w:color="D4DFA0" w:themeColor="accent3"/>
        <w:right w:val="single" w:sz="8" w:space="0" w:color="D4DFA0" w:themeColor="accent3"/>
      </w:tblBorders>
    </w:tblPr>
    <w:tblStylePr w:type="firstRow">
      <w:rPr>
        <w:sz w:val="24"/>
        <w:szCs w:val="24"/>
      </w:rPr>
      <w:tblPr/>
      <w:tcPr>
        <w:tcBorders>
          <w:top w:val="nil"/>
          <w:left w:val="nil"/>
          <w:bottom w:val="single" w:sz="24" w:space="0" w:color="D4DFA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FA0" w:themeColor="accent3"/>
          <w:insideH w:val="nil"/>
          <w:insideV w:val="nil"/>
        </w:tcBorders>
        <w:shd w:val="clear" w:color="auto" w:fill="FFFFFF" w:themeFill="background1"/>
      </w:tcPr>
    </w:tblStylePr>
    <w:tblStylePr w:type="lastCol">
      <w:tblPr/>
      <w:tcPr>
        <w:tcBorders>
          <w:top w:val="nil"/>
          <w:left w:val="single" w:sz="8" w:space="0" w:color="D4DFA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E7" w:themeFill="accent3" w:themeFillTint="3F"/>
      </w:tcPr>
    </w:tblStylePr>
    <w:tblStylePr w:type="band1Horz">
      <w:tblPr/>
      <w:tcPr>
        <w:tcBorders>
          <w:top w:val="nil"/>
          <w:bottom w:val="nil"/>
          <w:insideH w:val="nil"/>
          <w:insideV w:val="nil"/>
        </w:tcBorders>
        <w:shd w:val="clear" w:color="auto" w:fill="F4F7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BD23" w:themeColor="accent4"/>
        <w:left w:val="single" w:sz="8" w:space="0" w:color="89BD23" w:themeColor="accent4"/>
        <w:bottom w:val="single" w:sz="8" w:space="0" w:color="89BD23" w:themeColor="accent4"/>
        <w:right w:val="single" w:sz="8" w:space="0" w:color="89BD23" w:themeColor="accent4"/>
      </w:tblBorders>
    </w:tblPr>
    <w:tblStylePr w:type="firstRow">
      <w:rPr>
        <w:sz w:val="24"/>
        <w:szCs w:val="24"/>
      </w:rPr>
      <w:tblPr/>
      <w:tcPr>
        <w:tcBorders>
          <w:top w:val="nil"/>
          <w:left w:val="nil"/>
          <w:bottom w:val="single" w:sz="24" w:space="0" w:color="89BD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BD23" w:themeColor="accent4"/>
          <w:insideH w:val="nil"/>
          <w:insideV w:val="nil"/>
        </w:tcBorders>
        <w:shd w:val="clear" w:color="auto" w:fill="FFFFFF" w:themeFill="background1"/>
      </w:tcPr>
    </w:tblStylePr>
    <w:tblStylePr w:type="lastCol">
      <w:tblPr/>
      <w:tcPr>
        <w:tcBorders>
          <w:top w:val="nil"/>
          <w:left w:val="single" w:sz="8" w:space="0" w:color="89BD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4C3" w:themeFill="accent4" w:themeFillTint="3F"/>
      </w:tcPr>
    </w:tblStylePr>
    <w:tblStylePr w:type="band1Horz">
      <w:tblPr/>
      <w:tcPr>
        <w:tcBorders>
          <w:top w:val="nil"/>
          <w:bottom w:val="nil"/>
          <w:insideH w:val="nil"/>
          <w:insideV w:val="nil"/>
        </w:tcBorders>
        <w:shd w:val="clear" w:color="auto" w:fill="E3F4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278" w:themeColor="accent5"/>
        <w:left w:val="single" w:sz="8" w:space="0" w:color="A7D278" w:themeColor="accent5"/>
        <w:bottom w:val="single" w:sz="8" w:space="0" w:color="A7D278" w:themeColor="accent5"/>
        <w:right w:val="single" w:sz="8" w:space="0" w:color="A7D278" w:themeColor="accent5"/>
      </w:tblBorders>
    </w:tblPr>
    <w:tblStylePr w:type="firstRow">
      <w:rPr>
        <w:sz w:val="24"/>
        <w:szCs w:val="24"/>
      </w:rPr>
      <w:tblPr/>
      <w:tcPr>
        <w:tcBorders>
          <w:top w:val="nil"/>
          <w:left w:val="nil"/>
          <w:bottom w:val="single" w:sz="24" w:space="0" w:color="A7D2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D278" w:themeColor="accent5"/>
          <w:insideH w:val="nil"/>
          <w:insideV w:val="nil"/>
        </w:tcBorders>
        <w:shd w:val="clear" w:color="auto" w:fill="FFFFFF" w:themeFill="background1"/>
      </w:tcPr>
    </w:tblStylePr>
    <w:tblStylePr w:type="lastCol">
      <w:tblPr/>
      <w:tcPr>
        <w:tcBorders>
          <w:top w:val="nil"/>
          <w:left w:val="single" w:sz="8" w:space="0" w:color="A7D2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3DD" w:themeFill="accent5" w:themeFillTint="3F"/>
      </w:tcPr>
    </w:tblStylePr>
    <w:tblStylePr w:type="band1Horz">
      <w:tblPr/>
      <w:tcPr>
        <w:tcBorders>
          <w:top w:val="nil"/>
          <w:bottom w:val="nil"/>
          <w:insideH w:val="nil"/>
          <w:insideV w:val="nil"/>
        </w:tcBorders>
        <w:shd w:val="clear" w:color="auto" w:fill="E9F3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BE3AE" w:themeColor="accent6"/>
        <w:left w:val="single" w:sz="8" w:space="0" w:color="CBE3AE" w:themeColor="accent6"/>
        <w:bottom w:val="single" w:sz="8" w:space="0" w:color="CBE3AE" w:themeColor="accent6"/>
        <w:right w:val="single" w:sz="8" w:space="0" w:color="CBE3AE" w:themeColor="accent6"/>
      </w:tblBorders>
    </w:tblPr>
    <w:tblStylePr w:type="firstRow">
      <w:rPr>
        <w:sz w:val="24"/>
        <w:szCs w:val="24"/>
      </w:rPr>
      <w:tblPr/>
      <w:tcPr>
        <w:tcBorders>
          <w:top w:val="nil"/>
          <w:left w:val="nil"/>
          <w:bottom w:val="single" w:sz="24" w:space="0" w:color="CBE3A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E3AE" w:themeColor="accent6"/>
          <w:insideH w:val="nil"/>
          <w:insideV w:val="nil"/>
        </w:tcBorders>
        <w:shd w:val="clear" w:color="auto" w:fill="FFFFFF" w:themeFill="background1"/>
      </w:tcPr>
    </w:tblStylePr>
    <w:tblStylePr w:type="lastCol">
      <w:tblPr/>
      <w:tcPr>
        <w:tcBorders>
          <w:top w:val="nil"/>
          <w:left w:val="single" w:sz="8" w:space="0" w:color="CBE3A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EA" w:themeFill="accent6" w:themeFillTint="3F"/>
      </w:tcPr>
    </w:tblStylePr>
    <w:tblStylePr w:type="band1Horz">
      <w:tblPr/>
      <w:tcPr>
        <w:tcBorders>
          <w:top w:val="nil"/>
          <w:bottom w:val="nil"/>
          <w:insideH w:val="nil"/>
          <w:insideV w:val="nil"/>
        </w:tcBorders>
        <w:shd w:val="clear" w:color="auto" w:fill="F2F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single" w:sz="8" w:space="0" w:color="A1D270" w:themeColor="accent1" w:themeTint="BF"/>
      </w:tblBorders>
    </w:tblPr>
    <w:tblStylePr w:type="firstRow">
      <w:pPr>
        <w:spacing w:before="0" w:after="0" w:line="240" w:lineRule="auto"/>
      </w:pPr>
      <w:rPr>
        <w:b/>
        <w:bCs/>
        <w:color w:val="FFFFFF" w:themeColor="background1"/>
      </w:rPr>
      <w:tblPr/>
      <w:tcPr>
        <w:tcBorders>
          <w:top w:val="single" w:sz="8"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shd w:val="clear" w:color="auto" w:fill="82C341" w:themeFill="accent1"/>
      </w:tcPr>
    </w:tblStylePr>
    <w:tblStylePr w:type="lastRow">
      <w:pPr>
        <w:spacing w:before="0" w:after="0" w:line="240" w:lineRule="auto"/>
      </w:pPr>
      <w:rPr>
        <w:b/>
        <w:bCs/>
      </w:rPr>
      <w:tblPr/>
      <w:tcPr>
        <w:tcBorders>
          <w:top w:val="double" w:sz="6" w:space="0" w:color="A1D270" w:themeColor="accent1" w:themeTint="BF"/>
          <w:left w:val="single" w:sz="8" w:space="0" w:color="A1D270" w:themeColor="accent1" w:themeTint="BF"/>
          <w:bottom w:val="single" w:sz="8" w:space="0" w:color="A1D270" w:themeColor="accent1" w:themeTint="BF"/>
          <w:right w:val="single" w:sz="8" w:space="0" w:color="A1D270"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F0CF" w:themeFill="accent1" w:themeFillTint="3F"/>
      </w:tcPr>
    </w:tblStylePr>
    <w:tblStylePr w:type="band1Horz">
      <w:tblPr/>
      <w:tcPr>
        <w:tcBorders>
          <w:insideH w:val="nil"/>
          <w:insideV w:val="nil"/>
        </w:tcBorders>
        <w:shd w:val="clear" w:color="auto" w:fill="DFF0C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single" w:sz="8" w:space="0" w:color="00F5AE" w:themeColor="accent2" w:themeTint="BF"/>
      </w:tblBorders>
    </w:tblPr>
    <w:tblStylePr w:type="firstRow">
      <w:pPr>
        <w:spacing w:before="0" w:after="0" w:line="240" w:lineRule="auto"/>
      </w:pPr>
      <w:rPr>
        <w:b/>
        <w:bCs/>
        <w:color w:val="FFFFFF" w:themeColor="background1"/>
      </w:rPr>
      <w:tblPr/>
      <w:tcPr>
        <w:tcBorders>
          <w:top w:val="single" w:sz="8"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shd w:val="clear" w:color="auto" w:fill="009D70" w:themeFill="accent2"/>
      </w:tcPr>
    </w:tblStylePr>
    <w:tblStylePr w:type="lastRow">
      <w:pPr>
        <w:spacing w:before="0" w:after="0" w:line="240" w:lineRule="auto"/>
      </w:pPr>
      <w:rPr>
        <w:b/>
        <w:bCs/>
      </w:rPr>
      <w:tblPr/>
      <w:tcPr>
        <w:tcBorders>
          <w:top w:val="double" w:sz="6" w:space="0" w:color="00F5AE" w:themeColor="accent2" w:themeTint="BF"/>
          <w:left w:val="single" w:sz="8" w:space="0" w:color="00F5AE" w:themeColor="accent2" w:themeTint="BF"/>
          <w:bottom w:val="single" w:sz="8" w:space="0" w:color="00F5AE" w:themeColor="accent2" w:themeTint="BF"/>
          <w:right w:val="single" w:sz="8" w:space="0" w:color="00F5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7FFE5" w:themeFill="accent2" w:themeFillTint="3F"/>
      </w:tcPr>
    </w:tblStylePr>
    <w:tblStylePr w:type="band1Horz">
      <w:tblPr/>
      <w:tcPr>
        <w:tcBorders>
          <w:insideH w:val="nil"/>
          <w:insideV w:val="nil"/>
        </w:tcBorders>
        <w:shd w:val="clear" w:color="auto" w:fill="A7FFE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single" w:sz="8" w:space="0" w:color="DEE7B7" w:themeColor="accent3" w:themeTint="BF"/>
      </w:tblBorders>
    </w:tblPr>
    <w:tblStylePr w:type="firstRow">
      <w:pPr>
        <w:spacing w:before="0" w:after="0" w:line="240" w:lineRule="auto"/>
      </w:pPr>
      <w:rPr>
        <w:b/>
        <w:bCs/>
        <w:color w:val="FFFFFF" w:themeColor="background1"/>
      </w:rPr>
      <w:tblPr/>
      <w:tcPr>
        <w:tcBorders>
          <w:top w:val="single" w:sz="8"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shd w:val="clear" w:color="auto" w:fill="D4DFA0" w:themeFill="accent3"/>
      </w:tcPr>
    </w:tblStylePr>
    <w:tblStylePr w:type="lastRow">
      <w:pPr>
        <w:spacing w:before="0" w:after="0" w:line="240" w:lineRule="auto"/>
      </w:pPr>
      <w:rPr>
        <w:b/>
        <w:bCs/>
      </w:rPr>
      <w:tblPr/>
      <w:tcPr>
        <w:tcBorders>
          <w:top w:val="double" w:sz="6" w:space="0" w:color="DEE7B7" w:themeColor="accent3" w:themeTint="BF"/>
          <w:left w:val="single" w:sz="8" w:space="0" w:color="DEE7B7" w:themeColor="accent3" w:themeTint="BF"/>
          <w:bottom w:val="single" w:sz="8" w:space="0" w:color="DEE7B7" w:themeColor="accent3" w:themeTint="BF"/>
          <w:right w:val="single" w:sz="8" w:space="0" w:color="DEE7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E7" w:themeFill="accent3" w:themeFillTint="3F"/>
      </w:tcPr>
    </w:tblStylePr>
    <w:tblStylePr w:type="band1Horz">
      <w:tblPr/>
      <w:tcPr>
        <w:tcBorders>
          <w:insideH w:val="nil"/>
          <w:insideV w:val="nil"/>
        </w:tcBorders>
        <w:shd w:val="clear" w:color="auto" w:fill="F4F7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single" w:sz="8" w:space="0" w:color="ABDD4A" w:themeColor="accent4" w:themeTint="BF"/>
      </w:tblBorders>
    </w:tblPr>
    <w:tblStylePr w:type="firstRow">
      <w:pPr>
        <w:spacing w:before="0" w:after="0" w:line="240" w:lineRule="auto"/>
      </w:pPr>
      <w:rPr>
        <w:b/>
        <w:bCs/>
        <w:color w:val="FFFFFF" w:themeColor="background1"/>
      </w:rPr>
      <w:tblPr/>
      <w:tcPr>
        <w:tcBorders>
          <w:top w:val="single" w:sz="8"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shd w:val="clear" w:color="auto" w:fill="89BD23" w:themeFill="accent4"/>
      </w:tcPr>
    </w:tblStylePr>
    <w:tblStylePr w:type="lastRow">
      <w:pPr>
        <w:spacing w:before="0" w:after="0" w:line="240" w:lineRule="auto"/>
      </w:pPr>
      <w:rPr>
        <w:b/>
        <w:bCs/>
      </w:rPr>
      <w:tblPr/>
      <w:tcPr>
        <w:tcBorders>
          <w:top w:val="double" w:sz="6" w:space="0" w:color="ABDD4A" w:themeColor="accent4" w:themeTint="BF"/>
          <w:left w:val="single" w:sz="8" w:space="0" w:color="ABDD4A" w:themeColor="accent4" w:themeTint="BF"/>
          <w:bottom w:val="single" w:sz="8" w:space="0" w:color="ABDD4A" w:themeColor="accent4" w:themeTint="BF"/>
          <w:right w:val="single" w:sz="8" w:space="0" w:color="ABDD4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4C3" w:themeFill="accent4" w:themeFillTint="3F"/>
      </w:tcPr>
    </w:tblStylePr>
    <w:tblStylePr w:type="band1Horz">
      <w:tblPr/>
      <w:tcPr>
        <w:tcBorders>
          <w:insideH w:val="nil"/>
          <w:insideV w:val="nil"/>
        </w:tcBorders>
        <w:shd w:val="clear" w:color="auto" w:fill="E3F4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single" w:sz="8" w:space="0" w:color="BCDD99" w:themeColor="accent5" w:themeTint="BF"/>
      </w:tblBorders>
    </w:tblPr>
    <w:tblStylePr w:type="firstRow">
      <w:pPr>
        <w:spacing w:before="0" w:after="0" w:line="240" w:lineRule="auto"/>
      </w:pPr>
      <w:rPr>
        <w:b/>
        <w:bCs/>
        <w:color w:val="FFFFFF" w:themeColor="background1"/>
      </w:rPr>
      <w:tblPr/>
      <w:tcPr>
        <w:tcBorders>
          <w:top w:val="single" w:sz="8"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shd w:val="clear" w:color="auto" w:fill="A7D278" w:themeFill="accent5"/>
      </w:tcPr>
    </w:tblStylePr>
    <w:tblStylePr w:type="lastRow">
      <w:pPr>
        <w:spacing w:before="0" w:after="0" w:line="240" w:lineRule="auto"/>
      </w:pPr>
      <w:rPr>
        <w:b/>
        <w:bCs/>
      </w:rPr>
      <w:tblPr/>
      <w:tcPr>
        <w:tcBorders>
          <w:top w:val="double" w:sz="6" w:space="0" w:color="BCDD99" w:themeColor="accent5" w:themeTint="BF"/>
          <w:left w:val="single" w:sz="8" w:space="0" w:color="BCDD99" w:themeColor="accent5" w:themeTint="BF"/>
          <w:bottom w:val="single" w:sz="8" w:space="0" w:color="BCDD99" w:themeColor="accent5" w:themeTint="BF"/>
          <w:right w:val="single" w:sz="8" w:space="0" w:color="BCDD9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3DD" w:themeFill="accent5" w:themeFillTint="3F"/>
      </w:tcPr>
    </w:tblStylePr>
    <w:tblStylePr w:type="band1Horz">
      <w:tblPr/>
      <w:tcPr>
        <w:tcBorders>
          <w:insideH w:val="nil"/>
          <w:insideV w:val="nil"/>
        </w:tcBorders>
        <w:shd w:val="clear" w:color="auto" w:fill="E9F3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single" w:sz="8" w:space="0" w:color="D7EAC2" w:themeColor="accent6" w:themeTint="BF"/>
      </w:tblBorders>
    </w:tblPr>
    <w:tblStylePr w:type="firstRow">
      <w:pPr>
        <w:spacing w:before="0" w:after="0" w:line="240" w:lineRule="auto"/>
      </w:pPr>
      <w:rPr>
        <w:b/>
        <w:bCs/>
        <w:color w:val="FFFFFF" w:themeColor="background1"/>
      </w:rPr>
      <w:tblPr/>
      <w:tcPr>
        <w:tcBorders>
          <w:top w:val="single" w:sz="8"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shd w:val="clear" w:color="auto" w:fill="CBE3AE" w:themeFill="accent6"/>
      </w:tcPr>
    </w:tblStylePr>
    <w:tblStylePr w:type="lastRow">
      <w:pPr>
        <w:spacing w:before="0" w:after="0" w:line="240" w:lineRule="auto"/>
      </w:pPr>
      <w:rPr>
        <w:b/>
        <w:bCs/>
      </w:rPr>
      <w:tblPr/>
      <w:tcPr>
        <w:tcBorders>
          <w:top w:val="double" w:sz="6" w:space="0" w:color="D7EAC2" w:themeColor="accent6" w:themeTint="BF"/>
          <w:left w:val="single" w:sz="8" w:space="0" w:color="D7EAC2" w:themeColor="accent6" w:themeTint="BF"/>
          <w:bottom w:val="single" w:sz="8" w:space="0" w:color="D7EAC2" w:themeColor="accent6" w:themeTint="BF"/>
          <w:right w:val="single" w:sz="8" w:space="0" w:color="D7EAC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8EA" w:themeFill="accent6" w:themeFillTint="3F"/>
      </w:tcPr>
    </w:tblStylePr>
    <w:tblStylePr w:type="band1Horz">
      <w:tblPr/>
      <w:tcPr>
        <w:tcBorders>
          <w:insideH w:val="nil"/>
          <w:insideV w:val="nil"/>
        </w:tcBorders>
        <w:shd w:val="clear" w:color="auto" w:fill="F2F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C34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C341" w:themeFill="accent1"/>
      </w:tcPr>
    </w:tblStylePr>
    <w:tblStylePr w:type="lastCol">
      <w:rPr>
        <w:b/>
        <w:bCs/>
        <w:color w:val="FFFFFF" w:themeColor="background1"/>
      </w:rPr>
      <w:tblPr/>
      <w:tcPr>
        <w:tcBorders>
          <w:left w:val="nil"/>
          <w:right w:val="nil"/>
          <w:insideH w:val="nil"/>
          <w:insideV w:val="nil"/>
        </w:tcBorders>
        <w:shd w:val="clear" w:color="auto" w:fill="82C34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70" w:themeFill="accent2"/>
      </w:tcPr>
    </w:tblStylePr>
    <w:tblStylePr w:type="lastCol">
      <w:rPr>
        <w:b/>
        <w:bCs/>
        <w:color w:val="FFFFFF" w:themeColor="background1"/>
      </w:rPr>
      <w:tblPr/>
      <w:tcPr>
        <w:tcBorders>
          <w:left w:val="nil"/>
          <w:right w:val="nil"/>
          <w:insideH w:val="nil"/>
          <w:insideV w:val="nil"/>
        </w:tcBorders>
        <w:shd w:val="clear" w:color="auto" w:fill="009D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FA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DFA0" w:themeFill="accent3"/>
      </w:tcPr>
    </w:tblStylePr>
    <w:tblStylePr w:type="lastCol">
      <w:rPr>
        <w:b/>
        <w:bCs/>
        <w:color w:val="FFFFFF" w:themeColor="background1"/>
      </w:rPr>
      <w:tblPr/>
      <w:tcPr>
        <w:tcBorders>
          <w:left w:val="nil"/>
          <w:right w:val="nil"/>
          <w:insideH w:val="nil"/>
          <w:insideV w:val="nil"/>
        </w:tcBorders>
        <w:shd w:val="clear" w:color="auto" w:fill="D4DFA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BD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BD23" w:themeFill="accent4"/>
      </w:tcPr>
    </w:tblStylePr>
    <w:tblStylePr w:type="lastCol">
      <w:rPr>
        <w:b/>
        <w:bCs/>
        <w:color w:val="FFFFFF" w:themeColor="background1"/>
      </w:rPr>
      <w:tblPr/>
      <w:tcPr>
        <w:tcBorders>
          <w:left w:val="nil"/>
          <w:right w:val="nil"/>
          <w:insideH w:val="nil"/>
          <w:insideV w:val="nil"/>
        </w:tcBorders>
        <w:shd w:val="clear" w:color="auto" w:fill="89BD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D2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D278" w:themeFill="accent5"/>
      </w:tcPr>
    </w:tblStylePr>
    <w:tblStylePr w:type="lastCol">
      <w:rPr>
        <w:b/>
        <w:bCs/>
        <w:color w:val="FFFFFF" w:themeColor="background1"/>
      </w:rPr>
      <w:tblPr/>
      <w:tcPr>
        <w:tcBorders>
          <w:left w:val="nil"/>
          <w:right w:val="nil"/>
          <w:insideH w:val="nil"/>
          <w:insideV w:val="nil"/>
        </w:tcBorders>
        <w:shd w:val="clear" w:color="auto" w:fill="A7D2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E3A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BE3AE" w:themeFill="accent6"/>
      </w:tcPr>
    </w:tblStylePr>
    <w:tblStylePr w:type="lastCol">
      <w:rPr>
        <w:b/>
        <w:bCs/>
        <w:color w:val="FFFFFF" w:themeColor="background1"/>
      </w:rPr>
      <w:tblPr/>
      <w:tcPr>
        <w:tcBorders>
          <w:left w:val="nil"/>
          <w:right w:val="nil"/>
          <w:insideH w:val="nil"/>
          <w:insideV w:val="nil"/>
        </w:tcBorders>
        <w:shd w:val="clear" w:color="auto" w:fill="CBE3A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467B91"/>
    <w:rPr>
      <w:rFonts w:asciiTheme="majorHAnsi" w:eastAsiaTheme="majorEastAsia" w:hAnsiTheme="majorHAnsi"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customStyle="1" w:styleId="NoteHeadingChar">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semiHidden/>
    <w:unhideWhenUsed/>
    <w:qFormat/>
    <w:rsid w:val="006431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customStyle="1" w:styleId="SalutationChar">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customStyle="1" w:styleId="SignatureChar">
    <w:name w:val="Signature Char"/>
    <w:basedOn w:val="DefaultParagraphFont"/>
    <w:link w:val="Signature"/>
    <w:uiPriority w:val="99"/>
    <w:semiHidden/>
    <w:rsid w:val="006431F9"/>
    <w:rPr>
      <w:sz w:val="22"/>
    </w:rPr>
  </w:style>
  <w:style w:type="character" w:customStyle="1" w:styleId="SmartHyperlink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431F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431F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431F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431F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431F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431F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431F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431F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431F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431F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3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431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431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431F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431F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431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4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431F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431F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431F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431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BA75FF"/>
    <w:pPr>
      <w:spacing w:after="100"/>
    </w:pPr>
    <w:rPr>
      <w:b/>
      <w:color w:val="174F37"/>
      <w:sz w:val="28"/>
    </w:rPr>
  </w:style>
  <w:style w:type="paragraph" w:styleId="TOC2">
    <w:name w:val="toc 2"/>
    <w:basedOn w:val="Normal"/>
    <w:next w:val="Normal"/>
    <w:autoRedefine/>
    <w:uiPriority w:val="39"/>
    <w:unhideWhenUsed/>
    <w:rsid w:val="00BA75FF"/>
    <w:pPr>
      <w:spacing w:after="100"/>
    </w:pPr>
    <w:rPr>
      <w:sz w:val="24"/>
    </w:rPr>
  </w:style>
  <w:style w:type="paragraph" w:styleId="TOC3">
    <w:name w:val="toc 3"/>
    <w:basedOn w:val="Normal"/>
    <w:next w:val="Normal"/>
    <w:autoRedefine/>
    <w:uiPriority w:val="39"/>
    <w:unhideWhenUsed/>
    <w:rsid w:val="00BA75FF"/>
    <w:pPr>
      <w:spacing w:after="100"/>
    </w:pPr>
  </w:style>
  <w:style w:type="paragraph" w:styleId="TOC4">
    <w:name w:val="toc 4"/>
    <w:basedOn w:val="Normal"/>
    <w:next w:val="Normal"/>
    <w:autoRedefine/>
    <w:uiPriority w:val="39"/>
    <w:unhideWhenUsed/>
    <w:rsid w:val="00BA75FF"/>
    <w:pPr>
      <w:spacing w:after="100"/>
      <w:ind w:left="17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paragraph" w:customStyle="1" w:styleId="BlockHeading">
    <w:name w:val="Block Heading"/>
    <w:basedOn w:val="BlockText"/>
    <w:autoRedefine/>
    <w:rsid w:val="00EC4209"/>
    <w:rPr>
      <w:b/>
    </w:rPr>
  </w:style>
  <w:style w:type="paragraph" w:customStyle="1" w:styleId="Tabletitle">
    <w:name w:val="Table title"/>
    <w:basedOn w:val="Normal"/>
    <w:qFormat/>
    <w:rsid w:val="00D32558"/>
    <w:rPr>
      <w:b/>
    </w:rPr>
  </w:style>
  <w:style w:type="table" w:customStyle="1" w:styleId="SVTable">
    <w:name w:val="SV Table"/>
    <w:basedOn w:val="TableNormal"/>
    <w:uiPriority w:val="99"/>
    <w:rsid w:val="00B56BC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164F36"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paragraph" w:customStyle="1" w:styleId="TableHeader">
    <w:name w:val="Table Header"/>
    <w:basedOn w:val="Normal"/>
    <w:autoRedefine/>
    <w:qFormat/>
    <w:rsid w:val="00B56BC2"/>
    <w:pPr>
      <w:spacing w:before="120" w:after="120" w:line="240" w:lineRule="auto"/>
    </w:pPr>
    <w:rPr>
      <w:noProof/>
      <w:color w:val="174F37"/>
      <w:szCs w:val="24"/>
    </w:rPr>
  </w:style>
  <w:style w:type="character" w:customStyle="1" w:styleId="NoSpacingChar">
    <w:name w:val="No Spacing Char"/>
    <w:basedOn w:val="DefaultParagraphFont"/>
    <w:link w:val="NoSpacing"/>
    <w:uiPriority w:val="1"/>
    <w:rsid w:val="005734D6"/>
    <w:rPr>
      <w:rFonts w:ascii="Arial" w:hAnsi="Arial"/>
      <w:sz w:val="20"/>
    </w:rPr>
  </w:style>
  <w:style w:type="paragraph" w:styleId="Revision">
    <w:name w:val="Revision"/>
    <w:hidden/>
    <w:uiPriority w:val="99"/>
    <w:semiHidden/>
    <w:rsid w:val="005734D6"/>
    <w:pPr>
      <w:spacing w:after="0" w:line="240" w:lineRule="auto"/>
    </w:pPr>
    <w:rPr>
      <w:rFonts w:ascii="Arial" w:hAnsi="Arial"/>
      <w:color w:val="000000" w:themeColor="text1"/>
      <w:sz w:val="20"/>
    </w:rPr>
  </w:style>
  <w:style w:type="paragraph" w:customStyle="1" w:styleId="Breakouttext">
    <w:name w:val="Breakout text"/>
    <w:basedOn w:val="Normal"/>
    <w:link w:val="BreakouttextChar"/>
    <w:qFormat/>
    <w:rsid w:val="009801B2"/>
    <w:pPr>
      <w:pBdr>
        <w:top w:val="single" w:sz="8" w:space="6" w:color="D4DFA0" w:themeColor="background2"/>
        <w:left w:val="single" w:sz="8" w:space="6" w:color="D4DFA0" w:themeColor="background2"/>
        <w:bottom w:val="single" w:sz="8" w:space="7" w:color="D4DFA0" w:themeColor="background2"/>
        <w:right w:val="single" w:sz="8" w:space="6" w:color="D4DFA0" w:themeColor="background2"/>
      </w:pBdr>
      <w:shd w:val="clear" w:color="auto" w:fill="D4DFA0" w:themeFill="background2"/>
      <w:spacing w:after="0" w:line="259" w:lineRule="auto"/>
      <w:contextualSpacing/>
    </w:pPr>
    <w:rPr>
      <w:rFonts w:asciiTheme="minorHAnsi" w:eastAsiaTheme="minorEastAsia" w:hAnsiTheme="minorHAnsi" w:cs="Calibri"/>
      <w:color w:val="auto"/>
      <w:lang w:eastAsia="en-AU"/>
    </w:rPr>
  </w:style>
  <w:style w:type="character" w:customStyle="1" w:styleId="BreakouttextChar">
    <w:name w:val="Breakout text Char"/>
    <w:basedOn w:val="DefaultParagraphFont"/>
    <w:link w:val="Breakouttext"/>
    <w:rsid w:val="009801B2"/>
    <w:rPr>
      <w:rFonts w:eastAsiaTheme="minorEastAsia" w:cs="Calibri"/>
      <w:color w:val="auto"/>
      <w:sz w:val="20"/>
      <w:shd w:val="clear" w:color="auto" w:fill="D4DFA0" w:themeFill="background2"/>
      <w:lang w:eastAsia="en-AU"/>
    </w:rPr>
  </w:style>
  <w:style w:type="paragraph" w:customStyle="1" w:styleId="Body">
    <w:name w:val="Body"/>
    <w:basedOn w:val="Normal"/>
    <w:link w:val="BodyChar"/>
    <w:qFormat/>
    <w:rsid w:val="00146527"/>
    <w:pPr>
      <w:spacing w:after="120" w:line="259" w:lineRule="auto"/>
    </w:pPr>
    <w:rPr>
      <w:rFonts w:ascii="Calibri" w:eastAsiaTheme="minorEastAsia" w:hAnsi="Calibri" w:cs="Calibri"/>
      <w:color w:val="auto"/>
      <w:sz w:val="22"/>
      <w:lang w:eastAsia="en-AU"/>
    </w:rPr>
  </w:style>
  <w:style w:type="character" w:customStyle="1" w:styleId="BodyChar">
    <w:name w:val="Body Char"/>
    <w:basedOn w:val="DefaultParagraphFont"/>
    <w:link w:val="Body"/>
    <w:rsid w:val="00146527"/>
    <w:rPr>
      <w:rFonts w:ascii="Calibri" w:eastAsiaTheme="minorEastAsia" w:hAnsi="Calibri" w:cs="Calibri"/>
      <w:color w:val="auto"/>
      <w:lang w:eastAsia="en-AU"/>
    </w:rPr>
  </w:style>
  <w:style w:type="paragraph" w:customStyle="1" w:styleId="Breakoutbullet">
    <w:name w:val="Breakout bullet"/>
    <w:basedOn w:val="Breakouttext"/>
    <w:qFormat/>
    <w:rsid w:val="009801B2"/>
    <w:pPr>
      <w:keepLines/>
      <w:numPr>
        <w:numId w:val="18"/>
      </w:numPr>
      <w:pBdr>
        <w:top w:val="single" w:sz="4" w:space="0" w:color="D4DFA0" w:themeColor="background2"/>
        <w:bottom w:val="single" w:sz="4" w:space="0" w:color="D4DFA0" w:themeColor="background2"/>
      </w:pBdr>
      <w:ind w:left="357" w:hanging="357"/>
    </w:pPr>
  </w:style>
  <w:style w:type="character" w:customStyle="1" w:styleId="html-italic">
    <w:name w:val="html-italic"/>
    <w:basedOn w:val="DefaultParagraphFont"/>
    <w:rsid w:val="00296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2651">
      <w:bodyDiv w:val="1"/>
      <w:marLeft w:val="0"/>
      <w:marRight w:val="0"/>
      <w:marTop w:val="0"/>
      <w:marBottom w:val="0"/>
      <w:divBdr>
        <w:top w:val="none" w:sz="0" w:space="0" w:color="auto"/>
        <w:left w:val="none" w:sz="0" w:space="0" w:color="auto"/>
        <w:bottom w:val="none" w:sz="0" w:space="0" w:color="auto"/>
        <w:right w:val="none" w:sz="0" w:space="0" w:color="auto"/>
      </w:divBdr>
    </w:div>
    <w:div w:id="280307273">
      <w:bodyDiv w:val="1"/>
      <w:marLeft w:val="0"/>
      <w:marRight w:val="0"/>
      <w:marTop w:val="0"/>
      <w:marBottom w:val="0"/>
      <w:divBdr>
        <w:top w:val="none" w:sz="0" w:space="0" w:color="auto"/>
        <w:left w:val="none" w:sz="0" w:space="0" w:color="auto"/>
        <w:bottom w:val="none" w:sz="0" w:space="0" w:color="auto"/>
        <w:right w:val="none" w:sz="0" w:space="0" w:color="auto"/>
      </w:divBdr>
    </w:div>
    <w:div w:id="185938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5.png"/><Relationship Id="rId39" Type="http://schemas.openxmlformats.org/officeDocument/2006/relationships/footer" Target="footer11.xml"/><Relationship Id="rId21" Type="http://schemas.openxmlformats.org/officeDocument/2006/relationships/footer" Target="footer5.xml"/><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tainability.vic.gov.au/" TargetMode="External"/><Relationship Id="rId20" Type="http://schemas.openxmlformats.org/officeDocument/2006/relationships/footer" Target="footer4.xml"/><Relationship Id="rId29" Type="http://schemas.openxmlformats.org/officeDocument/2006/relationships/hyperlink" Target="http://www.circularitydeck.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4.jpeg"/><Relationship Id="rId32" Type="http://schemas.openxmlformats.org/officeDocument/2006/relationships/header" Target="header3.xml"/><Relationship Id="rId37" Type="http://schemas.openxmlformats.org/officeDocument/2006/relationships/header" Target="header4.xml"/><Relationship Id="rId40"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jpeg"/><Relationship Id="rId28" Type="http://schemas.openxmlformats.org/officeDocument/2006/relationships/image" Target="media/image7.png"/><Relationship Id="rId36" Type="http://schemas.openxmlformats.org/officeDocument/2006/relationships/hyperlink" Target="http://www.circularitydeck.com"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creativecommons.org/licenses/by/4.0/" TargetMode="External"/><Relationship Id="rId25" Type="http://schemas.openxmlformats.org/officeDocument/2006/relationships/hyperlink" Target="https://directories.sustainability.vic.gov.au/buy-circular/glossary" TargetMode="External"/><Relationship Id="rId33" Type="http://schemas.openxmlformats.org/officeDocument/2006/relationships/footer" Target="footer7.xml"/><Relationship Id="rId38" Type="http://schemas.openxmlformats.org/officeDocument/2006/relationships/footer" Target="footer10.xml"/></Relationships>
</file>

<file path=word/_rels/footer8.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SV Colours">
      <a:dk1>
        <a:srgbClr val="000000"/>
      </a:dk1>
      <a:lt1>
        <a:srgbClr val="FFFFFF"/>
      </a:lt1>
      <a:dk2>
        <a:srgbClr val="164F36"/>
      </a:dk2>
      <a:lt2>
        <a:srgbClr val="D4DFA0"/>
      </a:lt2>
      <a:accent1>
        <a:srgbClr val="82C341"/>
      </a:accent1>
      <a:accent2>
        <a:srgbClr val="009D70"/>
      </a:accent2>
      <a:accent3>
        <a:srgbClr val="D4DFA0"/>
      </a:accent3>
      <a:accent4>
        <a:srgbClr val="89BD23"/>
      </a:accent4>
      <a:accent5>
        <a:srgbClr val="A7D278"/>
      </a:accent5>
      <a:accent6>
        <a:srgbClr val="CBE3AE"/>
      </a:accent6>
      <a:hlink>
        <a:srgbClr val="414141"/>
      </a:hlink>
      <a:folHlink>
        <a:srgbClr val="5F5F5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41978-2A33-B543-AE23-A9ACF99C5FD9}">
  <ds:schemaRefs>
    <ds:schemaRef ds:uri="http://schemas.openxmlformats.org/officeDocument/2006/bibliography"/>
  </ds:schemaRefs>
</ds:datastoreItem>
</file>

<file path=customXml/itemProps2.xml><?xml version="1.0" encoding="utf-8"?>
<ds:datastoreItem xmlns:ds="http://schemas.openxmlformats.org/officeDocument/2006/customXml" ds:itemID="{15421037-69D9-4D33-8CE8-2AC27E9D954E}">
  <ds:schemaRefs>
    <ds:schemaRef ds:uri="http://schemas.microsoft.com/office/2006/metadata/properties"/>
    <ds:schemaRef ds:uri="http://schemas.microsoft.com/office/infopath/2007/PartnerControls"/>
    <ds:schemaRef ds:uri="c5e521a7-2ce2-4ba7-8a93-b6eccbf3b2a8"/>
    <ds:schemaRef ds:uri="67f2ffb5-5fd7-47c9-9e8f-8480c702606c"/>
  </ds:schemaRefs>
</ds:datastoreItem>
</file>

<file path=customXml/itemProps3.xml><?xml version="1.0" encoding="utf-8"?>
<ds:datastoreItem xmlns:ds="http://schemas.openxmlformats.org/officeDocument/2006/customXml" ds:itemID="{F155BCD3-DF8E-480B-B4D7-B34AB8A91A29}"/>
</file>

<file path=customXml/itemProps4.xml><?xml version="1.0" encoding="utf-8"?>
<ds:datastoreItem xmlns:ds="http://schemas.openxmlformats.org/officeDocument/2006/customXml" ds:itemID="{5CA2E6CA-FBE8-4926-B72C-B11FFC38B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5157</Words>
  <Characters>29085</Characters>
  <Application>Microsoft Office Word</Application>
  <DocSecurity>4</DocSecurity>
  <Lines>777</Lines>
  <Paragraphs>410</Paragraphs>
  <ScaleCrop>false</ScaleCrop>
  <Manager/>
  <Company>Sustainability Victoria</Company>
  <LinksUpToDate>false</LinksUpToDate>
  <CharactersWithSpaces>33928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Report Template (Simple)</dc:title>
  <dc:subject/>
  <dc:creator>Sustainability Victoria</dc:creator>
  <cp:keywords/>
  <dc:description/>
  <cp:lastModifiedBy>Michael Shippard</cp:lastModifiedBy>
  <cp:revision>43</cp:revision>
  <dcterms:created xsi:type="dcterms:W3CDTF">2025-12-17T22:00:00Z</dcterms:created>
  <dcterms:modified xsi:type="dcterms:W3CDTF">2026-01-19T03:02:00Z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y fmtid="{D5CDD505-2E9C-101B-9397-08002B2CF9AE}" pid="3" name="MediaServiceImageTags">
    <vt:lpwstr/>
  </property>
  <property fmtid="{D5CDD505-2E9C-101B-9397-08002B2CF9AE}" pid="4" name="ClassificationContentMarkingFooterShapeIds">
    <vt:lpwstr>2,3,7,8,9,a,b,c,d</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f3ac5bd-667f-4729-bae4-9cad4f1d410e_Enabled">
    <vt:lpwstr>true</vt:lpwstr>
  </property>
  <property fmtid="{D5CDD505-2E9C-101B-9397-08002B2CF9AE}" pid="8" name="MSIP_Label_3f3ac5bd-667f-4729-bae4-9cad4f1d410e_SetDate">
    <vt:lpwstr>2024-07-24T00:51:30Z</vt:lpwstr>
  </property>
  <property fmtid="{D5CDD505-2E9C-101B-9397-08002B2CF9AE}" pid="9" name="MSIP_Label_3f3ac5bd-667f-4729-bae4-9cad4f1d410e_Method">
    <vt:lpwstr>Standard</vt:lpwstr>
  </property>
  <property fmtid="{D5CDD505-2E9C-101B-9397-08002B2CF9AE}" pid="10" name="MSIP_Label_3f3ac5bd-667f-4729-bae4-9cad4f1d410e_Name">
    <vt:lpwstr>3f3ac5bd-667f-4729-bae4-9cad4f1d410e</vt:lpwstr>
  </property>
  <property fmtid="{D5CDD505-2E9C-101B-9397-08002B2CF9AE}" pid="11" name="MSIP_Label_3f3ac5bd-667f-4729-bae4-9cad4f1d410e_SiteId">
    <vt:lpwstr>b076ce60-ca2a-4185-9041-851d1b7bc01a</vt:lpwstr>
  </property>
  <property fmtid="{D5CDD505-2E9C-101B-9397-08002B2CF9AE}" pid="12" name="MSIP_Label_3f3ac5bd-667f-4729-bae4-9cad4f1d410e_ActionId">
    <vt:lpwstr>7d2d3aa6-b55e-4f39-b250-1ee3ee344e6f</vt:lpwstr>
  </property>
  <property fmtid="{D5CDD505-2E9C-101B-9397-08002B2CF9AE}" pid="13" name="MSIP_Label_3f3ac5bd-667f-4729-bae4-9cad4f1d410e_ContentBits">
    <vt:lpwstr>3</vt:lpwstr>
  </property>
  <property fmtid="{D5CDD505-2E9C-101B-9397-08002B2CF9AE}" pid="14" name="docLang">
    <vt:lpwstr>en</vt:lpwstr>
  </property>
</Properties>
</file>