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F010" w14:textId="77777777" w:rsidR="00286BB4" w:rsidRPr="000C1837" w:rsidRDefault="00433E75" w:rsidP="00286BB4">
      <w:pPr>
        <w:rPr>
          <w:rFonts w:cs="Arial"/>
        </w:rPr>
      </w:pPr>
      <w:r w:rsidRPr="000C1837">
        <w:rPr>
          <w:rFonts w:cs="Arial"/>
          <w:noProof/>
          <w:lang w:val="en-AU" w:eastAsia="en-AU"/>
        </w:rPr>
        <w:drawing>
          <wp:anchor distT="0" distB="0" distL="114300" distR="114300" simplePos="0" relativeHeight="251658240" behindDoc="0" locked="0" layoutInCell="1" allowOverlap="1" wp14:anchorId="03709C03" wp14:editId="121DC874">
            <wp:simplePos x="0" y="0"/>
            <wp:positionH relativeFrom="column">
              <wp:posOffset>2563495</wp:posOffset>
            </wp:positionH>
            <wp:positionV relativeFrom="paragraph">
              <wp:posOffset>180975</wp:posOffset>
            </wp:positionV>
            <wp:extent cx="3319145" cy="1103630"/>
            <wp:effectExtent l="19050" t="0" r="0" b="0"/>
            <wp:wrapSquare wrapText="bothSides"/>
            <wp:docPr id="3" name="Picture 1" descr="1_Mav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Mav_3col"/>
                    <pic:cNvPicPr>
                      <a:picLocks noChangeAspect="1" noChangeArrowheads="1"/>
                    </pic:cNvPicPr>
                  </pic:nvPicPr>
                  <pic:blipFill>
                    <a:blip r:embed="rId12" cstate="print"/>
                    <a:srcRect/>
                    <a:stretch>
                      <a:fillRect/>
                    </a:stretch>
                  </pic:blipFill>
                  <pic:spPr bwMode="auto">
                    <a:xfrm>
                      <a:off x="0" y="0"/>
                      <a:ext cx="3319145" cy="1103630"/>
                    </a:xfrm>
                    <a:prstGeom prst="rect">
                      <a:avLst/>
                    </a:prstGeom>
                    <a:noFill/>
                    <a:ln w="9525">
                      <a:noFill/>
                      <a:miter lim="800000"/>
                      <a:headEnd/>
                      <a:tailEnd/>
                    </a:ln>
                  </pic:spPr>
                </pic:pic>
              </a:graphicData>
            </a:graphic>
          </wp:anchor>
        </w:drawing>
      </w:r>
    </w:p>
    <w:p w14:paraId="0FBA4E89" w14:textId="77777777" w:rsidR="00286BB4" w:rsidRPr="000C1837" w:rsidRDefault="00286BB4" w:rsidP="00286BB4">
      <w:pPr>
        <w:rPr>
          <w:rFonts w:cs="Arial"/>
        </w:rPr>
      </w:pPr>
    </w:p>
    <w:p w14:paraId="7963A480" w14:textId="77777777" w:rsidR="00286BB4" w:rsidRPr="000C1837" w:rsidRDefault="00286BB4" w:rsidP="00286BB4">
      <w:pPr>
        <w:jc w:val="right"/>
        <w:rPr>
          <w:rFonts w:cs="Arial"/>
        </w:rPr>
      </w:pPr>
    </w:p>
    <w:p w14:paraId="7EAAAE51" w14:textId="77777777" w:rsidR="00286BB4" w:rsidRPr="000C1837" w:rsidRDefault="00286BB4" w:rsidP="00286BB4">
      <w:pPr>
        <w:jc w:val="right"/>
        <w:rPr>
          <w:rFonts w:cs="Arial"/>
        </w:rPr>
      </w:pPr>
    </w:p>
    <w:p w14:paraId="74EE6850" w14:textId="77777777" w:rsidR="00286BB4" w:rsidRPr="000C1837" w:rsidRDefault="00286BB4" w:rsidP="00286BB4">
      <w:pPr>
        <w:jc w:val="right"/>
        <w:rPr>
          <w:rFonts w:cs="Arial"/>
        </w:rPr>
      </w:pPr>
    </w:p>
    <w:p w14:paraId="7924ADE2" w14:textId="4FF8E03B" w:rsidR="00286BB4" w:rsidRPr="000C1837" w:rsidRDefault="001C5C86" w:rsidP="00286BB4">
      <w:pPr>
        <w:rPr>
          <w:rFonts w:cs="Arial"/>
        </w:rPr>
      </w:pPr>
      <w:r>
        <w:rPr>
          <w:rFonts w:cs="Arial"/>
          <w:noProof/>
        </w:rPr>
        <mc:AlternateContent>
          <mc:Choice Requires="wps">
            <w:drawing>
              <wp:anchor distT="0" distB="0" distL="114300" distR="114300" simplePos="0" relativeHeight="251658241" behindDoc="0" locked="0" layoutInCell="1" allowOverlap="1" wp14:anchorId="1B9FC7CF" wp14:editId="038CE9FA">
                <wp:simplePos x="0" y="0"/>
                <wp:positionH relativeFrom="column">
                  <wp:posOffset>1167765</wp:posOffset>
                </wp:positionH>
                <wp:positionV relativeFrom="paragraph">
                  <wp:posOffset>-137160</wp:posOffset>
                </wp:positionV>
                <wp:extent cx="0" cy="6859905"/>
                <wp:effectExtent l="24765" t="21590" r="22860" b="241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85C33"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" strokecolor="#fcb514" strokeweight="3pt"/>
            </w:pict>
          </mc:Fallback>
        </mc:AlternateContent>
      </w:r>
    </w:p>
    <w:p w14:paraId="0F2FBBCE" w14:textId="77777777" w:rsidR="00286BB4" w:rsidRPr="000C1837" w:rsidRDefault="00286BB4" w:rsidP="00286BB4">
      <w:pPr>
        <w:jc w:val="right"/>
        <w:rPr>
          <w:rFonts w:cs="Arial"/>
        </w:rPr>
      </w:pPr>
      <w:r w:rsidRPr="000C1837">
        <w:rPr>
          <w:rFonts w:cs="Arial"/>
        </w:rPr>
        <w:br w:type="textWrapping" w:clear="all"/>
      </w:r>
    </w:p>
    <w:p w14:paraId="35447553" w14:textId="77777777" w:rsidR="00286BB4" w:rsidRPr="000C1837" w:rsidRDefault="00286BB4" w:rsidP="00286BB4">
      <w:pPr>
        <w:rPr>
          <w:rFonts w:cs="Arial"/>
        </w:rPr>
      </w:pPr>
    </w:p>
    <w:p w14:paraId="1E55C06E" w14:textId="77777777" w:rsidR="00286BB4" w:rsidRPr="000C1837"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000C1837">
        <w:rPr>
          <w:rFonts w:cs="Arial"/>
          <w:b/>
          <w:bCs/>
          <w:sz w:val="36"/>
          <w:szCs w:val="36"/>
        </w:rPr>
        <w:t>Municipal Association of Victoria</w:t>
      </w:r>
    </w:p>
    <w:p w14:paraId="5AC3F62E" w14:textId="77777777" w:rsidR="00286BB4" w:rsidRPr="000C1837"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2AC821B9" w14:textId="354D8BE3" w:rsidR="00286BB4" w:rsidRPr="000C1837" w:rsidRDefault="000453D9"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000C1837">
        <w:rPr>
          <w:rFonts w:cs="Arial"/>
          <w:b/>
          <w:bCs/>
          <w:sz w:val="36"/>
          <w:szCs w:val="36"/>
        </w:rPr>
        <w:t>Submission</w:t>
      </w:r>
      <w:r w:rsidR="00286BB4" w:rsidRPr="000C1837">
        <w:rPr>
          <w:rFonts w:cs="Arial"/>
          <w:b/>
          <w:bCs/>
          <w:sz w:val="36"/>
          <w:szCs w:val="36"/>
        </w:rPr>
        <w:t xml:space="preserve"> Paper</w:t>
      </w:r>
    </w:p>
    <w:p w14:paraId="5AC275F8" w14:textId="77777777" w:rsidR="00286BB4" w:rsidRPr="000C1837"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7B0DBBCA" w14:textId="77777777" w:rsidR="00751621" w:rsidRPr="000C1837" w:rsidRDefault="00751621" w:rsidP="00751621">
      <w:pPr>
        <w:spacing w:after="60"/>
        <w:jc w:val="right"/>
        <w:rPr>
          <w:rFonts w:cs="Arial"/>
          <w:b/>
          <w:bCs/>
          <w:i/>
          <w:iCs/>
          <w:sz w:val="28"/>
          <w:szCs w:val="28"/>
        </w:rPr>
      </w:pPr>
      <w:r w:rsidRPr="000C1837">
        <w:rPr>
          <w:rFonts w:cs="Arial"/>
          <w:b/>
          <w:bCs/>
          <w:i/>
          <w:iCs/>
          <w:sz w:val="28"/>
          <w:szCs w:val="28"/>
        </w:rPr>
        <w:t>National Transport Commission</w:t>
      </w:r>
    </w:p>
    <w:p w14:paraId="2EECDC47" w14:textId="4941C41F" w:rsidR="00751621" w:rsidRPr="000C1837" w:rsidRDefault="00751621" w:rsidP="00751621">
      <w:pPr>
        <w:spacing w:after="60"/>
        <w:jc w:val="right"/>
        <w:rPr>
          <w:rFonts w:cs="Arial"/>
          <w:b/>
          <w:bCs/>
          <w:i/>
          <w:iCs/>
          <w:sz w:val="28"/>
          <w:szCs w:val="28"/>
          <w:lang w:val="en-AU"/>
        </w:rPr>
      </w:pPr>
      <w:bookmarkStart w:id="0" w:name="_Hlk39671134"/>
      <w:r w:rsidRPr="000C1837">
        <w:rPr>
          <w:rFonts w:cs="Arial"/>
          <w:b/>
          <w:bCs/>
          <w:i/>
          <w:iCs/>
          <w:sz w:val="28"/>
          <w:szCs w:val="28"/>
        </w:rPr>
        <w:t>Heavy Vehicle National Law Review</w:t>
      </w:r>
    </w:p>
    <w:p w14:paraId="4FCB5D45" w14:textId="77777777" w:rsidR="00751621" w:rsidRPr="000C1837" w:rsidRDefault="00751621" w:rsidP="00751621">
      <w:pPr>
        <w:spacing w:after="60"/>
        <w:jc w:val="right"/>
        <w:rPr>
          <w:rFonts w:cs="Arial"/>
          <w:b/>
          <w:bCs/>
          <w:i/>
          <w:iCs/>
          <w:sz w:val="28"/>
          <w:szCs w:val="28"/>
        </w:rPr>
      </w:pPr>
      <w:r w:rsidRPr="000C1837">
        <w:rPr>
          <w:rFonts w:cs="Arial"/>
          <w:b/>
          <w:bCs/>
          <w:i/>
          <w:iCs/>
          <w:sz w:val="28"/>
          <w:szCs w:val="28"/>
        </w:rPr>
        <w:t>Consultation RIS</w:t>
      </w:r>
      <w:bookmarkEnd w:id="0"/>
    </w:p>
    <w:sdt>
      <w:sdtPr>
        <w:rPr>
          <w:rFonts w:cs="Arial"/>
          <w:b/>
          <w:szCs w:val="24"/>
        </w:rPr>
        <w:alias w:val="Publish Date"/>
        <w:tag w:val="Publish Date"/>
        <w:id w:val="7414065"/>
        <w:placeholder>
          <w:docPart w:val="FFC8B36268D5425FAD2986A70F0F9C69"/>
        </w:placeholder>
        <w:dataBinding w:prefixMappings="xmlns:ns0='http://schemas.microsoft.com/office/2006/coverPageProps' " w:xpath="/ns0:CoverPageProperties[1]/ns0:PublishDate[1]" w:storeItemID="{55AF091B-3C7A-41E3-B477-F2FDAA23CFDA}"/>
        <w:date w:fullDate="2020-11-01T00:00:00Z">
          <w:dateFormat w:val="MMMM yyyy"/>
          <w:lid w:val="en-AU"/>
          <w:storeMappedDataAs w:val="dateTime"/>
          <w:calendar w:val="gregorian"/>
        </w:date>
      </w:sdtPr>
      <w:sdtEndPr/>
      <w:sdtContent>
        <w:p w14:paraId="0A2C9059" w14:textId="5B9243F2" w:rsidR="00286BB4" w:rsidRPr="000C1837" w:rsidRDefault="00751621" w:rsidP="00F052E8">
          <w:pPr>
            <w:pBdr>
              <w:top w:val="single" w:sz="6" w:space="1" w:color="FFFFFF"/>
              <w:left w:val="single" w:sz="6" w:space="1" w:color="FFFFFF"/>
              <w:bottom w:val="single" w:sz="6" w:space="1" w:color="FFFFFF"/>
              <w:right w:val="single" w:sz="6" w:space="0" w:color="FFFFFF"/>
            </w:pBdr>
            <w:jc w:val="right"/>
            <w:rPr>
              <w:rFonts w:cs="Arial"/>
              <w:szCs w:val="24"/>
            </w:rPr>
          </w:pPr>
          <w:r w:rsidRPr="000C1837">
            <w:rPr>
              <w:rFonts w:cs="Arial"/>
              <w:b/>
              <w:szCs w:val="24"/>
            </w:rPr>
            <w:t>November 2020</w:t>
          </w:r>
        </w:p>
      </w:sdtContent>
    </w:sdt>
    <w:p w14:paraId="6AAA6558" w14:textId="77777777" w:rsidR="00170172" w:rsidRPr="000C1837" w:rsidRDefault="00170172" w:rsidP="00286BB4">
      <w:pPr>
        <w:jc w:val="center"/>
        <w:rPr>
          <w:rFonts w:cs="Arial"/>
        </w:rPr>
      </w:pPr>
    </w:p>
    <w:p w14:paraId="25FED7F5" w14:textId="77777777" w:rsidR="00286BB4" w:rsidRPr="000C1837" w:rsidRDefault="00286BB4" w:rsidP="00286BB4">
      <w:pPr>
        <w:jc w:val="center"/>
        <w:rPr>
          <w:rFonts w:cs="Arial"/>
        </w:rPr>
      </w:pPr>
    </w:p>
    <w:p w14:paraId="3CAF9690" w14:textId="77777777" w:rsidR="00286BB4" w:rsidRPr="000C1837" w:rsidRDefault="00286BB4" w:rsidP="00286BB4">
      <w:pPr>
        <w:jc w:val="center"/>
        <w:rPr>
          <w:rFonts w:cs="Arial"/>
        </w:rPr>
      </w:pPr>
    </w:p>
    <w:p w14:paraId="372FF3DF" w14:textId="77777777" w:rsidR="00286BB4" w:rsidRPr="000C1837" w:rsidRDefault="00286BB4" w:rsidP="00286BB4">
      <w:pPr>
        <w:jc w:val="center"/>
        <w:rPr>
          <w:rFonts w:cs="Arial"/>
        </w:rPr>
      </w:pPr>
    </w:p>
    <w:p w14:paraId="45AB7885" w14:textId="77777777" w:rsidR="00286BB4" w:rsidRPr="000C1837" w:rsidRDefault="00286BB4" w:rsidP="00286BB4">
      <w:pPr>
        <w:jc w:val="center"/>
        <w:rPr>
          <w:rFonts w:cs="Arial"/>
        </w:rPr>
      </w:pPr>
    </w:p>
    <w:p w14:paraId="5E3B5D3B" w14:textId="77777777" w:rsidR="00286BB4" w:rsidRPr="000C1837" w:rsidRDefault="00286BB4" w:rsidP="00286BB4">
      <w:pPr>
        <w:jc w:val="center"/>
        <w:rPr>
          <w:rFonts w:cs="Arial"/>
        </w:rPr>
      </w:pPr>
    </w:p>
    <w:p w14:paraId="26749540" w14:textId="77777777" w:rsidR="00286BB4" w:rsidRPr="000C1837" w:rsidRDefault="00286BB4" w:rsidP="00286BB4">
      <w:pPr>
        <w:jc w:val="center"/>
        <w:rPr>
          <w:rFonts w:cs="Arial"/>
        </w:rPr>
      </w:pPr>
    </w:p>
    <w:p w14:paraId="618E728B" w14:textId="77777777" w:rsidR="00286BB4" w:rsidRPr="000C1837" w:rsidRDefault="00286BB4" w:rsidP="00286BB4">
      <w:pPr>
        <w:jc w:val="center"/>
        <w:rPr>
          <w:rFonts w:cs="Arial"/>
        </w:rPr>
      </w:pPr>
    </w:p>
    <w:p w14:paraId="30CD247A" w14:textId="77777777" w:rsidR="00286BB4" w:rsidRPr="000C1837" w:rsidRDefault="00286BB4" w:rsidP="00286BB4">
      <w:pPr>
        <w:jc w:val="center"/>
        <w:rPr>
          <w:rFonts w:cs="Arial"/>
        </w:rPr>
      </w:pPr>
    </w:p>
    <w:p w14:paraId="308D28B0" w14:textId="77777777" w:rsidR="00286BB4" w:rsidRPr="000C1837" w:rsidRDefault="00286BB4" w:rsidP="00286BB4">
      <w:pPr>
        <w:jc w:val="center"/>
        <w:rPr>
          <w:rFonts w:cs="Arial"/>
        </w:rPr>
        <w:sectPr w:rsidR="00286BB4" w:rsidRPr="000C1837" w:rsidSect="00687A8C">
          <w:footerReference w:type="default" r:id="rId13"/>
          <w:type w:val="continuous"/>
          <w:pgSz w:w="12240" w:h="15840"/>
          <w:pgMar w:top="1440" w:right="1440" w:bottom="1440" w:left="1440" w:header="708" w:footer="708" w:gutter="0"/>
          <w:cols w:space="708"/>
          <w:titlePg/>
          <w:docGrid w:linePitch="360"/>
        </w:sectPr>
      </w:pPr>
    </w:p>
    <w:p w14:paraId="325EA621" w14:textId="77777777" w:rsidR="00286BB4" w:rsidRPr="000C1837" w:rsidRDefault="00286BB4" w:rsidP="00286BB4">
      <w:pPr>
        <w:jc w:val="center"/>
        <w:rPr>
          <w:rFonts w:cs="Arial"/>
        </w:rPr>
      </w:pPr>
    </w:p>
    <w:p w14:paraId="741810AF" w14:textId="77777777" w:rsidR="00286BB4" w:rsidRPr="000C1837" w:rsidRDefault="00286BB4" w:rsidP="00286BB4">
      <w:pPr>
        <w:jc w:val="center"/>
        <w:rPr>
          <w:rFonts w:cs="Arial"/>
        </w:rPr>
      </w:pPr>
    </w:p>
    <w:p w14:paraId="5A44FB77" w14:textId="77777777" w:rsidR="00286BB4" w:rsidRPr="000C1837" w:rsidRDefault="00286BB4" w:rsidP="00940288">
      <w:pPr>
        <w:rPr>
          <w:rFonts w:cs="Arial"/>
        </w:rPr>
      </w:pPr>
    </w:p>
    <w:p w14:paraId="236FE1AB" w14:textId="77777777" w:rsidR="00940288" w:rsidRPr="000C1837" w:rsidRDefault="00940288" w:rsidP="00286BB4">
      <w:pPr>
        <w:jc w:val="center"/>
        <w:rPr>
          <w:rFonts w:cs="Arial"/>
        </w:rPr>
      </w:pPr>
    </w:p>
    <w:p w14:paraId="16312402" w14:textId="77777777" w:rsidR="00940288" w:rsidRPr="000C1837" w:rsidRDefault="00940288" w:rsidP="00940288">
      <w:pPr>
        <w:pStyle w:val="DisclaimerBold"/>
      </w:pPr>
    </w:p>
    <w:p w14:paraId="763F0DC1" w14:textId="77777777" w:rsidR="00940288" w:rsidRPr="000C1837" w:rsidRDefault="00940288" w:rsidP="00940288">
      <w:pPr>
        <w:pStyle w:val="DisclaimerBold"/>
      </w:pPr>
    </w:p>
    <w:p w14:paraId="6BFFABAF" w14:textId="77777777" w:rsidR="00940288" w:rsidRPr="000C1837" w:rsidRDefault="00940288" w:rsidP="00940288">
      <w:pPr>
        <w:pStyle w:val="DisclaimerBold"/>
      </w:pPr>
    </w:p>
    <w:p w14:paraId="4A6A3B1B" w14:textId="77777777" w:rsidR="00940288" w:rsidRPr="000C1837" w:rsidRDefault="00940288" w:rsidP="00940288">
      <w:pPr>
        <w:pStyle w:val="DisclaimerBold"/>
      </w:pPr>
    </w:p>
    <w:p w14:paraId="686A4F40" w14:textId="77777777" w:rsidR="00940288" w:rsidRPr="000C1837" w:rsidRDefault="00940288" w:rsidP="00940288">
      <w:pPr>
        <w:pStyle w:val="DisclaimerBold"/>
      </w:pPr>
    </w:p>
    <w:p w14:paraId="516F3F4A" w14:textId="77777777" w:rsidR="00940288" w:rsidRPr="000C1837" w:rsidRDefault="00940288" w:rsidP="00940288">
      <w:pPr>
        <w:pStyle w:val="DisclaimerBold"/>
      </w:pPr>
    </w:p>
    <w:p w14:paraId="33DBC915" w14:textId="77777777" w:rsidR="00940288" w:rsidRPr="000C1837" w:rsidRDefault="00940288" w:rsidP="00940288">
      <w:pPr>
        <w:pStyle w:val="DisclaimerBold"/>
      </w:pPr>
    </w:p>
    <w:p w14:paraId="11BE043F" w14:textId="77777777" w:rsidR="00940288" w:rsidRPr="000C1837" w:rsidRDefault="00940288" w:rsidP="00940288">
      <w:pPr>
        <w:pStyle w:val="DisclaimerBold"/>
      </w:pPr>
    </w:p>
    <w:p w14:paraId="41B5A1A7" w14:textId="23C1A3C1" w:rsidR="00940288" w:rsidRPr="000C1837" w:rsidRDefault="00940288" w:rsidP="00940288">
      <w:pPr>
        <w:pStyle w:val="DisclaimerBold"/>
      </w:pPr>
    </w:p>
    <w:p w14:paraId="56B3EF8A" w14:textId="4FF96576" w:rsidR="00751621" w:rsidRPr="000C1837" w:rsidRDefault="00751621" w:rsidP="00940288">
      <w:pPr>
        <w:pStyle w:val="DisclaimerBold"/>
      </w:pPr>
    </w:p>
    <w:p w14:paraId="2DB64206" w14:textId="440FB812" w:rsidR="00751621" w:rsidRPr="000C1837" w:rsidRDefault="00751621" w:rsidP="00940288">
      <w:pPr>
        <w:pStyle w:val="DisclaimerBold"/>
      </w:pPr>
    </w:p>
    <w:p w14:paraId="2A1566DA" w14:textId="12178AA5" w:rsidR="00751621" w:rsidRPr="000C1837" w:rsidRDefault="00751621" w:rsidP="00940288">
      <w:pPr>
        <w:pStyle w:val="DisclaimerBold"/>
      </w:pPr>
    </w:p>
    <w:p w14:paraId="2C2EA06D" w14:textId="13CD5030" w:rsidR="00751621" w:rsidRPr="000C1837" w:rsidRDefault="00751621" w:rsidP="00940288">
      <w:pPr>
        <w:pStyle w:val="DisclaimerBold"/>
      </w:pPr>
    </w:p>
    <w:p w14:paraId="468A0C11" w14:textId="38FDBEB8" w:rsidR="00751621" w:rsidRPr="000C1837" w:rsidRDefault="00751621" w:rsidP="00940288">
      <w:pPr>
        <w:pStyle w:val="DisclaimerBold"/>
      </w:pPr>
    </w:p>
    <w:p w14:paraId="798A6AD0" w14:textId="4E30A2D3" w:rsidR="00751621" w:rsidRPr="000C1837" w:rsidRDefault="00751621" w:rsidP="00940288">
      <w:pPr>
        <w:pStyle w:val="DisclaimerBold"/>
      </w:pPr>
    </w:p>
    <w:p w14:paraId="3AE35CD5" w14:textId="3F6D2B99" w:rsidR="00751621" w:rsidRPr="000C1837" w:rsidRDefault="00751621" w:rsidP="00940288">
      <w:pPr>
        <w:pStyle w:val="DisclaimerBold"/>
      </w:pPr>
    </w:p>
    <w:p w14:paraId="5A2E6CB7" w14:textId="420D840B" w:rsidR="00751621" w:rsidRPr="000C1837" w:rsidRDefault="00751621" w:rsidP="00940288">
      <w:pPr>
        <w:pStyle w:val="DisclaimerBold"/>
      </w:pPr>
    </w:p>
    <w:p w14:paraId="1B8F727D" w14:textId="77777777" w:rsidR="00751621" w:rsidRPr="000C1837" w:rsidRDefault="00751621" w:rsidP="00940288">
      <w:pPr>
        <w:pStyle w:val="DisclaimerBold"/>
      </w:pPr>
    </w:p>
    <w:p w14:paraId="7007696B" w14:textId="77777777" w:rsidR="00940288" w:rsidRPr="000C1837" w:rsidRDefault="00940288" w:rsidP="00940288">
      <w:pPr>
        <w:pStyle w:val="DisclaimerBold"/>
      </w:pPr>
    </w:p>
    <w:p w14:paraId="67642155" w14:textId="77777777" w:rsidR="00940288" w:rsidRPr="000C1837" w:rsidRDefault="00940288" w:rsidP="00940288">
      <w:pPr>
        <w:pStyle w:val="DisclaimerBold"/>
      </w:pPr>
    </w:p>
    <w:p w14:paraId="075FB6A3" w14:textId="77777777" w:rsidR="00940288" w:rsidRPr="000C1837" w:rsidRDefault="00940288" w:rsidP="00940288">
      <w:pPr>
        <w:pStyle w:val="DisclaimerBold"/>
      </w:pPr>
    </w:p>
    <w:p w14:paraId="7DEE4F3F" w14:textId="68D96670" w:rsidR="00940288" w:rsidRPr="000C1837" w:rsidRDefault="00940288" w:rsidP="00940288">
      <w:pPr>
        <w:pStyle w:val="DisclaimerBold"/>
      </w:pPr>
      <w:r w:rsidRPr="000C1837">
        <w:t>© Copyright Municipal Association of Victoria, 20</w:t>
      </w:r>
      <w:r w:rsidR="00751621" w:rsidRPr="000C1837">
        <w:t>20</w:t>
      </w:r>
    </w:p>
    <w:p w14:paraId="3A632164" w14:textId="77777777" w:rsidR="00940288" w:rsidRPr="000C1837" w:rsidRDefault="00940288" w:rsidP="00940288">
      <w:pPr>
        <w:pStyle w:val="Disclaimer"/>
      </w:pPr>
    </w:p>
    <w:p w14:paraId="0804DCC3" w14:textId="49DE6206" w:rsidR="00940288" w:rsidRPr="000C1837" w:rsidRDefault="00940288" w:rsidP="00751621">
      <w:pPr>
        <w:pStyle w:val="Disclaimer"/>
      </w:pPr>
      <w:r w:rsidRPr="000C1837">
        <w:t xml:space="preserve">The Municipal Association of Victoria is the owner of the copyright in the publication </w:t>
      </w:r>
      <w:sdt>
        <w:sdtPr>
          <w:alias w:val="Document Title"/>
          <w:tag w:val="Document Title"/>
          <w:id w:val="7414196"/>
          <w:placeholder>
            <w:docPart w:val="CD7FD443E7074D708DE82F41C6174283"/>
          </w:placeholder>
          <w:dataBinding w:prefixMappings="xmlns:ns0='http://purl.org/dc/elements/1.1/' xmlns:ns1='http://schemas.openxmlformats.org/package/2006/metadata/core-properties' " w:xpath="/ns1:coreProperties[1]/ns0:title[1]" w:storeItemID="{6C3C8BC8-F283-45AE-878A-BAB7291924A1}"/>
          <w:text/>
        </w:sdtPr>
        <w:sdtEndPr/>
        <w:sdtContent>
          <w:r w:rsidR="008403DE" w:rsidRPr="000C1837">
            <w:t>NTC HVNL Review Consultation RIS</w:t>
          </w:r>
        </w:sdtContent>
      </w:sdt>
      <w:r w:rsidRPr="000C1837">
        <w:t xml:space="preserve">. </w:t>
      </w:r>
    </w:p>
    <w:p w14:paraId="3D95D9BD" w14:textId="77777777" w:rsidR="00940288" w:rsidRPr="000C1837" w:rsidRDefault="00940288" w:rsidP="00940288">
      <w:pPr>
        <w:pStyle w:val="Disclaimer"/>
      </w:pPr>
    </w:p>
    <w:p w14:paraId="38CF0AA4" w14:textId="77777777" w:rsidR="00940288" w:rsidRPr="000C1837" w:rsidRDefault="00940288" w:rsidP="00940288">
      <w:pPr>
        <w:pStyle w:val="Disclaimer"/>
      </w:pPr>
      <w:r w:rsidRPr="000C1837">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rsidRPr="000C1837">
            <w:t>Victoria</w:t>
          </w:r>
        </w:smartTag>
      </w:smartTag>
      <w:r w:rsidRPr="000C1837">
        <w:t xml:space="preserve">. </w:t>
      </w:r>
    </w:p>
    <w:p w14:paraId="79D80D64" w14:textId="77777777" w:rsidR="00940288" w:rsidRPr="000C1837" w:rsidRDefault="00940288" w:rsidP="00940288">
      <w:pPr>
        <w:pStyle w:val="Disclaimer"/>
      </w:pPr>
    </w:p>
    <w:p w14:paraId="7086B108" w14:textId="67BF0E49" w:rsidR="00940288" w:rsidRPr="000C1837" w:rsidRDefault="00940288" w:rsidP="00940288">
      <w:pPr>
        <w:pStyle w:val="Disclaimer"/>
      </w:pPr>
      <w:r w:rsidRPr="000C1837">
        <w:t xml:space="preserve">All requests to reproduce, store or transmit material contained in the publication should be addressed to </w:t>
      </w:r>
      <w:hyperlink r:id="rId14" w:history="1">
        <w:r w:rsidR="00751621" w:rsidRPr="000C1837">
          <w:rPr>
            <w:rStyle w:val="Hyperlink"/>
          </w:rPr>
          <w:t>transport@mav.asn.au</w:t>
        </w:r>
      </w:hyperlink>
      <w:r w:rsidR="00751621" w:rsidRPr="000C1837">
        <w:t xml:space="preserve"> </w:t>
      </w:r>
      <w:r w:rsidRPr="000C1837">
        <w:t xml:space="preserve"> </w:t>
      </w:r>
    </w:p>
    <w:p w14:paraId="554B248F" w14:textId="77777777" w:rsidR="00940288" w:rsidRPr="000C1837" w:rsidRDefault="00940288" w:rsidP="00751621">
      <w:pPr>
        <w:pStyle w:val="Disclaimer"/>
        <w:ind w:left="0"/>
        <w:rPr>
          <w:szCs w:val="22"/>
        </w:rPr>
      </w:pPr>
    </w:p>
    <w:p w14:paraId="3EC660F5" w14:textId="058A15DF" w:rsidR="00940288" w:rsidRPr="000C1837" w:rsidRDefault="00940288" w:rsidP="00940288">
      <w:pPr>
        <w:pStyle w:val="Disclaimer"/>
        <w:rPr>
          <w:szCs w:val="22"/>
        </w:rPr>
      </w:pPr>
      <w:r w:rsidRPr="000C1837">
        <w:rPr>
          <w:szCs w:val="22"/>
        </w:rPr>
        <w:t xml:space="preserve">While this paper aims to broadly reflect the views of local government in </w:t>
      </w:r>
      <w:smartTag w:uri="urn:schemas-microsoft-com:office:smarttags" w:element="State">
        <w:smartTag w:uri="urn:schemas-microsoft-com:office:smarttags" w:element="place">
          <w:r w:rsidRPr="000C1837">
            <w:rPr>
              <w:szCs w:val="22"/>
            </w:rPr>
            <w:t>Victoria</w:t>
          </w:r>
        </w:smartTag>
      </w:smartTag>
      <w:r w:rsidRPr="000C1837">
        <w:rPr>
          <w:szCs w:val="22"/>
        </w:rPr>
        <w:t xml:space="preserve">, it does not purport to reflect the exact views of individual councils. This </w:t>
      </w:r>
      <w:r w:rsidR="00751621" w:rsidRPr="000C1837">
        <w:rPr>
          <w:szCs w:val="22"/>
        </w:rPr>
        <w:t>submission</w:t>
      </w:r>
      <w:r w:rsidRPr="000C1837">
        <w:rPr>
          <w:szCs w:val="22"/>
        </w:rPr>
        <w:t xml:space="preserve"> has been endorsed by the MAV </w:t>
      </w:r>
      <w:r w:rsidR="00751621" w:rsidRPr="000C1837">
        <w:rPr>
          <w:szCs w:val="22"/>
        </w:rPr>
        <w:t>Freight Policy Reference Group</w:t>
      </w:r>
      <w:r w:rsidRPr="000C1837">
        <w:rPr>
          <w:szCs w:val="22"/>
        </w:rPr>
        <w:t xml:space="preserve"> and</w:t>
      </w:r>
      <w:r w:rsidR="00751621" w:rsidRPr="000C1837">
        <w:rPr>
          <w:szCs w:val="22"/>
        </w:rPr>
        <w:t xml:space="preserve"> developed in consultation with member councils. </w:t>
      </w:r>
    </w:p>
    <w:p w14:paraId="5B827D21" w14:textId="77777777" w:rsidR="00286BB4" w:rsidRPr="000C1837" w:rsidRDefault="00286BB4" w:rsidP="00940288">
      <w:pPr>
        <w:rPr>
          <w:rFonts w:cs="Arial"/>
        </w:rPr>
      </w:pPr>
    </w:p>
    <w:p w14:paraId="38074AEF" w14:textId="1D75B84C" w:rsidR="00E47927" w:rsidRPr="000C1837" w:rsidRDefault="00E47927" w:rsidP="00940288">
      <w:pPr>
        <w:rPr>
          <w:rFonts w:cs="Arial"/>
        </w:rPr>
      </w:pPr>
    </w:p>
    <w:p w14:paraId="482BFC7F" w14:textId="5A827983" w:rsidR="00751621" w:rsidRPr="000C1837" w:rsidRDefault="00751621" w:rsidP="00940288">
      <w:pPr>
        <w:rPr>
          <w:rFonts w:cs="Arial"/>
        </w:rPr>
      </w:pPr>
    </w:p>
    <w:p w14:paraId="5A7C8D93" w14:textId="77502B52" w:rsidR="00751621" w:rsidRPr="000C1837" w:rsidRDefault="00751621" w:rsidP="00940288">
      <w:pPr>
        <w:rPr>
          <w:rFonts w:cs="Arial"/>
        </w:rPr>
      </w:pPr>
    </w:p>
    <w:p w14:paraId="599AF0B5" w14:textId="28113CC7" w:rsidR="00751621" w:rsidRPr="000C1837" w:rsidRDefault="00751621" w:rsidP="00940288">
      <w:pPr>
        <w:rPr>
          <w:rFonts w:cs="Arial"/>
        </w:rPr>
      </w:pPr>
    </w:p>
    <w:p w14:paraId="38555CC9" w14:textId="3DD5513A" w:rsidR="00751621" w:rsidRPr="000C1837" w:rsidRDefault="00751621" w:rsidP="00940288">
      <w:pPr>
        <w:rPr>
          <w:rFonts w:cs="Arial"/>
        </w:rPr>
      </w:pPr>
    </w:p>
    <w:p w14:paraId="0AD2748A" w14:textId="77777777" w:rsidR="00E47927" w:rsidRPr="000C1837" w:rsidRDefault="00E47927" w:rsidP="00A86F9C">
      <w:pPr>
        <w:pStyle w:val="Title"/>
      </w:pPr>
      <w:r w:rsidRPr="000C1837">
        <w:t>Table of Contents</w:t>
      </w:r>
    </w:p>
    <w:p w14:paraId="126084F0" w14:textId="72EFFA93" w:rsidR="0032713C" w:rsidRDefault="00B13173">
      <w:pPr>
        <w:pStyle w:val="TOC1"/>
        <w:tabs>
          <w:tab w:val="left" w:pos="440"/>
          <w:tab w:val="right" w:leader="dot" w:pos="9350"/>
        </w:tabs>
        <w:rPr>
          <w:rFonts w:asciiTheme="minorHAnsi" w:eastAsiaTheme="minorEastAsia" w:hAnsiTheme="minorHAnsi" w:cstheme="minorBidi"/>
          <w:i w:val="0"/>
          <w:noProof/>
          <w:lang w:val="en-AU" w:eastAsia="en-AU"/>
        </w:rPr>
      </w:pPr>
      <w:r w:rsidRPr="000C1837">
        <w:rPr>
          <w:rFonts w:cs="Arial"/>
        </w:rPr>
        <w:fldChar w:fldCharType="begin"/>
      </w:r>
      <w:r w:rsidR="00E47927" w:rsidRPr="000C1837">
        <w:rPr>
          <w:rFonts w:cs="Arial"/>
        </w:rPr>
        <w:instrText xml:space="preserve"> TOC \o "1-3" \h \z \u </w:instrText>
      </w:r>
      <w:r w:rsidRPr="000C1837">
        <w:rPr>
          <w:rFonts w:cs="Arial"/>
        </w:rPr>
        <w:fldChar w:fldCharType="separate"/>
      </w:r>
      <w:hyperlink w:anchor="_Toc56522730" w:history="1">
        <w:r w:rsidR="0032713C" w:rsidRPr="003232E4">
          <w:rPr>
            <w:rStyle w:val="Hyperlink"/>
            <w:noProof/>
          </w:rPr>
          <w:t>1</w:t>
        </w:r>
        <w:r w:rsidR="0032713C">
          <w:rPr>
            <w:rFonts w:asciiTheme="minorHAnsi" w:eastAsiaTheme="minorEastAsia" w:hAnsiTheme="minorHAnsi" w:cstheme="minorBidi"/>
            <w:i w:val="0"/>
            <w:noProof/>
            <w:lang w:val="en-AU" w:eastAsia="en-AU"/>
          </w:rPr>
          <w:tab/>
        </w:r>
        <w:r w:rsidR="0032713C" w:rsidRPr="003232E4">
          <w:rPr>
            <w:rStyle w:val="Hyperlink"/>
            <w:noProof/>
          </w:rPr>
          <w:t>Introduction</w:t>
        </w:r>
        <w:r w:rsidR="0032713C">
          <w:rPr>
            <w:noProof/>
            <w:webHidden/>
          </w:rPr>
          <w:tab/>
        </w:r>
        <w:r w:rsidR="0032713C">
          <w:rPr>
            <w:noProof/>
            <w:webHidden/>
          </w:rPr>
          <w:fldChar w:fldCharType="begin"/>
        </w:r>
        <w:r w:rsidR="0032713C">
          <w:rPr>
            <w:noProof/>
            <w:webHidden/>
          </w:rPr>
          <w:instrText xml:space="preserve"> PAGEREF _Toc56522730 \h </w:instrText>
        </w:r>
        <w:r w:rsidR="0032713C">
          <w:rPr>
            <w:noProof/>
            <w:webHidden/>
          </w:rPr>
        </w:r>
        <w:r w:rsidR="0032713C">
          <w:rPr>
            <w:noProof/>
            <w:webHidden/>
          </w:rPr>
          <w:fldChar w:fldCharType="separate"/>
        </w:r>
        <w:r w:rsidR="0047486A">
          <w:rPr>
            <w:noProof/>
            <w:webHidden/>
          </w:rPr>
          <w:t>4</w:t>
        </w:r>
        <w:r w:rsidR="0032713C">
          <w:rPr>
            <w:noProof/>
            <w:webHidden/>
          </w:rPr>
          <w:fldChar w:fldCharType="end"/>
        </w:r>
      </w:hyperlink>
    </w:p>
    <w:p w14:paraId="1BD8B5F8" w14:textId="4FB2257B" w:rsidR="0032713C" w:rsidRDefault="00276FDB">
      <w:pPr>
        <w:pStyle w:val="TOC1"/>
        <w:tabs>
          <w:tab w:val="left" w:pos="440"/>
          <w:tab w:val="right" w:leader="dot" w:pos="9350"/>
        </w:tabs>
        <w:rPr>
          <w:rFonts w:asciiTheme="minorHAnsi" w:eastAsiaTheme="minorEastAsia" w:hAnsiTheme="minorHAnsi" w:cstheme="minorBidi"/>
          <w:i w:val="0"/>
          <w:noProof/>
          <w:lang w:val="en-AU" w:eastAsia="en-AU"/>
        </w:rPr>
      </w:pPr>
      <w:hyperlink w:anchor="_Toc56522731" w:history="1">
        <w:r w:rsidR="0032713C" w:rsidRPr="003232E4">
          <w:rPr>
            <w:rStyle w:val="Hyperlink"/>
            <w:noProof/>
          </w:rPr>
          <w:t>2</w:t>
        </w:r>
        <w:r w:rsidR="0032713C">
          <w:rPr>
            <w:rFonts w:asciiTheme="minorHAnsi" w:eastAsiaTheme="minorEastAsia" w:hAnsiTheme="minorHAnsi" w:cstheme="minorBidi"/>
            <w:i w:val="0"/>
            <w:noProof/>
            <w:lang w:val="en-AU" w:eastAsia="en-AU"/>
          </w:rPr>
          <w:tab/>
        </w:r>
        <w:r w:rsidR="0032713C" w:rsidRPr="003232E4">
          <w:rPr>
            <w:rStyle w:val="Hyperlink"/>
            <w:noProof/>
          </w:rPr>
          <w:t>Response to proposals</w:t>
        </w:r>
        <w:r w:rsidR="0032713C">
          <w:rPr>
            <w:noProof/>
            <w:webHidden/>
          </w:rPr>
          <w:tab/>
        </w:r>
        <w:r w:rsidR="0032713C">
          <w:rPr>
            <w:noProof/>
            <w:webHidden/>
          </w:rPr>
          <w:fldChar w:fldCharType="begin"/>
        </w:r>
        <w:r w:rsidR="0032713C">
          <w:rPr>
            <w:noProof/>
            <w:webHidden/>
          </w:rPr>
          <w:instrText xml:space="preserve"> PAGEREF _Toc56522731 \h </w:instrText>
        </w:r>
        <w:r w:rsidR="0032713C">
          <w:rPr>
            <w:noProof/>
            <w:webHidden/>
          </w:rPr>
        </w:r>
        <w:r w:rsidR="0032713C">
          <w:rPr>
            <w:noProof/>
            <w:webHidden/>
          </w:rPr>
          <w:fldChar w:fldCharType="separate"/>
        </w:r>
        <w:r w:rsidR="0047486A">
          <w:rPr>
            <w:noProof/>
            <w:webHidden/>
          </w:rPr>
          <w:t>7</w:t>
        </w:r>
        <w:r w:rsidR="0032713C">
          <w:rPr>
            <w:noProof/>
            <w:webHidden/>
          </w:rPr>
          <w:fldChar w:fldCharType="end"/>
        </w:r>
      </w:hyperlink>
    </w:p>
    <w:p w14:paraId="64DE6695" w14:textId="63C9A935" w:rsidR="00E47927" w:rsidRPr="000C1837" w:rsidRDefault="00B13173" w:rsidP="00940288">
      <w:pPr>
        <w:rPr>
          <w:rFonts w:cs="Arial"/>
        </w:rPr>
        <w:sectPr w:rsidR="00E47927" w:rsidRPr="000C1837" w:rsidSect="00687A8C">
          <w:headerReference w:type="default" r:id="rId15"/>
          <w:type w:val="continuous"/>
          <w:pgSz w:w="12240" w:h="15840"/>
          <w:pgMar w:top="1440" w:right="1440" w:bottom="1440" w:left="1440" w:header="708" w:footer="708" w:gutter="0"/>
          <w:cols w:space="708"/>
          <w:docGrid w:linePitch="360"/>
        </w:sectPr>
      </w:pPr>
      <w:r w:rsidRPr="000C1837">
        <w:rPr>
          <w:rFonts w:cs="Arial"/>
        </w:rPr>
        <w:fldChar w:fldCharType="end"/>
      </w:r>
    </w:p>
    <w:p w14:paraId="20B37796" w14:textId="0917DADF" w:rsidR="00207081" w:rsidRPr="000C1837" w:rsidRDefault="00751621" w:rsidP="00751621">
      <w:pPr>
        <w:tabs>
          <w:tab w:val="left" w:pos="874"/>
          <w:tab w:val="left" w:pos="2955"/>
        </w:tabs>
        <w:rPr>
          <w:rFonts w:cs="Arial"/>
        </w:rPr>
      </w:pPr>
      <w:r w:rsidRPr="000C1837">
        <w:rPr>
          <w:rFonts w:cs="Arial"/>
        </w:rPr>
        <w:tab/>
      </w:r>
    </w:p>
    <w:p w14:paraId="3824DC08" w14:textId="77777777" w:rsidR="00A04051" w:rsidRPr="000C1837" w:rsidRDefault="00A04051">
      <w:pPr>
        <w:spacing w:after="0" w:line="240" w:lineRule="auto"/>
        <w:rPr>
          <w:rFonts w:eastAsia="Times New Roman" w:cs="Arial"/>
          <w:b/>
          <w:bCs/>
          <w:sz w:val="28"/>
          <w:szCs w:val="28"/>
        </w:rPr>
      </w:pPr>
      <w:bookmarkStart w:id="1" w:name="_Toc248038850"/>
      <w:r w:rsidRPr="000C1837">
        <w:rPr>
          <w:rFonts w:cs="Arial"/>
        </w:rPr>
        <w:br w:type="page"/>
      </w:r>
    </w:p>
    <w:p w14:paraId="704B9254" w14:textId="6B9B1942" w:rsidR="00271AF4" w:rsidRPr="000C1837" w:rsidRDefault="00271AF4" w:rsidP="00A86F9C">
      <w:pPr>
        <w:pStyle w:val="Heading1"/>
      </w:pPr>
      <w:bookmarkStart w:id="2" w:name="_Toc56522730"/>
      <w:r w:rsidRPr="000C1837">
        <w:lastRenderedPageBreak/>
        <w:t>Introductio</w:t>
      </w:r>
      <w:r w:rsidR="00AD6A6E" w:rsidRPr="000C1837">
        <w:t>n</w:t>
      </w:r>
      <w:bookmarkEnd w:id="1"/>
      <w:bookmarkEnd w:id="2"/>
      <w:r w:rsidR="00B13173" w:rsidRPr="000C1837">
        <w:fldChar w:fldCharType="begin"/>
      </w:r>
      <w:r w:rsidR="00CA0701" w:rsidRPr="000C1837">
        <w:instrText xml:space="preserve"> XE "2 Introduction:2.3 Sub-heading 3" </w:instrText>
      </w:r>
      <w:r w:rsidR="00B13173" w:rsidRPr="000C1837">
        <w:fldChar w:fldCharType="end"/>
      </w:r>
      <w:r w:rsidR="00B13173" w:rsidRPr="000C1837">
        <w:fldChar w:fldCharType="begin"/>
      </w:r>
      <w:r w:rsidR="00CA0701" w:rsidRPr="000C1837">
        <w:instrText xml:space="preserve"> XE "2 Introduction:2.4 Sub-heading 4" </w:instrText>
      </w:r>
      <w:r w:rsidR="00B13173" w:rsidRPr="000C1837">
        <w:fldChar w:fldCharType="end"/>
      </w:r>
      <w:r w:rsidR="00B13173" w:rsidRPr="000C1837">
        <w:fldChar w:fldCharType="begin"/>
      </w:r>
      <w:r w:rsidR="00CA0701" w:rsidRPr="000C1837">
        <w:instrText xml:space="preserve"> XE "2 Introduction:2.1 Sub-heading 1" </w:instrText>
      </w:r>
      <w:r w:rsidR="00B13173" w:rsidRPr="000C1837">
        <w:fldChar w:fldCharType="end"/>
      </w:r>
      <w:r w:rsidR="00B13173" w:rsidRPr="000C1837">
        <w:fldChar w:fldCharType="begin"/>
      </w:r>
      <w:r w:rsidR="00CA0701" w:rsidRPr="000C1837">
        <w:instrText xml:space="preserve"> XE "2 Introduction:2.2 Sub-heading 2" </w:instrText>
      </w:r>
      <w:r w:rsidR="00B13173" w:rsidRPr="000C1837">
        <w:fldChar w:fldCharType="end"/>
      </w:r>
    </w:p>
    <w:p w14:paraId="79FEBFB2" w14:textId="77777777" w:rsidR="00DF30C0" w:rsidRPr="000C1837" w:rsidRDefault="00751621" w:rsidP="00186AA3">
      <w:pPr>
        <w:pStyle w:val="Builtpointstyle1"/>
        <w:numPr>
          <w:ilvl w:val="0"/>
          <w:numId w:val="0"/>
        </w:numPr>
      </w:pPr>
      <w:r w:rsidRPr="000C1837">
        <w:t>The M</w:t>
      </w:r>
      <w:r w:rsidR="00DF30C0" w:rsidRPr="000C1837">
        <w:t>unicipal Association of Victoria (M</w:t>
      </w:r>
      <w:r w:rsidRPr="000C1837">
        <w:t>AV</w:t>
      </w:r>
      <w:r w:rsidR="00DF30C0" w:rsidRPr="000C1837">
        <w:t>)</w:t>
      </w:r>
      <w:r w:rsidRPr="000C1837">
        <w:t xml:space="preserve"> is the peak representative and advocacy body for</w:t>
      </w:r>
    </w:p>
    <w:p w14:paraId="359FF201" w14:textId="5413E661" w:rsidR="00DF30C0" w:rsidRPr="000C1837" w:rsidRDefault="00751621" w:rsidP="00BB7023">
      <w:pPr>
        <w:pStyle w:val="Builtpointstyle1"/>
        <w:numPr>
          <w:ilvl w:val="0"/>
          <w:numId w:val="0"/>
        </w:numPr>
      </w:pPr>
      <w:r w:rsidRPr="000C1837">
        <w:t xml:space="preserve">Victoria's 79 councils. Formed in 1879, the MAV is the official voice of local government in </w:t>
      </w:r>
    </w:p>
    <w:p w14:paraId="4AC2A2EB" w14:textId="62C3AA50" w:rsidR="00DF30C0" w:rsidRPr="000C1837" w:rsidRDefault="00751621" w:rsidP="00BB7023">
      <w:pPr>
        <w:pStyle w:val="Builtpointstyle1"/>
        <w:numPr>
          <w:ilvl w:val="0"/>
          <w:numId w:val="0"/>
        </w:numPr>
      </w:pPr>
      <w:r w:rsidRPr="000C1837">
        <w:t>Victoria under the Municipal Association Act, 1907</w:t>
      </w:r>
      <w:r w:rsidR="00DF30C0" w:rsidRPr="000C1837">
        <w:t xml:space="preserve">. </w:t>
      </w:r>
      <w:r w:rsidRPr="000C1837">
        <w:t xml:space="preserve">Our role is to represent the </w:t>
      </w:r>
    </w:p>
    <w:p w14:paraId="5EB8FC97" w14:textId="77777777" w:rsidR="00DF30C0" w:rsidRPr="000C1837" w:rsidRDefault="00751621" w:rsidP="00BB7023">
      <w:pPr>
        <w:pStyle w:val="Builtpointstyle1"/>
        <w:numPr>
          <w:ilvl w:val="0"/>
          <w:numId w:val="0"/>
        </w:numPr>
      </w:pPr>
      <w:r w:rsidRPr="000C1837">
        <w:t>interests of local</w:t>
      </w:r>
      <w:r w:rsidR="00DF30C0" w:rsidRPr="000C1837">
        <w:t xml:space="preserve"> </w:t>
      </w:r>
      <w:r w:rsidRPr="000C1837">
        <w:t xml:space="preserve">government, ensure the sector’s long-term security and provide policy and </w:t>
      </w:r>
    </w:p>
    <w:p w14:paraId="4AD67497" w14:textId="79BF276F" w:rsidR="00751621" w:rsidRPr="000C1837" w:rsidRDefault="00751621" w:rsidP="00BB7023">
      <w:pPr>
        <w:pStyle w:val="Builtpointstyle1"/>
        <w:numPr>
          <w:ilvl w:val="0"/>
          <w:numId w:val="0"/>
        </w:numPr>
      </w:pPr>
      <w:r w:rsidRPr="000C1837">
        <w:t xml:space="preserve">strategic advice, capacity building programs and insurance services to local government. </w:t>
      </w:r>
    </w:p>
    <w:p w14:paraId="5DE99BCD" w14:textId="77777777" w:rsidR="00751621" w:rsidRPr="000C1837" w:rsidRDefault="00751621" w:rsidP="00BB7023">
      <w:pPr>
        <w:pStyle w:val="Builtpointstyle1"/>
        <w:numPr>
          <w:ilvl w:val="0"/>
          <w:numId w:val="0"/>
        </w:numPr>
      </w:pPr>
    </w:p>
    <w:p w14:paraId="05EA0B84" w14:textId="71394925" w:rsidR="00DF30C0" w:rsidRPr="000C1837" w:rsidRDefault="00DF30C0" w:rsidP="00BB7023">
      <w:pPr>
        <w:pStyle w:val="Builtpointstyle1"/>
        <w:numPr>
          <w:ilvl w:val="0"/>
          <w:numId w:val="0"/>
        </w:numPr>
      </w:pPr>
      <w:r w:rsidRPr="000C1837">
        <w:t xml:space="preserve">The MAV welcomes the opportunity to provide a response to the National Transport Commission (NTC) Heavy Vehicle National Law (HVNL) review consultation regulation impact statement (RIS).  </w:t>
      </w:r>
      <w:r w:rsidR="00165935">
        <w:t xml:space="preserve">We have limited our submission to </w:t>
      </w:r>
      <w:r w:rsidR="00C962A5">
        <w:t xml:space="preserve">proposals relating to access in </w:t>
      </w:r>
      <w:r w:rsidR="00F65723">
        <w:t xml:space="preserve">Chapter </w:t>
      </w:r>
      <w:r w:rsidR="00C962A5">
        <w:t xml:space="preserve">9, as they have the greatest relevance to councils as local road managers. </w:t>
      </w:r>
    </w:p>
    <w:p w14:paraId="29005005" w14:textId="41E24DD0" w:rsidR="00751621" w:rsidRPr="000C1837" w:rsidRDefault="00751621" w:rsidP="00BB7023">
      <w:pPr>
        <w:pStyle w:val="Builtpointstyle1"/>
        <w:numPr>
          <w:ilvl w:val="0"/>
          <w:numId w:val="0"/>
        </w:numPr>
      </w:pPr>
    </w:p>
    <w:p w14:paraId="1745E8E1" w14:textId="1D6034A7" w:rsidR="00DF30C0" w:rsidRPr="000C1837" w:rsidRDefault="00751621" w:rsidP="00BB7023">
      <w:pPr>
        <w:pStyle w:val="Builtpointstyle1"/>
        <w:numPr>
          <w:ilvl w:val="0"/>
          <w:numId w:val="0"/>
        </w:numPr>
      </w:pPr>
      <w:r w:rsidRPr="000C1837">
        <w:t>The</w:t>
      </w:r>
      <w:r w:rsidR="00DF30C0" w:rsidRPr="000C1837">
        <w:t xml:space="preserve"> MAV’s 2019 submission to the response to</w:t>
      </w:r>
      <w:r w:rsidRPr="000C1837">
        <w:t xml:space="preserve"> HVNL</w:t>
      </w:r>
      <w:r w:rsidR="00DF30C0" w:rsidRPr="000C1837">
        <w:t xml:space="preserve"> Easy Access to Suitable Routes Issues Paper outline</w:t>
      </w:r>
      <w:r w:rsidR="0077565D" w:rsidRPr="000C1837">
        <w:t>s in some detail</w:t>
      </w:r>
      <w:r w:rsidR="00DF30C0" w:rsidRPr="000C1837">
        <w:t xml:space="preserve"> the priorities and challenges</w:t>
      </w:r>
      <w:r w:rsidR="00491D9B" w:rsidRPr="000C1837">
        <w:t xml:space="preserve"> for councils in applying the HVNL</w:t>
      </w:r>
      <w:r w:rsidR="00F737F6">
        <w:t>, issuing permits</w:t>
      </w:r>
      <w:r w:rsidR="001549C5">
        <w:t xml:space="preserve"> and authorising access,</w:t>
      </w:r>
      <w:r w:rsidR="00F737F6">
        <w:t xml:space="preserve"> </w:t>
      </w:r>
      <w:r w:rsidR="00491D9B" w:rsidRPr="000C1837">
        <w:t>and managing</w:t>
      </w:r>
      <w:r w:rsidR="0077565D" w:rsidRPr="000C1837">
        <w:t xml:space="preserve"> the</w:t>
      </w:r>
      <w:r w:rsidR="00491D9B" w:rsidRPr="000C1837">
        <w:t xml:space="preserve"> </w:t>
      </w:r>
      <w:r w:rsidR="0077565D" w:rsidRPr="000C1837">
        <w:t>‘</w:t>
      </w:r>
      <w:r w:rsidR="00491D9B" w:rsidRPr="000C1837">
        <w:t>first and last kilometre</w:t>
      </w:r>
      <w:r w:rsidR="0077565D" w:rsidRPr="000C1837">
        <w:t>’</w:t>
      </w:r>
      <w:r w:rsidR="00491D9B" w:rsidRPr="000C1837">
        <w:t xml:space="preserve"> of the freight task</w:t>
      </w:r>
      <w:r w:rsidR="00DF30C0" w:rsidRPr="000C1837">
        <w:t>.</w:t>
      </w:r>
      <w:r w:rsidR="00491D9B" w:rsidRPr="000C1837">
        <w:t xml:space="preserve">  </w:t>
      </w:r>
    </w:p>
    <w:p w14:paraId="203F1569" w14:textId="2F251438" w:rsidR="00491D9B" w:rsidRPr="000C1837" w:rsidRDefault="00491D9B" w:rsidP="00BB7023">
      <w:pPr>
        <w:pStyle w:val="Builtpointstyle1"/>
        <w:numPr>
          <w:ilvl w:val="0"/>
          <w:numId w:val="0"/>
        </w:numPr>
      </w:pPr>
    </w:p>
    <w:p w14:paraId="7CCDD7E0" w14:textId="351E9919" w:rsidR="00612549" w:rsidRPr="000C1837" w:rsidRDefault="00491D9B" w:rsidP="00612549">
      <w:pPr>
        <w:pStyle w:val="Builtpointstyle1"/>
        <w:numPr>
          <w:ilvl w:val="0"/>
          <w:numId w:val="0"/>
        </w:numPr>
      </w:pPr>
      <w:r w:rsidRPr="000C1837">
        <w:t>When consulting with councils on the</w:t>
      </w:r>
      <w:r w:rsidR="00530B85">
        <w:t xml:space="preserve"> </w:t>
      </w:r>
      <w:r w:rsidRPr="000C1837">
        <w:t>proposals</w:t>
      </w:r>
      <w:r w:rsidR="00530B85">
        <w:t xml:space="preserve"> in the RIS</w:t>
      </w:r>
      <w:r w:rsidRPr="000C1837">
        <w:t xml:space="preserve">, </w:t>
      </w:r>
      <w:r w:rsidR="00530B85">
        <w:t xml:space="preserve">the </w:t>
      </w:r>
      <w:r w:rsidR="006A2F73" w:rsidRPr="000C1837">
        <w:t xml:space="preserve">feedback </w:t>
      </w:r>
      <w:r w:rsidRPr="000C1837">
        <w:t xml:space="preserve">reinforced our previous position </w:t>
      </w:r>
      <w:r w:rsidR="00751621" w:rsidRPr="000C1837">
        <w:t xml:space="preserve">that </w:t>
      </w:r>
      <w:r w:rsidR="006A2F73" w:rsidRPr="000C1837">
        <w:t>cou</w:t>
      </w:r>
      <w:r w:rsidR="00176678" w:rsidRPr="000C1837">
        <w:t>ncil</w:t>
      </w:r>
      <w:r w:rsidR="00751621" w:rsidRPr="000C1837">
        <w:t>s</w:t>
      </w:r>
      <w:r w:rsidR="00624CA4" w:rsidRPr="000C1837">
        <w:t xml:space="preserve"> s</w:t>
      </w:r>
      <w:r w:rsidR="00751621" w:rsidRPr="000C1837">
        <w:t xml:space="preserve">hould continue to be the decision-maker for general and restricted access to local roads through notices, pre-approvals and permits. </w:t>
      </w:r>
      <w:r w:rsidR="00612549" w:rsidRPr="000C1837">
        <w:t>Our position</w:t>
      </w:r>
      <w:r w:rsidR="00CA26CC">
        <w:t>s</w:t>
      </w:r>
      <w:r w:rsidR="00612549" w:rsidRPr="000C1837">
        <w:t xml:space="preserve"> in relation to some of the proposals relating to streamlining and expediting permit approvals reflect this</w:t>
      </w:r>
      <w:r w:rsidR="00CA1F04">
        <w:t xml:space="preserve"> principle</w:t>
      </w:r>
      <w:r w:rsidR="00612549" w:rsidRPr="000C1837">
        <w:t xml:space="preserve">.  </w:t>
      </w:r>
    </w:p>
    <w:p w14:paraId="6ED4CEC3" w14:textId="77777777" w:rsidR="00140016" w:rsidRPr="000C1837" w:rsidRDefault="00140016" w:rsidP="00FB5299">
      <w:pPr>
        <w:pStyle w:val="Builtpointstyle1"/>
        <w:numPr>
          <w:ilvl w:val="0"/>
          <w:numId w:val="0"/>
        </w:numPr>
      </w:pPr>
    </w:p>
    <w:p w14:paraId="4FE7344C" w14:textId="138495E7" w:rsidR="00140016" w:rsidRPr="000C1837" w:rsidRDefault="009D2495" w:rsidP="00140016">
      <w:pPr>
        <w:pStyle w:val="Builtpointstyle1"/>
        <w:numPr>
          <w:ilvl w:val="0"/>
          <w:numId w:val="0"/>
        </w:numPr>
      </w:pPr>
      <w:r>
        <w:t>The MAV encourages the NTC to continue to explore</w:t>
      </w:r>
      <w:r w:rsidR="00140016" w:rsidRPr="000C1837">
        <w:t xml:space="preserve"> opportunities </w:t>
      </w:r>
      <w:r>
        <w:t xml:space="preserve">for supporting </w:t>
      </w:r>
      <w:r w:rsidR="005F19AD">
        <w:t>councils in their role</w:t>
      </w:r>
      <w:r w:rsidR="00722092">
        <w:t xml:space="preserve"> as road managers</w:t>
      </w:r>
      <w:r w:rsidR="00140016" w:rsidRPr="000C1837">
        <w:t xml:space="preserve">, which may in turn improve </w:t>
      </w:r>
      <w:r w:rsidR="00DE65D7">
        <w:t>eff</w:t>
      </w:r>
      <w:r w:rsidR="00D36266">
        <w:t xml:space="preserve">iciencies and </w:t>
      </w:r>
      <w:r w:rsidR="00140016" w:rsidRPr="000C1837">
        <w:t xml:space="preserve">confidence in decision-making and improve turnaround times. Support </w:t>
      </w:r>
      <w:r w:rsidR="00D10C90" w:rsidRPr="000C1837">
        <w:t xml:space="preserve">includes </w:t>
      </w:r>
      <w:r w:rsidR="00140016" w:rsidRPr="000C1837">
        <w:t xml:space="preserve">access </w:t>
      </w:r>
      <w:r w:rsidR="00D10C90" w:rsidRPr="000C1837">
        <w:t>to</w:t>
      </w:r>
      <w:r w:rsidR="00140016" w:rsidRPr="000C1837">
        <w:t xml:space="preserve"> data and technology</w:t>
      </w:r>
      <w:r w:rsidR="00532181" w:rsidRPr="000C1837">
        <w:t>, and</w:t>
      </w:r>
      <w:r w:rsidR="00D10C90" w:rsidRPr="000C1837">
        <w:t xml:space="preserve"> </w:t>
      </w:r>
      <w:r w:rsidR="001F77B0" w:rsidRPr="000C1837">
        <w:t xml:space="preserve">targeted </w:t>
      </w:r>
      <w:r w:rsidR="00F34DDD" w:rsidRPr="000C1837">
        <w:t xml:space="preserve">funding for </w:t>
      </w:r>
      <w:r w:rsidR="001F77B0" w:rsidRPr="000C1837">
        <w:t xml:space="preserve">local government </w:t>
      </w:r>
      <w:r w:rsidR="00F34DDD" w:rsidRPr="000C1837">
        <w:t xml:space="preserve">infrastructure assessment and </w:t>
      </w:r>
      <w:r w:rsidR="00532181" w:rsidRPr="000C1837">
        <w:t xml:space="preserve">investment. </w:t>
      </w:r>
      <w:r w:rsidR="00F34DDD" w:rsidRPr="000C1837">
        <w:t xml:space="preserve"> </w:t>
      </w:r>
    </w:p>
    <w:p w14:paraId="48756CF6" w14:textId="77777777" w:rsidR="00140016" w:rsidRPr="000C1837" w:rsidRDefault="00140016" w:rsidP="00140016">
      <w:pPr>
        <w:pStyle w:val="Builtpointstyle1"/>
        <w:numPr>
          <w:ilvl w:val="0"/>
          <w:numId w:val="0"/>
        </w:numPr>
      </w:pPr>
    </w:p>
    <w:p w14:paraId="68DB39E6" w14:textId="6451BE1E" w:rsidR="00FB5299" w:rsidRPr="000C1837" w:rsidRDefault="00FB5299" w:rsidP="00BB7023">
      <w:pPr>
        <w:pStyle w:val="Builtpointstyle1"/>
        <w:numPr>
          <w:ilvl w:val="0"/>
          <w:numId w:val="0"/>
        </w:numPr>
      </w:pPr>
    </w:p>
    <w:p w14:paraId="37810B9A" w14:textId="77777777" w:rsidR="00FB5299" w:rsidRPr="000C1837" w:rsidRDefault="00FB5299" w:rsidP="00BB7023">
      <w:pPr>
        <w:pStyle w:val="Builtpointstyle1"/>
        <w:numPr>
          <w:ilvl w:val="0"/>
          <w:numId w:val="0"/>
        </w:numPr>
      </w:pPr>
    </w:p>
    <w:p w14:paraId="183AF0FA" w14:textId="77777777" w:rsidR="00751621" w:rsidRPr="000C1837" w:rsidRDefault="00751621" w:rsidP="001F6973">
      <w:pPr>
        <w:pStyle w:val="Builtpointstyle1"/>
        <w:numPr>
          <w:ilvl w:val="0"/>
          <w:numId w:val="0"/>
        </w:numPr>
      </w:pPr>
    </w:p>
    <w:p w14:paraId="15610751" w14:textId="77777777" w:rsidR="00271AF4" w:rsidRPr="000C1837" w:rsidRDefault="00271AF4" w:rsidP="00CE2037">
      <w:pPr>
        <w:spacing w:after="0" w:line="240" w:lineRule="auto"/>
        <w:rPr>
          <w:rFonts w:cs="Arial"/>
        </w:rPr>
      </w:pPr>
    </w:p>
    <w:p w14:paraId="2BFEDA21" w14:textId="102A6AB6" w:rsidR="008403DE" w:rsidRPr="000C1837" w:rsidRDefault="000D0A76">
      <w:pPr>
        <w:spacing w:after="0" w:line="240" w:lineRule="auto"/>
        <w:rPr>
          <w:rFonts w:cs="Arial"/>
          <w:b/>
          <w:bCs/>
          <w:sz w:val="28"/>
          <w:szCs w:val="28"/>
          <w:lang w:val="en-AU"/>
        </w:rPr>
      </w:pPr>
      <w:r w:rsidRPr="000C1837">
        <w:rPr>
          <w:rFonts w:cs="Arial"/>
          <w:b/>
          <w:bCs/>
          <w:sz w:val="28"/>
          <w:szCs w:val="28"/>
          <w:lang w:val="en-AU"/>
        </w:rPr>
        <w:br w:type="page"/>
      </w:r>
    </w:p>
    <w:p w14:paraId="464C88A1" w14:textId="77777777" w:rsidR="008403DE" w:rsidRPr="000C1837" w:rsidRDefault="008403DE" w:rsidP="008403DE">
      <w:pPr>
        <w:spacing w:before="60" w:after="60"/>
        <w:jc w:val="center"/>
        <w:rPr>
          <w:rFonts w:cs="Arial"/>
          <w:b/>
          <w:bCs/>
          <w:sz w:val="28"/>
          <w:szCs w:val="28"/>
          <w:lang w:val="en-AU"/>
        </w:rPr>
      </w:pPr>
    </w:p>
    <w:p w14:paraId="6B02DFDB" w14:textId="77777777" w:rsidR="008403DE" w:rsidRPr="000C1837" w:rsidRDefault="008403DE" w:rsidP="008403DE">
      <w:pPr>
        <w:spacing w:before="120" w:after="120" w:line="240" w:lineRule="auto"/>
        <w:rPr>
          <w:rFonts w:eastAsia="Times New Roman" w:cs="Arial"/>
          <w:color w:val="011A3C"/>
          <w:sz w:val="2"/>
          <w:szCs w:val="2"/>
          <w:lang w:val="en" w:eastAsia="en-AU"/>
        </w:rPr>
      </w:pPr>
    </w:p>
    <w:tbl>
      <w:tblPr>
        <w:tblStyle w:val="TableGrid"/>
        <w:tblW w:w="0" w:type="auto"/>
        <w:tblInd w:w="0" w:type="dxa"/>
        <w:tblLook w:val="04A0" w:firstRow="1" w:lastRow="0" w:firstColumn="1" w:lastColumn="0" w:noHBand="0" w:noVBand="1"/>
      </w:tblPr>
      <w:tblGrid>
        <w:gridCol w:w="9016"/>
      </w:tblGrid>
      <w:tr w:rsidR="008403DE" w:rsidRPr="000C1837" w14:paraId="47B9E836" w14:textId="77777777">
        <w:tc>
          <w:tcPr>
            <w:tcW w:w="9016"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852B36A" w14:textId="55B7A542" w:rsidR="008403DE" w:rsidRPr="000C1837" w:rsidRDefault="008403DE">
            <w:pPr>
              <w:spacing w:before="60" w:after="60" w:line="240" w:lineRule="auto"/>
              <w:rPr>
                <w:rFonts w:cs="Arial"/>
                <w:b/>
                <w:bCs/>
                <w:color w:val="DAEEF3" w:themeColor="accent5" w:themeTint="33"/>
                <w:sz w:val="28"/>
                <w:szCs w:val="28"/>
                <w:lang w:val="en-AU"/>
              </w:rPr>
            </w:pPr>
            <w:r w:rsidRPr="000C1837">
              <w:rPr>
                <w:rFonts w:cs="Arial"/>
                <w:b/>
                <w:bCs/>
                <w:color w:val="DAEEF3" w:themeColor="accent5" w:themeTint="33"/>
                <w:sz w:val="28"/>
                <w:szCs w:val="28"/>
              </w:rPr>
              <w:t>Topic: Access</w:t>
            </w:r>
          </w:p>
        </w:tc>
      </w:tr>
    </w:tbl>
    <w:p w14:paraId="420E3F60" w14:textId="77777777" w:rsidR="008403DE" w:rsidRPr="000C1837" w:rsidRDefault="008403DE" w:rsidP="008403DE">
      <w:pPr>
        <w:rPr>
          <w:rFonts w:cs="Arial"/>
          <w:sz w:val="2"/>
          <w:szCs w:val="2"/>
        </w:rPr>
      </w:pPr>
    </w:p>
    <w:p w14:paraId="37A224F6" w14:textId="72612D53" w:rsidR="008403DE" w:rsidRPr="000C1837" w:rsidRDefault="008403DE" w:rsidP="008403DE">
      <w:pPr>
        <w:pStyle w:val="OptionHeading"/>
        <w:rPr>
          <w:rFonts w:ascii="Arial" w:hAnsi="Arial" w:cs="Arial"/>
          <w:sz w:val="22"/>
        </w:rPr>
      </w:pPr>
      <w:r w:rsidRPr="000C1837">
        <w:rPr>
          <w:rFonts w:ascii="Arial" w:hAnsi="Arial" w:cs="Arial"/>
        </w:rPr>
        <w:t>Summary</w:t>
      </w:r>
      <w:r w:rsidR="00476B25">
        <w:rPr>
          <w:rFonts w:ascii="Arial" w:hAnsi="Arial" w:cs="Arial"/>
        </w:rPr>
        <w:t xml:space="preserve"> of MAV positions</w:t>
      </w:r>
    </w:p>
    <w:p w14:paraId="6270B819" w14:textId="77777777" w:rsidR="008403DE" w:rsidRPr="000C1837" w:rsidRDefault="008403DE" w:rsidP="008403DE">
      <w:pPr>
        <w:rPr>
          <w:rFonts w:cs="Arial"/>
          <w:sz w:val="2"/>
          <w:szCs w:val="2"/>
        </w:rPr>
      </w:pPr>
    </w:p>
    <w:tbl>
      <w:tblPr>
        <w:tblStyle w:val="TableGrid"/>
        <w:tblW w:w="9067" w:type="dxa"/>
        <w:tblInd w:w="0" w:type="dxa"/>
        <w:tblLook w:val="04A0" w:firstRow="1" w:lastRow="0" w:firstColumn="1" w:lastColumn="0" w:noHBand="0" w:noVBand="1"/>
      </w:tblPr>
      <w:tblGrid>
        <w:gridCol w:w="7225"/>
        <w:gridCol w:w="1842"/>
      </w:tblGrid>
      <w:tr w:rsidR="008403DE" w:rsidRPr="000C1837" w14:paraId="33D1C05E" w14:textId="77777777">
        <w:tc>
          <w:tcPr>
            <w:tcW w:w="906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95382E8"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 Expand as of right general access</w:t>
            </w:r>
            <w:r w:rsidRPr="000C1837">
              <w:rPr>
                <w:rFonts w:eastAsia="Times New Roman" w:cs="Arial"/>
                <w:b/>
                <w:bCs/>
                <w:color w:val="000000"/>
                <w:u w:val="single"/>
                <w:lang w:eastAsia="en-AU"/>
              </w:rPr>
              <w:t xml:space="preserve"> </w:t>
            </w:r>
          </w:p>
        </w:tc>
      </w:tr>
      <w:tr w:rsidR="008403DE" w:rsidRPr="000C1837" w14:paraId="4A2C5BEE" w14:textId="77777777">
        <w:tc>
          <w:tcPr>
            <w:tcW w:w="7225" w:type="dxa"/>
            <w:tcBorders>
              <w:top w:val="single" w:sz="4" w:space="0" w:color="auto"/>
              <w:left w:val="single" w:sz="4" w:space="0" w:color="auto"/>
              <w:bottom w:val="single" w:sz="4" w:space="0" w:color="auto"/>
              <w:right w:val="single" w:sz="4" w:space="0" w:color="auto"/>
            </w:tcBorders>
            <w:hideMark/>
          </w:tcPr>
          <w:p w14:paraId="10CDB7EF" w14:textId="77777777" w:rsidR="008403DE" w:rsidRPr="000C1837" w:rsidRDefault="008403DE">
            <w:pPr>
              <w:spacing w:before="60" w:after="60" w:line="240" w:lineRule="auto"/>
              <w:rPr>
                <w:rFonts w:cs="Arial"/>
                <w:b/>
                <w:bCs/>
                <w:color w:val="DAEEF3" w:themeColor="accent5" w:themeTint="33"/>
                <w:sz w:val="28"/>
                <w:szCs w:val="28"/>
              </w:rPr>
            </w:pPr>
            <w:r w:rsidRPr="000C1837">
              <w:rPr>
                <w:rFonts w:eastAsia="Times New Roman" w:cs="Arial"/>
                <w:b/>
                <w:bCs/>
                <w:color w:val="000000"/>
                <w:lang w:eastAsia="en-AU"/>
              </w:rPr>
              <w:t>Option 9.1a</w:t>
            </w:r>
            <w:r w:rsidRPr="000C1837">
              <w:rPr>
                <w:rFonts w:eastAsia="Times New Roman" w:cs="Arial"/>
                <w:color w:val="000000"/>
                <w:lang w:eastAsia="en-AU"/>
              </w:rPr>
              <w:t>: Increase GML to CML for all operators</w:t>
            </w:r>
          </w:p>
        </w:tc>
        <w:tc>
          <w:tcPr>
            <w:tcW w:w="1842" w:type="dxa"/>
            <w:tcBorders>
              <w:top w:val="single" w:sz="4" w:space="0" w:color="auto"/>
              <w:left w:val="single" w:sz="4" w:space="0" w:color="auto"/>
              <w:bottom w:val="single" w:sz="4" w:space="0" w:color="auto"/>
              <w:right w:val="single" w:sz="4" w:space="0" w:color="auto"/>
            </w:tcBorders>
            <w:hideMark/>
          </w:tcPr>
          <w:p w14:paraId="3F1600E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tr w:rsidR="008403DE" w:rsidRPr="000C1837" w14:paraId="4E53624F" w14:textId="77777777">
        <w:tc>
          <w:tcPr>
            <w:tcW w:w="7225" w:type="dxa"/>
            <w:tcBorders>
              <w:top w:val="single" w:sz="4" w:space="0" w:color="auto"/>
              <w:left w:val="single" w:sz="4" w:space="0" w:color="auto"/>
              <w:bottom w:val="single" w:sz="4" w:space="0" w:color="auto"/>
              <w:right w:val="single" w:sz="4" w:space="0" w:color="auto"/>
            </w:tcBorders>
            <w:hideMark/>
          </w:tcPr>
          <w:p w14:paraId="22CF8909"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9.1b</w:t>
            </w:r>
            <w:r w:rsidRPr="000C1837">
              <w:rPr>
                <w:rFonts w:eastAsia="Times New Roman" w:cs="Arial"/>
                <w:color w:val="000000"/>
                <w:lang w:eastAsia="en-AU"/>
              </w:rPr>
              <w:t>: Increase GML to CML for enrolled operators</w:t>
            </w:r>
          </w:p>
        </w:tc>
        <w:tc>
          <w:tcPr>
            <w:tcW w:w="1842" w:type="dxa"/>
            <w:tcBorders>
              <w:top w:val="single" w:sz="4" w:space="0" w:color="auto"/>
              <w:left w:val="single" w:sz="4" w:space="0" w:color="auto"/>
              <w:bottom w:val="single" w:sz="4" w:space="0" w:color="auto"/>
              <w:right w:val="single" w:sz="4" w:space="0" w:color="auto"/>
            </w:tcBorders>
            <w:hideMark/>
          </w:tcPr>
          <w:p w14:paraId="0EC8F45E"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tr w:rsidR="008403DE" w:rsidRPr="000C1837" w14:paraId="74501141" w14:textId="77777777">
        <w:tc>
          <w:tcPr>
            <w:tcW w:w="7225" w:type="dxa"/>
            <w:tcBorders>
              <w:top w:val="single" w:sz="4" w:space="0" w:color="auto"/>
              <w:left w:val="single" w:sz="4" w:space="0" w:color="auto"/>
              <w:bottom w:val="single" w:sz="4" w:space="0" w:color="auto"/>
              <w:right w:val="single" w:sz="4" w:space="0" w:color="auto"/>
            </w:tcBorders>
            <w:hideMark/>
          </w:tcPr>
          <w:p w14:paraId="6FEF585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9.1c</w:t>
            </w:r>
            <w:r w:rsidRPr="000C1837">
              <w:rPr>
                <w:rFonts w:eastAsia="Times New Roman" w:cs="Arial"/>
                <w:color w:val="000000"/>
                <w:lang w:eastAsia="en-AU"/>
              </w:rPr>
              <w:t>: Increase GML to CML conditionally to operators where an approved on-board mass system is used and data provided.</w:t>
            </w:r>
          </w:p>
        </w:tc>
        <w:tc>
          <w:tcPr>
            <w:tcW w:w="1842" w:type="dxa"/>
            <w:tcBorders>
              <w:top w:val="single" w:sz="4" w:space="0" w:color="auto"/>
              <w:left w:val="single" w:sz="4" w:space="0" w:color="auto"/>
              <w:bottom w:val="single" w:sz="4" w:space="0" w:color="auto"/>
              <w:right w:val="single" w:sz="4" w:space="0" w:color="auto"/>
            </w:tcBorders>
            <w:hideMark/>
          </w:tcPr>
          <w:p w14:paraId="4C1C4A02"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r>
      <w:tr w:rsidR="008403DE" w:rsidRPr="000C1837" w14:paraId="192C0ED0" w14:textId="77777777">
        <w:tc>
          <w:tcPr>
            <w:tcW w:w="7225" w:type="dxa"/>
            <w:tcBorders>
              <w:top w:val="single" w:sz="4" w:space="0" w:color="auto"/>
              <w:left w:val="single" w:sz="4" w:space="0" w:color="auto"/>
              <w:bottom w:val="single" w:sz="4" w:space="0" w:color="auto"/>
              <w:right w:val="single" w:sz="4" w:space="0" w:color="auto"/>
            </w:tcBorders>
            <w:hideMark/>
          </w:tcPr>
          <w:p w14:paraId="3EB2E559"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9.1d</w:t>
            </w:r>
            <w:r w:rsidRPr="000C1837">
              <w:rPr>
                <w:rFonts w:eastAsia="Times New Roman" w:cs="Arial"/>
                <w:color w:val="000000"/>
                <w:lang w:eastAsia="en-AU"/>
              </w:rPr>
              <w:t>: General access length increase</w:t>
            </w:r>
            <w:r w:rsidRPr="000C1837">
              <w:rPr>
                <w:rFonts w:eastAsia="Times New Roman" w:cs="Arial"/>
                <w:b/>
                <w:bCs/>
                <w:color w:val="000000"/>
                <w:u w:val="single"/>
                <w:lang w:eastAsia="en-AU"/>
              </w:rPr>
              <w:t xml:space="preserve"> </w:t>
            </w:r>
          </w:p>
          <w:p w14:paraId="70154F3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The additional metre could be provided to all vehicles</w:t>
            </w:r>
          </w:p>
        </w:tc>
        <w:tc>
          <w:tcPr>
            <w:tcW w:w="1842" w:type="dxa"/>
            <w:tcBorders>
              <w:top w:val="single" w:sz="4" w:space="0" w:color="auto"/>
              <w:left w:val="single" w:sz="4" w:space="0" w:color="auto"/>
              <w:bottom w:val="single" w:sz="4" w:space="0" w:color="auto"/>
              <w:right w:val="single" w:sz="4" w:space="0" w:color="auto"/>
            </w:tcBorders>
            <w:hideMark/>
          </w:tcPr>
          <w:p w14:paraId="7C8BC5B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r>
      <w:tr w:rsidR="008403DE" w:rsidRPr="000C1837" w14:paraId="35D31F6A" w14:textId="77777777">
        <w:tc>
          <w:tcPr>
            <w:tcW w:w="7225" w:type="dxa"/>
            <w:tcBorders>
              <w:top w:val="single" w:sz="4" w:space="0" w:color="auto"/>
              <w:left w:val="single" w:sz="4" w:space="0" w:color="auto"/>
              <w:bottom w:val="single" w:sz="4" w:space="0" w:color="auto"/>
              <w:right w:val="single" w:sz="4" w:space="0" w:color="auto"/>
            </w:tcBorders>
            <w:hideMark/>
          </w:tcPr>
          <w:p w14:paraId="4A41109D"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9.1d</w:t>
            </w:r>
            <w:r w:rsidRPr="000C1837">
              <w:rPr>
                <w:rFonts w:eastAsia="Times New Roman" w:cs="Arial"/>
                <w:color w:val="000000"/>
                <w:lang w:eastAsia="en-AU"/>
              </w:rPr>
              <w:t>: General access length increase</w:t>
            </w:r>
            <w:r w:rsidRPr="000C1837">
              <w:rPr>
                <w:rFonts w:eastAsia="Times New Roman" w:cs="Arial"/>
                <w:b/>
                <w:bCs/>
                <w:color w:val="000000"/>
                <w:u w:val="single"/>
                <w:lang w:eastAsia="en-AU"/>
              </w:rPr>
              <w:t xml:space="preserve"> </w:t>
            </w:r>
          </w:p>
          <w:p w14:paraId="3D2722B7"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The additional metre could be provided to vehicles that can demonstrate they have safety features installed.</w:t>
            </w:r>
          </w:p>
        </w:tc>
        <w:tc>
          <w:tcPr>
            <w:tcW w:w="1842" w:type="dxa"/>
            <w:tcBorders>
              <w:top w:val="single" w:sz="4" w:space="0" w:color="auto"/>
              <w:left w:val="single" w:sz="4" w:space="0" w:color="auto"/>
              <w:bottom w:val="single" w:sz="4" w:space="0" w:color="auto"/>
              <w:right w:val="single" w:sz="4" w:space="0" w:color="auto"/>
            </w:tcBorders>
            <w:hideMark/>
          </w:tcPr>
          <w:p w14:paraId="216B8B7E"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r>
      <w:tr w:rsidR="008403DE" w:rsidRPr="000C1837" w14:paraId="0270B0C0" w14:textId="77777777">
        <w:tc>
          <w:tcPr>
            <w:tcW w:w="7225" w:type="dxa"/>
            <w:tcBorders>
              <w:top w:val="single" w:sz="4" w:space="0" w:color="auto"/>
              <w:left w:val="single" w:sz="4" w:space="0" w:color="auto"/>
              <w:bottom w:val="single" w:sz="4" w:space="0" w:color="auto"/>
              <w:right w:val="single" w:sz="4" w:space="0" w:color="auto"/>
            </w:tcBorders>
            <w:hideMark/>
          </w:tcPr>
          <w:p w14:paraId="7F68F9A6"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9.1d</w:t>
            </w:r>
            <w:r w:rsidRPr="000C1837">
              <w:rPr>
                <w:rFonts w:eastAsia="Times New Roman" w:cs="Arial"/>
                <w:color w:val="000000"/>
                <w:lang w:eastAsia="en-AU"/>
              </w:rPr>
              <w:t>: General access length increase</w:t>
            </w:r>
            <w:r w:rsidRPr="000C1837">
              <w:rPr>
                <w:rFonts w:eastAsia="Times New Roman" w:cs="Arial"/>
                <w:b/>
                <w:bCs/>
                <w:color w:val="000000"/>
                <w:u w:val="single"/>
                <w:lang w:eastAsia="en-AU"/>
              </w:rPr>
              <w:t xml:space="preserve"> </w:t>
            </w:r>
          </w:p>
          <w:p w14:paraId="793E54D4"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3</w:t>
            </w:r>
            <w:r w:rsidRPr="000C1837">
              <w:rPr>
                <w:rFonts w:eastAsia="Times New Roman" w:cs="Arial"/>
                <w:color w:val="000000"/>
                <w:lang w:eastAsia="en-AU"/>
              </w:rPr>
              <w:t>: Additional space for the sleeper cabin in restricted access vehicles</w:t>
            </w:r>
          </w:p>
        </w:tc>
        <w:tc>
          <w:tcPr>
            <w:tcW w:w="1842" w:type="dxa"/>
            <w:tcBorders>
              <w:top w:val="single" w:sz="4" w:space="0" w:color="auto"/>
              <w:left w:val="single" w:sz="4" w:space="0" w:color="auto"/>
              <w:bottom w:val="single" w:sz="4" w:space="0" w:color="auto"/>
              <w:right w:val="single" w:sz="4" w:space="0" w:color="auto"/>
            </w:tcBorders>
            <w:hideMark/>
          </w:tcPr>
          <w:p w14:paraId="67494F36"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r>
      <w:tr w:rsidR="008403DE" w:rsidRPr="000C1837" w14:paraId="082E5225" w14:textId="77777777">
        <w:tc>
          <w:tcPr>
            <w:tcW w:w="7225" w:type="dxa"/>
            <w:tcBorders>
              <w:top w:val="single" w:sz="4" w:space="0" w:color="auto"/>
              <w:left w:val="single" w:sz="4" w:space="0" w:color="auto"/>
              <w:bottom w:val="single" w:sz="4" w:space="0" w:color="auto"/>
              <w:right w:val="single" w:sz="4" w:space="0" w:color="auto"/>
            </w:tcBorders>
            <w:hideMark/>
          </w:tcPr>
          <w:p w14:paraId="383958F8"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9.1e</w:t>
            </w:r>
            <w:r w:rsidRPr="000C1837">
              <w:rPr>
                <w:rFonts w:eastAsia="Times New Roman" w:cs="Arial"/>
                <w:color w:val="000000"/>
                <w:lang w:eastAsia="en-AU"/>
              </w:rPr>
              <w:t>: Create enhanced general access category</w:t>
            </w:r>
          </w:p>
        </w:tc>
        <w:tc>
          <w:tcPr>
            <w:tcW w:w="1842" w:type="dxa"/>
            <w:tcBorders>
              <w:top w:val="single" w:sz="4" w:space="0" w:color="auto"/>
              <w:left w:val="single" w:sz="4" w:space="0" w:color="auto"/>
              <w:bottom w:val="single" w:sz="4" w:space="0" w:color="auto"/>
              <w:right w:val="single" w:sz="4" w:space="0" w:color="auto"/>
            </w:tcBorders>
            <w:hideMark/>
          </w:tcPr>
          <w:p w14:paraId="0B16E3D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r>
    </w:tbl>
    <w:p w14:paraId="74121607" w14:textId="77777777" w:rsidR="008403DE" w:rsidRPr="000C1837" w:rsidRDefault="008403DE" w:rsidP="008403DE">
      <w:pPr>
        <w:rPr>
          <w:rFonts w:eastAsiaTheme="minorHAnsi" w:cs="Arial"/>
        </w:rPr>
      </w:pPr>
    </w:p>
    <w:tbl>
      <w:tblPr>
        <w:tblStyle w:val="TableGrid"/>
        <w:tblW w:w="9067" w:type="dxa"/>
        <w:tblInd w:w="0" w:type="dxa"/>
        <w:tblLook w:val="04A0" w:firstRow="1" w:lastRow="0" w:firstColumn="1" w:lastColumn="0" w:noHBand="0" w:noVBand="1"/>
      </w:tblPr>
      <w:tblGrid>
        <w:gridCol w:w="7225"/>
        <w:gridCol w:w="1842"/>
      </w:tblGrid>
      <w:tr w:rsidR="008403DE" w:rsidRPr="000C1837" w14:paraId="690A6F53" w14:textId="77777777">
        <w:tc>
          <w:tcPr>
            <w:tcW w:w="906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4E3FA68" w14:textId="77777777" w:rsidR="008403DE" w:rsidRPr="000C1837" w:rsidRDefault="008403DE">
            <w:pPr>
              <w:spacing w:before="60" w:after="60" w:line="240" w:lineRule="auto"/>
              <w:rPr>
                <w:rFonts w:eastAsia="Times New Roman" w:cs="Arial"/>
                <w:b/>
                <w:bCs/>
                <w:color w:val="000000"/>
                <w:u w:val="single"/>
                <w:lang w:eastAsia="en-AU"/>
              </w:rPr>
            </w:pPr>
            <w:bookmarkStart w:id="3" w:name="_Hlk50556486"/>
            <w:r w:rsidRPr="000C1837">
              <w:rPr>
                <w:rFonts w:eastAsia="Times New Roman" w:cs="Arial"/>
                <w:b/>
                <w:bCs/>
                <w:color w:val="000000"/>
                <w:lang w:eastAsia="en-AU"/>
              </w:rPr>
              <w:t>Option 9.2: Improving the efficiency of the decision-making process for authorising access</w:t>
            </w:r>
            <w:r w:rsidRPr="000C1837">
              <w:rPr>
                <w:rFonts w:eastAsia="Times New Roman" w:cs="Arial"/>
                <w:b/>
                <w:bCs/>
                <w:color w:val="000000"/>
                <w:u w:val="single"/>
                <w:lang w:eastAsia="en-AU"/>
              </w:rPr>
              <w:t xml:space="preserve"> </w:t>
            </w:r>
          </w:p>
        </w:tc>
      </w:tr>
      <w:tr w:rsidR="008403DE" w:rsidRPr="000C1837" w14:paraId="3ACF4149" w14:textId="77777777">
        <w:tc>
          <w:tcPr>
            <w:tcW w:w="7225" w:type="dxa"/>
            <w:tcBorders>
              <w:top w:val="single" w:sz="4" w:space="0" w:color="auto"/>
              <w:left w:val="single" w:sz="4" w:space="0" w:color="auto"/>
              <w:bottom w:val="single" w:sz="4" w:space="0" w:color="auto"/>
              <w:right w:val="single" w:sz="4" w:space="0" w:color="auto"/>
            </w:tcBorders>
            <w:hideMark/>
          </w:tcPr>
          <w:p w14:paraId="505DB39E"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9.2a</w:t>
            </w:r>
            <w:r w:rsidRPr="000C1837">
              <w:rPr>
                <w:rFonts w:eastAsia="Times New Roman" w:cs="Arial"/>
                <w:color w:val="000000"/>
                <w:lang w:eastAsia="en-AU"/>
              </w:rPr>
              <w:t>: Recognise precedent and expand expedited process to including equivalent or lower risk applications</w:t>
            </w:r>
          </w:p>
        </w:tc>
        <w:tc>
          <w:tcPr>
            <w:tcW w:w="1842" w:type="dxa"/>
            <w:tcBorders>
              <w:top w:val="single" w:sz="4" w:space="0" w:color="auto"/>
              <w:left w:val="single" w:sz="4" w:space="0" w:color="auto"/>
              <w:bottom w:val="single" w:sz="4" w:space="0" w:color="auto"/>
              <w:right w:val="single" w:sz="4" w:space="0" w:color="auto"/>
            </w:tcBorders>
            <w:hideMark/>
          </w:tcPr>
          <w:p w14:paraId="35C0A6E4"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r>
      <w:tr w:rsidR="008403DE" w:rsidRPr="000C1837" w14:paraId="1E97C1E7" w14:textId="77777777">
        <w:tc>
          <w:tcPr>
            <w:tcW w:w="7225" w:type="dxa"/>
            <w:tcBorders>
              <w:top w:val="single" w:sz="4" w:space="0" w:color="auto"/>
              <w:left w:val="single" w:sz="4" w:space="0" w:color="auto"/>
              <w:bottom w:val="single" w:sz="4" w:space="0" w:color="auto"/>
              <w:right w:val="single" w:sz="4" w:space="0" w:color="auto"/>
            </w:tcBorders>
            <w:hideMark/>
          </w:tcPr>
          <w:p w14:paraId="3C0859CC"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9.2b</w:t>
            </w:r>
            <w:r w:rsidRPr="000C1837">
              <w:rPr>
                <w:rFonts w:eastAsia="Times New Roman" w:cs="Arial"/>
                <w:color w:val="000000"/>
                <w:lang w:eastAsia="en-AU"/>
              </w:rPr>
              <w:t>: Opt-in road manager delegation</w:t>
            </w:r>
          </w:p>
        </w:tc>
        <w:tc>
          <w:tcPr>
            <w:tcW w:w="1842" w:type="dxa"/>
            <w:tcBorders>
              <w:top w:val="single" w:sz="4" w:space="0" w:color="auto"/>
              <w:left w:val="single" w:sz="4" w:space="0" w:color="auto"/>
              <w:bottom w:val="single" w:sz="4" w:space="0" w:color="auto"/>
              <w:right w:val="single" w:sz="4" w:space="0" w:color="auto"/>
            </w:tcBorders>
            <w:hideMark/>
          </w:tcPr>
          <w:p w14:paraId="2769BD8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full</w:t>
            </w:r>
          </w:p>
        </w:tc>
      </w:tr>
      <w:tr w:rsidR="008403DE" w:rsidRPr="000C1837" w14:paraId="0945E71D" w14:textId="77777777">
        <w:tc>
          <w:tcPr>
            <w:tcW w:w="7225" w:type="dxa"/>
            <w:tcBorders>
              <w:top w:val="single" w:sz="4" w:space="0" w:color="auto"/>
              <w:left w:val="single" w:sz="4" w:space="0" w:color="auto"/>
              <w:bottom w:val="single" w:sz="4" w:space="0" w:color="auto"/>
              <w:right w:val="single" w:sz="4" w:space="0" w:color="auto"/>
            </w:tcBorders>
            <w:hideMark/>
          </w:tcPr>
          <w:p w14:paraId="3EF66BB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9.2c</w:t>
            </w:r>
            <w:r w:rsidRPr="000C1837">
              <w:rPr>
                <w:rFonts w:eastAsia="Times New Roman" w:cs="Arial"/>
                <w:color w:val="000000"/>
                <w:lang w:eastAsia="en-AU"/>
              </w:rPr>
              <w:t>: Geospatial map given authority in the law</w:t>
            </w:r>
          </w:p>
        </w:tc>
        <w:tc>
          <w:tcPr>
            <w:tcW w:w="1842" w:type="dxa"/>
            <w:tcBorders>
              <w:top w:val="single" w:sz="4" w:space="0" w:color="auto"/>
              <w:left w:val="single" w:sz="4" w:space="0" w:color="auto"/>
              <w:bottom w:val="single" w:sz="4" w:space="0" w:color="auto"/>
              <w:right w:val="single" w:sz="4" w:space="0" w:color="auto"/>
            </w:tcBorders>
            <w:hideMark/>
          </w:tcPr>
          <w:p w14:paraId="0E8E6F06"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r>
      <w:tr w:rsidR="008403DE" w:rsidRPr="000C1837" w14:paraId="1FD6EBE1" w14:textId="77777777">
        <w:tc>
          <w:tcPr>
            <w:tcW w:w="7225" w:type="dxa"/>
            <w:tcBorders>
              <w:top w:val="single" w:sz="4" w:space="0" w:color="auto"/>
              <w:left w:val="single" w:sz="4" w:space="0" w:color="auto"/>
              <w:bottom w:val="single" w:sz="4" w:space="0" w:color="auto"/>
              <w:right w:val="single" w:sz="4" w:space="0" w:color="auto"/>
            </w:tcBorders>
            <w:hideMark/>
          </w:tcPr>
          <w:p w14:paraId="59C00446"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9.2d:  Alternative option:  Vehicle classification system</w:t>
            </w:r>
          </w:p>
        </w:tc>
        <w:tc>
          <w:tcPr>
            <w:tcW w:w="1842" w:type="dxa"/>
            <w:tcBorders>
              <w:top w:val="single" w:sz="4" w:space="0" w:color="auto"/>
              <w:left w:val="single" w:sz="4" w:space="0" w:color="auto"/>
              <w:bottom w:val="single" w:sz="4" w:space="0" w:color="auto"/>
              <w:right w:val="single" w:sz="4" w:space="0" w:color="auto"/>
            </w:tcBorders>
          </w:tcPr>
          <w:p w14:paraId="3670C8DF" w14:textId="77777777" w:rsidR="008403DE" w:rsidRPr="000C1837" w:rsidRDefault="008403DE">
            <w:pPr>
              <w:spacing w:before="60" w:after="60" w:line="240" w:lineRule="auto"/>
              <w:rPr>
                <w:rFonts w:eastAsia="Times New Roman" w:cs="Arial"/>
                <w:b/>
                <w:bCs/>
                <w:color w:val="000000"/>
                <w:lang w:eastAsia="en-AU"/>
              </w:rPr>
            </w:pPr>
          </w:p>
        </w:tc>
      </w:tr>
      <w:tr w:rsidR="008403DE" w:rsidRPr="000C1837" w14:paraId="3A2C72E1" w14:textId="77777777">
        <w:tc>
          <w:tcPr>
            <w:tcW w:w="7225" w:type="dxa"/>
            <w:tcBorders>
              <w:top w:val="single" w:sz="4" w:space="0" w:color="auto"/>
              <w:left w:val="single" w:sz="4" w:space="0" w:color="auto"/>
              <w:bottom w:val="single" w:sz="4" w:space="0" w:color="auto"/>
              <w:right w:val="single" w:sz="4" w:space="0" w:color="auto"/>
            </w:tcBorders>
            <w:hideMark/>
          </w:tcPr>
          <w:p w14:paraId="1323DA8D" w14:textId="77777777" w:rsidR="008403DE" w:rsidRPr="000C1837" w:rsidRDefault="008403DE">
            <w:pPr>
              <w:spacing w:before="60" w:after="60" w:line="240" w:lineRule="auto"/>
              <w:ind w:left="720"/>
              <w:rPr>
                <w:rFonts w:eastAsia="Times New Roman" w:cs="Arial"/>
                <w:b/>
                <w:bCs/>
                <w:color w:val="000000"/>
                <w:u w:val="single"/>
                <w:lang w:eastAsia="en-AU"/>
              </w:rPr>
            </w:pPr>
            <w:r w:rsidRPr="000C1837">
              <w:rPr>
                <w:rFonts w:eastAsia="Times New Roman" w:cs="Arial"/>
                <w:b/>
                <w:bCs/>
                <w:color w:val="000000"/>
                <w:lang w:eastAsia="en-AU"/>
              </w:rPr>
              <w:t>Option 9.2d</w:t>
            </w:r>
            <w:r w:rsidRPr="000C1837">
              <w:rPr>
                <w:rFonts w:eastAsia="Times New Roman" w:cs="Arial"/>
                <w:color w:val="000000"/>
                <w:lang w:eastAsia="en-AU"/>
              </w:rPr>
              <w:t>: A risk-based approach to vehicle classes</w:t>
            </w:r>
            <w:r w:rsidRPr="000C1837">
              <w:rPr>
                <w:rFonts w:eastAsia="Times New Roman" w:cs="Arial"/>
                <w:b/>
                <w:bCs/>
                <w:color w:val="000000"/>
                <w:u w:val="single"/>
                <w:lang w:eastAsia="en-AU"/>
              </w:rPr>
              <w:t xml:space="preserve"> </w:t>
            </w:r>
          </w:p>
          <w:p w14:paraId="61841575" w14:textId="77777777" w:rsidR="008403DE" w:rsidRPr="000C1837" w:rsidRDefault="008403DE">
            <w:pPr>
              <w:spacing w:before="60" w:after="60" w:line="240" w:lineRule="auto"/>
              <w:ind w:left="720"/>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Vehicle categories are (1) freight and passenger and (2) oversize overmass.</w:t>
            </w:r>
          </w:p>
        </w:tc>
        <w:tc>
          <w:tcPr>
            <w:tcW w:w="1842" w:type="dxa"/>
            <w:tcBorders>
              <w:top w:val="single" w:sz="4" w:space="0" w:color="auto"/>
              <w:left w:val="single" w:sz="4" w:space="0" w:color="auto"/>
              <w:bottom w:val="single" w:sz="4" w:space="0" w:color="auto"/>
              <w:right w:val="single" w:sz="4" w:space="0" w:color="auto"/>
            </w:tcBorders>
            <w:hideMark/>
          </w:tcPr>
          <w:p w14:paraId="23381939"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r>
      <w:tr w:rsidR="008403DE" w:rsidRPr="000C1837" w14:paraId="4D1FFE3B" w14:textId="77777777">
        <w:tc>
          <w:tcPr>
            <w:tcW w:w="7225" w:type="dxa"/>
            <w:tcBorders>
              <w:top w:val="single" w:sz="4" w:space="0" w:color="auto"/>
              <w:left w:val="single" w:sz="4" w:space="0" w:color="auto"/>
              <w:bottom w:val="single" w:sz="4" w:space="0" w:color="auto"/>
              <w:right w:val="single" w:sz="4" w:space="0" w:color="auto"/>
            </w:tcBorders>
            <w:hideMark/>
          </w:tcPr>
          <w:p w14:paraId="563FED0A" w14:textId="77777777" w:rsidR="008403DE" w:rsidRPr="000C1837" w:rsidRDefault="008403DE">
            <w:pPr>
              <w:spacing w:before="60" w:after="60" w:line="240" w:lineRule="auto"/>
              <w:ind w:left="720"/>
              <w:rPr>
                <w:rFonts w:eastAsia="Times New Roman" w:cs="Arial"/>
                <w:b/>
                <w:bCs/>
                <w:color w:val="000000"/>
                <w:lang w:eastAsia="en-AU"/>
              </w:rPr>
            </w:pPr>
            <w:r w:rsidRPr="000C1837">
              <w:rPr>
                <w:rFonts w:eastAsia="Times New Roman" w:cs="Arial"/>
                <w:b/>
                <w:bCs/>
                <w:color w:val="000000"/>
                <w:lang w:eastAsia="en-AU"/>
              </w:rPr>
              <w:t>Option 9.2d</w:t>
            </w:r>
            <w:r w:rsidRPr="000C1837">
              <w:rPr>
                <w:rFonts w:eastAsia="Times New Roman" w:cs="Arial"/>
                <w:color w:val="000000"/>
                <w:lang w:eastAsia="en-AU"/>
              </w:rPr>
              <w:t>: A risk-based approach to vehicle classes</w:t>
            </w:r>
            <w:r w:rsidRPr="000C1837">
              <w:rPr>
                <w:rFonts w:eastAsia="Times New Roman" w:cs="Arial"/>
                <w:b/>
                <w:bCs/>
                <w:color w:val="000000"/>
                <w:lang w:eastAsia="en-AU"/>
              </w:rPr>
              <w:t xml:space="preserve"> </w:t>
            </w:r>
          </w:p>
          <w:p w14:paraId="6D758786" w14:textId="77777777" w:rsidR="008403DE" w:rsidRPr="000C1837" w:rsidRDefault="008403DE">
            <w:pPr>
              <w:spacing w:before="60" w:after="60" w:line="240" w:lineRule="auto"/>
              <w:ind w:left="720"/>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Categories are: (1) existing authorisation category (captures existing class 2 vehicles) and (2) exemption categories (captures existing class 1 and class 3) / Risk-based approach to vehicle classification</w:t>
            </w:r>
          </w:p>
        </w:tc>
        <w:tc>
          <w:tcPr>
            <w:tcW w:w="1842" w:type="dxa"/>
            <w:tcBorders>
              <w:top w:val="single" w:sz="4" w:space="0" w:color="auto"/>
              <w:left w:val="single" w:sz="4" w:space="0" w:color="auto"/>
              <w:bottom w:val="single" w:sz="4" w:space="0" w:color="auto"/>
              <w:right w:val="single" w:sz="4" w:space="0" w:color="auto"/>
            </w:tcBorders>
            <w:hideMark/>
          </w:tcPr>
          <w:p w14:paraId="50DD194A"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tr w:rsidR="008403DE" w:rsidRPr="000C1837" w14:paraId="4E9248D5" w14:textId="77777777">
        <w:tc>
          <w:tcPr>
            <w:tcW w:w="7225" w:type="dxa"/>
            <w:tcBorders>
              <w:top w:val="single" w:sz="4" w:space="0" w:color="auto"/>
              <w:left w:val="single" w:sz="4" w:space="0" w:color="auto"/>
              <w:bottom w:val="single" w:sz="4" w:space="0" w:color="auto"/>
              <w:right w:val="single" w:sz="4" w:space="0" w:color="auto"/>
            </w:tcBorders>
            <w:hideMark/>
          </w:tcPr>
          <w:p w14:paraId="5F68E8C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lastRenderedPageBreak/>
              <w:t>Option 9.2e</w:t>
            </w:r>
            <w:r w:rsidRPr="000C1837">
              <w:rPr>
                <w:rFonts w:eastAsia="Times New Roman" w:cs="Arial"/>
                <w:color w:val="000000"/>
                <w:lang w:eastAsia="en-AU"/>
              </w:rPr>
              <w:t>: Third party consent requirements</w:t>
            </w:r>
            <w:r w:rsidRPr="000C1837">
              <w:rPr>
                <w:rFonts w:eastAsia="Times New Roman" w:cs="Arial"/>
                <w:b/>
                <w:bCs/>
                <w:color w:val="000000"/>
                <w:lang w:eastAsia="en-AU"/>
              </w:rPr>
              <w:t xml:space="preserve"> </w:t>
            </w:r>
          </w:p>
          <w:p w14:paraId="56B8430F"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Remove third party consent requirements</w:t>
            </w:r>
          </w:p>
        </w:tc>
        <w:tc>
          <w:tcPr>
            <w:tcW w:w="1842" w:type="dxa"/>
            <w:tcBorders>
              <w:top w:val="single" w:sz="4" w:space="0" w:color="auto"/>
              <w:left w:val="single" w:sz="4" w:space="0" w:color="auto"/>
              <w:bottom w:val="single" w:sz="4" w:space="0" w:color="auto"/>
              <w:right w:val="single" w:sz="4" w:space="0" w:color="auto"/>
            </w:tcBorders>
            <w:hideMark/>
          </w:tcPr>
          <w:p w14:paraId="75F18BE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r>
      <w:tr w:rsidR="008403DE" w:rsidRPr="000C1837" w14:paraId="57560231" w14:textId="77777777">
        <w:tc>
          <w:tcPr>
            <w:tcW w:w="7225" w:type="dxa"/>
            <w:tcBorders>
              <w:top w:val="single" w:sz="4" w:space="0" w:color="auto"/>
              <w:left w:val="single" w:sz="4" w:space="0" w:color="auto"/>
              <w:bottom w:val="single" w:sz="4" w:space="0" w:color="auto"/>
              <w:right w:val="single" w:sz="4" w:space="0" w:color="auto"/>
            </w:tcBorders>
            <w:hideMark/>
          </w:tcPr>
          <w:p w14:paraId="5D00FAB4"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9.2e</w:t>
            </w:r>
            <w:r w:rsidRPr="000C1837">
              <w:rPr>
                <w:rFonts w:eastAsia="Times New Roman" w:cs="Arial"/>
                <w:color w:val="000000"/>
                <w:lang w:eastAsia="en-AU"/>
              </w:rPr>
              <w:t>: Third party consent requirements</w:t>
            </w:r>
            <w:r w:rsidRPr="000C1837">
              <w:rPr>
                <w:rFonts w:eastAsia="Times New Roman" w:cs="Arial"/>
                <w:b/>
                <w:bCs/>
                <w:color w:val="000000"/>
                <w:lang w:eastAsia="en-AU"/>
              </w:rPr>
              <w:t xml:space="preserve"> </w:t>
            </w:r>
          </w:p>
          <w:p w14:paraId="099EB7BE"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Capture third parties in access decision-making process and impose statutory timeframes</w:t>
            </w:r>
          </w:p>
        </w:tc>
        <w:tc>
          <w:tcPr>
            <w:tcW w:w="1842" w:type="dxa"/>
            <w:tcBorders>
              <w:top w:val="single" w:sz="4" w:space="0" w:color="auto"/>
              <w:left w:val="single" w:sz="4" w:space="0" w:color="auto"/>
              <w:bottom w:val="single" w:sz="4" w:space="0" w:color="auto"/>
              <w:right w:val="single" w:sz="4" w:space="0" w:color="auto"/>
            </w:tcBorders>
            <w:hideMark/>
          </w:tcPr>
          <w:p w14:paraId="28FB9A2A"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part</w:t>
            </w:r>
          </w:p>
        </w:tc>
      </w:tr>
      <w:tr w:rsidR="008403DE" w:rsidRPr="000C1837" w14:paraId="6A56CE84" w14:textId="77777777">
        <w:tc>
          <w:tcPr>
            <w:tcW w:w="7225" w:type="dxa"/>
            <w:tcBorders>
              <w:top w:val="single" w:sz="4" w:space="0" w:color="auto"/>
              <w:left w:val="single" w:sz="4" w:space="0" w:color="auto"/>
              <w:bottom w:val="single" w:sz="4" w:space="0" w:color="auto"/>
              <w:right w:val="single" w:sz="4" w:space="0" w:color="auto"/>
            </w:tcBorders>
            <w:hideMark/>
          </w:tcPr>
          <w:p w14:paraId="199EEFD7"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9.2f</w:t>
            </w:r>
            <w:r w:rsidRPr="000C1837">
              <w:rPr>
                <w:rFonts w:eastAsia="Times New Roman" w:cs="Arial"/>
                <w:color w:val="000000"/>
                <w:lang w:eastAsia="en-AU"/>
              </w:rPr>
              <w:t>: Amendment to access decision making criteria</w:t>
            </w:r>
          </w:p>
        </w:tc>
        <w:tc>
          <w:tcPr>
            <w:tcW w:w="1842" w:type="dxa"/>
            <w:tcBorders>
              <w:top w:val="single" w:sz="4" w:space="0" w:color="auto"/>
              <w:left w:val="single" w:sz="4" w:space="0" w:color="auto"/>
              <w:bottom w:val="single" w:sz="4" w:space="0" w:color="auto"/>
              <w:right w:val="single" w:sz="4" w:space="0" w:color="auto"/>
            </w:tcBorders>
            <w:hideMark/>
          </w:tcPr>
          <w:p w14:paraId="0163BD0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r>
      <w:bookmarkEnd w:id="3"/>
    </w:tbl>
    <w:p w14:paraId="1F3D8129" w14:textId="77777777" w:rsidR="008403DE" w:rsidRPr="000C1837" w:rsidRDefault="008403DE" w:rsidP="008403DE">
      <w:pPr>
        <w:rPr>
          <w:rFonts w:eastAsiaTheme="minorHAnsi" w:cs="Arial"/>
        </w:rPr>
      </w:pPr>
    </w:p>
    <w:tbl>
      <w:tblPr>
        <w:tblStyle w:val="TableGrid"/>
        <w:tblW w:w="9067" w:type="dxa"/>
        <w:tblInd w:w="0" w:type="dxa"/>
        <w:tblLook w:val="04A0" w:firstRow="1" w:lastRow="0" w:firstColumn="1" w:lastColumn="0" w:noHBand="0" w:noVBand="1"/>
      </w:tblPr>
      <w:tblGrid>
        <w:gridCol w:w="7225"/>
        <w:gridCol w:w="1842"/>
      </w:tblGrid>
      <w:tr w:rsidR="008403DE" w:rsidRPr="000C1837" w14:paraId="7016FACE" w14:textId="77777777">
        <w:tc>
          <w:tcPr>
            <w:tcW w:w="906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590D3B8" w14:textId="77777777" w:rsidR="008403DE" w:rsidRPr="000C1837" w:rsidRDefault="008403DE">
            <w:pPr>
              <w:spacing w:before="60" w:after="60" w:line="240" w:lineRule="auto"/>
              <w:rPr>
                <w:rFonts w:eastAsia="Times New Roman" w:cs="Arial"/>
                <w:b/>
                <w:bCs/>
                <w:color w:val="000000"/>
                <w:lang w:eastAsia="en-AU"/>
              </w:rPr>
            </w:pPr>
            <w:bookmarkStart w:id="4" w:name="_Hlk50559308"/>
            <w:r w:rsidRPr="000C1837">
              <w:rPr>
                <w:rFonts w:eastAsia="Times New Roman" w:cs="Arial"/>
                <w:b/>
                <w:bCs/>
                <w:color w:val="000000"/>
                <w:lang w:eastAsia="en-AU"/>
              </w:rPr>
              <w:t>Option 9.3: Amendments to permit timeframes and procedures</w:t>
            </w:r>
          </w:p>
        </w:tc>
      </w:tr>
      <w:tr w:rsidR="008403DE" w:rsidRPr="000C1837" w14:paraId="656C4EFE" w14:textId="77777777">
        <w:tc>
          <w:tcPr>
            <w:tcW w:w="7225" w:type="dxa"/>
            <w:tcBorders>
              <w:top w:val="single" w:sz="4" w:space="0" w:color="auto"/>
              <w:left w:val="single" w:sz="4" w:space="0" w:color="auto"/>
              <w:bottom w:val="single" w:sz="4" w:space="0" w:color="auto"/>
              <w:right w:val="single" w:sz="4" w:space="0" w:color="auto"/>
            </w:tcBorders>
            <w:hideMark/>
          </w:tcPr>
          <w:p w14:paraId="3CA09D2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9.3a</w:t>
            </w:r>
            <w:r w:rsidRPr="000C1837">
              <w:rPr>
                <w:rFonts w:eastAsia="Times New Roman" w:cs="Arial"/>
                <w:color w:val="000000"/>
                <w:lang w:eastAsia="en-AU"/>
              </w:rPr>
              <w:t>: Statutory timeframe, deemed referral and refusal for nil response</w:t>
            </w:r>
            <w:r w:rsidRPr="000C1837">
              <w:rPr>
                <w:rFonts w:eastAsia="Times New Roman" w:cs="Arial"/>
                <w:b/>
                <w:bCs/>
                <w:color w:val="000000"/>
                <w:lang w:eastAsia="en-AU"/>
              </w:rPr>
              <w:t xml:space="preserve"> </w:t>
            </w:r>
          </w:p>
          <w:p w14:paraId="78BAE0B9"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28-day statutory timeframe with deemed referral and deemed refusal for nil response — This option has a total statutory timeframe of 28-days for all vehicles.</w:t>
            </w:r>
          </w:p>
        </w:tc>
        <w:tc>
          <w:tcPr>
            <w:tcW w:w="1842" w:type="dxa"/>
            <w:tcBorders>
              <w:top w:val="single" w:sz="4" w:space="0" w:color="auto"/>
              <w:left w:val="single" w:sz="4" w:space="0" w:color="auto"/>
              <w:bottom w:val="single" w:sz="4" w:space="0" w:color="auto"/>
              <w:right w:val="single" w:sz="4" w:space="0" w:color="auto"/>
            </w:tcBorders>
            <w:hideMark/>
          </w:tcPr>
          <w:p w14:paraId="344C127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r>
      <w:tr w:rsidR="008403DE" w:rsidRPr="000C1837" w14:paraId="58F1F7A6" w14:textId="77777777">
        <w:tc>
          <w:tcPr>
            <w:tcW w:w="7225" w:type="dxa"/>
            <w:tcBorders>
              <w:top w:val="single" w:sz="4" w:space="0" w:color="auto"/>
              <w:left w:val="single" w:sz="4" w:space="0" w:color="auto"/>
              <w:bottom w:val="single" w:sz="4" w:space="0" w:color="auto"/>
              <w:right w:val="single" w:sz="4" w:space="0" w:color="auto"/>
            </w:tcBorders>
            <w:hideMark/>
          </w:tcPr>
          <w:p w14:paraId="071F4D3B"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9.3a</w:t>
            </w:r>
            <w:r w:rsidRPr="000C1837">
              <w:rPr>
                <w:rFonts w:eastAsia="Times New Roman" w:cs="Arial"/>
                <w:color w:val="000000"/>
                <w:lang w:eastAsia="en-AU"/>
              </w:rPr>
              <w:t>: Statutory timeframe, deemed referral and refusal for nil response</w:t>
            </w:r>
            <w:r w:rsidRPr="000C1837">
              <w:rPr>
                <w:rFonts w:eastAsia="Times New Roman" w:cs="Arial"/>
                <w:b/>
                <w:bCs/>
                <w:color w:val="000000"/>
                <w:lang w:eastAsia="en-AU"/>
              </w:rPr>
              <w:t xml:space="preserve"> </w:t>
            </w:r>
          </w:p>
          <w:p w14:paraId="56E2739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Varying timeframes for different vehicle categories</w:t>
            </w:r>
          </w:p>
        </w:tc>
        <w:tc>
          <w:tcPr>
            <w:tcW w:w="1842" w:type="dxa"/>
            <w:tcBorders>
              <w:top w:val="single" w:sz="4" w:space="0" w:color="auto"/>
              <w:left w:val="single" w:sz="4" w:space="0" w:color="auto"/>
              <w:bottom w:val="single" w:sz="4" w:space="0" w:color="auto"/>
              <w:right w:val="single" w:sz="4" w:space="0" w:color="auto"/>
            </w:tcBorders>
            <w:hideMark/>
          </w:tcPr>
          <w:p w14:paraId="4878AF8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tr w:rsidR="008403DE" w:rsidRPr="000C1837" w14:paraId="17809855" w14:textId="77777777">
        <w:tc>
          <w:tcPr>
            <w:tcW w:w="7225" w:type="dxa"/>
            <w:tcBorders>
              <w:top w:val="single" w:sz="4" w:space="0" w:color="auto"/>
              <w:left w:val="single" w:sz="4" w:space="0" w:color="auto"/>
              <w:bottom w:val="single" w:sz="4" w:space="0" w:color="auto"/>
              <w:right w:val="single" w:sz="4" w:space="0" w:color="auto"/>
            </w:tcBorders>
            <w:hideMark/>
          </w:tcPr>
          <w:p w14:paraId="55B68AF2"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9.3b</w:t>
            </w:r>
            <w:r w:rsidRPr="000C1837">
              <w:rPr>
                <w:rFonts w:eastAsia="Times New Roman" w:cs="Arial"/>
                <w:color w:val="000000"/>
                <w:lang w:eastAsia="en-AU"/>
              </w:rPr>
              <w:t>: Review of access decisions</w:t>
            </w:r>
            <w:r w:rsidRPr="000C1837">
              <w:rPr>
                <w:rFonts w:eastAsia="Times New Roman" w:cs="Arial"/>
                <w:b/>
                <w:bCs/>
                <w:color w:val="000000"/>
                <w:lang w:eastAsia="en-AU"/>
              </w:rPr>
              <w:t xml:space="preserve"> </w:t>
            </w:r>
          </w:p>
          <w:p w14:paraId="56FD587A"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An independent review panel</w:t>
            </w:r>
          </w:p>
        </w:tc>
        <w:tc>
          <w:tcPr>
            <w:tcW w:w="1842" w:type="dxa"/>
            <w:tcBorders>
              <w:top w:val="single" w:sz="4" w:space="0" w:color="auto"/>
              <w:left w:val="single" w:sz="4" w:space="0" w:color="auto"/>
              <w:bottom w:val="single" w:sz="4" w:space="0" w:color="auto"/>
              <w:right w:val="single" w:sz="4" w:space="0" w:color="auto"/>
            </w:tcBorders>
            <w:hideMark/>
          </w:tcPr>
          <w:p w14:paraId="5038361B"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part</w:t>
            </w:r>
          </w:p>
        </w:tc>
      </w:tr>
      <w:tr w:rsidR="008403DE" w:rsidRPr="000C1837" w14:paraId="025FC511" w14:textId="77777777">
        <w:tc>
          <w:tcPr>
            <w:tcW w:w="7225" w:type="dxa"/>
            <w:tcBorders>
              <w:top w:val="single" w:sz="4" w:space="0" w:color="auto"/>
              <w:left w:val="single" w:sz="4" w:space="0" w:color="auto"/>
              <w:bottom w:val="single" w:sz="4" w:space="0" w:color="auto"/>
              <w:right w:val="single" w:sz="4" w:space="0" w:color="auto"/>
            </w:tcBorders>
            <w:hideMark/>
          </w:tcPr>
          <w:p w14:paraId="3B60A548"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9.3b</w:t>
            </w:r>
            <w:r w:rsidRPr="000C1837">
              <w:rPr>
                <w:rFonts w:eastAsia="Times New Roman" w:cs="Arial"/>
                <w:color w:val="000000"/>
                <w:lang w:eastAsia="en-AU"/>
              </w:rPr>
              <w:t>: Review of access decisions</w:t>
            </w:r>
            <w:r w:rsidRPr="000C1837">
              <w:rPr>
                <w:rFonts w:eastAsia="Times New Roman" w:cs="Arial"/>
                <w:b/>
                <w:bCs/>
                <w:color w:val="000000"/>
                <w:lang w:eastAsia="en-AU"/>
              </w:rPr>
              <w:t xml:space="preserve"> </w:t>
            </w:r>
          </w:p>
          <w:p w14:paraId="05B1A209"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Referral to an existing jurisdictional tribunal or court</w:t>
            </w:r>
          </w:p>
        </w:tc>
        <w:tc>
          <w:tcPr>
            <w:tcW w:w="1842" w:type="dxa"/>
            <w:tcBorders>
              <w:top w:val="single" w:sz="4" w:space="0" w:color="auto"/>
              <w:left w:val="single" w:sz="4" w:space="0" w:color="auto"/>
              <w:bottom w:val="single" w:sz="4" w:space="0" w:color="auto"/>
              <w:right w:val="single" w:sz="4" w:space="0" w:color="auto"/>
            </w:tcBorders>
            <w:hideMark/>
          </w:tcPr>
          <w:p w14:paraId="0AA1F5CF"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bookmarkEnd w:id="4"/>
    </w:tbl>
    <w:p w14:paraId="2F17DFDD" w14:textId="77777777" w:rsidR="008403DE" w:rsidRPr="000C1837" w:rsidRDefault="008403DE" w:rsidP="008403DE">
      <w:pPr>
        <w:rPr>
          <w:rFonts w:eastAsiaTheme="minorHAnsi" w:cs="Arial"/>
          <w:b/>
          <w:bCs/>
        </w:rPr>
      </w:pPr>
    </w:p>
    <w:tbl>
      <w:tblPr>
        <w:tblStyle w:val="TableGrid"/>
        <w:tblW w:w="0" w:type="auto"/>
        <w:tblInd w:w="0" w:type="dxa"/>
        <w:tblLook w:val="04A0" w:firstRow="1" w:lastRow="0" w:firstColumn="1" w:lastColumn="0" w:noHBand="0" w:noVBand="1"/>
      </w:tblPr>
      <w:tblGrid>
        <w:gridCol w:w="7366"/>
        <w:gridCol w:w="1650"/>
      </w:tblGrid>
      <w:tr w:rsidR="008403DE" w:rsidRPr="000C1837" w14:paraId="4601B9CD"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1F3EE17" w14:textId="77777777" w:rsidR="008403DE" w:rsidRPr="000C1837" w:rsidRDefault="008403DE">
            <w:pPr>
              <w:spacing w:before="60" w:after="60" w:line="240" w:lineRule="auto"/>
              <w:rPr>
                <w:rFonts w:eastAsia="Times New Roman" w:cs="Arial"/>
                <w:b/>
                <w:bCs/>
                <w:color w:val="000000"/>
                <w:lang w:eastAsia="en-AU"/>
              </w:rPr>
            </w:pPr>
            <w:bookmarkStart w:id="5" w:name="_Hlk50569596"/>
            <w:r w:rsidRPr="000C1837">
              <w:rPr>
                <w:rFonts w:eastAsia="Times New Roman" w:cs="Arial"/>
                <w:b/>
                <w:bCs/>
                <w:color w:val="000000"/>
                <w:lang w:eastAsia="en-AU"/>
              </w:rPr>
              <w:t>Option 9.4: Increase the responsiveness of access decision-making</w:t>
            </w:r>
          </w:p>
        </w:tc>
      </w:tr>
      <w:tr w:rsidR="008403DE" w:rsidRPr="000C1837" w14:paraId="09BFFFDF" w14:textId="77777777">
        <w:tc>
          <w:tcPr>
            <w:tcW w:w="7366" w:type="dxa"/>
            <w:tcBorders>
              <w:top w:val="single" w:sz="4" w:space="0" w:color="auto"/>
              <w:left w:val="single" w:sz="4" w:space="0" w:color="auto"/>
              <w:bottom w:val="single" w:sz="4" w:space="0" w:color="auto"/>
              <w:right w:val="single" w:sz="4" w:space="0" w:color="auto"/>
            </w:tcBorders>
            <w:hideMark/>
          </w:tcPr>
          <w:p w14:paraId="4B41D85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9.4</w:t>
            </w:r>
            <w:r w:rsidRPr="000C1837">
              <w:rPr>
                <w:rFonts w:eastAsia="Times New Roman" w:cs="Arial"/>
                <w:color w:val="000000"/>
                <w:lang w:eastAsia="en-AU"/>
              </w:rPr>
              <w:t>: Increase the responsiveness of access decision-making</w:t>
            </w:r>
          </w:p>
        </w:tc>
        <w:tc>
          <w:tcPr>
            <w:tcW w:w="1650" w:type="dxa"/>
            <w:tcBorders>
              <w:top w:val="single" w:sz="4" w:space="0" w:color="auto"/>
              <w:left w:val="single" w:sz="4" w:space="0" w:color="auto"/>
              <w:bottom w:val="single" w:sz="4" w:space="0" w:color="auto"/>
              <w:right w:val="single" w:sz="4" w:space="0" w:color="auto"/>
            </w:tcBorders>
            <w:hideMark/>
          </w:tcPr>
          <w:p w14:paraId="38149C61"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part</w:t>
            </w:r>
          </w:p>
        </w:tc>
      </w:tr>
      <w:bookmarkEnd w:id="5"/>
    </w:tbl>
    <w:p w14:paraId="25C7BE31" w14:textId="77777777" w:rsidR="008403DE" w:rsidRPr="000C1837" w:rsidRDefault="008403DE" w:rsidP="008403DE">
      <w:pPr>
        <w:rPr>
          <w:rFonts w:eastAsiaTheme="minorHAnsi" w:cs="Arial"/>
        </w:rPr>
      </w:pPr>
    </w:p>
    <w:tbl>
      <w:tblPr>
        <w:tblStyle w:val="TableGrid"/>
        <w:tblW w:w="0" w:type="auto"/>
        <w:tblInd w:w="0" w:type="dxa"/>
        <w:tblLook w:val="04A0" w:firstRow="1" w:lastRow="0" w:firstColumn="1" w:lastColumn="0" w:noHBand="0" w:noVBand="1"/>
      </w:tblPr>
      <w:tblGrid>
        <w:gridCol w:w="7366"/>
        <w:gridCol w:w="1650"/>
      </w:tblGrid>
      <w:tr w:rsidR="008403DE" w:rsidRPr="000C1837" w14:paraId="52AD8DD4" w14:textId="77777777">
        <w:tc>
          <w:tcPr>
            <w:tcW w:w="901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AD82FC5"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 xml:space="preserve">Option 9.5: Pilots and escorts </w:t>
            </w:r>
          </w:p>
        </w:tc>
      </w:tr>
      <w:tr w:rsidR="008403DE" w:rsidRPr="000C1837" w14:paraId="460ACBBC" w14:textId="77777777">
        <w:tc>
          <w:tcPr>
            <w:tcW w:w="7366" w:type="dxa"/>
            <w:tcBorders>
              <w:top w:val="single" w:sz="4" w:space="0" w:color="auto"/>
              <w:left w:val="single" w:sz="4" w:space="0" w:color="auto"/>
              <w:bottom w:val="single" w:sz="4" w:space="0" w:color="auto"/>
              <w:right w:val="single" w:sz="4" w:space="0" w:color="auto"/>
            </w:tcBorders>
            <w:hideMark/>
          </w:tcPr>
          <w:p w14:paraId="6726E231"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9.5a</w:t>
            </w:r>
            <w:r w:rsidRPr="000C1837">
              <w:rPr>
                <w:rFonts w:eastAsia="Times New Roman" w:cs="Arial"/>
                <w:color w:val="000000"/>
                <w:lang w:eastAsia="en-AU"/>
              </w:rPr>
              <w:t xml:space="preserve"> – National Operational Accreditation Scheme (single-tiered pilot approach)</w:t>
            </w:r>
          </w:p>
        </w:tc>
        <w:tc>
          <w:tcPr>
            <w:tcW w:w="1650" w:type="dxa"/>
            <w:tcBorders>
              <w:top w:val="single" w:sz="4" w:space="0" w:color="auto"/>
              <w:left w:val="single" w:sz="4" w:space="0" w:color="auto"/>
              <w:bottom w:val="single" w:sz="4" w:space="0" w:color="auto"/>
              <w:right w:val="single" w:sz="4" w:space="0" w:color="auto"/>
            </w:tcBorders>
            <w:hideMark/>
          </w:tcPr>
          <w:p w14:paraId="59C06C62"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r>
      <w:tr w:rsidR="008403DE" w:rsidRPr="000C1837" w14:paraId="3BD0AFD7" w14:textId="77777777">
        <w:tc>
          <w:tcPr>
            <w:tcW w:w="7366" w:type="dxa"/>
            <w:tcBorders>
              <w:top w:val="single" w:sz="4" w:space="0" w:color="auto"/>
              <w:left w:val="single" w:sz="4" w:space="0" w:color="auto"/>
              <w:bottom w:val="single" w:sz="4" w:space="0" w:color="auto"/>
              <w:right w:val="single" w:sz="4" w:space="0" w:color="auto"/>
            </w:tcBorders>
            <w:hideMark/>
          </w:tcPr>
          <w:p w14:paraId="2736C6DC"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9.5b</w:t>
            </w:r>
            <w:r w:rsidRPr="000C1837">
              <w:rPr>
                <w:rFonts w:eastAsia="Times New Roman" w:cs="Arial"/>
                <w:color w:val="000000"/>
                <w:lang w:eastAsia="en-AU"/>
              </w:rPr>
              <w:t xml:space="preserve"> – National Operational Accreditation Scheme (dual-tiered pilot approach)</w:t>
            </w:r>
          </w:p>
        </w:tc>
        <w:tc>
          <w:tcPr>
            <w:tcW w:w="1650" w:type="dxa"/>
            <w:tcBorders>
              <w:top w:val="single" w:sz="4" w:space="0" w:color="auto"/>
              <w:left w:val="single" w:sz="4" w:space="0" w:color="auto"/>
              <w:bottom w:val="single" w:sz="4" w:space="0" w:color="auto"/>
              <w:right w:val="single" w:sz="4" w:space="0" w:color="auto"/>
            </w:tcBorders>
            <w:hideMark/>
          </w:tcPr>
          <w:p w14:paraId="7B77BE69"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r>
    </w:tbl>
    <w:p w14:paraId="4FF6A1F2" w14:textId="77777777" w:rsidR="008403DE" w:rsidRPr="000C1837" w:rsidRDefault="008403DE" w:rsidP="008403DE">
      <w:pPr>
        <w:tabs>
          <w:tab w:val="left" w:pos="1170"/>
        </w:tabs>
        <w:spacing w:before="60" w:after="60"/>
        <w:rPr>
          <w:rFonts w:eastAsiaTheme="minorHAnsi" w:cs="Arial"/>
          <w:b/>
          <w:bCs/>
        </w:rPr>
      </w:pPr>
      <w:r w:rsidRPr="000C1837">
        <w:rPr>
          <w:rFonts w:cs="Arial"/>
          <w:b/>
          <w:bCs/>
        </w:rPr>
        <w:tab/>
      </w:r>
    </w:p>
    <w:p w14:paraId="4AC6B0B3" w14:textId="30EF68FA" w:rsidR="001667C7" w:rsidRPr="000C1837" w:rsidRDefault="008403DE" w:rsidP="008403DE">
      <w:pPr>
        <w:rPr>
          <w:rFonts w:eastAsia="Times New Roman" w:cs="Arial"/>
          <w:b/>
          <w:bCs/>
          <w:sz w:val="28"/>
          <w:szCs w:val="28"/>
        </w:rPr>
      </w:pPr>
      <w:r w:rsidRPr="000C1837">
        <w:rPr>
          <w:rFonts w:cs="Arial"/>
        </w:rPr>
        <w:br w:type="page"/>
      </w:r>
    </w:p>
    <w:p w14:paraId="1C21DB9D" w14:textId="77777777" w:rsidR="00727905" w:rsidRPr="000C1837" w:rsidRDefault="00727905" w:rsidP="00A86F9C">
      <w:pPr>
        <w:pStyle w:val="Heading1"/>
        <w:sectPr w:rsidR="00727905" w:rsidRPr="000C1837" w:rsidSect="00687A8C">
          <w:headerReference w:type="default" r:id="rId16"/>
          <w:footerReference w:type="default" r:id="rId17"/>
          <w:type w:val="continuous"/>
          <w:pgSz w:w="12240" w:h="15840"/>
          <w:pgMar w:top="1440" w:right="1440" w:bottom="1440" w:left="1440" w:header="708" w:footer="708" w:gutter="0"/>
          <w:cols w:space="708"/>
          <w:docGrid w:linePitch="360"/>
        </w:sectPr>
      </w:pPr>
      <w:bookmarkStart w:id="6" w:name="_Toc248038857"/>
    </w:p>
    <w:p w14:paraId="43759586" w14:textId="2B112BBC" w:rsidR="00271AF4" w:rsidRPr="000C1837" w:rsidRDefault="00104D3F" w:rsidP="00A86F9C">
      <w:pPr>
        <w:pStyle w:val="Heading1"/>
      </w:pPr>
      <w:bookmarkStart w:id="7" w:name="_Toc56522731"/>
      <w:bookmarkEnd w:id="6"/>
      <w:r>
        <w:lastRenderedPageBreak/>
        <w:t>Response to proposals</w:t>
      </w:r>
      <w:bookmarkEnd w:id="7"/>
    </w:p>
    <w:p w14:paraId="10F60EFF" w14:textId="77777777" w:rsidR="0074397E" w:rsidRPr="000C1837" w:rsidRDefault="0074397E" w:rsidP="001667C7">
      <w:pPr>
        <w:spacing w:after="0" w:line="240" w:lineRule="auto"/>
        <w:rPr>
          <w:rFonts w:cs="Arial"/>
        </w:rPr>
      </w:pPr>
    </w:p>
    <w:p w14:paraId="019076D9" w14:textId="77777777" w:rsidR="008403DE" w:rsidRPr="000C1837" w:rsidRDefault="008403DE" w:rsidP="008403DE">
      <w:pPr>
        <w:rPr>
          <w:rFonts w:cs="Arial"/>
          <w:b/>
          <w:bCs/>
          <w:lang w:val="en-AU"/>
        </w:rPr>
      </w:pPr>
    </w:p>
    <w:tbl>
      <w:tblPr>
        <w:tblStyle w:val="TableGrid"/>
        <w:tblW w:w="14029" w:type="dxa"/>
        <w:tblInd w:w="0" w:type="dxa"/>
        <w:tblLook w:val="04A0" w:firstRow="1" w:lastRow="0" w:firstColumn="1" w:lastColumn="0" w:noHBand="0" w:noVBand="1"/>
      </w:tblPr>
      <w:tblGrid>
        <w:gridCol w:w="2547"/>
        <w:gridCol w:w="142"/>
        <w:gridCol w:w="1275"/>
        <w:gridCol w:w="5103"/>
        <w:gridCol w:w="4962"/>
      </w:tblGrid>
      <w:tr w:rsidR="008403DE" w:rsidRPr="000C1837" w14:paraId="35F79325" w14:textId="77777777" w:rsidTr="008403DE">
        <w:tc>
          <w:tcPr>
            <w:tcW w:w="396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E2C17BC"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 Expand as of right general access</w:t>
            </w:r>
            <w:r w:rsidRPr="000C1837">
              <w:rPr>
                <w:rFonts w:eastAsia="Times New Roman" w:cs="Arial"/>
                <w:b/>
                <w:bCs/>
                <w:color w:val="000000"/>
                <w:u w:val="single"/>
                <w:lang w:eastAsia="en-AU"/>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C9743EB"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 xml:space="preserve">Summary </w:t>
            </w:r>
          </w:p>
        </w:tc>
        <w:tc>
          <w:tcPr>
            <w:tcW w:w="496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2154B5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Discussion</w:t>
            </w:r>
          </w:p>
        </w:tc>
      </w:tr>
      <w:tr w:rsidR="008403DE" w:rsidRPr="000C1837" w14:paraId="12D8DCE7"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75D4C888" w14:textId="77777777" w:rsidR="008403DE" w:rsidRPr="000C1837" w:rsidRDefault="008403DE">
            <w:pPr>
              <w:spacing w:before="60" w:after="60" w:line="240" w:lineRule="auto"/>
              <w:rPr>
                <w:rFonts w:cs="Arial"/>
                <w:b/>
                <w:bCs/>
                <w:color w:val="DAEEF3" w:themeColor="accent5" w:themeTint="33"/>
                <w:sz w:val="28"/>
                <w:szCs w:val="28"/>
              </w:rPr>
            </w:pPr>
            <w:r w:rsidRPr="000C1837">
              <w:rPr>
                <w:rFonts w:eastAsia="Times New Roman" w:cs="Arial"/>
                <w:b/>
                <w:bCs/>
                <w:color w:val="000000"/>
                <w:lang w:eastAsia="en-AU"/>
              </w:rPr>
              <w:t>Option 9.1a</w:t>
            </w:r>
            <w:r w:rsidRPr="000C1837">
              <w:rPr>
                <w:rFonts w:eastAsia="Times New Roman" w:cs="Arial"/>
                <w:color w:val="000000"/>
                <w:lang w:eastAsia="en-AU"/>
              </w:rPr>
              <w:t>: Increase GML to CML for all operators</w:t>
            </w:r>
          </w:p>
        </w:tc>
        <w:tc>
          <w:tcPr>
            <w:tcW w:w="1275" w:type="dxa"/>
            <w:tcBorders>
              <w:top w:val="single" w:sz="4" w:space="0" w:color="auto"/>
              <w:left w:val="single" w:sz="4" w:space="0" w:color="auto"/>
              <w:bottom w:val="single" w:sz="4" w:space="0" w:color="auto"/>
              <w:right w:val="single" w:sz="4" w:space="0" w:color="auto"/>
            </w:tcBorders>
            <w:hideMark/>
          </w:tcPr>
          <w:p w14:paraId="7F1DFE4A"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103" w:type="dxa"/>
            <w:tcBorders>
              <w:top w:val="single" w:sz="4" w:space="0" w:color="auto"/>
              <w:left w:val="single" w:sz="4" w:space="0" w:color="auto"/>
              <w:bottom w:val="single" w:sz="4" w:space="0" w:color="auto"/>
              <w:right w:val="single" w:sz="4" w:space="0" w:color="auto"/>
            </w:tcBorders>
            <w:hideMark/>
          </w:tcPr>
          <w:p w14:paraId="3CB16AD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Under this option all heavy vehicles would be able to access the network at current CML.</w:t>
            </w:r>
          </w:p>
        </w:tc>
        <w:tc>
          <w:tcPr>
            <w:tcW w:w="4962" w:type="dxa"/>
            <w:tcBorders>
              <w:top w:val="single" w:sz="4" w:space="0" w:color="auto"/>
              <w:left w:val="single" w:sz="4" w:space="0" w:color="auto"/>
              <w:bottom w:val="single" w:sz="4" w:space="0" w:color="auto"/>
              <w:right w:val="single" w:sz="4" w:space="0" w:color="auto"/>
            </w:tcBorders>
            <w:hideMark/>
          </w:tcPr>
          <w:p w14:paraId="7D5DCEF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Does not automatically generate productivity or other benefits. Increased limits should be linked to improved safety and data as per option c</w:t>
            </w:r>
          </w:p>
        </w:tc>
      </w:tr>
      <w:tr w:rsidR="008403DE" w:rsidRPr="000C1837" w14:paraId="1CD152F5"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249F4C6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9.1b</w:t>
            </w:r>
            <w:r w:rsidRPr="000C1837">
              <w:rPr>
                <w:rFonts w:eastAsia="Times New Roman" w:cs="Arial"/>
                <w:color w:val="000000"/>
                <w:lang w:eastAsia="en-AU"/>
              </w:rPr>
              <w:t>: Increase GML to CML for enrolled operators</w:t>
            </w:r>
          </w:p>
        </w:tc>
        <w:tc>
          <w:tcPr>
            <w:tcW w:w="1275" w:type="dxa"/>
            <w:tcBorders>
              <w:top w:val="single" w:sz="4" w:space="0" w:color="auto"/>
              <w:left w:val="single" w:sz="4" w:space="0" w:color="auto"/>
              <w:bottom w:val="single" w:sz="4" w:space="0" w:color="auto"/>
              <w:right w:val="single" w:sz="4" w:space="0" w:color="auto"/>
            </w:tcBorders>
            <w:hideMark/>
          </w:tcPr>
          <w:p w14:paraId="0E42038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103" w:type="dxa"/>
            <w:tcBorders>
              <w:top w:val="single" w:sz="4" w:space="0" w:color="auto"/>
              <w:left w:val="single" w:sz="4" w:space="0" w:color="auto"/>
              <w:bottom w:val="single" w:sz="4" w:space="0" w:color="auto"/>
              <w:right w:val="single" w:sz="4" w:space="0" w:color="auto"/>
            </w:tcBorders>
            <w:hideMark/>
          </w:tcPr>
          <w:p w14:paraId="158D0C4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Under option 9.1b heavy vehicle operators who enrol with the NHVR would be able to access the network at CML.</w:t>
            </w:r>
          </w:p>
        </w:tc>
        <w:tc>
          <w:tcPr>
            <w:tcW w:w="4962" w:type="dxa"/>
            <w:tcBorders>
              <w:top w:val="single" w:sz="4" w:space="0" w:color="auto"/>
              <w:left w:val="single" w:sz="4" w:space="0" w:color="auto"/>
              <w:bottom w:val="single" w:sz="4" w:space="0" w:color="auto"/>
              <w:right w:val="single" w:sz="4" w:space="0" w:color="auto"/>
            </w:tcBorders>
            <w:hideMark/>
          </w:tcPr>
          <w:p w14:paraId="5F1DFF20"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Does not automatically generate productivity or other benefits. Increased limits should be linked to improved safety and data as per option c</w:t>
            </w:r>
          </w:p>
        </w:tc>
      </w:tr>
      <w:tr w:rsidR="008403DE" w:rsidRPr="000C1837" w14:paraId="4C220614"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25683CCC"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9.1c</w:t>
            </w:r>
            <w:r w:rsidRPr="000C1837">
              <w:rPr>
                <w:rFonts w:eastAsia="Times New Roman" w:cs="Arial"/>
                <w:color w:val="000000"/>
                <w:lang w:eastAsia="en-AU"/>
              </w:rPr>
              <w:t>: Increase GML to CML conditionally to operators where an approved on-board mass system is used and data provided.</w:t>
            </w:r>
          </w:p>
        </w:tc>
        <w:tc>
          <w:tcPr>
            <w:tcW w:w="1275" w:type="dxa"/>
            <w:tcBorders>
              <w:top w:val="single" w:sz="4" w:space="0" w:color="auto"/>
              <w:left w:val="single" w:sz="4" w:space="0" w:color="auto"/>
              <w:bottom w:val="single" w:sz="4" w:space="0" w:color="auto"/>
              <w:right w:val="single" w:sz="4" w:space="0" w:color="auto"/>
            </w:tcBorders>
            <w:hideMark/>
          </w:tcPr>
          <w:p w14:paraId="2AF1360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c>
          <w:tcPr>
            <w:tcW w:w="5103" w:type="dxa"/>
            <w:tcBorders>
              <w:top w:val="single" w:sz="4" w:space="0" w:color="auto"/>
              <w:left w:val="single" w:sz="4" w:space="0" w:color="auto"/>
              <w:bottom w:val="single" w:sz="4" w:space="0" w:color="auto"/>
              <w:right w:val="single" w:sz="4" w:space="0" w:color="auto"/>
            </w:tcBorders>
            <w:hideMark/>
          </w:tcPr>
          <w:p w14:paraId="02B17A5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Under this option heavy vehicles with a certified on-board mass (OBM) system and data sharing capabilities would be able to access the network at CML. Operators would need to share the OBM data with road managers and regulators to provide certainty that vehicles are complying with mass limits on approved routes. This could be achieved through sharing data using new or existing telematics applications.</w:t>
            </w:r>
          </w:p>
        </w:tc>
        <w:tc>
          <w:tcPr>
            <w:tcW w:w="4962" w:type="dxa"/>
            <w:tcBorders>
              <w:top w:val="single" w:sz="4" w:space="0" w:color="auto"/>
              <w:left w:val="single" w:sz="4" w:space="0" w:color="auto"/>
              <w:bottom w:val="single" w:sz="4" w:space="0" w:color="auto"/>
              <w:right w:val="single" w:sz="4" w:space="0" w:color="auto"/>
            </w:tcBorders>
            <w:hideMark/>
          </w:tcPr>
          <w:p w14:paraId="6DAE2082" w14:textId="77777777" w:rsidR="008403DE" w:rsidRPr="000C1837" w:rsidRDefault="008403DE">
            <w:pPr>
              <w:spacing w:before="60" w:after="60" w:line="240" w:lineRule="auto"/>
              <w:rPr>
                <w:rFonts w:eastAsia="Times New Roman" w:cs="Arial"/>
                <w:b/>
                <w:bCs/>
                <w:color w:val="000000"/>
                <w:lang w:eastAsia="en-AU"/>
              </w:rPr>
            </w:pPr>
            <w:r w:rsidRPr="000C1837">
              <w:rPr>
                <w:rFonts w:cs="Arial"/>
              </w:rPr>
              <w:t>There is potential for improved safety and access to data for road managers with this option.</w:t>
            </w:r>
          </w:p>
        </w:tc>
      </w:tr>
      <w:tr w:rsidR="008403DE" w:rsidRPr="000C1837" w14:paraId="78B70BEA"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504FF891"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9.1d</w:t>
            </w:r>
            <w:r w:rsidRPr="000C1837">
              <w:rPr>
                <w:rFonts w:eastAsia="Times New Roman" w:cs="Arial"/>
                <w:color w:val="000000"/>
                <w:lang w:eastAsia="en-AU"/>
              </w:rPr>
              <w:t>: General access length increase</w:t>
            </w:r>
            <w:r w:rsidRPr="000C1837">
              <w:rPr>
                <w:rFonts w:eastAsia="Times New Roman" w:cs="Arial"/>
                <w:b/>
                <w:bCs/>
                <w:color w:val="000000"/>
                <w:u w:val="single"/>
                <w:lang w:eastAsia="en-AU"/>
              </w:rPr>
              <w:t xml:space="preserve"> </w:t>
            </w:r>
          </w:p>
          <w:p w14:paraId="26FFC19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The additional metre could be provided to all vehicles</w:t>
            </w:r>
          </w:p>
        </w:tc>
        <w:tc>
          <w:tcPr>
            <w:tcW w:w="1275" w:type="dxa"/>
            <w:tcBorders>
              <w:top w:val="single" w:sz="4" w:space="0" w:color="auto"/>
              <w:left w:val="single" w:sz="4" w:space="0" w:color="auto"/>
              <w:bottom w:val="single" w:sz="4" w:space="0" w:color="auto"/>
              <w:right w:val="single" w:sz="4" w:space="0" w:color="auto"/>
            </w:tcBorders>
            <w:hideMark/>
          </w:tcPr>
          <w:p w14:paraId="3CB1D149" w14:textId="77777777" w:rsidR="008403DE" w:rsidRPr="000C1837" w:rsidRDefault="008403DE">
            <w:pPr>
              <w:spacing w:before="60" w:after="60" w:line="240" w:lineRule="auto"/>
              <w:rPr>
                <w:rFonts w:eastAsia="Times New Roman" w:cs="Arial"/>
                <w:color w:val="000000"/>
                <w:lang w:eastAsia="en-AU"/>
              </w:rPr>
            </w:pPr>
            <w:r w:rsidRPr="000C1837">
              <w:rPr>
                <w:rFonts w:cs="Arial"/>
                <w:b/>
                <w:bCs/>
              </w:rPr>
              <w:t>Not support</w:t>
            </w:r>
          </w:p>
        </w:tc>
        <w:tc>
          <w:tcPr>
            <w:tcW w:w="5103" w:type="dxa"/>
            <w:tcBorders>
              <w:top w:val="single" w:sz="4" w:space="0" w:color="auto"/>
              <w:left w:val="single" w:sz="4" w:space="0" w:color="auto"/>
              <w:bottom w:val="single" w:sz="4" w:space="0" w:color="auto"/>
              <w:right w:val="single" w:sz="4" w:space="0" w:color="auto"/>
            </w:tcBorders>
            <w:hideMark/>
          </w:tcPr>
          <w:p w14:paraId="0CB6AFCB"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 xml:space="preserve">General access length is currently specified at 19 metres in regulations to the HVNL. The HVNL also provides that a 25m B-double may be up to 26m long if it meets certain operating conditions. </w:t>
            </w:r>
          </w:p>
          <w:p w14:paraId="5782C328" w14:textId="77777777" w:rsidR="008403DE" w:rsidRPr="000C1837" w:rsidRDefault="008403DE">
            <w:pPr>
              <w:spacing w:before="60" w:after="60" w:line="240" w:lineRule="auto"/>
              <w:rPr>
                <w:rFonts w:cs="Arial"/>
                <w:b/>
                <w:bCs/>
              </w:rPr>
            </w:pPr>
            <w:r w:rsidRPr="000C1837">
              <w:rPr>
                <w:rFonts w:eastAsia="Times New Roman" w:cs="Arial"/>
                <w:color w:val="000000"/>
                <w:lang w:eastAsia="en-AU"/>
              </w:rPr>
              <w:t>Under this option general access length would be increased from 19 metres to 20 metres with the additional metre provided to all vehicles.</w:t>
            </w:r>
          </w:p>
        </w:tc>
        <w:tc>
          <w:tcPr>
            <w:tcW w:w="4962" w:type="dxa"/>
            <w:tcBorders>
              <w:top w:val="single" w:sz="4" w:space="0" w:color="auto"/>
              <w:left w:val="single" w:sz="4" w:space="0" w:color="auto"/>
              <w:bottom w:val="single" w:sz="4" w:space="0" w:color="auto"/>
              <w:right w:val="single" w:sz="4" w:space="0" w:color="auto"/>
            </w:tcBorders>
            <w:hideMark/>
          </w:tcPr>
          <w:p w14:paraId="4E85A927" w14:textId="185BE7F2" w:rsidR="008403DE" w:rsidRPr="000C1837" w:rsidRDefault="00B96780">
            <w:pPr>
              <w:spacing w:before="60" w:after="60" w:line="240" w:lineRule="auto"/>
              <w:rPr>
                <w:rFonts w:cs="Arial"/>
                <w:b/>
                <w:bCs/>
              </w:rPr>
            </w:pPr>
            <w:r>
              <w:rPr>
                <w:rFonts w:eastAsia="Times New Roman" w:cs="Arial"/>
                <w:color w:val="000000"/>
                <w:lang w:eastAsia="en-AU"/>
              </w:rPr>
              <w:t>I</w:t>
            </w:r>
            <w:r w:rsidR="008403DE" w:rsidRPr="000C1837">
              <w:rPr>
                <w:rFonts w:eastAsia="Times New Roman" w:cs="Arial"/>
                <w:color w:val="000000"/>
                <w:lang w:eastAsia="en-AU"/>
              </w:rPr>
              <w:t>t is acknowledged that international truck lengths are heading in this direction</w:t>
            </w:r>
            <w:r>
              <w:rPr>
                <w:rFonts w:eastAsia="Times New Roman" w:cs="Arial"/>
                <w:color w:val="000000"/>
                <w:lang w:eastAsia="en-AU"/>
              </w:rPr>
              <w:t xml:space="preserve">.  </w:t>
            </w:r>
            <w:r w:rsidR="00565BB4">
              <w:rPr>
                <w:rFonts w:eastAsia="Times New Roman" w:cs="Arial"/>
                <w:color w:val="000000"/>
                <w:lang w:eastAsia="en-AU"/>
              </w:rPr>
              <w:t>However</w:t>
            </w:r>
            <w:r w:rsidR="008403DE" w:rsidRPr="000C1837">
              <w:rPr>
                <w:rFonts w:eastAsia="Times New Roman" w:cs="Arial"/>
                <w:color w:val="000000"/>
                <w:lang w:eastAsia="en-AU"/>
              </w:rPr>
              <w:t>, this option does not automatically generate productivity or other benefits. Increased limits should be linked to improved safety and data as per option 2</w:t>
            </w:r>
          </w:p>
        </w:tc>
      </w:tr>
      <w:tr w:rsidR="008403DE" w:rsidRPr="000C1837" w14:paraId="3FCB3BC4"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21510C8A"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9.1d</w:t>
            </w:r>
            <w:r w:rsidRPr="000C1837">
              <w:rPr>
                <w:rFonts w:eastAsia="Times New Roman" w:cs="Arial"/>
                <w:color w:val="000000"/>
                <w:lang w:eastAsia="en-AU"/>
              </w:rPr>
              <w:t xml:space="preserve">: General </w:t>
            </w:r>
            <w:r w:rsidRPr="000C1837">
              <w:rPr>
                <w:rFonts w:eastAsia="Times New Roman" w:cs="Arial"/>
                <w:color w:val="000000"/>
                <w:lang w:eastAsia="en-AU"/>
              </w:rPr>
              <w:lastRenderedPageBreak/>
              <w:t>access length increase</w:t>
            </w:r>
            <w:r w:rsidRPr="000C1837">
              <w:rPr>
                <w:rFonts w:eastAsia="Times New Roman" w:cs="Arial"/>
                <w:b/>
                <w:bCs/>
                <w:color w:val="000000"/>
                <w:u w:val="single"/>
                <w:lang w:eastAsia="en-AU"/>
              </w:rPr>
              <w:t xml:space="preserve"> </w:t>
            </w:r>
          </w:p>
          <w:p w14:paraId="3D5ADFC7"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The additional metre could be provided to vehicles that can demonstrate they have safety features installed.</w:t>
            </w:r>
          </w:p>
        </w:tc>
        <w:tc>
          <w:tcPr>
            <w:tcW w:w="1275" w:type="dxa"/>
            <w:tcBorders>
              <w:top w:val="single" w:sz="4" w:space="0" w:color="auto"/>
              <w:left w:val="single" w:sz="4" w:space="0" w:color="auto"/>
              <w:bottom w:val="single" w:sz="4" w:space="0" w:color="auto"/>
              <w:right w:val="single" w:sz="4" w:space="0" w:color="auto"/>
            </w:tcBorders>
            <w:hideMark/>
          </w:tcPr>
          <w:p w14:paraId="6247A05F" w14:textId="77777777" w:rsidR="008403DE" w:rsidRPr="000C1837" w:rsidRDefault="008403DE">
            <w:pPr>
              <w:spacing w:before="60" w:after="60" w:line="240" w:lineRule="auto"/>
              <w:rPr>
                <w:rFonts w:eastAsia="Times New Roman" w:cs="Arial"/>
                <w:color w:val="000000"/>
                <w:lang w:eastAsia="en-AU"/>
              </w:rPr>
            </w:pPr>
            <w:r w:rsidRPr="000C1837">
              <w:rPr>
                <w:rFonts w:cs="Arial"/>
                <w:b/>
                <w:bCs/>
              </w:rPr>
              <w:lastRenderedPageBreak/>
              <w:t xml:space="preserve">Support in </w:t>
            </w:r>
            <w:r w:rsidRPr="000C1837">
              <w:rPr>
                <w:rFonts w:cs="Arial"/>
                <w:b/>
                <w:bCs/>
              </w:rPr>
              <w:lastRenderedPageBreak/>
              <w:t>principle</w:t>
            </w:r>
          </w:p>
        </w:tc>
        <w:tc>
          <w:tcPr>
            <w:tcW w:w="5103" w:type="dxa"/>
            <w:tcBorders>
              <w:top w:val="single" w:sz="4" w:space="0" w:color="auto"/>
              <w:left w:val="single" w:sz="4" w:space="0" w:color="auto"/>
              <w:bottom w:val="single" w:sz="4" w:space="0" w:color="auto"/>
              <w:right w:val="single" w:sz="4" w:space="0" w:color="auto"/>
            </w:tcBorders>
            <w:hideMark/>
          </w:tcPr>
          <w:p w14:paraId="70E0367F"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lastRenderedPageBreak/>
              <w:t xml:space="preserve">General access length is currently specified at 19 </w:t>
            </w:r>
            <w:r w:rsidRPr="000C1837">
              <w:rPr>
                <w:rFonts w:eastAsia="Times New Roman" w:cs="Arial"/>
                <w:color w:val="000000"/>
                <w:lang w:eastAsia="en-AU"/>
              </w:rPr>
              <w:lastRenderedPageBreak/>
              <w:t xml:space="preserve">metres in regulations to the HVNL. The HVNL also provides that a 25m B-double may be up to 26m long if it meets certain operating conditions. </w:t>
            </w:r>
          </w:p>
          <w:p w14:paraId="6497AC1B" w14:textId="77777777" w:rsidR="008403DE" w:rsidRPr="000C1837" w:rsidRDefault="008403DE">
            <w:pPr>
              <w:spacing w:before="60" w:after="60" w:line="240" w:lineRule="auto"/>
              <w:rPr>
                <w:rFonts w:cs="Arial"/>
                <w:b/>
                <w:bCs/>
              </w:rPr>
            </w:pPr>
            <w:r w:rsidRPr="000C1837">
              <w:rPr>
                <w:rFonts w:eastAsia="Times New Roman" w:cs="Arial"/>
                <w:color w:val="000000"/>
                <w:lang w:eastAsia="en-AU"/>
              </w:rPr>
              <w:t>Under this option general access length would be increased from 19 metres to 20 metres with the additional metre provided to vehicles that can demonstrate they have safety features installed</w:t>
            </w:r>
          </w:p>
        </w:tc>
        <w:tc>
          <w:tcPr>
            <w:tcW w:w="4962" w:type="dxa"/>
            <w:tcBorders>
              <w:top w:val="single" w:sz="4" w:space="0" w:color="auto"/>
              <w:left w:val="single" w:sz="4" w:space="0" w:color="auto"/>
              <w:bottom w:val="single" w:sz="4" w:space="0" w:color="auto"/>
              <w:right w:val="single" w:sz="4" w:space="0" w:color="auto"/>
            </w:tcBorders>
            <w:hideMark/>
          </w:tcPr>
          <w:p w14:paraId="29B27F52" w14:textId="77777777" w:rsidR="008403DE" w:rsidRPr="000C1837" w:rsidRDefault="008403DE">
            <w:pPr>
              <w:spacing w:before="60" w:after="60" w:line="240" w:lineRule="auto"/>
              <w:rPr>
                <w:rFonts w:cs="Arial"/>
                <w:b/>
                <w:bCs/>
              </w:rPr>
            </w:pPr>
            <w:r w:rsidRPr="000C1837">
              <w:rPr>
                <w:rFonts w:eastAsia="Times New Roman" w:cs="Arial"/>
                <w:color w:val="000000"/>
                <w:lang w:eastAsia="en-AU"/>
              </w:rPr>
              <w:lastRenderedPageBreak/>
              <w:t xml:space="preserve">New European trucks are heading towards becoming 20m in length. These are the newest </w:t>
            </w:r>
            <w:r w:rsidRPr="000C1837">
              <w:rPr>
                <w:rFonts w:eastAsia="Times New Roman" w:cs="Arial"/>
                <w:color w:val="000000"/>
                <w:lang w:eastAsia="en-AU"/>
              </w:rPr>
              <w:lastRenderedPageBreak/>
              <w:t>and safest trucks which are likely to come on to the Australian market. If they are safer and more efficient, this should be encouraged subject to appropriate standards and sharing of data.</w:t>
            </w:r>
          </w:p>
        </w:tc>
      </w:tr>
      <w:tr w:rsidR="008403DE" w:rsidRPr="000C1837" w14:paraId="660A95A2"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72C092E9" w14:textId="77777777" w:rsidR="008403DE" w:rsidRPr="000C1837" w:rsidRDefault="008403DE">
            <w:pPr>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lastRenderedPageBreak/>
              <w:t>Option 9.1d</w:t>
            </w:r>
            <w:r w:rsidRPr="000C1837">
              <w:rPr>
                <w:rFonts w:eastAsia="Times New Roman" w:cs="Arial"/>
                <w:color w:val="000000"/>
                <w:lang w:eastAsia="en-AU"/>
              </w:rPr>
              <w:t>: General access length increase</w:t>
            </w:r>
            <w:r w:rsidRPr="000C1837">
              <w:rPr>
                <w:rFonts w:eastAsia="Times New Roman" w:cs="Arial"/>
                <w:b/>
                <w:bCs/>
                <w:color w:val="000000"/>
                <w:u w:val="single"/>
                <w:lang w:eastAsia="en-AU"/>
              </w:rPr>
              <w:t xml:space="preserve"> </w:t>
            </w:r>
          </w:p>
          <w:p w14:paraId="60D0E42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3</w:t>
            </w:r>
            <w:r w:rsidRPr="000C1837">
              <w:rPr>
                <w:rFonts w:eastAsia="Times New Roman" w:cs="Arial"/>
                <w:color w:val="000000"/>
                <w:lang w:eastAsia="en-AU"/>
              </w:rPr>
              <w:t>: Additional space for the sleeper cabin in restricted access vehicles</w:t>
            </w:r>
          </w:p>
        </w:tc>
        <w:tc>
          <w:tcPr>
            <w:tcW w:w="1275" w:type="dxa"/>
            <w:tcBorders>
              <w:top w:val="single" w:sz="4" w:space="0" w:color="auto"/>
              <w:left w:val="single" w:sz="4" w:space="0" w:color="auto"/>
              <w:bottom w:val="single" w:sz="4" w:space="0" w:color="auto"/>
              <w:right w:val="single" w:sz="4" w:space="0" w:color="auto"/>
            </w:tcBorders>
            <w:hideMark/>
          </w:tcPr>
          <w:p w14:paraId="48CCF758" w14:textId="77777777" w:rsidR="008403DE" w:rsidRPr="000C1837" w:rsidRDefault="008403DE">
            <w:pPr>
              <w:spacing w:before="60" w:after="60" w:line="240" w:lineRule="auto"/>
              <w:rPr>
                <w:rFonts w:eastAsia="Times New Roman" w:cs="Arial"/>
                <w:color w:val="000000"/>
                <w:lang w:eastAsia="en-AU"/>
              </w:rPr>
            </w:pPr>
            <w:r w:rsidRPr="000C1837">
              <w:rPr>
                <w:rFonts w:cs="Arial"/>
                <w:b/>
                <w:bCs/>
              </w:rPr>
              <w:t>Support in principle</w:t>
            </w:r>
          </w:p>
        </w:tc>
        <w:tc>
          <w:tcPr>
            <w:tcW w:w="5103" w:type="dxa"/>
            <w:tcBorders>
              <w:top w:val="single" w:sz="4" w:space="0" w:color="auto"/>
              <w:left w:val="single" w:sz="4" w:space="0" w:color="auto"/>
              <w:bottom w:val="single" w:sz="4" w:space="0" w:color="auto"/>
              <w:right w:val="single" w:sz="4" w:space="0" w:color="auto"/>
            </w:tcBorders>
            <w:hideMark/>
          </w:tcPr>
          <w:p w14:paraId="7A39C2A2"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 xml:space="preserve">General access length is currently specified at 19 metres in regulations to the HVNL. The HVNL also provides that a 25m B-double may be up to 26m long if it meets certain operating conditions. </w:t>
            </w:r>
          </w:p>
          <w:p w14:paraId="14ECAEA0" w14:textId="77777777" w:rsidR="008403DE" w:rsidRPr="000C1837" w:rsidRDefault="008403DE">
            <w:pPr>
              <w:spacing w:before="60" w:after="60" w:line="240" w:lineRule="auto"/>
              <w:rPr>
                <w:rFonts w:cs="Arial"/>
                <w:b/>
                <w:bCs/>
              </w:rPr>
            </w:pPr>
            <w:r w:rsidRPr="000C1837">
              <w:rPr>
                <w:rFonts w:eastAsia="Times New Roman" w:cs="Arial"/>
                <w:color w:val="000000"/>
                <w:lang w:eastAsia="en-AU"/>
              </w:rPr>
              <w:t>Under this option general access length would be increased from 19 metres to 20 metres with this additional meter would be provided only for additional space in a sleeper cabin.</w:t>
            </w:r>
          </w:p>
        </w:tc>
        <w:tc>
          <w:tcPr>
            <w:tcW w:w="4962" w:type="dxa"/>
            <w:tcBorders>
              <w:top w:val="single" w:sz="4" w:space="0" w:color="auto"/>
              <w:left w:val="single" w:sz="4" w:space="0" w:color="auto"/>
              <w:bottom w:val="single" w:sz="4" w:space="0" w:color="auto"/>
              <w:right w:val="single" w:sz="4" w:space="0" w:color="auto"/>
            </w:tcBorders>
            <w:hideMark/>
          </w:tcPr>
          <w:p w14:paraId="56F3E7A5" w14:textId="77777777" w:rsidR="008403DE" w:rsidRPr="000C1837" w:rsidRDefault="008403DE">
            <w:pPr>
              <w:spacing w:before="60" w:after="60" w:line="240" w:lineRule="auto"/>
              <w:rPr>
                <w:rFonts w:cs="Arial"/>
                <w:b/>
                <w:bCs/>
              </w:rPr>
            </w:pPr>
            <w:r w:rsidRPr="000C1837">
              <w:rPr>
                <w:rFonts w:eastAsia="Times New Roman" w:cs="Arial"/>
                <w:color w:val="000000"/>
                <w:lang w:eastAsia="en-AU"/>
              </w:rPr>
              <w:t>New European trucks are heading towards becoming 20m in length. These are the newest and safest trucks which are likely to come on to the Australian market. If they are safer and more efficient, this should be encouraged subject to appropriate standards and sharing of data.</w:t>
            </w:r>
          </w:p>
        </w:tc>
      </w:tr>
      <w:tr w:rsidR="008403DE" w:rsidRPr="000C1837" w14:paraId="47D3088B" w14:textId="77777777" w:rsidTr="008403DE">
        <w:tc>
          <w:tcPr>
            <w:tcW w:w="2689" w:type="dxa"/>
            <w:gridSpan w:val="2"/>
            <w:tcBorders>
              <w:top w:val="single" w:sz="4" w:space="0" w:color="auto"/>
              <w:left w:val="single" w:sz="4" w:space="0" w:color="auto"/>
              <w:bottom w:val="single" w:sz="4" w:space="0" w:color="auto"/>
              <w:right w:val="single" w:sz="4" w:space="0" w:color="auto"/>
            </w:tcBorders>
            <w:hideMark/>
          </w:tcPr>
          <w:p w14:paraId="3F1B48E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9.1e</w:t>
            </w:r>
            <w:r w:rsidRPr="000C1837">
              <w:rPr>
                <w:rFonts w:eastAsia="Times New Roman" w:cs="Arial"/>
                <w:color w:val="000000"/>
                <w:lang w:eastAsia="en-AU"/>
              </w:rPr>
              <w:t>: Create enhanced general access category</w:t>
            </w:r>
          </w:p>
        </w:tc>
        <w:tc>
          <w:tcPr>
            <w:tcW w:w="1275" w:type="dxa"/>
            <w:tcBorders>
              <w:top w:val="single" w:sz="4" w:space="0" w:color="auto"/>
              <w:left w:val="single" w:sz="4" w:space="0" w:color="auto"/>
              <w:bottom w:val="single" w:sz="4" w:space="0" w:color="auto"/>
              <w:right w:val="single" w:sz="4" w:space="0" w:color="auto"/>
            </w:tcBorders>
            <w:hideMark/>
          </w:tcPr>
          <w:p w14:paraId="14C7E88F"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c>
          <w:tcPr>
            <w:tcW w:w="5103" w:type="dxa"/>
            <w:tcBorders>
              <w:top w:val="single" w:sz="4" w:space="0" w:color="auto"/>
              <w:left w:val="single" w:sz="4" w:space="0" w:color="auto"/>
              <w:bottom w:val="single" w:sz="4" w:space="0" w:color="auto"/>
              <w:right w:val="single" w:sz="4" w:space="0" w:color="auto"/>
            </w:tcBorders>
            <w:hideMark/>
          </w:tcPr>
          <w:p w14:paraId="54318359"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 xml:space="preserve">Rather than granting increased general access for all vehicles, an approach of granting general access on conditions could be pursued. </w:t>
            </w:r>
          </w:p>
          <w:p w14:paraId="0A88DF87"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The legislation could be structured to allow requisite safety features, technology and data sharing requirement to be updated when needed with associated grandfathering provisions for existing vehicles.</w:t>
            </w:r>
          </w:p>
          <w:p w14:paraId="3FF3EAA0" w14:textId="77777777" w:rsidR="008403DE" w:rsidRPr="000C1837" w:rsidRDefault="008403DE">
            <w:pPr>
              <w:spacing w:before="60" w:after="60" w:line="240" w:lineRule="auto"/>
              <w:rPr>
                <w:rFonts w:eastAsia="Times New Roman" w:cs="Arial"/>
                <w:b/>
                <w:bCs/>
                <w:color w:val="000000"/>
                <w:lang w:eastAsia="en-AU"/>
              </w:rPr>
            </w:pPr>
            <w:r w:rsidRPr="000C1837">
              <w:rPr>
                <w:rFonts w:cs="Arial"/>
              </w:rPr>
              <w:t>This option needs to be considered in coordination with the vehicle classification system requirements discussed in option 9.2d.</w:t>
            </w:r>
          </w:p>
        </w:tc>
        <w:tc>
          <w:tcPr>
            <w:tcW w:w="4962" w:type="dxa"/>
            <w:tcBorders>
              <w:top w:val="single" w:sz="4" w:space="0" w:color="auto"/>
              <w:left w:val="single" w:sz="4" w:space="0" w:color="auto"/>
              <w:bottom w:val="single" w:sz="4" w:space="0" w:color="auto"/>
              <w:right w:val="single" w:sz="4" w:space="0" w:color="auto"/>
            </w:tcBorders>
            <w:hideMark/>
          </w:tcPr>
          <w:p w14:paraId="0B7CD8E4"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Option 9.1e could help encourage newer and safer vehicles and establish a legislative framework which could support the Heavy Vehicle Road Reform (HVRR).</w:t>
            </w:r>
          </w:p>
          <w:p w14:paraId="4F99515C"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An “enhanced general access” category would establish that enhanced access to the road network by heavy vehicles, now and in the future, will only be applied to cleaner, safer vehicles where data is provided to support the current and future use of the road network</w:t>
            </w:r>
          </w:p>
        </w:tc>
      </w:tr>
      <w:tr w:rsidR="008403DE" w:rsidRPr="000C1837" w14:paraId="09797CB2" w14:textId="77777777" w:rsidTr="008403DE">
        <w:tc>
          <w:tcPr>
            <w:tcW w:w="396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658E363" w14:textId="77777777" w:rsidR="008403DE" w:rsidRPr="000C1837" w:rsidRDefault="008403DE" w:rsidP="00B23D46">
            <w:pPr>
              <w:keepNext/>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lastRenderedPageBreak/>
              <w:t>Option 9.2: Improving the efficiency of the decision-making process for authorising access</w:t>
            </w:r>
            <w:r w:rsidRPr="000C1837">
              <w:rPr>
                <w:rFonts w:eastAsia="Times New Roman" w:cs="Arial"/>
                <w:b/>
                <w:bCs/>
                <w:color w:val="000000"/>
                <w:u w:val="single"/>
                <w:lang w:eastAsia="en-AU"/>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B184BAB"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Summary</w:t>
            </w:r>
          </w:p>
        </w:tc>
        <w:tc>
          <w:tcPr>
            <w:tcW w:w="496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E1BBEF3"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Discussion</w:t>
            </w:r>
          </w:p>
        </w:tc>
      </w:tr>
      <w:tr w:rsidR="008403DE" w:rsidRPr="000C1837" w14:paraId="4F8D4779"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14B17B6E"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9.2a</w:t>
            </w:r>
            <w:r w:rsidRPr="000C1837">
              <w:rPr>
                <w:rFonts w:eastAsia="Times New Roman" w:cs="Arial"/>
                <w:color w:val="000000"/>
                <w:lang w:eastAsia="en-AU"/>
              </w:rPr>
              <w:t>: Recognise precedent and expand expedited process to including equivalent or lower risk applications</w:t>
            </w:r>
          </w:p>
        </w:tc>
        <w:tc>
          <w:tcPr>
            <w:tcW w:w="1417" w:type="dxa"/>
            <w:gridSpan w:val="2"/>
            <w:tcBorders>
              <w:top w:val="single" w:sz="4" w:space="0" w:color="auto"/>
              <w:left w:val="single" w:sz="4" w:space="0" w:color="auto"/>
              <w:bottom w:val="single" w:sz="4" w:space="0" w:color="auto"/>
              <w:right w:val="single" w:sz="4" w:space="0" w:color="auto"/>
            </w:tcBorders>
            <w:hideMark/>
          </w:tcPr>
          <w:p w14:paraId="77D8D85D"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cs="Arial"/>
                <w:b/>
                <w:bCs/>
              </w:rPr>
              <w:t>Not support</w:t>
            </w:r>
          </w:p>
        </w:tc>
        <w:tc>
          <w:tcPr>
            <w:tcW w:w="5103" w:type="dxa"/>
            <w:tcBorders>
              <w:top w:val="single" w:sz="4" w:space="0" w:color="auto"/>
              <w:left w:val="single" w:sz="4" w:space="0" w:color="auto"/>
              <w:bottom w:val="single" w:sz="4" w:space="0" w:color="auto"/>
              <w:right w:val="single" w:sz="4" w:space="0" w:color="auto"/>
            </w:tcBorders>
            <w:hideMark/>
          </w:tcPr>
          <w:p w14:paraId="54F16AD5"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This option would recognise precedent and risk in the access decision-making process. The HVNL currently allows for an expedited procedure for the renewal of previously consented mass or dimension authorities. In 2019 around one-third of consent applications were for the renewal of previously granted mass or dimension authorities. This option would expand the current expedited process to include equivalent or lower risk applications and fast track consent via the NHVR.</w:t>
            </w:r>
          </w:p>
          <w:p w14:paraId="4C9C61BE" w14:textId="77777777" w:rsidR="008403DE" w:rsidRPr="000C1837" w:rsidRDefault="008403DE" w:rsidP="00B23D46">
            <w:pPr>
              <w:keepNext/>
              <w:spacing w:before="60" w:after="60" w:line="240" w:lineRule="auto"/>
              <w:rPr>
                <w:rFonts w:cs="Arial"/>
                <w:b/>
                <w:bCs/>
              </w:rPr>
            </w:pPr>
            <w:r w:rsidRPr="000C1837">
              <w:rPr>
                <w:rFonts w:eastAsia="Times New Roman" w:cs="Arial"/>
                <w:color w:val="000000"/>
                <w:lang w:eastAsia="en-AU"/>
              </w:rPr>
              <w:t xml:space="preserve"> </w:t>
            </w:r>
          </w:p>
        </w:tc>
        <w:tc>
          <w:tcPr>
            <w:tcW w:w="4962" w:type="dxa"/>
            <w:tcBorders>
              <w:top w:val="single" w:sz="4" w:space="0" w:color="auto"/>
              <w:left w:val="single" w:sz="4" w:space="0" w:color="auto"/>
              <w:bottom w:val="single" w:sz="4" w:space="0" w:color="auto"/>
              <w:right w:val="single" w:sz="4" w:space="0" w:color="auto"/>
            </w:tcBorders>
            <w:hideMark/>
          </w:tcPr>
          <w:p w14:paraId="265E933C"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There is a risk that an individual approval for one vehicle could establish a default approval for multiple similar or smaller vehicles without fresh consideration of the application.  Road conditions may have changed or an increase in volume of vehicles may be significant for a subsequent consideration.</w:t>
            </w:r>
          </w:p>
          <w:p w14:paraId="15433D24" w14:textId="77777777" w:rsidR="008403DE" w:rsidRPr="000C1837" w:rsidRDefault="008403DE" w:rsidP="00B23D46">
            <w:pPr>
              <w:keepNext/>
              <w:spacing w:before="60" w:after="60" w:line="240" w:lineRule="auto"/>
              <w:rPr>
                <w:rFonts w:cs="Arial"/>
                <w:b/>
                <w:bCs/>
              </w:rPr>
            </w:pPr>
            <w:r w:rsidRPr="000C1837">
              <w:rPr>
                <w:rFonts w:eastAsia="Times New Roman" w:cs="Arial"/>
                <w:color w:val="000000"/>
                <w:lang w:eastAsia="en-AU"/>
              </w:rPr>
              <w:t>Road managers can already consider precedent to guide decision making without recognising it in the law.</w:t>
            </w:r>
          </w:p>
        </w:tc>
      </w:tr>
      <w:tr w:rsidR="008403DE" w:rsidRPr="000C1837" w14:paraId="6814DB0E"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79FBCC0A"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9.2b</w:t>
            </w:r>
            <w:r w:rsidRPr="000C1837">
              <w:rPr>
                <w:rFonts w:eastAsia="Times New Roman" w:cs="Arial"/>
                <w:color w:val="000000"/>
                <w:lang w:eastAsia="en-AU"/>
              </w:rPr>
              <w:t>: Opt-in road manager delegation</w:t>
            </w:r>
          </w:p>
        </w:tc>
        <w:tc>
          <w:tcPr>
            <w:tcW w:w="1417" w:type="dxa"/>
            <w:gridSpan w:val="2"/>
            <w:tcBorders>
              <w:top w:val="single" w:sz="4" w:space="0" w:color="auto"/>
              <w:left w:val="single" w:sz="4" w:space="0" w:color="auto"/>
              <w:bottom w:val="single" w:sz="4" w:space="0" w:color="auto"/>
              <w:right w:val="single" w:sz="4" w:space="0" w:color="auto"/>
            </w:tcBorders>
            <w:hideMark/>
          </w:tcPr>
          <w:p w14:paraId="4BCF88BA"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Support in full</w:t>
            </w:r>
          </w:p>
        </w:tc>
        <w:tc>
          <w:tcPr>
            <w:tcW w:w="5103" w:type="dxa"/>
            <w:tcBorders>
              <w:top w:val="single" w:sz="4" w:space="0" w:color="auto"/>
              <w:left w:val="single" w:sz="4" w:space="0" w:color="auto"/>
              <w:bottom w:val="single" w:sz="4" w:space="0" w:color="auto"/>
              <w:right w:val="single" w:sz="4" w:space="0" w:color="auto"/>
            </w:tcBorders>
            <w:hideMark/>
          </w:tcPr>
          <w:p w14:paraId="73BD3364"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The HVNL would be amended to provide an express opt-in power for road managers to delegate access decision-making. Road managers would not be compelled to delegate their decision-making power but would have a choice about whether to exercise this delegation.</w:t>
            </w:r>
          </w:p>
        </w:tc>
        <w:tc>
          <w:tcPr>
            <w:tcW w:w="4962" w:type="dxa"/>
            <w:tcBorders>
              <w:top w:val="single" w:sz="4" w:space="0" w:color="auto"/>
              <w:left w:val="single" w:sz="4" w:space="0" w:color="auto"/>
              <w:bottom w:val="single" w:sz="4" w:space="0" w:color="auto"/>
              <w:right w:val="single" w:sz="4" w:space="0" w:color="auto"/>
            </w:tcBorders>
            <w:hideMark/>
          </w:tcPr>
          <w:p w14:paraId="3C696BC7"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This would permit road managers to share or centralise the function which may provide an opportunity for more efficiency.</w:t>
            </w:r>
          </w:p>
          <w:p w14:paraId="3358933A"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 xml:space="preserve">Note that the liability for the decision would rest with the road manager who owns the infrastructure and network. </w:t>
            </w:r>
          </w:p>
        </w:tc>
      </w:tr>
      <w:tr w:rsidR="008403DE" w:rsidRPr="000C1837" w14:paraId="26A6154C"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032490C4"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9.2c</w:t>
            </w:r>
            <w:r w:rsidRPr="000C1837">
              <w:rPr>
                <w:rFonts w:eastAsia="Times New Roman" w:cs="Arial"/>
                <w:color w:val="000000"/>
                <w:lang w:eastAsia="en-AU"/>
              </w:rPr>
              <w:t>: Geospatial map given authority in the law</w:t>
            </w:r>
          </w:p>
        </w:tc>
        <w:tc>
          <w:tcPr>
            <w:tcW w:w="1417" w:type="dxa"/>
            <w:gridSpan w:val="2"/>
            <w:tcBorders>
              <w:top w:val="single" w:sz="4" w:space="0" w:color="auto"/>
              <w:left w:val="single" w:sz="4" w:space="0" w:color="auto"/>
              <w:bottom w:val="single" w:sz="4" w:space="0" w:color="auto"/>
              <w:right w:val="single" w:sz="4" w:space="0" w:color="auto"/>
            </w:tcBorders>
            <w:hideMark/>
          </w:tcPr>
          <w:p w14:paraId="2CD2592A"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c>
          <w:tcPr>
            <w:tcW w:w="5103" w:type="dxa"/>
            <w:tcBorders>
              <w:top w:val="single" w:sz="4" w:space="0" w:color="auto"/>
              <w:left w:val="single" w:sz="4" w:space="0" w:color="auto"/>
              <w:bottom w:val="single" w:sz="4" w:space="0" w:color="auto"/>
              <w:right w:val="single" w:sz="4" w:space="0" w:color="auto"/>
            </w:tcBorders>
          </w:tcPr>
          <w:p w14:paraId="1CB36F50"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geospatial map would be given authority and legal standing in the HVNL and would provide information on approved routes, ‘no go’ zones and precedent decisions. </w:t>
            </w:r>
          </w:p>
          <w:p w14:paraId="2AC20C62" w14:textId="77777777" w:rsidR="008403DE" w:rsidRPr="000C1837" w:rsidRDefault="008403DE" w:rsidP="00B23D46">
            <w:pPr>
              <w:keepNext/>
              <w:spacing w:before="60" w:after="60" w:line="240" w:lineRule="auto"/>
              <w:rPr>
                <w:rFonts w:eastAsia="Times New Roman" w:cs="Arial"/>
                <w:b/>
                <w:bCs/>
                <w:color w:val="000000"/>
                <w:lang w:eastAsia="en-AU"/>
              </w:rPr>
            </w:pPr>
          </w:p>
        </w:tc>
        <w:tc>
          <w:tcPr>
            <w:tcW w:w="4962" w:type="dxa"/>
            <w:tcBorders>
              <w:top w:val="single" w:sz="4" w:space="0" w:color="auto"/>
              <w:left w:val="single" w:sz="4" w:space="0" w:color="auto"/>
              <w:bottom w:val="single" w:sz="4" w:space="0" w:color="auto"/>
              <w:right w:val="single" w:sz="4" w:space="0" w:color="auto"/>
            </w:tcBorders>
            <w:hideMark/>
          </w:tcPr>
          <w:p w14:paraId="7161C78B" w14:textId="0A950C24" w:rsidR="008403DE" w:rsidRPr="000C1837" w:rsidRDefault="008403DE" w:rsidP="00B23D46">
            <w:pPr>
              <w:keepNext/>
              <w:spacing w:before="120" w:after="120" w:line="240" w:lineRule="auto"/>
              <w:ind w:right="549"/>
              <w:rPr>
                <w:rFonts w:eastAsia="Times New Roman" w:cs="Arial"/>
                <w:color w:val="000000"/>
                <w:lang w:eastAsia="en-AU"/>
              </w:rPr>
            </w:pPr>
            <w:r w:rsidRPr="000C1837">
              <w:rPr>
                <w:rFonts w:eastAsia="Times New Roman" w:cs="Arial"/>
                <w:color w:val="000000"/>
                <w:lang w:eastAsia="en-AU"/>
              </w:rPr>
              <w:t>An authorised geospatial map is supported in-principle.  Considerable work will be required to design and cost a system to support this concept and will need to consider road manager systems and approaches to deciding access and how the system will operate with and support the HV</w:t>
            </w:r>
            <w:r w:rsidR="00491D9B" w:rsidRPr="000C1837">
              <w:rPr>
                <w:rFonts w:eastAsia="Times New Roman" w:cs="Arial"/>
                <w:color w:val="000000"/>
                <w:lang w:eastAsia="en-AU"/>
              </w:rPr>
              <w:t>NL</w:t>
            </w:r>
            <w:r w:rsidRPr="000C1837">
              <w:rPr>
                <w:rFonts w:eastAsia="Times New Roman" w:cs="Arial"/>
                <w:color w:val="000000"/>
                <w:lang w:eastAsia="en-AU"/>
              </w:rPr>
              <w:t xml:space="preserve">. The map would rely upon an appropriate geo portal that is updated frequently with accurate information. This would enable self-service geospatial data to be accessible, providing tools for </w:t>
            </w:r>
            <w:r w:rsidRPr="000C1837">
              <w:rPr>
                <w:rFonts w:eastAsia="Times New Roman" w:cs="Arial"/>
                <w:color w:val="000000"/>
                <w:lang w:eastAsia="en-AU"/>
              </w:rPr>
              <w:lastRenderedPageBreak/>
              <w:t>exploration, analysis and reporting.</w:t>
            </w:r>
          </w:p>
          <w:p w14:paraId="4F310553"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In the future, the map could replace permits and notices and be used as the authority to move. It could be coupled with other in-vehicle telematics systems, such as OBM, IAP or RIM, to provide road managers with data on road use and assurance that vehicles are accessing the right parts of the network.</w:t>
            </w:r>
          </w:p>
        </w:tc>
      </w:tr>
      <w:tr w:rsidR="008403DE" w:rsidRPr="000C1837" w14:paraId="09346328" w14:textId="77777777" w:rsidTr="008403DE">
        <w:tc>
          <w:tcPr>
            <w:tcW w:w="9067" w:type="dxa"/>
            <w:gridSpan w:val="4"/>
            <w:tcBorders>
              <w:top w:val="single" w:sz="4" w:space="0" w:color="auto"/>
              <w:left w:val="single" w:sz="4" w:space="0" w:color="auto"/>
              <w:bottom w:val="single" w:sz="4" w:space="0" w:color="auto"/>
              <w:right w:val="single" w:sz="4" w:space="0" w:color="auto"/>
            </w:tcBorders>
            <w:hideMark/>
          </w:tcPr>
          <w:p w14:paraId="4C8BDDC6"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lastRenderedPageBreak/>
              <w:t>Option 9.2d:  Alternative option:  Vehicle classification system</w:t>
            </w:r>
          </w:p>
        </w:tc>
        <w:tc>
          <w:tcPr>
            <w:tcW w:w="4962" w:type="dxa"/>
            <w:tcBorders>
              <w:top w:val="single" w:sz="4" w:space="0" w:color="auto"/>
              <w:left w:val="single" w:sz="4" w:space="0" w:color="auto"/>
              <w:bottom w:val="single" w:sz="4" w:space="0" w:color="auto"/>
              <w:right w:val="single" w:sz="4" w:space="0" w:color="auto"/>
            </w:tcBorders>
          </w:tcPr>
          <w:p w14:paraId="2CC7D49D" w14:textId="77777777" w:rsidR="008403DE" w:rsidRPr="000C1837" w:rsidRDefault="008403DE" w:rsidP="00B23D46">
            <w:pPr>
              <w:keepNext/>
              <w:spacing w:before="60" w:after="60" w:line="240" w:lineRule="auto"/>
              <w:rPr>
                <w:rFonts w:eastAsia="Times New Roman" w:cs="Arial"/>
                <w:b/>
                <w:bCs/>
                <w:color w:val="000000"/>
                <w:lang w:eastAsia="en-AU"/>
              </w:rPr>
            </w:pPr>
          </w:p>
        </w:tc>
      </w:tr>
      <w:tr w:rsidR="008403DE" w:rsidRPr="000C1837" w14:paraId="35E539C4"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39CC9A06" w14:textId="77777777" w:rsidR="008403DE" w:rsidRPr="000C1837" w:rsidRDefault="008403DE" w:rsidP="00B23D46">
            <w:pPr>
              <w:keepNext/>
              <w:spacing w:before="60" w:after="60" w:line="240" w:lineRule="auto"/>
              <w:rPr>
                <w:rFonts w:eastAsia="Times New Roman" w:cs="Arial"/>
                <w:b/>
                <w:bCs/>
                <w:color w:val="000000"/>
                <w:u w:val="single"/>
                <w:lang w:eastAsia="en-AU"/>
              </w:rPr>
            </w:pPr>
            <w:r w:rsidRPr="000C1837">
              <w:rPr>
                <w:rFonts w:eastAsia="Times New Roman" w:cs="Arial"/>
                <w:b/>
                <w:bCs/>
                <w:color w:val="000000"/>
                <w:lang w:eastAsia="en-AU"/>
              </w:rPr>
              <w:t>Option 9.2d</w:t>
            </w:r>
            <w:r w:rsidRPr="000C1837">
              <w:rPr>
                <w:rFonts w:eastAsia="Times New Roman" w:cs="Arial"/>
                <w:color w:val="000000"/>
                <w:lang w:eastAsia="en-AU"/>
              </w:rPr>
              <w:t>: A risk-based approach to vehicle classes</w:t>
            </w:r>
            <w:r w:rsidRPr="000C1837">
              <w:rPr>
                <w:rFonts w:eastAsia="Times New Roman" w:cs="Arial"/>
                <w:b/>
                <w:bCs/>
                <w:color w:val="000000"/>
                <w:u w:val="single"/>
                <w:lang w:eastAsia="en-AU"/>
              </w:rPr>
              <w:t xml:space="preserve"> </w:t>
            </w:r>
          </w:p>
          <w:p w14:paraId="793D9D43"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Vehicle categories are (1) freight and passenger and (2) oversize overmass.</w:t>
            </w:r>
          </w:p>
        </w:tc>
        <w:tc>
          <w:tcPr>
            <w:tcW w:w="1417" w:type="dxa"/>
            <w:gridSpan w:val="2"/>
            <w:tcBorders>
              <w:top w:val="single" w:sz="4" w:space="0" w:color="auto"/>
              <w:left w:val="single" w:sz="4" w:space="0" w:color="auto"/>
              <w:bottom w:val="single" w:sz="4" w:space="0" w:color="auto"/>
              <w:right w:val="single" w:sz="4" w:space="0" w:color="auto"/>
            </w:tcBorders>
            <w:hideMark/>
          </w:tcPr>
          <w:p w14:paraId="4BC6FF50"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c>
          <w:tcPr>
            <w:tcW w:w="5103" w:type="dxa"/>
            <w:tcBorders>
              <w:top w:val="single" w:sz="4" w:space="0" w:color="auto"/>
              <w:left w:val="single" w:sz="4" w:space="0" w:color="auto"/>
              <w:bottom w:val="single" w:sz="4" w:space="0" w:color="auto"/>
              <w:right w:val="single" w:sz="4" w:space="0" w:color="auto"/>
            </w:tcBorders>
            <w:hideMark/>
          </w:tcPr>
          <w:p w14:paraId="2C3D702A"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This option would reduce the current three vehicle classes to two categories: freight and passenger and oversize overmass. </w:t>
            </w:r>
          </w:p>
          <w:p w14:paraId="4C04B567"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‘freight and passenger’ category would include the existing Class 2 and 3 vehicles. </w:t>
            </w:r>
          </w:p>
          <w:p w14:paraId="6BB00875"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The ‘oversize overmass’ category would include the existing Class 1 OSOM vehicles, special purpose vehicles, agricultural vehicles, some Class 3 vehicles and Class 2 vehicles transporting oversize loads.</w:t>
            </w:r>
          </w:p>
        </w:tc>
        <w:tc>
          <w:tcPr>
            <w:tcW w:w="4962" w:type="dxa"/>
            <w:tcBorders>
              <w:top w:val="single" w:sz="4" w:space="0" w:color="auto"/>
              <w:left w:val="single" w:sz="4" w:space="0" w:color="auto"/>
              <w:bottom w:val="single" w:sz="4" w:space="0" w:color="auto"/>
              <w:right w:val="single" w:sz="4" w:space="0" w:color="auto"/>
            </w:tcBorders>
          </w:tcPr>
          <w:p w14:paraId="5B415AC0"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color w:val="000000"/>
                <w:lang w:eastAsia="en-AU"/>
              </w:rPr>
              <w:t>The proposed changes don’t appear to deliver any significant benefits other than a slight simplification.  A more comprehensive review of heavy vehicle classifications in the context of heavy vehicle road reforms may be an appropriate alternat reform pathway.</w:t>
            </w:r>
          </w:p>
          <w:p w14:paraId="75436777" w14:textId="77777777" w:rsidR="008403DE" w:rsidRPr="000C1837" w:rsidRDefault="008403DE" w:rsidP="00B23D46">
            <w:pPr>
              <w:keepNext/>
              <w:spacing w:before="60" w:after="60" w:line="240" w:lineRule="auto"/>
              <w:rPr>
                <w:rFonts w:eastAsia="Times New Roman" w:cs="Arial"/>
                <w:color w:val="000000"/>
                <w:lang w:eastAsia="en-AU"/>
              </w:rPr>
            </w:pPr>
          </w:p>
        </w:tc>
      </w:tr>
      <w:tr w:rsidR="008403DE" w:rsidRPr="000C1837" w14:paraId="370627D1"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35E5DFA8"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9.2d</w:t>
            </w:r>
            <w:r w:rsidRPr="000C1837">
              <w:rPr>
                <w:rFonts w:eastAsia="Times New Roman" w:cs="Arial"/>
                <w:color w:val="000000"/>
                <w:lang w:eastAsia="en-AU"/>
              </w:rPr>
              <w:t>: A risk-based approach to vehicle classes</w:t>
            </w:r>
            <w:r w:rsidRPr="000C1837">
              <w:rPr>
                <w:rFonts w:eastAsia="Times New Roman" w:cs="Arial"/>
                <w:b/>
                <w:bCs/>
                <w:color w:val="000000"/>
                <w:lang w:eastAsia="en-AU"/>
              </w:rPr>
              <w:t xml:space="preserve"> </w:t>
            </w:r>
          </w:p>
          <w:p w14:paraId="4EC2067F"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Categories are: (1) existing authorisation category (captures existing class 2 vehicles) and (2) exemption categories (captures existing class 1 and class 3) / Risk-based approach to vehicle classification</w:t>
            </w:r>
          </w:p>
        </w:tc>
        <w:tc>
          <w:tcPr>
            <w:tcW w:w="1417" w:type="dxa"/>
            <w:gridSpan w:val="2"/>
            <w:tcBorders>
              <w:top w:val="single" w:sz="4" w:space="0" w:color="auto"/>
              <w:left w:val="single" w:sz="4" w:space="0" w:color="auto"/>
              <w:bottom w:val="single" w:sz="4" w:space="0" w:color="auto"/>
              <w:right w:val="single" w:sz="4" w:space="0" w:color="auto"/>
            </w:tcBorders>
            <w:hideMark/>
          </w:tcPr>
          <w:p w14:paraId="04802782"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103" w:type="dxa"/>
            <w:tcBorders>
              <w:top w:val="single" w:sz="4" w:space="0" w:color="auto"/>
              <w:left w:val="single" w:sz="4" w:space="0" w:color="auto"/>
              <w:bottom w:val="single" w:sz="4" w:space="0" w:color="auto"/>
              <w:right w:val="single" w:sz="4" w:space="0" w:color="auto"/>
            </w:tcBorders>
          </w:tcPr>
          <w:p w14:paraId="437852E2"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This option would reduce the current three vehicle classes to two categories: existing authorisation categories and exemption categories.</w:t>
            </w:r>
          </w:p>
          <w:p w14:paraId="7A108BD4" w14:textId="77777777" w:rsidR="008403DE" w:rsidRPr="000C1837" w:rsidRDefault="008403DE" w:rsidP="00B23D46">
            <w:pPr>
              <w:keepNext/>
              <w:spacing w:before="120" w:after="120" w:line="240" w:lineRule="auto"/>
              <w:rPr>
                <w:rFonts w:eastAsia="Times New Roman" w:cs="Arial"/>
                <w:b/>
                <w:bCs/>
                <w:color w:val="000000"/>
                <w:lang w:eastAsia="en-AU"/>
              </w:rPr>
            </w:pPr>
          </w:p>
        </w:tc>
        <w:tc>
          <w:tcPr>
            <w:tcW w:w="4962" w:type="dxa"/>
            <w:tcBorders>
              <w:top w:val="single" w:sz="4" w:space="0" w:color="auto"/>
              <w:left w:val="single" w:sz="4" w:space="0" w:color="auto"/>
              <w:bottom w:val="single" w:sz="4" w:space="0" w:color="auto"/>
              <w:right w:val="single" w:sz="4" w:space="0" w:color="auto"/>
            </w:tcBorders>
          </w:tcPr>
          <w:p w14:paraId="67D13B26"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color w:val="000000"/>
                <w:lang w:eastAsia="en-AU"/>
              </w:rPr>
              <w:t>The proposed changes don’t appear to deliver any significant benefits other than a slight simplification.  A more comprehensive review of heavy vehicle classifications in the context of heavy vehicle road reforms may be an appropriate alternat reform pathway.</w:t>
            </w:r>
          </w:p>
          <w:p w14:paraId="60D719D0" w14:textId="77777777" w:rsidR="008403DE" w:rsidRPr="000C1837" w:rsidRDefault="008403DE" w:rsidP="00B23D46">
            <w:pPr>
              <w:keepNext/>
              <w:spacing w:before="60" w:after="60" w:line="240" w:lineRule="auto"/>
              <w:rPr>
                <w:rFonts w:eastAsia="Times New Roman" w:cs="Arial"/>
                <w:b/>
                <w:bCs/>
                <w:color w:val="000000"/>
                <w:lang w:eastAsia="en-AU"/>
              </w:rPr>
            </w:pPr>
          </w:p>
        </w:tc>
      </w:tr>
      <w:tr w:rsidR="008403DE" w:rsidRPr="000C1837" w14:paraId="62903857"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02323BF2"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lastRenderedPageBreak/>
              <w:t>Option 9.2e</w:t>
            </w:r>
            <w:r w:rsidRPr="000C1837">
              <w:rPr>
                <w:rFonts w:eastAsia="Times New Roman" w:cs="Arial"/>
                <w:color w:val="000000"/>
                <w:lang w:eastAsia="en-AU"/>
              </w:rPr>
              <w:t>: Third party consent requirements</w:t>
            </w:r>
            <w:r w:rsidRPr="000C1837">
              <w:rPr>
                <w:rFonts w:eastAsia="Times New Roman" w:cs="Arial"/>
                <w:b/>
                <w:bCs/>
                <w:color w:val="000000"/>
                <w:lang w:eastAsia="en-AU"/>
              </w:rPr>
              <w:t xml:space="preserve"> </w:t>
            </w:r>
          </w:p>
          <w:p w14:paraId="5C325D2C"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Remove third party consent requirements</w:t>
            </w:r>
          </w:p>
        </w:tc>
        <w:tc>
          <w:tcPr>
            <w:tcW w:w="1417" w:type="dxa"/>
            <w:gridSpan w:val="2"/>
            <w:tcBorders>
              <w:top w:val="single" w:sz="4" w:space="0" w:color="auto"/>
              <w:left w:val="single" w:sz="4" w:space="0" w:color="auto"/>
              <w:bottom w:val="single" w:sz="4" w:space="0" w:color="auto"/>
              <w:right w:val="single" w:sz="4" w:space="0" w:color="auto"/>
            </w:tcBorders>
            <w:hideMark/>
          </w:tcPr>
          <w:p w14:paraId="132D4BEA"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c>
          <w:tcPr>
            <w:tcW w:w="5103" w:type="dxa"/>
            <w:tcBorders>
              <w:top w:val="single" w:sz="4" w:space="0" w:color="auto"/>
              <w:left w:val="single" w:sz="4" w:space="0" w:color="auto"/>
              <w:bottom w:val="single" w:sz="4" w:space="0" w:color="auto"/>
              <w:right w:val="single" w:sz="4" w:space="0" w:color="auto"/>
            </w:tcBorders>
            <w:hideMark/>
          </w:tcPr>
          <w:p w14:paraId="4BC5FBD7"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purpose of option 9.2e is to reduce delays caused by third party consent in the access decision-making process. This option removes the legislative obligation on the NHVR to consult with third parties. Operators would be required to consider their whole journey, including whether any third-party consents are needed. </w:t>
            </w:r>
          </w:p>
          <w:p w14:paraId="055B4AEA"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Existing obligations in third party legislation would be maintained and need to be considered.</w:t>
            </w:r>
          </w:p>
        </w:tc>
        <w:tc>
          <w:tcPr>
            <w:tcW w:w="4962" w:type="dxa"/>
            <w:tcBorders>
              <w:top w:val="single" w:sz="4" w:space="0" w:color="auto"/>
              <w:left w:val="single" w:sz="4" w:space="0" w:color="auto"/>
              <w:bottom w:val="single" w:sz="4" w:space="0" w:color="auto"/>
              <w:right w:val="single" w:sz="4" w:space="0" w:color="auto"/>
            </w:tcBorders>
            <w:hideMark/>
          </w:tcPr>
          <w:p w14:paraId="1A55A463"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color w:val="000000"/>
                <w:lang w:eastAsia="en-AU"/>
              </w:rPr>
              <w:t>Third party consents such as water authorities need to be considered as part of the permit process. Removing them as a required consent creates a risk that third party assets are not appropriately considered in access decisions.</w:t>
            </w:r>
          </w:p>
        </w:tc>
      </w:tr>
      <w:tr w:rsidR="008403DE" w:rsidRPr="000C1837" w14:paraId="4BE03E0B"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51CE3B4B"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9.2e</w:t>
            </w:r>
            <w:r w:rsidRPr="000C1837">
              <w:rPr>
                <w:rFonts w:eastAsia="Times New Roman" w:cs="Arial"/>
                <w:color w:val="000000"/>
                <w:lang w:eastAsia="en-AU"/>
              </w:rPr>
              <w:t>: Third party consent requirements</w:t>
            </w:r>
            <w:r w:rsidRPr="000C1837">
              <w:rPr>
                <w:rFonts w:eastAsia="Times New Roman" w:cs="Arial"/>
                <w:b/>
                <w:bCs/>
                <w:color w:val="000000"/>
                <w:lang w:eastAsia="en-AU"/>
              </w:rPr>
              <w:t xml:space="preserve"> </w:t>
            </w:r>
          </w:p>
          <w:p w14:paraId="6FC59658"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Capture third parties in access decision-making process and impose statutory timeframes</w:t>
            </w:r>
          </w:p>
        </w:tc>
        <w:tc>
          <w:tcPr>
            <w:tcW w:w="1417" w:type="dxa"/>
            <w:gridSpan w:val="2"/>
            <w:tcBorders>
              <w:top w:val="single" w:sz="4" w:space="0" w:color="auto"/>
              <w:left w:val="single" w:sz="4" w:space="0" w:color="auto"/>
              <w:bottom w:val="single" w:sz="4" w:space="0" w:color="auto"/>
              <w:right w:val="single" w:sz="4" w:space="0" w:color="auto"/>
            </w:tcBorders>
            <w:hideMark/>
          </w:tcPr>
          <w:p w14:paraId="0A258F9B"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part</w:t>
            </w:r>
          </w:p>
        </w:tc>
        <w:tc>
          <w:tcPr>
            <w:tcW w:w="5103" w:type="dxa"/>
            <w:tcBorders>
              <w:top w:val="single" w:sz="4" w:space="0" w:color="auto"/>
              <w:left w:val="single" w:sz="4" w:space="0" w:color="auto"/>
              <w:bottom w:val="single" w:sz="4" w:space="0" w:color="auto"/>
              <w:right w:val="single" w:sz="4" w:space="0" w:color="auto"/>
            </w:tcBorders>
            <w:hideMark/>
          </w:tcPr>
          <w:p w14:paraId="5E02D47F"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This option includes third parties being listed as a party in the decision-making process that must make a decision within the statutory period of 28 days. This would mean the HVNL, and the NHVR, has greater influence over the third party making the decision. Third parties would be required to comply with the same process as road managers and road authorities.</w:t>
            </w:r>
          </w:p>
          <w:p w14:paraId="2D9EE5E7"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Third parties would be required to register their assets and infrastructure with the NHVR to ensure the portal identified where third-party consent is required. The onus would be on the third party to ensure this information is kept up to date. The NHVR portal would automatically flag assets or infrastructure that are owned by a third party when the application is submitted. If the third party did not respond with the statutory timeframe, the decision would be automatically refused. The applicant would have the ability to seek a review of the decision.</w:t>
            </w:r>
          </w:p>
        </w:tc>
        <w:tc>
          <w:tcPr>
            <w:tcW w:w="4962" w:type="dxa"/>
            <w:tcBorders>
              <w:top w:val="single" w:sz="4" w:space="0" w:color="auto"/>
              <w:left w:val="single" w:sz="4" w:space="0" w:color="auto"/>
              <w:bottom w:val="single" w:sz="4" w:space="0" w:color="auto"/>
              <w:right w:val="single" w:sz="4" w:space="0" w:color="auto"/>
            </w:tcBorders>
          </w:tcPr>
          <w:p w14:paraId="43E6999F" w14:textId="77777777" w:rsidR="008403DE" w:rsidRPr="000C1837" w:rsidRDefault="008403DE" w:rsidP="00B23D46">
            <w:pPr>
              <w:keepNext/>
              <w:spacing w:before="120" w:after="120" w:line="240" w:lineRule="auto"/>
              <w:ind w:right="124"/>
              <w:rPr>
                <w:rFonts w:eastAsia="Times New Roman" w:cs="Arial"/>
                <w:color w:val="000000"/>
                <w:lang w:eastAsia="en-AU"/>
              </w:rPr>
            </w:pPr>
            <w:r w:rsidRPr="000C1837">
              <w:rPr>
                <w:rFonts w:eastAsia="Times New Roman" w:cs="Arial"/>
                <w:color w:val="000000"/>
                <w:lang w:eastAsia="en-AU"/>
              </w:rPr>
              <w:t>The problem has been identified as a lack of timeliness in third-party responses, however, the solution proposes statutory obligations on third parties to provide (and maintain) asset and infrastructure lists to the NHVR.   The NHVR’s knowledge of which third party to contact in which circumstances is not listed as an issue.</w:t>
            </w:r>
          </w:p>
          <w:p w14:paraId="00A04647" w14:textId="77777777" w:rsidR="008403DE" w:rsidRPr="000C1837" w:rsidRDefault="008403DE" w:rsidP="00B23D46">
            <w:pPr>
              <w:keepNext/>
              <w:spacing w:before="120" w:after="120" w:line="240" w:lineRule="auto"/>
              <w:ind w:right="124"/>
              <w:rPr>
                <w:rFonts w:eastAsia="Times New Roman" w:cs="Arial"/>
                <w:color w:val="000000"/>
                <w:lang w:eastAsia="en-AU"/>
              </w:rPr>
            </w:pPr>
            <w:r w:rsidRPr="000C1837">
              <w:rPr>
                <w:rFonts w:eastAsia="Times New Roman" w:cs="Arial"/>
                <w:color w:val="000000"/>
                <w:lang w:eastAsia="en-AU"/>
              </w:rPr>
              <w:t xml:space="preserve">It is understood that problems with third-party consent have never been discussed with third parties at a national level. </w:t>
            </w:r>
          </w:p>
          <w:p w14:paraId="1FB4B948" w14:textId="77777777" w:rsidR="008403DE" w:rsidRPr="000C1837" w:rsidRDefault="008403DE" w:rsidP="00B23D46">
            <w:pPr>
              <w:keepNext/>
              <w:spacing w:before="120" w:after="120" w:line="240" w:lineRule="auto"/>
              <w:ind w:right="124"/>
              <w:rPr>
                <w:rFonts w:eastAsia="Times New Roman" w:cs="Arial"/>
                <w:color w:val="000000"/>
                <w:lang w:eastAsia="en-AU"/>
              </w:rPr>
            </w:pPr>
            <w:r w:rsidRPr="000C1837">
              <w:rPr>
                <w:rFonts w:eastAsia="Times New Roman" w:cs="Arial"/>
                <w:color w:val="000000"/>
                <w:lang w:eastAsia="en-AU"/>
              </w:rPr>
              <w:t>Imposing a statutory timeframe may not reduce delays.  It is recommended that consultation be undertaken with third party asset owners.</w:t>
            </w:r>
          </w:p>
          <w:p w14:paraId="7334CE6E" w14:textId="77777777" w:rsidR="008403DE" w:rsidRPr="000C1837" w:rsidRDefault="008403DE" w:rsidP="00B23D46">
            <w:pPr>
              <w:keepNext/>
              <w:spacing w:before="60" w:after="60" w:line="240" w:lineRule="auto"/>
              <w:rPr>
                <w:rFonts w:eastAsia="Times New Roman" w:cs="Arial"/>
                <w:b/>
                <w:bCs/>
                <w:color w:val="000000"/>
                <w:lang w:eastAsia="en-AU"/>
              </w:rPr>
            </w:pPr>
          </w:p>
        </w:tc>
      </w:tr>
      <w:tr w:rsidR="008403DE" w:rsidRPr="000C1837" w14:paraId="6BF85759" w14:textId="77777777" w:rsidTr="008403DE">
        <w:tc>
          <w:tcPr>
            <w:tcW w:w="2547" w:type="dxa"/>
            <w:tcBorders>
              <w:top w:val="single" w:sz="4" w:space="0" w:color="auto"/>
              <w:left w:val="single" w:sz="4" w:space="0" w:color="auto"/>
              <w:bottom w:val="single" w:sz="4" w:space="0" w:color="auto"/>
              <w:right w:val="single" w:sz="4" w:space="0" w:color="auto"/>
            </w:tcBorders>
            <w:hideMark/>
          </w:tcPr>
          <w:p w14:paraId="74B919C3"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Option 9.2f</w:t>
            </w:r>
            <w:r w:rsidRPr="000C1837">
              <w:rPr>
                <w:rFonts w:eastAsia="Times New Roman" w:cs="Arial"/>
                <w:color w:val="000000"/>
                <w:lang w:eastAsia="en-AU"/>
              </w:rPr>
              <w:t>: Amendment to access decision making criteria</w:t>
            </w:r>
          </w:p>
        </w:tc>
        <w:tc>
          <w:tcPr>
            <w:tcW w:w="1417" w:type="dxa"/>
            <w:gridSpan w:val="2"/>
            <w:tcBorders>
              <w:top w:val="single" w:sz="4" w:space="0" w:color="auto"/>
              <w:left w:val="single" w:sz="4" w:space="0" w:color="auto"/>
              <w:bottom w:val="single" w:sz="4" w:space="0" w:color="auto"/>
              <w:right w:val="single" w:sz="4" w:space="0" w:color="auto"/>
            </w:tcBorders>
            <w:hideMark/>
          </w:tcPr>
          <w:p w14:paraId="7C1E5203" w14:textId="77777777" w:rsidR="008403DE" w:rsidRPr="000C1837" w:rsidRDefault="008403DE" w:rsidP="00B23D46">
            <w:pPr>
              <w:keepNext/>
              <w:spacing w:before="60" w:after="60" w:line="240" w:lineRule="auto"/>
              <w:rPr>
                <w:rFonts w:eastAsia="Times New Roman" w:cs="Arial"/>
                <w:color w:val="000000"/>
                <w:lang w:eastAsia="en-AU"/>
              </w:rPr>
            </w:pPr>
            <w:r w:rsidRPr="000C1837">
              <w:rPr>
                <w:rFonts w:eastAsia="Times New Roman" w:cs="Arial"/>
                <w:b/>
                <w:bCs/>
                <w:color w:val="000000"/>
                <w:lang w:eastAsia="en-AU"/>
              </w:rPr>
              <w:t>Support in principle</w:t>
            </w:r>
          </w:p>
        </w:tc>
        <w:tc>
          <w:tcPr>
            <w:tcW w:w="5103" w:type="dxa"/>
            <w:tcBorders>
              <w:top w:val="single" w:sz="4" w:space="0" w:color="auto"/>
              <w:left w:val="single" w:sz="4" w:space="0" w:color="auto"/>
              <w:bottom w:val="single" w:sz="4" w:space="0" w:color="auto"/>
              <w:right w:val="single" w:sz="4" w:space="0" w:color="auto"/>
            </w:tcBorders>
            <w:hideMark/>
          </w:tcPr>
          <w:p w14:paraId="323D26D1"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HVNL provides that road managers may decide not to grant consent for access only if specific circumstances apply (e.g. access would </w:t>
            </w:r>
            <w:r w:rsidRPr="000C1837">
              <w:rPr>
                <w:rFonts w:eastAsia="Times New Roman" w:cs="Arial"/>
                <w:color w:val="000000"/>
                <w:lang w:eastAsia="en-AU"/>
              </w:rPr>
              <w:lastRenderedPageBreak/>
              <w:t>damage infrastructure, impose adverse effects on the community or pose a significant safety risk).</w:t>
            </w:r>
          </w:p>
          <w:p w14:paraId="6F06DECA"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HVNL currently does not support road managers in considering access along contestable routes where a mode shift between road and rail can have significant implications for the transport system as a whole. The current law only supports road managers considering access for individual vehicles rather than considering the effects of fleets of vehicles. </w:t>
            </w:r>
          </w:p>
          <w:p w14:paraId="759DD46E"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Under this option, the HVNL would enable road managers have regard to strategic transport network considerations and the impacts that could arise from fleet effects rather than just individual vehicles when considering requests for access. Access decisions would include whole-of-network impacts and strategic network management issues to deliver better safety and transport efficiency outcomes. </w:t>
            </w:r>
          </w:p>
          <w:p w14:paraId="42EB7347" w14:textId="77777777" w:rsidR="008403DE" w:rsidRPr="000C1837" w:rsidRDefault="008403DE" w:rsidP="00B23D46">
            <w:pPr>
              <w:keepNext/>
              <w:spacing w:before="60" w:after="60" w:line="240" w:lineRule="auto"/>
              <w:rPr>
                <w:rFonts w:eastAsia="Times New Roman" w:cs="Arial"/>
                <w:b/>
                <w:bCs/>
                <w:color w:val="000000"/>
                <w:lang w:eastAsia="en-AU"/>
              </w:rPr>
            </w:pPr>
            <w:r w:rsidRPr="000C1837">
              <w:rPr>
                <w:rFonts w:eastAsia="Times New Roman" w:cs="Arial"/>
                <w:color w:val="000000"/>
                <w:lang w:eastAsia="en-AU"/>
              </w:rPr>
              <w:t>Provisions to guide the use of this circumstance when considering access will be required to ensure it is not misused as a general reason for not granting access.</w:t>
            </w:r>
          </w:p>
        </w:tc>
        <w:tc>
          <w:tcPr>
            <w:tcW w:w="4962" w:type="dxa"/>
            <w:tcBorders>
              <w:top w:val="single" w:sz="4" w:space="0" w:color="auto"/>
              <w:left w:val="single" w:sz="4" w:space="0" w:color="auto"/>
              <w:bottom w:val="single" w:sz="4" w:space="0" w:color="auto"/>
              <w:right w:val="single" w:sz="4" w:space="0" w:color="auto"/>
            </w:tcBorders>
          </w:tcPr>
          <w:p w14:paraId="5DB2333F"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lastRenderedPageBreak/>
              <w:t xml:space="preserve">Road managers need to manage the transport system as an integrated network which means considering the needs of all road users, the </w:t>
            </w:r>
            <w:r w:rsidRPr="000C1837">
              <w:rPr>
                <w:rFonts w:eastAsia="Times New Roman" w:cs="Arial"/>
                <w:color w:val="000000"/>
                <w:lang w:eastAsia="en-AU"/>
              </w:rPr>
              <w:lastRenderedPageBreak/>
              <w:t xml:space="preserve">integrated use of transport modes (e.g. the relationship between road and rail) and the provision of a safe and efficient system for the benefits of the whole community. </w:t>
            </w:r>
          </w:p>
          <w:p w14:paraId="1864EA88"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The HVNL currently provides no ability for road managers to consider freight movement access along contestable routes where a mode shift between road and rail can have significant implications for the transport system as a whole.  </w:t>
            </w:r>
          </w:p>
          <w:p w14:paraId="7286136F" w14:textId="77777777" w:rsidR="008403DE" w:rsidRPr="000C1837" w:rsidRDefault="008403DE" w:rsidP="00B23D46">
            <w:pPr>
              <w:keepNext/>
              <w:spacing w:before="120" w:after="120" w:line="240" w:lineRule="auto"/>
              <w:rPr>
                <w:rFonts w:eastAsia="Times New Roman" w:cs="Arial"/>
                <w:color w:val="000000"/>
                <w:lang w:eastAsia="en-AU"/>
              </w:rPr>
            </w:pPr>
            <w:r w:rsidRPr="000C1837">
              <w:rPr>
                <w:rFonts w:eastAsia="Times New Roman" w:cs="Arial"/>
                <w:color w:val="000000"/>
                <w:lang w:eastAsia="en-AU"/>
              </w:rPr>
              <w:t>The current law only allows road managers to consider access for individual vehicles rather than considering the effects of fleets of vehicles.  Access decisions need to include whole-of-network impacts and strategic network management issues to deliver better safety and transport efficiency outcomes.</w:t>
            </w:r>
          </w:p>
          <w:p w14:paraId="1CA473BA" w14:textId="77777777" w:rsidR="008403DE" w:rsidRPr="000C1837" w:rsidRDefault="008403DE" w:rsidP="00B23D46">
            <w:pPr>
              <w:keepNext/>
              <w:spacing w:before="60" w:after="60" w:line="240" w:lineRule="auto"/>
              <w:rPr>
                <w:rFonts w:eastAsia="Times New Roman" w:cs="Arial"/>
                <w:b/>
                <w:bCs/>
                <w:color w:val="000000"/>
                <w:lang w:eastAsia="en-AU"/>
              </w:rPr>
            </w:pPr>
          </w:p>
        </w:tc>
      </w:tr>
    </w:tbl>
    <w:p w14:paraId="313BD4B0" w14:textId="77777777" w:rsidR="008403DE" w:rsidRPr="000C1837" w:rsidRDefault="008403DE" w:rsidP="008403DE">
      <w:pPr>
        <w:rPr>
          <w:rFonts w:eastAsiaTheme="minorHAnsi" w:cs="Arial"/>
        </w:rPr>
      </w:pPr>
    </w:p>
    <w:p w14:paraId="5F5B3861" w14:textId="77777777" w:rsidR="008403DE" w:rsidRPr="000C1837" w:rsidRDefault="008403DE" w:rsidP="008403DE">
      <w:pPr>
        <w:rPr>
          <w:rFonts w:cs="Arial"/>
        </w:rPr>
      </w:pPr>
      <w:r w:rsidRPr="000C1837">
        <w:rPr>
          <w:rFonts w:cs="Arial"/>
        </w:rPr>
        <w:br w:type="page"/>
      </w:r>
    </w:p>
    <w:p w14:paraId="498ED647" w14:textId="77777777" w:rsidR="008403DE" w:rsidRPr="000C1837" w:rsidRDefault="008403DE" w:rsidP="008403DE">
      <w:pPr>
        <w:rPr>
          <w:rFonts w:cs="Arial"/>
        </w:rPr>
      </w:pPr>
    </w:p>
    <w:tbl>
      <w:tblPr>
        <w:tblStyle w:val="TableGrid"/>
        <w:tblW w:w="14029" w:type="dxa"/>
        <w:tblInd w:w="0" w:type="dxa"/>
        <w:tblLook w:val="04A0" w:firstRow="1" w:lastRow="0" w:firstColumn="1" w:lastColumn="0" w:noHBand="0" w:noVBand="1"/>
      </w:tblPr>
      <w:tblGrid>
        <w:gridCol w:w="2405"/>
        <w:gridCol w:w="1419"/>
        <w:gridCol w:w="5243"/>
        <w:gridCol w:w="4962"/>
      </w:tblGrid>
      <w:tr w:rsidR="008403DE" w:rsidRPr="000C1837" w14:paraId="4DB178F9" w14:textId="77777777" w:rsidTr="008403DE">
        <w:tc>
          <w:tcPr>
            <w:tcW w:w="38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7BF30F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 Amendments to permit timeframes and procedures</w:t>
            </w:r>
          </w:p>
        </w:tc>
        <w:tc>
          <w:tcPr>
            <w:tcW w:w="524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CC759E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Summary</w:t>
            </w:r>
          </w:p>
        </w:tc>
        <w:tc>
          <w:tcPr>
            <w:tcW w:w="496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6D03C99"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Discussion</w:t>
            </w:r>
          </w:p>
        </w:tc>
      </w:tr>
      <w:tr w:rsidR="008403DE" w:rsidRPr="000C1837" w14:paraId="623273F3"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2C7AB58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9.3a</w:t>
            </w:r>
            <w:r w:rsidRPr="000C1837">
              <w:rPr>
                <w:rFonts w:eastAsia="Times New Roman" w:cs="Arial"/>
                <w:color w:val="000000"/>
                <w:lang w:eastAsia="en-AU"/>
              </w:rPr>
              <w:t>: Statutory timeframe, deemed referral and refusal for nil response</w:t>
            </w:r>
            <w:r w:rsidRPr="000C1837">
              <w:rPr>
                <w:rFonts w:eastAsia="Times New Roman" w:cs="Arial"/>
                <w:b/>
                <w:bCs/>
                <w:color w:val="000000"/>
                <w:lang w:eastAsia="en-AU"/>
              </w:rPr>
              <w:t xml:space="preserve"> </w:t>
            </w:r>
          </w:p>
          <w:p w14:paraId="7A940543"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28-day statutory timeframe with deemed referral and deemed refusal for nil response — This option has a total statutory timeframe of 28-days for all vehicles.</w:t>
            </w:r>
          </w:p>
        </w:tc>
        <w:tc>
          <w:tcPr>
            <w:tcW w:w="1419" w:type="dxa"/>
            <w:tcBorders>
              <w:top w:val="single" w:sz="4" w:space="0" w:color="auto"/>
              <w:left w:val="single" w:sz="4" w:space="0" w:color="auto"/>
              <w:bottom w:val="single" w:sz="4" w:space="0" w:color="auto"/>
              <w:right w:val="single" w:sz="4" w:space="0" w:color="auto"/>
            </w:tcBorders>
            <w:hideMark/>
          </w:tcPr>
          <w:p w14:paraId="1B9AE523"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Not support</w:t>
            </w:r>
          </w:p>
        </w:tc>
        <w:tc>
          <w:tcPr>
            <w:tcW w:w="5243" w:type="dxa"/>
            <w:tcBorders>
              <w:top w:val="single" w:sz="4" w:space="0" w:color="auto"/>
              <w:left w:val="single" w:sz="4" w:space="0" w:color="auto"/>
              <w:bottom w:val="single" w:sz="4" w:space="0" w:color="auto"/>
              <w:right w:val="single" w:sz="4" w:space="0" w:color="auto"/>
            </w:tcBorders>
            <w:hideMark/>
          </w:tcPr>
          <w:p w14:paraId="205524B1"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The road manager would need to indicate to the applicant via the portal whether a route assessment is required within the first 7 days of receiving the application. Road managers would have the remainder of the 28-day statutory period to make a decision on consent and conditions and advise the NHVR.</w:t>
            </w:r>
          </w:p>
          <w:p w14:paraId="7D6D5DE2"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Road managers would be required to give a decision of: yes (with or without conditions) or no (with a statement of reasons).</w:t>
            </w:r>
          </w:p>
          <w:p w14:paraId="67B7A128" w14:textId="77777777" w:rsidR="008403DE" w:rsidRPr="000C1837" w:rsidRDefault="008403DE">
            <w:pPr>
              <w:spacing w:before="120" w:after="120" w:line="240" w:lineRule="auto"/>
              <w:rPr>
                <w:rFonts w:eastAsia="Times New Roman" w:cs="Arial"/>
                <w:b/>
                <w:bCs/>
                <w:color w:val="000000"/>
                <w:lang w:eastAsia="en-AU"/>
              </w:rPr>
            </w:pPr>
            <w:r w:rsidRPr="000C1837">
              <w:rPr>
                <w:rFonts w:eastAsia="Times New Roman" w:cs="Arial"/>
                <w:color w:val="000000"/>
                <w:lang w:eastAsia="en-AU"/>
              </w:rPr>
              <w:t>If the road manager failed to advise that a route assessment was required (within 7 days) or failed to make a decision within the 28-day period, the NHVR would deem the road manager to have referred the access decision and forward the request to the road authority (considered a deemed referral). This approach shortens the time to determine whether a route assessment is required</w:t>
            </w:r>
          </w:p>
        </w:tc>
        <w:tc>
          <w:tcPr>
            <w:tcW w:w="4962" w:type="dxa"/>
            <w:tcBorders>
              <w:top w:val="single" w:sz="4" w:space="0" w:color="auto"/>
              <w:left w:val="single" w:sz="4" w:space="0" w:color="auto"/>
              <w:bottom w:val="single" w:sz="4" w:space="0" w:color="auto"/>
              <w:right w:val="single" w:sz="4" w:space="0" w:color="auto"/>
            </w:tcBorders>
            <w:hideMark/>
          </w:tcPr>
          <w:p w14:paraId="0AAE77B1"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Simply mandating a faster response won’t necessarily reduce delays.  The most complex cases which can take longer than 28 days typically require more information or more complex decision making</w:t>
            </w:r>
            <w:r w:rsidRPr="000C1837">
              <w:rPr>
                <w:rFonts w:eastAsia="Times New Roman" w:cs="Arial"/>
                <w:b/>
                <w:bCs/>
                <w:color w:val="000000"/>
                <w:lang w:eastAsia="en-AU"/>
              </w:rPr>
              <w:t xml:space="preserve">. </w:t>
            </w:r>
            <w:r w:rsidRPr="000C1837">
              <w:rPr>
                <w:rFonts w:eastAsia="Times New Roman" w:cs="Arial"/>
                <w:color w:val="000000"/>
                <w:lang w:eastAsia="en-AU"/>
              </w:rPr>
              <w:t>Most decision are already made within 28 days.</w:t>
            </w:r>
          </w:p>
        </w:tc>
      </w:tr>
      <w:tr w:rsidR="008403DE" w:rsidRPr="000C1837" w14:paraId="256747DF"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44972963"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9.3a</w:t>
            </w:r>
            <w:r w:rsidRPr="000C1837">
              <w:rPr>
                <w:rFonts w:eastAsia="Times New Roman" w:cs="Arial"/>
                <w:color w:val="000000"/>
                <w:lang w:eastAsia="en-AU"/>
              </w:rPr>
              <w:t>: Statutory timeframe, deemed referral and refusal for nil response</w:t>
            </w:r>
            <w:r w:rsidRPr="000C1837">
              <w:rPr>
                <w:rFonts w:eastAsia="Times New Roman" w:cs="Arial"/>
                <w:b/>
                <w:bCs/>
                <w:color w:val="000000"/>
                <w:lang w:eastAsia="en-AU"/>
              </w:rPr>
              <w:t xml:space="preserve"> </w:t>
            </w:r>
          </w:p>
          <w:p w14:paraId="761B9B5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Varying timeframes for different vehicle categories</w:t>
            </w:r>
          </w:p>
        </w:tc>
        <w:tc>
          <w:tcPr>
            <w:tcW w:w="1419" w:type="dxa"/>
            <w:tcBorders>
              <w:top w:val="single" w:sz="4" w:space="0" w:color="auto"/>
              <w:left w:val="single" w:sz="4" w:space="0" w:color="auto"/>
              <w:bottom w:val="single" w:sz="4" w:space="0" w:color="auto"/>
              <w:right w:val="single" w:sz="4" w:space="0" w:color="auto"/>
            </w:tcBorders>
            <w:hideMark/>
          </w:tcPr>
          <w:p w14:paraId="1C228942"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243" w:type="dxa"/>
            <w:tcBorders>
              <w:top w:val="single" w:sz="4" w:space="0" w:color="auto"/>
              <w:left w:val="single" w:sz="4" w:space="0" w:color="auto"/>
              <w:bottom w:val="single" w:sz="4" w:space="0" w:color="auto"/>
              <w:right w:val="single" w:sz="4" w:space="0" w:color="auto"/>
            </w:tcBorders>
            <w:hideMark/>
          </w:tcPr>
          <w:p w14:paraId="73F8752D"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This option has two statutory timeframes to acknowledge the risk and complexity of different applications. A 28-day statutory timeframe would be imposed on OSOM or exemption category access applications (including deemed refusal for a nil response) and a 7-day statutory timeframe would be imposed on freight and passenger vehicles or authorisation category access applications (including deemed refusal for a nil response).</w:t>
            </w:r>
          </w:p>
        </w:tc>
        <w:tc>
          <w:tcPr>
            <w:tcW w:w="4962" w:type="dxa"/>
            <w:tcBorders>
              <w:top w:val="single" w:sz="4" w:space="0" w:color="auto"/>
              <w:left w:val="single" w:sz="4" w:space="0" w:color="auto"/>
              <w:bottom w:val="single" w:sz="4" w:space="0" w:color="auto"/>
              <w:right w:val="single" w:sz="4" w:space="0" w:color="auto"/>
            </w:tcBorders>
            <w:hideMark/>
          </w:tcPr>
          <w:p w14:paraId="1DB43523" w14:textId="77777777" w:rsidR="008403DE" w:rsidRPr="000C1837" w:rsidRDefault="008403DE">
            <w:pPr>
              <w:spacing w:before="60" w:after="60" w:line="240" w:lineRule="auto"/>
              <w:rPr>
                <w:rFonts w:eastAsia="Times New Roman" w:cs="Arial"/>
                <w:b/>
                <w:bCs/>
                <w:lang w:eastAsia="en-AU"/>
              </w:rPr>
            </w:pPr>
            <w:r w:rsidRPr="000C1837">
              <w:rPr>
                <w:rFonts w:eastAsia="Times New Roman" w:cs="Arial"/>
                <w:lang w:eastAsia="en-AU"/>
              </w:rPr>
              <w:t>Improvements in access response times require operational and system improvements rather than legislative amendments.  Option 9.2c “Geospatial map given authority in the law” is the ideal starting point to create a framework to support operational improvements in the access decision making process.</w:t>
            </w:r>
          </w:p>
        </w:tc>
      </w:tr>
      <w:tr w:rsidR="008403DE" w:rsidRPr="000C1837" w14:paraId="68539639"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063D0CC8"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lastRenderedPageBreak/>
              <w:t>Option 9.3b</w:t>
            </w:r>
            <w:r w:rsidRPr="000C1837">
              <w:rPr>
                <w:rFonts w:eastAsia="Times New Roman" w:cs="Arial"/>
                <w:color w:val="000000"/>
                <w:lang w:eastAsia="en-AU"/>
              </w:rPr>
              <w:t>: Review of access decisions</w:t>
            </w:r>
            <w:r w:rsidRPr="000C1837">
              <w:rPr>
                <w:rFonts w:eastAsia="Times New Roman" w:cs="Arial"/>
                <w:b/>
                <w:bCs/>
                <w:color w:val="000000"/>
                <w:lang w:eastAsia="en-AU"/>
              </w:rPr>
              <w:t xml:space="preserve"> </w:t>
            </w:r>
          </w:p>
          <w:p w14:paraId="6F20152B"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1</w:t>
            </w:r>
            <w:r w:rsidRPr="000C1837">
              <w:rPr>
                <w:rFonts w:eastAsia="Times New Roman" w:cs="Arial"/>
                <w:color w:val="000000"/>
                <w:lang w:eastAsia="en-AU"/>
              </w:rPr>
              <w:t>: An independent review panel</w:t>
            </w:r>
          </w:p>
        </w:tc>
        <w:tc>
          <w:tcPr>
            <w:tcW w:w="1419" w:type="dxa"/>
            <w:tcBorders>
              <w:top w:val="single" w:sz="4" w:space="0" w:color="auto"/>
              <w:left w:val="single" w:sz="4" w:space="0" w:color="auto"/>
              <w:bottom w:val="single" w:sz="4" w:space="0" w:color="auto"/>
              <w:right w:val="single" w:sz="4" w:space="0" w:color="auto"/>
            </w:tcBorders>
            <w:hideMark/>
          </w:tcPr>
          <w:p w14:paraId="3CD8FB85"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part</w:t>
            </w:r>
          </w:p>
        </w:tc>
        <w:tc>
          <w:tcPr>
            <w:tcW w:w="5243" w:type="dxa"/>
            <w:tcBorders>
              <w:top w:val="single" w:sz="4" w:space="0" w:color="auto"/>
              <w:left w:val="single" w:sz="4" w:space="0" w:color="auto"/>
              <w:bottom w:val="single" w:sz="4" w:space="0" w:color="auto"/>
              <w:right w:val="single" w:sz="4" w:space="0" w:color="auto"/>
            </w:tcBorders>
            <w:hideMark/>
          </w:tcPr>
          <w:p w14:paraId="6B36028B"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The independent review panel could review deemed refusals only. The panel would comprise qualified personnel and a council member and would be led by the NHVR. The panels would either be established in each jurisdiction, or as a national panel (similar to the PBS panel). There would need to be a time limit for an applicant to seek a review. This could be similar to land use planning law which requires appeals to be made within 6 months of a deemed refusal or decision. The law would provide clarity around how this time is counted. The independent review panel would perform a technical assessment of the application and provide a recommendation within 28 days. The recommendation of the independent review panel would be published. This recommendation would not override the road manager’s decision. The law would require the road manager to make their decision in light of the independent review panel’s recommendation.</w:t>
            </w:r>
          </w:p>
        </w:tc>
        <w:tc>
          <w:tcPr>
            <w:tcW w:w="4962" w:type="dxa"/>
            <w:tcBorders>
              <w:top w:val="single" w:sz="4" w:space="0" w:color="auto"/>
              <w:left w:val="single" w:sz="4" w:space="0" w:color="auto"/>
              <w:bottom w:val="single" w:sz="4" w:space="0" w:color="auto"/>
              <w:right w:val="single" w:sz="4" w:space="0" w:color="auto"/>
            </w:tcBorders>
            <w:hideMark/>
          </w:tcPr>
          <w:p w14:paraId="120C778C"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Option 9.3 is supported in part with the following provisions being supported:</w:t>
            </w:r>
          </w:p>
          <w:p w14:paraId="035302D1" w14:textId="77777777" w:rsidR="008403DE" w:rsidRPr="000C1837" w:rsidRDefault="008403DE" w:rsidP="008403DE">
            <w:pPr>
              <w:pStyle w:val="ListParagraph"/>
              <w:numPr>
                <w:ilvl w:val="0"/>
                <w:numId w:val="9"/>
              </w:numPr>
              <w:spacing w:before="120" w:after="120" w:line="240" w:lineRule="auto"/>
              <w:ind w:left="283" w:right="547" w:hanging="283"/>
              <w:rPr>
                <w:rFonts w:ascii="Arial" w:eastAsia="Times New Roman" w:hAnsi="Arial" w:cs="Arial"/>
                <w:lang w:eastAsia="en-AU"/>
              </w:rPr>
            </w:pPr>
            <w:r w:rsidRPr="000C1837">
              <w:rPr>
                <w:rFonts w:ascii="Arial" w:eastAsia="Times New Roman" w:hAnsi="Arial" w:cs="Arial"/>
                <w:lang w:eastAsia="en-AU"/>
              </w:rPr>
              <w:t xml:space="preserve">the concept of an independent review panel (IRP) being able to review road access decisions made by road managers from both a technical and procedural perspective, and </w:t>
            </w:r>
          </w:p>
          <w:p w14:paraId="229FADF2" w14:textId="77777777" w:rsidR="008403DE" w:rsidRPr="000C1837" w:rsidRDefault="008403DE" w:rsidP="008403DE">
            <w:pPr>
              <w:pStyle w:val="ListParagraph"/>
              <w:numPr>
                <w:ilvl w:val="0"/>
                <w:numId w:val="9"/>
              </w:numPr>
              <w:spacing w:before="120" w:after="120" w:line="240" w:lineRule="auto"/>
              <w:ind w:left="283" w:right="547" w:hanging="283"/>
              <w:rPr>
                <w:rFonts w:ascii="Arial" w:eastAsia="Times New Roman" w:hAnsi="Arial" w:cs="Arial"/>
                <w:lang w:eastAsia="en-AU"/>
              </w:rPr>
            </w:pPr>
            <w:r w:rsidRPr="000C1837">
              <w:rPr>
                <w:rFonts w:ascii="Arial" w:eastAsia="Times New Roman" w:hAnsi="Arial" w:cs="Arial"/>
                <w:lang w:eastAsia="en-AU"/>
              </w:rPr>
              <w:t>the proposal that the IRP’s decision would not be binding on a road manager, and that the decision would be made public.</w:t>
            </w:r>
          </w:p>
          <w:p w14:paraId="62E0E239"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 xml:space="preserve">Membership of the panel should be made up of representatives from each State and Territory and representatives from local council.  The IRP should be able to call on expert advice from other bodies such as industry experts, ARRB and the NHVR.  </w:t>
            </w:r>
          </w:p>
        </w:tc>
      </w:tr>
      <w:tr w:rsidR="008403DE" w:rsidRPr="000C1837" w14:paraId="06303698"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69B6E9A9"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9.3b</w:t>
            </w:r>
            <w:r w:rsidRPr="000C1837">
              <w:rPr>
                <w:rFonts w:eastAsia="Times New Roman" w:cs="Arial"/>
                <w:color w:val="000000"/>
                <w:lang w:eastAsia="en-AU"/>
              </w:rPr>
              <w:t>: Review of access decisions</w:t>
            </w:r>
            <w:r w:rsidRPr="000C1837">
              <w:rPr>
                <w:rFonts w:eastAsia="Times New Roman" w:cs="Arial"/>
                <w:b/>
                <w:bCs/>
                <w:color w:val="000000"/>
                <w:lang w:eastAsia="en-AU"/>
              </w:rPr>
              <w:t xml:space="preserve"> </w:t>
            </w:r>
          </w:p>
          <w:p w14:paraId="292EFA3F"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2</w:t>
            </w:r>
            <w:r w:rsidRPr="000C1837">
              <w:rPr>
                <w:rFonts w:eastAsia="Times New Roman" w:cs="Arial"/>
                <w:color w:val="000000"/>
                <w:lang w:eastAsia="en-AU"/>
              </w:rPr>
              <w:t>: Referral to an existing jurisdictional tribunal or court</w:t>
            </w:r>
          </w:p>
        </w:tc>
        <w:tc>
          <w:tcPr>
            <w:tcW w:w="1419" w:type="dxa"/>
            <w:tcBorders>
              <w:top w:val="single" w:sz="4" w:space="0" w:color="auto"/>
              <w:left w:val="single" w:sz="4" w:space="0" w:color="auto"/>
              <w:bottom w:val="single" w:sz="4" w:space="0" w:color="auto"/>
              <w:right w:val="single" w:sz="4" w:space="0" w:color="auto"/>
            </w:tcBorders>
            <w:hideMark/>
          </w:tcPr>
          <w:p w14:paraId="0A43146A"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243" w:type="dxa"/>
            <w:tcBorders>
              <w:top w:val="single" w:sz="4" w:space="0" w:color="auto"/>
              <w:left w:val="single" w:sz="4" w:space="0" w:color="auto"/>
              <w:bottom w:val="single" w:sz="4" w:space="0" w:color="auto"/>
              <w:right w:val="single" w:sz="4" w:space="0" w:color="auto"/>
            </w:tcBorders>
            <w:hideMark/>
          </w:tcPr>
          <w:p w14:paraId="4A72CB99"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This option involves expanding the current administrative (merits based) review process to include access decisions (not deemed refusals), including those by road managers and road authorities. This would allow applicants to seek external merits review of decisions by road managers at their state or territory’s tribunal or court. The decision of the tribunal or court would replace the decision of the original decision-maker. The appeal could result in a different finding of fact and a different decision. The applicant would be required to pay any costs involved with seeking an external merits review. The road manager or road authority would also be responsible for costs.</w:t>
            </w:r>
          </w:p>
        </w:tc>
        <w:tc>
          <w:tcPr>
            <w:tcW w:w="4962" w:type="dxa"/>
            <w:tcBorders>
              <w:top w:val="single" w:sz="4" w:space="0" w:color="auto"/>
              <w:left w:val="single" w:sz="4" w:space="0" w:color="auto"/>
              <w:bottom w:val="single" w:sz="4" w:space="0" w:color="auto"/>
              <w:right w:val="single" w:sz="4" w:space="0" w:color="auto"/>
            </w:tcBorders>
          </w:tcPr>
          <w:p w14:paraId="30F9830D" w14:textId="77777777" w:rsidR="008403DE" w:rsidRPr="000C1837" w:rsidRDefault="008403DE">
            <w:pPr>
              <w:spacing w:before="60" w:after="60" w:line="240" w:lineRule="auto"/>
              <w:rPr>
                <w:rFonts w:eastAsia="Times New Roman" w:cs="Arial"/>
                <w:lang w:eastAsia="en-AU"/>
              </w:rPr>
            </w:pPr>
            <w:r w:rsidRPr="000C1837">
              <w:rPr>
                <w:rFonts w:eastAsia="Times New Roman" w:cs="Arial"/>
                <w:lang w:eastAsia="en-AU"/>
              </w:rPr>
              <w:t>Option 1 above is preferred compared to use of an existing administrative tribunal.  Option 1 can be better tailored to the specific purpose of reviewing access decisions and would be expected to have a lower barrier to engage.</w:t>
            </w:r>
          </w:p>
          <w:p w14:paraId="6F2554B9" w14:textId="77777777" w:rsidR="008403DE" w:rsidRPr="000C1837" w:rsidRDefault="008403DE">
            <w:pPr>
              <w:spacing w:before="60" w:after="60" w:line="240" w:lineRule="auto"/>
              <w:rPr>
                <w:rFonts w:eastAsia="Times New Roman" w:cs="Arial"/>
                <w:b/>
                <w:bCs/>
                <w:color w:val="000000"/>
                <w:lang w:eastAsia="en-AU"/>
              </w:rPr>
            </w:pPr>
          </w:p>
        </w:tc>
      </w:tr>
    </w:tbl>
    <w:p w14:paraId="02AB2297" w14:textId="77777777" w:rsidR="008403DE" w:rsidRPr="000C1837" w:rsidRDefault="008403DE" w:rsidP="008403DE">
      <w:pPr>
        <w:spacing w:before="60" w:after="60"/>
        <w:rPr>
          <w:rFonts w:eastAsiaTheme="minorHAnsi" w:cs="Arial"/>
          <w:b/>
          <w:bCs/>
        </w:rPr>
      </w:pPr>
    </w:p>
    <w:p w14:paraId="7A5AA543" w14:textId="77777777" w:rsidR="008403DE" w:rsidRPr="000C1837" w:rsidRDefault="008403DE" w:rsidP="008403DE">
      <w:pPr>
        <w:pStyle w:val="OptionHeading"/>
        <w:rPr>
          <w:rFonts w:ascii="Arial" w:hAnsi="Arial" w:cs="Arial"/>
        </w:rPr>
      </w:pPr>
    </w:p>
    <w:tbl>
      <w:tblPr>
        <w:tblStyle w:val="TableGrid"/>
        <w:tblW w:w="14029" w:type="dxa"/>
        <w:tblInd w:w="0" w:type="dxa"/>
        <w:tblLook w:val="04A0" w:firstRow="1" w:lastRow="0" w:firstColumn="1" w:lastColumn="0" w:noHBand="0" w:noVBand="1"/>
      </w:tblPr>
      <w:tblGrid>
        <w:gridCol w:w="2405"/>
        <w:gridCol w:w="1276"/>
        <w:gridCol w:w="5386"/>
        <w:gridCol w:w="4962"/>
      </w:tblGrid>
      <w:tr w:rsidR="008403DE" w:rsidRPr="000C1837" w14:paraId="0A0C1CF6" w14:textId="77777777" w:rsidTr="008403DE">
        <w:tc>
          <w:tcPr>
            <w:tcW w:w="368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0282F435"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Option 9.4: Increase the responsiveness of access decision-making</w:t>
            </w:r>
          </w:p>
        </w:tc>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4DF38D8"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Summary</w:t>
            </w:r>
          </w:p>
        </w:tc>
        <w:tc>
          <w:tcPr>
            <w:tcW w:w="496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2949B07"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Discussion</w:t>
            </w:r>
          </w:p>
        </w:tc>
      </w:tr>
      <w:tr w:rsidR="008403DE" w:rsidRPr="000C1837" w14:paraId="593709E9"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0DBFAC70"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9.4</w:t>
            </w:r>
            <w:r w:rsidRPr="000C1837">
              <w:rPr>
                <w:rFonts w:eastAsia="Times New Roman" w:cs="Arial"/>
                <w:color w:val="000000"/>
                <w:lang w:eastAsia="en-AU"/>
              </w:rPr>
              <w:t>: Increase the responsiveness of access decision-making</w:t>
            </w:r>
          </w:p>
        </w:tc>
        <w:tc>
          <w:tcPr>
            <w:tcW w:w="1276" w:type="dxa"/>
            <w:tcBorders>
              <w:top w:val="single" w:sz="4" w:space="0" w:color="auto"/>
              <w:left w:val="single" w:sz="4" w:space="0" w:color="auto"/>
              <w:bottom w:val="single" w:sz="4" w:space="0" w:color="auto"/>
              <w:right w:val="single" w:sz="4" w:space="0" w:color="auto"/>
            </w:tcBorders>
            <w:hideMark/>
          </w:tcPr>
          <w:p w14:paraId="0D46F877"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Support in part</w:t>
            </w:r>
          </w:p>
        </w:tc>
        <w:tc>
          <w:tcPr>
            <w:tcW w:w="5386" w:type="dxa"/>
            <w:tcBorders>
              <w:top w:val="single" w:sz="4" w:space="0" w:color="auto"/>
              <w:left w:val="single" w:sz="4" w:space="0" w:color="auto"/>
              <w:bottom w:val="single" w:sz="4" w:space="0" w:color="auto"/>
              <w:right w:val="single" w:sz="4" w:space="0" w:color="auto"/>
            </w:tcBorders>
            <w:hideMark/>
          </w:tcPr>
          <w:p w14:paraId="76B6B469"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Option 9.4 involves the access decision-making process being moved from the primary legislation to regulations or standards. This would allow the process to be responsive to changes while maintaining oversight. The regulations or standards would be called up in the law. This would allow refinement as needed while maintaining ministerial oversight. This option would rely on the reforms considered in Chapter 5 being progressed.</w:t>
            </w:r>
          </w:p>
          <w:p w14:paraId="5A340F69"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The regulations or standards would contain decision making processes (including roles and responsibilities of parties) and considerations for access (including a requirement to consider productivity, safety, infrastructure, amenity or the environment and perform a comparison against general access vehicles and any existing notices).</w:t>
            </w:r>
          </w:p>
          <w:p w14:paraId="1A40254F"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color w:val="000000"/>
                <w:lang w:eastAsia="en-AU"/>
              </w:rPr>
              <w:t>It is expected that the ‘NHVR Approved Guidelines for Granting Access’ would be further developed into a regulation or standard. These guidelines are currently referred to in the HVNL and need to be considered when making access decisions.</w:t>
            </w:r>
          </w:p>
        </w:tc>
        <w:tc>
          <w:tcPr>
            <w:tcW w:w="4962" w:type="dxa"/>
            <w:tcBorders>
              <w:top w:val="single" w:sz="4" w:space="0" w:color="auto"/>
              <w:left w:val="single" w:sz="4" w:space="0" w:color="auto"/>
              <w:bottom w:val="single" w:sz="4" w:space="0" w:color="auto"/>
              <w:right w:val="single" w:sz="4" w:space="0" w:color="auto"/>
            </w:tcBorders>
            <w:hideMark/>
          </w:tcPr>
          <w:p w14:paraId="29E40C56"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Option 9.4 is supported in part, as statutory obligations for government or regulatory agencies belong in either primary legislation or regulations.  The obligations around legislative decision-making processes belong in primary legislation, while some of the more detailed requirements could possibly be placed in a regulation.</w:t>
            </w:r>
          </w:p>
          <w:p w14:paraId="2CBA0168"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The placement of access decision-making provisions in standards is not supported.  Standards should be used for technical requirements that apply to regulated parties such as the heavy vehicle industry.   Government decision making processes do not belong in Standards.</w:t>
            </w:r>
          </w:p>
          <w:p w14:paraId="76D4B52A"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 xml:space="preserve">Any changes to the access decision making framework would have wide ranging implications across road managers, industry and the general public and therefore require ministerial oversight.  </w:t>
            </w:r>
          </w:p>
        </w:tc>
      </w:tr>
    </w:tbl>
    <w:p w14:paraId="2F842103" w14:textId="77777777" w:rsidR="008403DE" w:rsidRPr="000C1837" w:rsidRDefault="008403DE" w:rsidP="008403DE">
      <w:pPr>
        <w:spacing w:before="60" w:after="60"/>
        <w:rPr>
          <w:rFonts w:eastAsiaTheme="minorHAnsi" w:cs="Arial"/>
          <w:b/>
          <w:bCs/>
        </w:rPr>
      </w:pPr>
    </w:p>
    <w:p w14:paraId="7AF3431B" w14:textId="77777777" w:rsidR="008403DE" w:rsidRPr="000C1837" w:rsidRDefault="008403DE" w:rsidP="008403DE">
      <w:pPr>
        <w:rPr>
          <w:rFonts w:cs="Arial"/>
          <w:b/>
          <w:bCs/>
        </w:rPr>
      </w:pPr>
      <w:r w:rsidRPr="000C1837">
        <w:rPr>
          <w:rFonts w:cs="Arial"/>
          <w:b/>
          <w:bCs/>
        </w:rPr>
        <w:br w:type="page"/>
      </w:r>
    </w:p>
    <w:p w14:paraId="61626CE6" w14:textId="77777777" w:rsidR="008403DE" w:rsidRPr="000C1837" w:rsidRDefault="008403DE" w:rsidP="008403DE">
      <w:pPr>
        <w:spacing w:before="60" w:after="60"/>
        <w:rPr>
          <w:rFonts w:cs="Arial"/>
          <w:b/>
          <w:bCs/>
        </w:rPr>
      </w:pPr>
    </w:p>
    <w:tbl>
      <w:tblPr>
        <w:tblStyle w:val="TableGrid"/>
        <w:tblW w:w="14029" w:type="dxa"/>
        <w:tblInd w:w="0" w:type="dxa"/>
        <w:tblLook w:val="04A0" w:firstRow="1" w:lastRow="0" w:firstColumn="1" w:lastColumn="0" w:noHBand="0" w:noVBand="1"/>
      </w:tblPr>
      <w:tblGrid>
        <w:gridCol w:w="2405"/>
        <w:gridCol w:w="1276"/>
        <w:gridCol w:w="5386"/>
        <w:gridCol w:w="4962"/>
      </w:tblGrid>
      <w:tr w:rsidR="008403DE" w:rsidRPr="000C1837" w14:paraId="4F98B60E" w14:textId="77777777" w:rsidTr="008403DE">
        <w:tc>
          <w:tcPr>
            <w:tcW w:w="368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7F8AAC5"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 xml:space="preserve">Option 9.5: Pilots and escorts </w:t>
            </w:r>
          </w:p>
        </w:tc>
        <w:tc>
          <w:tcPr>
            <w:tcW w:w="538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9BBFAAB"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Summary</w:t>
            </w:r>
          </w:p>
        </w:tc>
        <w:tc>
          <w:tcPr>
            <w:tcW w:w="496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B8C4750"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Discussion</w:t>
            </w:r>
          </w:p>
        </w:tc>
      </w:tr>
      <w:tr w:rsidR="008403DE" w:rsidRPr="000C1837" w14:paraId="1472F2CF"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308D29CD"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Option 9.5a</w:t>
            </w:r>
            <w:r w:rsidRPr="000C1837">
              <w:rPr>
                <w:rFonts w:eastAsia="Times New Roman" w:cs="Arial"/>
                <w:color w:val="000000"/>
                <w:lang w:eastAsia="en-AU"/>
              </w:rPr>
              <w:t xml:space="preserve"> – National Operational Accreditation Scheme (single-tiered pilot approach)</w:t>
            </w:r>
          </w:p>
        </w:tc>
        <w:tc>
          <w:tcPr>
            <w:tcW w:w="1276" w:type="dxa"/>
            <w:tcBorders>
              <w:top w:val="single" w:sz="4" w:space="0" w:color="auto"/>
              <w:left w:val="single" w:sz="4" w:space="0" w:color="auto"/>
              <w:bottom w:val="single" w:sz="4" w:space="0" w:color="auto"/>
              <w:right w:val="single" w:sz="4" w:space="0" w:color="auto"/>
            </w:tcBorders>
            <w:hideMark/>
          </w:tcPr>
          <w:p w14:paraId="32897AD6"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b/>
                <w:bCs/>
                <w:color w:val="000000"/>
                <w:lang w:eastAsia="en-AU"/>
              </w:rPr>
              <w:t>Support in principle</w:t>
            </w:r>
          </w:p>
        </w:tc>
        <w:tc>
          <w:tcPr>
            <w:tcW w:w="5386" w:type="dxa"/>
            <w:tcBorders>
              <w:top w:val="single" w:sz="4" w:space="0" w:color="auto"/>
              <w:left w:val="single" w:sz="4" w:space="0" w:color="auto"/>
              <w:bottom w:val="single" w:sz="4" w:space="0" w:color="auto"/>
              <w:right w:val="single" w:sz="4" w:space="0" w:color="auto"/>
            </w:tcBorders>
            <w:hideMark/>
          </w:tcPr>
          <w:p w14:paraId="5F3A23A8"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The first option is for the HVNL to establish a nationally harmonised pilot and escort accreditation scheme to be administered by the NHVR. The approach for pilot competency would be based on the single tier Western Australian model. The Western Australian approach requires the driver to hold a heavy vehicle pilot licence. The licence is granted if the driver:</w:t>
            </w:r>
          </w:p>
          <w:p w14:paraId="5476BB8C" w14:textId="77777777" w:rsidR="008403DE" w:rsidRPr="000C1837" w:rsidRDefault="008403DE" w:rsidP="008403DE">
            <w:pPr>
              <w:pStyle w:val="ListParagraph"/>
              <w:numPr>
                <w:ilvl w:val="0"/>
                <w:numId w:val="10"/>
              </w:numPr>
              <w:spacing w:before="120" w:after="120" w:line="240" w:lineRule="auto"/>
              <w:ind w:left="461" w:hanging="283"/>
              <w:rPr>
                <w:rFonts w:ascii="Arial" w:eastAsia="Times New Roman" w:hAnsi="Arial" w:cs="Arial"/>
                <w:color w:val="000000"/>
                <w:lang w:eastAsia="en-AU"/>
              </w:rPr>
            </w:pPr>
            <w:r w:rsidRPr="000C1837">
              <w:rPr>
                <w:rFonts w:ascii="Arial" w:eastAsia="Times New Roman" w:hAnsi="Arial" w:cs="Arial"/>
                <w:color w:val="000000"/>
                <w:lang w:eastAsia="en-AU"/>
              </w:rPr>
              <w:t xml:space="preserve">applies and pays for the licence </w:t>
            </w:r>
          </w:p>
          <w:p w14:paraId="6A05C9B1" w14:textId="77777777" w:rsidR="008403DE" w:rsidRPr="000C1837" w:rsidRDefault="008403DE" w:rsidP="008403DE">
            <w:pPr>
              <w:pStyle w:val="ListParagraph"/>
              <w:numPr>
                <w:ilvl w:val="0"/>
                <w:numId w:val="10"/>
              </w:numPr>
              <w:spacing w:before="120" w:after="120" w:line="240" w:lineRule="auto"/>
              <w:ind w:left="461" w:hanging="283"/>
              <w:rPr>
                <w:rFonts w:ascii="Arial" w:eastAsia="Times New Roman" w:hAnsi="Arial" w:cs="Arial"/>
                <w:color w:val="000000"/>
                <w:lang w:eastAsia="en-AU"/>
              </w:rPr>
            </w:pPr>
            <w:r w:rsidRPr="000C1837">
              <w:rPr>
                <w:rFonts w:ascii="Arial" w:eastAsia="Times New Roman" w:hAnsi="Arial" w:cs="Arial"/>
                <w:color w:val="000000"/>
                <w:lang w:eastAsia="en-AU"/>
              </w:rPr>
              <w:t xml:space="preserve">holds an open driver’s licence </w:t>
            </w:r>
          </w:p>
          <w:p w14:paraId="7B17715A" w14:textId="77777777" w:rsidR="008403DE" w:rsidRPr="000C1837" w:rsidRDefault="008403DE" w:rsidP="008403DE">
            <w:pPr>
              <w:pStyle w:val="ListParagraph"/>
              <w:numPr>
                <w:ilvl w:val="0"/>
                <w:numId w:val="10"/>
              </w:numPr>
              <w:spacing w:before="120" w:after="120" w:line="240" w:lineRule="auto"/>
              <w:ind w:left="461" w:hanging="283"/>
              <w:rPr>
                <w:rFonts w:ascii="Arial" w:eastAsia="Times New Roman" w:hAnsi="Arial" w:cs="Arial"/>
                <w:color w:val="000000"/>
                <w:lang w:eastAsia="en-AU"/>
              </w:rPr>
            </w:pPr>
            <w:r w:rsidRPr="000C1837">
              <w:rPr>
                <w:rFonts w:ascii="Arial" w:eastAsia="Times New Roman" w:hAnsi="Arial" w:cs="Arial"/>
                <w:color w:val="000000"/>
                <w:lang w:eastAsia="en-AU"/>
              </w:rPr>
              <w:t xml:space="preserve">passes an Assessment of Fitness to Drive for Commercial Drivers examination, and </w:t>
            </w:r>
          </w:p>
          <w:p w14:paraId="4D6472AB" w14:textId="77777777" w:rsidR="008403DE" w:rsidRPr="000C1837" w:rsidRDefault="008403DE" w:rsidP="008403DE">
            <w:pPr>
              <w:pStyle w:val="ListParagraph"/>
              <w:numPr>
                <w:ilvl w:val="0"/>
                <w:numId w:val="10"/>
              </w:numPr>
              <w:spacing w:before="120" w:after="120" w:line="240" w:lineRule="auto"/>
              <w:ind w:left="461" w:hanging="283"/>
              <w:rPr>
                <w:rFonts w:ascii="Arial" w:eastAsia="Times New Roman" w:hAnsi="Arial" w:cs="Arial"/>
                <w:color w:val="000000"/>
                <w:lang w:eastAsia="en-AU"/>
              </w:rPr>
            </w:pPr>
            <w:r w:rsidRPr="000C1837">
              <w:rPr>
                <w:rFonts w:ascii="Arial" w:eastAsia="Times New Roman" w:hAnsi="Arial" w:cs="Arial"/>
                <w:color w:val="000000"/>
                <w:lang w:eastAsia="en-AU"/>
              </w:rPr>
              <w:t xml:space="preserve">passes a Western Australian Heavy Vehicle Pilot training course from a registered training provider. </w:t>
            </w:r>
          </w:p>
          <w:p w14:paraId="218FF665"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 xml:space="preserve">This single-tier approach would involve developing training competencies. Training competencies would be established using the Western Australian accreditation pilot category. This would allow for a proven accreditation methodology to be applied broadly and simply with minimal implementation delay. </w:t>
            </w:r>
          </w:p>
          <w:p w14:paraId="2AEC463A"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 xml:space="preserve">Exemptions from pilot accreditation for some types of oversize movement is important and would be provided. The predominant type of movement that is relevant is wide agricultural equipment. This equipment is normally driven or towed by road between farm gates for short distances in rural areas.  </w:t>
            </w:r>
          </w:p>
        </w:tc>
        <w:tc>
          <w:tcPr>
            <w:tcW w:w="4962" w:type="dxa"/>
            <w:tcBorders>
              <w:top w:val="single" w:sz="4" w:space="0" w:color="auto"/>
              <w:left w:val="single" w:sz="4" w:space="0" w:color="auto"/>
              <w:bottom w:val="single" w:sz="4" w:space="0" w:color="auto"/>
              <w:right w:val="single" w:sz="4" w:space="0" w:color="auto"/>
            </w:tcBorders>
            <w:hideMark/>
          </w:tcPr>
          <w:p w14:paraId="454EE820"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Option 9.5a, to implement a National Operational Accreditation Scheme (single-tiered pilot approach) to pilots and escorts, is supported in-principle.</w:t>
            </w:r>
          </w:p>
          <w:p w14:paraId="7F2BF148" w14:textId="77777777" w:rsidR="008403DE" w:rsidRPr="000C1837" w:rsidRDefault="008403DE">
            <w:pPr>
              <w:spacing w:before="120" w:after="120" w:line="240" w:lineRule="auto"/>
              <w:ind w:right="547"/>
              <w:rPr>
                <w:rFonts w:eastAsia="Times New Roman" w:cs="Arial"/>
                <w:lang w:eastAsia="en-AU"/>
              </w:rPr>
            </w:pPr>
            <w:r w:rsidRPr="000C1837">
              <w:rPr>
                <w:rFonts w:eastAsia="Times New Roman" w:cs="Arial"/>
                <w:lang w:eastAsia="en-AU"/>
              </w:rPr>
              <w:t>Further work is required to detail how the training and licencing of certified pilots would operate, when escort services would be required and how an exemption for agricultural equipment could operate.</w:t>
            </w:r>
          </w:p>
          <w:p w14:paraId="53D4594E"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lang w:eastAsia="en-AU"/>
              </w:rPr>
              <w:t>A cost benefit analysis of the proposal, which includes the potential increased cost to industry in circumstances where pilot services are currently provided by drivers who are not certified or licenced, is required.</w:t>
            </w:r>
          </w:p>
        </w:tc>
      </w:tr>
    </w:tbl>
    <w:p w14:paraId="6F88197A" w14:textId="77777777" w:rsidR="004E68AB" w:rsidRPr="000C1837" w:rsidRDefault="004E68AB">
      <w:pPr>
        <w:rPr>
          <w:rFonts w:cs="Arial"/>
        </w:rPr>
      </w:pPr>
      <w:r w:rsidRPr="000C1837">
        <w:rPr>
          <w:rFonts w:cs="Arial"/>
        </w:rPr>
        <w:br w:type="page"/>
      </w:r>
    </w:p>
    <w:tbl>
      <w:tblPr>
        <w:tblStyle w:val="TableGrid"/>
        <w:tblW w:w="14029" w:type="dxa"/>
        <w:tblInd w:w="0" w:type="dxa"/>
        <w:tblLook w:val="04A0" w:firstRow="1" w:lastRow="0" w:firstColumn="1" w:lastColumn="0" w:noHBand="0" w:noVBand="1"/>
      </w:tblPr>
      <w:tblGrid>
        <w:gridCol w:w="2405"/>
        <w:gridCol w:w="1276"/>
        <w:gridCol w:w="5386"/>
        <w:gridCol w:w="4962"/>
      </w:tblGrid>
      <w:tr w:rsidR="008403DE" w:rsidRPr="000C1837" w14:paraId="3C90F57F" w14:textId="77777777" w:rsidTr="008403DE">
        <w:tc>
          <w:tcPr>
            <w:tcW w:w="2405" w:type="dxa"/>
            <w:tcBorders>
              <w:top w:val="single" w:sz="4" w:space="0" w:color="auto"/>
              <w:left w:val="single" w:sz="4" w:space="0" w:color="auto"/>
              <w:bottom w:val="single" w:sz="4" w:space="0" w:color="auto"/>
              <w:right w:val="single" w:sz="4" w:space="0" w:color="auto"/>
            </w:tcBorders>
            <w:hideMark/>
          </w:tcPr>
          <w:p w14:paraId="18D9B124"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lastRenderedPageBreak/>
              <w:t>Option 9.5b</w:t>
            </w:r>
            <w:r w:rsidRPr="000C1837">
              <w:rPr>
                <w:rFonts w:eastAsia="Times New Roman" w:cs="Arial"/>
                <w:color w:val="000000"/>
                <w:lang w:eastAsia="en-AU"/>
              </w:rPr>
              <w:t xml:space="preserve"> – National Operational Accreditation Scheme (dual-tiered pilot approach)</w:t>
            </w:r>
          </w:p>
        </w:tc>
        <w:tc>
          <w:tcPr>
            <w:tcW w:w="1276" w:type="dxa"/>
            <w:tcBorders>
              <w:top w:val="single" w:sz="4" w:space="0" w:color="auto"/>
              <w:left w:val="single" w:sz="4" w:space="0" w:color="auto"/>
              <w:bottom w:val="single" w:sz="4" w:space="0" w:color="auto"/>
              <w:right w:val="single" w:sz="4" w:space="0" w:color="auto"/>
            </w:tcBorders>
            <w:hideMark/>
          </w:tcPr>
          <w:p w14:paraId="726D5F8F" w14:textId="77777777" w:rsidR="008403DE" w:rsidRPr="000C1837" w:rsidRDefault="008403DE">
            <w:pPr>
              <w:spacing w:before="60" w:after="60" w:line="240" w:lineRule="auto"/>
              <w:rPr>
                <w:rFonts w:eastAsia="Times New Roman" w:cs="Arial"/>
                <w:color w:val="000000"/>
                <w:lang w:eastAsia="en-AU"/>
              </w:rPr>
            </w:pPr>
            <w:r w:rsidRPr="000C1837">
              <w:rPr>
                <w:rFonts w:eastAsia="Times New Roman" w:cs="Arial"/>
                <w:b/>
                <w:bCs/>
                <w:color w:val="000000"/>
                <w:lang w:eastAsia="en-AU"/>
              </w:rPr>
              <w:t>Not support</w:t>
            </w:r>
          </w:p>
        </w:tc>
        <w:tc>
          <w:tcPr>
            <w:tcW w:w="5386" w:type="dxa"/>
            <w:tcBorders>
              <w:top w:val="single" w:sz="4" w:space="0" w:color="auto"/>
              <w:left w:val="single" w:sz="4" w:space="0" w:color="auto"/>
              <w:bottom w:val="single" w:sz="4" w:space="0" w:color="auto"/>
              <w:right w:val="single" w:sz="4" w:space="0" w:color="auto"/>
            </w:tcBorders>
            <w:hideMark/>
          </w:tcPr>
          <w:p w14:paraId="68F7D49A"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The second option is for the HVNL to establish a nationally harmonised dual-tiered pilot and escort accreditation scheme to be administered by the NHVR.</w:t>
            </w:r>
          </w:p>
          <w:p w14:paraId="06A40844"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A tier 1 pilot would be suitable for accompanying ‘small’ oversize loads (e.g. 3.5m to 4.5m wide) or assisting Accredited Pilots who are accompanying ‘small to medium’ oversize loads (e.g. 3.5m to 5.5m wide). Registered Pilots be required to successfully complete competency-based assessments.</w:t>
            </w:r>
          </w:p>
          <w:p w14:paraId="5DDDD6E4"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A tier 2 pilot would be suitable for accompanying ‘small to medium’ oversize loads (e.g. 3.5 to 5.5m wide) or assisting Escorts accompanying ‘large’ oversize loads (e.g. greater than 5.5m wide). Accredited Pilots would be required to successfully complete competency-based assessments.</w:t>
            </w:r>
          </w:p>
          <w:p w14:paraId="2289DFE4" w14:textId="77777777" w:rsidR="008403DE" w:rsidRPr="000C1837" w:rsidRDefault="008403DE">
            <w:pPr>
              <w:spacing w:before="120" w:after="120" w:line="240" w:lineRule="auto"/>
              <w:rPr>
                <w:rFonts w:eastAsia="Times New Roman" w:cs="Arial"/>
                <w:color w:val="000000"/>
                <w:lang w:eastAsia="en-AU"/>
              </w:rPr>
            </w:pPr>
            <w:r w:rsidRPr="000C1837">
              <w:rPr>
                <w:rFonts w:eastAsia="Times New Roman" w:cs="Arial"/>
                <w:color w:val="000000"/>
                <w:lang w:eastAsia="en-AU"/>
              </w:rPr>
              <w:t>Again, exemptions from pilot accreditation for some types of oversize movement is important and will be provided.</w:t>
            </w:r>
          </w:p>
        </w:tc>
        <w:tc>
          <w:tcPr>
            <w:tcW w:w="4962" w:type="dxa"/>
            <w:tcBorders>
              <w:top w:val="single" w:sz="4" w:space="0" w:color="auto"/>
              <w:left w:val="single" w:sz="4" w:space="0" w:color="auto"/>
              <w:bottom w:val="single" w:sz="4" w:space="0" w:color="auto"/>
              <w:right w:val="single" w:sz="4" w:space="0" w:color="auto"/>
            </w:tcBorders>
            <w:hideMark/>
          </w:tcPr>
          <w:p w14:paraId="1E5EF95C" w14:textId="77777777" w:rsidR="008403DE" w:rsidRPr="000C1837" w:rsidRDefault="008403DE">
            <w:pPr>
              <w:spacing w:before="60" w:after="60" w:line="240" w:lineRule="auto"/>
              <w:rPr>
                <w:rFonts w:eastAsia="Times New Roman" w:cs="Arial"/>
                <w:b/>
                <w:bCs/>
                <w:color w:val="000000"/>
                <w:lang w:eastAsia="en-AU"/>
              </w:rPr>
            </w:pPr>
            <w:r w:rsidRPr="000C1837">
              <w:rPr>
                <w:rFonts w:eastAsia="Times New Roman" w:cs="Arial"/>
                <w:lang w:eastAsia="en-AU"/>
              </w:rPr>
              <w:t>Option 9.5b, a dual tiered pilot approach, is not supported.  Instead Option 9.5a “National Operational Accreditation Scheme (single-tiered pilot approach) to pilots and escorts” is supported in-principle.</w:t>
            </w:r>
          </w:p>
        </w:tc>
      </w:tr>
    </w:tbl>
    <w:p w14:paraId="2026D005" w14:textId="77777777" w:rsidR="008403DE" w:rsidRPr="000C1837" w:rsidRDefault="008403DE" w:rsidP="008403DE">
      <w:pPr>
        <w:rPr>
          <w:rFonts w:eastAsiaTheme="minorHAnsi" w:cs="Arial"/>
          <w:noProof/>
        </w:rPr>
      </w:pPr>
    </w:p>
    <w:p w14:paraId="6CE04C4F" w14:textId="77777777" w:rsidR="00340E99" w:rsidRPr="000C1837" w:rsidRDefault="00340E99" w:rsidP="008403DE">
      <w:pPr>
        <w:spacing w:after="0" w:line="240" w:lineRule="auto"/>
        <w:rPr>
          <w:rFonts w:cs="Arial"/>
        </w:rPr>
        <w:sectPr w:rsidR="00340E99" w:rsidRPr="000C1837" w:rsidSect="00727905">
          <w:pgSz w:w="15840" w:h="12240" w:orient="landscape"/>
          <w:pgMar w:top="1440" w:right="1440" w:bottom="1440" w:left="1440" w:header="708" w:footer="708" w:gutter="0"/>
          <w:cols w:space="708"/>
          <w:docGrid w:linePitch="360"/>
        </w:sectPr>
      </w:pPr>
    </w:p>
    <w:p w14:paraId="0CA079E2" w14:textId="77777777" w:rsidR="00271AF4" w:rsidRPr="000C1837" w:rsidRDefault="00271AF4" w:rsidP="008403DE">
      <w:pPr>
        <w:spacing w:after="0" w:line="240" w:lineRule="auto"/>
        <w:rPr>
          <w:rFonts w:cs="Arial"/>
        </w:rPr>
      </w:pPr>
    </w:p>
    <w:sectPr w:rsidR="00271AF4" w:rsidRPr="000C1837" w:rsidSect="00340E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23D3D" w14:textId="77777777" w:rsidR="00276FDB" w:rsidRDefault="00276FDB" w:rsidP="00286BB4">
      <w:pPr>
        <w:spacing w:after="0" w:line="240" w:lineRule="auto"/>
      </w:pPr>
      <w:r>
        <w:separator/>
      </w:r>
    </w:p>
  </w:endnote>
  <w:endnote w:type="continuationSeparator" w:id="0">
    <w:p w14:paraId="0B29FFFC" w14:textId="77777777" w:rsidR="00276FDB" w:rsidRDefault="00276FDB" w:rsidP="00286BB4">
      <w:pPr>
        <w:spacing w:after="0" w:line="240" w:lineRule="auto"/>
      </w:pPr>
      <w:r>
        <w:continuationSeparator/>
      </w:r>
    </w:p>
  </w:endnote>
  <w:endnote w:type="continuationNotice" w:id="1">
    <w:p w14:paraId="0290C699" w14:textId="77777777" w:rsidR="00276FDB" w:rsidRDefault="00276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25B7C" w14:textId="66C79991" w:rsidR="000453D9" w:rsidRPr="000453D9" w:rsidRDefault="00276FDB" w:rsidP="000453D9">
    <w:pPr>
      <w:pStyle w:val="Footer"/>
      <w:jc w:val="right"/>
      <w:rPr>
        <w:rFonts w:cs="Arial"/>
        <w:sz w:val="18"/>
        <w:szCs w:val="18"/>
      </w:rPr>
    </w:pPr>
    <w:sdt>
      <w:sdtPr>
        <w:rPr>
          <w:rFonts w:cs="Arial"/>
          <w:sz w:val="18"/>
          <w:szCs w:val="18"/>
        </w:rPr>
        <w:alias w:val="Document Title"/>
        <w:tag w:val="Document Title"/>
        <w:id w:val="7414068"/>
        <w:placeholder>
          <w:docPart w:val="E25A59DF4BF3405B9D4879A765780EC5"/>
        </w:placeholder>
        <w:dataBinding w:prefixMappings="xmlns:ns0='http://purl.org/dc/elements/1.1/' xmlns:ns1='http://schemas.openxmlformats.org/package/2006/metadata/core-properties' " w:xpath="/ns1:coreProperties[1]/ns0:title[1]" w:storeItemID="{6C3C8BC8-F283-45AE-878A-BAB7291924A1}"/>
        <w:text/>
      </w:sdtPr>
      <w:sdtEndPr/>
      <w:sdtContent>
        <w:r w:rsidR="008403DE">
          <w:rPr>
            <w:rFonts w:cs="Arial"/>
            <w:sz w:val="18"/>
            <w:szCs w:val="18"/>
          </w:rPr>
          <w:t>NTC HVNL Review Consultation RIS</w:t>
        </w:r>
      </w:sdtContent>
    </w:sdt>
    <w:r w:rsidR="000453D9">
      <w:rPr>
        <w:rFonts w:cs="Arial"/>
        <w:sz w:val="18"/>
        <w:szCs w:val="18"/>
      </w:rPr>
      <w:t>:</w:t>
    </w:r>
    <w:r w:rsidR="000453D9" w:rsidRPr="000453D9">
      <w:rPr>
        <w:rFonts w:cs="Arial"/>
        <w:b/>
        <w:szCs w:val="24"/>
      </w:rPr>
      <w:t xml:space="preserve"> </w:t>
    </w:r>
    <w:sdt>
      <w:sdtPr>
        <w:rPr>
          <w:rFonts w:cs="Arial"/>
          <w:sz w:val="18"/>
          <w:szCs w:val="18"/>
        </w:rPr>
        <w:alias w:val="Publish Date"/>
        <w:tag w:val="Publish Date"/>
        <w:id w:val="7414151"/>
        <w:placeholder>
          <w:docPart w:val="EA0726EDFE0E46C5BCACB64453F7EF30"/>
        </w:placeholder>
        <w:dataBinding w:prefixMappings="xmlns:ns0='http://schemas.microsoft.com/office/2006/coverPageProps' " w:xpath="/ns0:CoverPageProperties[1]/ns0:PublishDate[1]" w:storeItemID="{55AF091B-3C7A-41E3-B477-F2FDAA23CFDA}"/>
        <w:date w:fullDate="2020-11-01T00:00:00Z">
          <w:dateFormat w:val="MMMM yyyy"/>
          <w:lid w:val="en-AU"/>
          <w:storeMappedDataAs w:val="dateTime"/>
          <w:calendar w:val="gregorian"/>
        </w:date>
      </w:sdtPr>
      <w:sdtEndPr/>
      <w:sdtContent>
        <w:r w:rsidR="00751621">
          <w:rPr>
            <w:rFonts w:cs="Arial"/>
            <w:sz w:val="18"/>
            <w:szCs w:val="18"/>
            <w:lang w:val="en-AU"/>
          </w:rPr>
          <w:t>November 2020</w:t>
        </w:r>
      </w:sdtContent>
    </w:sdt>
  </w:p>
  <w:p w14:paraId="2D3C537A" w14:textId="77777777" w:rsidR="00B873B6" w:rsidRPr="00B873B6" w:rsidRDefault="00B873B6" w:rsidP="000453D9">
    <w:pPr>
      <w:pStyle w:val="Footer"/>
      <w:jc w:val="right"/>
      <w:rPr>
        <w:rFonts w:cs="Arial"/>
        <w:b/>
        <w:sz w:val="18"/>
        <w:szCs w:val="18"/>
      </w:rPr>
    </w:pPr>
  </w:p>
  <w:p w14:paraId="7E5B4855"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12EC" w14:textId="4E021658" w:rsidR="000453D9" w:rsidRPr="000453D9" w:rsidRDefault="00D3206A" w:rsidP="000453D9">
    <w:pPr>
      <w:pStyle w:val="Footer"/>
      <w:rPr>
        <w:rFonts w:cs="Arial"/>
        <w:sz w:val="18"/>
        <w:szCs w:val="18"/>
      </w:rPr>
    </w:pPr>
    <w:r>
      <w:fldChar w:fldCharType="begin"/>
    </w:r>
    <w:r>
      <w:instrText xml:space="preserve"> PAGE   \* MERGEFORMAT </w:instrText>
    </w:r>
    <w:r>
      <w:fldChar w:fldCharType="separate"/>
    </w:r>
    <w:r w:rsidR="006B324C">
      <w:rPr>
        <w:noProof/>
      </w:rPr>
      <w:t>5</w:t>
    </w:r>
    <w:r>
      <w:rPr>
        <w:noProof/>
      </w:rPr>
      <w:fldChar w:fldCharType="end"/>
    </w:r>
    <w:r w:rsidR="000453D9">
      <w:tab/>
    </w:r>
    <w:r w:rsidR="000453D9">
      <w:tab/>
    </w:r>
    <w:sdt>
      <w:sdtPr>
        <w:rPr>
          <w:rFonts w:cs="Arial"/>
          <w:sz w:val="18"/>
          <w:szCs w:val="18"/>
        </w:rPr>
        <w:alias w:val="Document Title"/>
        <w:tag w:val="Document Title"/>
        <w:id w:val="-254206515"/>
        <w:placeholder>
          <w:docPart w:val="CD7FD443E7074D708DE82F41C6174283"/>
        </w:placeholder>
        <w:dataBinding w:prefixMappings="xmlns:ns0='http://purl.org/dc/elements/1.1/' xmlns:ns1='http://schemas.openxmlformats.org/package/2006/metadata/core-properties' " w:xpath="/ns1:coreProperties[1]/ns0:title[1]" w:storeItemID="{6C3C8BC8-F283-45AE-878A-BAB7291924A1}"/>
        <w:text/>
      </w:sdtPr>
      <w:sdtEndPr/>
      <w:sdtContent>
        <w:r w:rsidR="00751621">
          <w:rPr>
            <w:rFonts w:cs="Arial"/>
            <w:sz w:val="18"/>
            <w:szCs w:val="18"/>
          </w:rPr>
          <w:t>NTC HVNL Review Consultation RIS</w:t>
        </w:r>
      </w:sdtContent>
    </w:sdt>
    <w:r w:rsidR="000453D9">
      <w:rPr>
        <w:rFonts w:cs="Arial"/>
        <w:sz w:val="18"/>
        <w:szCs w:val="18"/>
      </w:rPr>
      <w:t>:</w:t>
    </w:r>
    <w:r w:rsidR="000453D9" w:rsidRPr="000453D9">
      <w:rPr>
        <w:rFonts w:cs="Arial"/>
        <w:b/>
        <w:szCs w:val="24"/>
      </w:rPr>
      <w:t xml:space="preserve"> </w:t>
    </w:r>
    <w:sdt>
      <w:sdtPr>
        <w:rPr>
          <w:rFonts w:cs="Arial"/>
          <w:sz w:val="18"/>
          <w:szCs w:val="18"/>
        </w:rPr>
        <w:alias w:val="Publish Date"/>
        <w:tag w:val="Publish Date"/>
        <w:id w:val="-1858721975"/>
        <w:placeholder>
          <w:docPart w:val="EA61EAC414454693A92CE1EC4EB5F668"/>
        </w:placeholder>
        <w:dataBinding w:prefixMappings="xmlns:ns0='http://schemas.microsoft.com/office/2006/coverPageProps' " w:xpath="/ns0:CoverPageProperties[1]/ns0:PublishDate[1]" w:storeItemID="{55AF091B-3C7A-41E3-B477-F2FDAA23CFDA}"/>
        <w:date w:fullDate="2020-11-01T00:00:00Z">
          <w:dateFormat w:val="MMMM yyyy"/>
          <w:lid w:val="en-AU"/>
          <w:storeMappedDataAs w:val="dateTime"/>
          <w:calendar w:val="gregorian"/>
        </w:date>
      </w:sdtPr>
      <w:sdtEndPr/>
      <w:sdtContent>
        <w:r w:rsidR="00751621">
          <w:rPr>
            <w:rFonts w:cs="Arial"/>
            <w:sz w:val="18"/>
            <w:szCs w:val="18"/>
            <w:lang w:val="en-AU"/>
          </w:rPr>
          <w:t>November 2020</w:t>
        </w:r>
      </w:sdtContent>
    </w:sdt>
  </w:p>
  <w:p w14:paraId="173AA999"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F303A" w14:textId="77777777" w:rsidR="00276FDB" w:rsidRDefault="00276FDB" w:rsidP="00286BB4">
      <w:pPr>
        <w:spacing w:after="0" w:line="240" w:lineRule="auto"/>
      </w:pPr>
      <w:r>
        <w:separator/>
      </w:r>
    </w:p>
  </w:footnote>
  <w:footnote w:type="continuationSeparator" w:id="0">
    <w:p w14:paraId="5F50F71C" w14:textId="77777777" w:rsidR="00276FDB" w:rsidRDefault="00276FDB" w:rsidP="00286BB4">
      <w:pPr>
        <w:spacing w:after="0" w:line="240" w:lineRule="auto"/>
      </w:pPr>
      <w:r>
        <w:continuationSeparator/>
      </w:r>
    </w:p>
  </w:footnote>
  <w:footnote w:type="continuationNotice" w:id="1">
    <w:p w14:paraId="62BEF88A" w14:textId="77777777" w:rsidR="00276FDB" w:rsidRDefault="00276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B659" w14:textId="77777777" w:rsidR="00E47927" w:rsidRDefault="00433E75" w:rsidP="00C4007E">
    <w:pPr>
      <w:pStyle w:val="Header"/>
      <w:jc w:val="right"/>
    </w:pPr>
    <w:r>
      <w:rPr>
        <w:noProof/>
        <w:lang w:val="en-AU" w:eastAsia="en-AU"/>
      </w:rPr>
      <w:drawing>
        <wp:inline distT="0" distB="0" distL="0" distR="0" wp14:anchorId="02529A97" wp14:editId="360146A2">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B101" w14:textId="77777777" w:rsidR="00E47927" w:rsidRDefault="00433E75" w:rsidP="00940288">
    <w:pPr>
      <w:pStyle w:val="Header"/>
      <w:jc w:val="right"/>
    </w:pPr>
    <w:r>
      <w:rPr>
        <w:noProof/>
        <w:lang w:val="en-AU" w:eastAsia="en-AU"/>
      </w:rPr>
      <w:drawing>
        <wp:inline distT="0" distB="0" distL="0" distR="0" wp14:anchorId="69FF7C09" wp14:editId="0946452E">
          <wp:extent cx="1685925" cy="628015"/>
          <wp:effectExtent l="19050" t="0" r="9525" b="0"/>
          <wp:docPr id="4"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E1299"/>
    <w:multiLevelType w:val="hybridMultilevel"/>
    <w:tmpl w:val="E1645E7A"/>
    <w:lvl w:ilvl="0" w:tplc="10EECC5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A5C1098"/>
    <w:multiLevelType w:val="hybridMultilevel"/>
    <w:tmpl w:val="8A0A143A"/>
    <w:lvl w:ilvl="0" w:tplc="0C090001">
      <w:start w:val="1"/>
      <w:numFmt w:val="bullet"/>
      <w:lvlText w:val=""/>
      <w:lvlJc w:val="left"/>
      <w:pPr>
        <w:ind w:left="698" w:hanging="360"/>
      </w:pPr>
      <w:rPr>
        <w:rFonts w:ascii="Symbol" w:hAnsi="Symbol" w:hint="default"/>
      </w:rPr>
    </w:lvl>
    <w:lvl w:ilvl="1" w:tplc="0C090003">
      <w:start w:val="1"/>
      <w:numFmt w:val="bullet"/>
      <w:lvlText w:val="o"/>
      <w:lvlJc w:val="left"/>
      <w:pPr>
        <w:ind w:left="1418" w:hanging="360"/>
      </w:pPr>
      <w:rPr>
        <w:rFonts w:ascii="Courier New" w:hAnsi="Courier New" w:cs="Courier New" w:hint="default"/>
      </w:rPr>
    </w:lvl>
    <w:lvl w:ilvl="2" w:tplc="0C090005">
      <w:start w:val="1"/>
      <w:numFmt w:val="bullet"/>
      <w:lvlText w:val=""/>
      <w:lvlJc w:val="left"/>
      <w:pPr>
        <w:ind w:left="2138" w:hanging="360"/>
      </w:pPr>
      <w:rPr>
        <w:rFonts w:ascii="Wingdings" w:hAnsi="Wingdings" w:hint="default"/>
      </w:rPr>
    </w:lvl>
    <w:lvl w:ilvl="3" w:tplc="0C090001">
      <w:start w:val="1"/>
      <w:numFmt w:val="bullet"/>
      <w:lvlText w:val=""/>
      <w:lvlJc w:val="left"/>
      <w:pPr>
        <w:ind w:left="2858" w:hanging="360"/>
      </w:pPr>
      <w:rPr>
        <w:rFonts w:ascii="Symbol" w:hAnsi="Symbol" w:hint="default"/>
      </w:rPr>
    </w:lvl>
    <w:lvl w:ilvl="4" w:tplc="0C090003">
      <w:start w:val="1"/>
      <w:numFmt w:val="bullet"/>
      <w:lvlText w:val="o"/>
      <w:lvlJc w:val="left"/>
      <w:pPr>
        <w:ind w:left="3578" w:hanging="360"/>
      </w:pPr>
      <w:rPr>
        <w:rFonts w:ascii="Courier New" w:hAnsi="Courier New" w:cs="Courier New" w:hint="default"/>
      </w:rPr>
    </w:lvl>
    <w:lvl w:ilvl="5" w:tplc="0C090005">
      <w:start w:val="1"/>
      <w:numFmt w:val="bullet"/>
      <w:lvlText w:val=""/>
      <w:lvlJc w:val="left"/>
      <w:pPr>
        <w:ind w:left="4298" w:hanging="360"/>
      </w:pPr>
      <w:rPr>
        <w:rFonts w:ascii="Wingdings" w:hAnsi="Wingdings" w:hint="default"/>
      </w:rPr>
    </w:lvl>
    <w:lvl w:ilvl="6" w:tplc="0C090001">
      <w:start w:val="1"/>
      <w:numFmt w:val="bullet"/>
      <w:lvlText w:val=""/>
      <w:lvlJc w:val="left"/>
      <w:pPr>
        <w:ind w:left="5018" w:hanging="360"/>
      </w:pPr>
      <w:rPr>
        <w:rFonts w:ascii="Symbol" w:hAnsi="Symbol" w:hint="default"/>
      </w:rPr>
    </w:lvl>
    <w:lvl w:ilvl="7" w:tplc="0C090003">
      <w:start w:val="1"/>
      <w:numFmt w:val="bullet"/>
      <w:lvlText w:val="o"/>
      <w:lvlJc w:val="left"/>
      <w:pPr>
        <w:ind w:left="5738" w:hanging="360"/>
      </w:pPr>
      <w:rPr>
        <w:rFonts w:ascii="Courier New" w:hAnsi="Courier New" w:cs="Courier New" w:hint="default"/>
      </w:rPr>
    </w:lvl>
    <w:lvl w:ilvl="8" w:tplc="0C090005">
      <w:start w:val="1"/>
      <w:numFmt w:val="bullet"/>
      <w:lvlText w:val=""/>
      <w:lvlJc w:val="left"/>
      <w:pPr>
        <w:ind w:left="6458" w:hanging="360"/>
      </w:pPr>
      <w:rPr>
        <w:rFonts w:ascii="Wingdings" w:hAnsi="Wingdings" w:hint="default"/>
      </w:rPr>
    </w:lvl>
  </w:abstractNum>
  <w:abstractNum w:abstractNumId="2"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4"/>
    <w:lvlOverride w:ilvl="0">
      <w:startOverride w:val="1"/>
    </w:lvlOverride>
  </w:num>
  <w:num w:numId="6">
    <w:abstractNumId w:val="3"/>
  </w:num>
  <w:num w:numId="7">
    <w:abstractNumId w:val="1"/>
  </w:num>
  <w:num w:numId="8">
    <w:abstractNumId w:val="0"/>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21"/>
    <w:rsid w:val="00005B13"/>
    <w:rsid w:val="0001433D"/>
    <w:rsid w:val="000236BE"/>
    <w:rsid w:val="0002686B"/>
    <w:rsid w:val="000453D9"/>
    <w:rsid w:val="000546CE"/>
    <w:rsid w:val="000C1837"/>
    <w:rsid w:val="000C3436"/>
    <w:rsid w:val="000D01A6"/>
    <w:rsid w:val="000D0A76"/>
    <w:rsid w:val="000D6E7C"/>
    <w:rsid w:val="000E33CF"/>
    <w:rsid w:val="000F7D00"/>
    <w:rsid w:val="00104D3F"/>
    <w:rsid w:val="0011262E"/>
    <w:rsid w:val="00122F0F"/>
    <w:rsid w:val="00130624"/>
    <w:rsid w:val="001315B9"/>
    <w:rsid w:val="00140016"/>
    <w:rsid w:val="001549C5"/>
    <w:rsid w:val="001630F8"/>
    <w:rsid w:val="00165935"/>
    <w:rsid w:val="00165C31"/>
    <w:rsid w:val="001667C7"/>
    <w:rsid w:val="00170172"/>
    <w:rsid w:val="00176678"/>
    <w:rsid w:val="00186AA3"/>
    <w:rsid w:val="00190556"/>
    <w:rsid w:val="001B11D8"/>
    <w:rsid w:val="001C0A22"/>
    <w:rsid w:val="001C5B95"/>
    <w:rsid w:val="001C5C86"/>
    <w:rsid w:val="001F6973"/>
    <w:rsid w:val="001F77B0"/>
    <w:rsid w:val="00207081"/>
    <w:rsid w:val="00222442"/>
    <w:rsid w:val="002226F0"/>
    <w:rsid w:val="002258B4"/>
    <w:rsid w:val="00233FCC"/>
    <w:rsid w:val="00250115"/>
    <w:rsid w:val="00255674"/>
    <w:rsid w:val="00271AF4"/>
    <w:rsid w:val="00276FDB"/>
    <w:rsid w:val="00286BB4"/>
    <w:rsid w:val="002C7C3D"/>
    <w:rsid w:val="002D12EE"/>
    <w:rsid w:val="002E0F44"/>
    <w:rsid w:val="0032713C"/>
    <w:rsid w:val="00334B10"/>
    <w:rsid w:val="00340E99"/>
    <w:rsid w:val="003804F8"/>
    <w:rsid w:val="003E00F5"/>
    <w:rsid w:val="00433E75"/>
    <w:rsid w:val="00454DED"/>
    <w:rsid w:val="00456D6D"/>
    <w:rsid w:val="0047486A"/>
    <w:rsid w:val="00476B25"/>
    <w:rsid w:val="00491D9B"/>
    <w:rsid w:val="00497EF4"/>
    <w:rsid w:val="004B6F1C"/>
    <w:rsid w:val="004B72EC"/>
    <w:rsid w:val="004E68AB"/>
    <w:rsid w:val="00530B85"/>
    <w:rsid w:val="00532181"/>
    <w:rsid w:val="00536548"/>
    <w:rsid w:val="0054659A"/>
    <w:rsid w:val="00565BB4"/>
    <w:rsid w:val="005673E8"/>
    <w:rsid w:val="00571737"/>
    <w:rsid w:val="005A4F23"/>
    <w:rsid w:val="005A5847"/>
    <w:rsid w:val="005B297C"/>
    <w:rsid w:val="005F19AD"/>
    <w:rsid w:val="005F1E41"/>
    <w:rsid w:val="005F20C8"/>
    <w:rsid w:val="005F3FD4"/>
    <w:rsid w:val="00612549"/>
    <w:rsid w:val="00624CA4"/>
    <w:rsid w:val="00685A9B"/>
    <w:rsid w:val="00687A8C"/>
    <w:rsid w:val="0069524E"/>
    <w:rsid w:val="006A2F73"/>
    <w:rsid w:val="006A62CB"/>
    <w:rsid w:val="006B324C"/>
    <w:rsid w:val="0070753F"/>
    <w:rsid w:val="00722092"/>
    <w:rsid w:val="00727905"/>
    <w:rsid w:val="0073416E"/>
    <w:rsid w:val="0074397E"/>
    <w:rsid w:val="00751621"/>
    <w:rsid w:val="00773756"/>
    <w:rsid w:val="00774B01"/>
    <w:rsid w:val="0077565D"/>
    <w:rsid w:val="007A7583"/>
    <w:rsid w:val="007B4ED9"/>
    <w:rsid w:val="007B539E"/>
    <w:rsid w:val="008403DE"/>
    <w:rsid w:val="008521FF"/>
    <w:rsid w:val="00856CD6"/>
    <w:rsid w:val="00863872"/>
    <w:rsid w:val="00885358"/>
    <w:rsid w:val="00886B15"/>
    <w:rsid w:val="008A6BBF"/>
    <w:rsid w:val="008E2731"/>
    <w:rsid w:val="00906360"/>
    <w:rsid w:val="00925D30"/>
    <w:rsid w:val="00927C24"/>
    <w:rsid w:val="00937486"/>
    <w:rsid w:val="00940288"/>
    <w:rsid w:val="009C0A61"/>
    <w:rsid w:val="009D2495"/>
    <w:rsid w:val="009E0C04"/>
    <w:rsid w:val="009F5356"/>
    <w:rsid w:val="00A04051"/>
    <w:rsid w:val="00A35F00"/>
    <w:rsid w:val="00A67467"/>
    <w:rsid w:val="00A7149F"/>
    <w:rsid w:val="00A86F9C"/>
    <w:rsid w:val="00AB1B54"/>
    <w:rsid w:val="00AC5771"/>
    <w:rsid w:val="00AD2B12"/>
    <w:rsid w:val="00AD6A6E"/>
    <w:rsid w:val="00B11370"/>
    <w:rsid w:val="00B13173"/>
    <w:rsid w:val="00B238C5"/>
    <w:rsid w:val="00B23D46"/>
    <w:rsid w:val="00B244A9"/>
    <w:rsid w:val="00B56BEF"/>
    <w:rsid w:val="00B70A83"/>
    <w:rsid w:val="00B873B6"/>
    <w:rsid w:val="00B96780"/>
    <w:rsid w:val="00BB7023"/>
    <w:rsid w:val="00BF141B"/>
    <w:rsid w:val="00C00622"/>
    <w:rsid w:val="00C1738E"/>
    <w:rsid w:val="00C2572A"/>
    <w:rsid w:val="00C4007E"/>
    <w:rsid w:val="00C62233"/>
    <w:rsid w:val="00C636DB"/>
    <w:rsid w:val="00C962A5"/>
    <w:rsid w:val="00CA0701"/>
    <w:rsid w:val="00CA1F04"/>
    <w:rsid w:val="00CA26CC"/>
    <w:rsid w:val="00CB2DB5"/>
    <w:rsid w:val="00CC2C7D"/>
    <w:rsid w:val="00CE2037"/>
    <w:rsid w:val="00D10C90"/>
    <w:rsid w:val="00D3206A"/>
    <w:rsid w:val="00D36266"/>
    <w:rsid w:val="00D67F75"/>
    <w:rsid w:val="00D741EF"/>
    <w:rsid w:val="00DE65D7"/>
    <w:rsid w:val="00DF30C0"/>
    <w:rsid w:val="00E42E2F"/>
    <w:rsid w:val="00E47927"/>
    <w:rsid w:val="00E47C80"/>
    <w:rsid w:val="00E97254"/>
    <w:rsid w:val="00EA4A16"/>
    <w:rsid w:val="00EC3458"/>
    <w:rsid w:val="00F052E8"/>
    <w:rsid w:val="00F05E03"/>
    <w:rsid w:val="00F12055"/>
    <w:rsid w:val="00F34DDD"/>
    <w:rsid w:val="00F51030"/>
    <w:rsid w:val="00F566C3"/>
    <w:rsid w:val="00F62F22"/>
    <w:rsid w:val="00F65723"/>
    <w:rsid w:val="00F737F6"/>
    <w:rsid w:val="00F77E1F"/>
    <w:rsid w:val="00FB5037"/>
    <w:rsid w:val="00FB5299"/>
    <w:rsid w:val="00FC348C"/>
    <w:rsid w:val="00FC4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0BF4702"/>
  <w15:docId w15:val="{24201D61-BB22-4362-AF08-25FFB88A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TOCHeading"/>
    <w:next w:val="Normal"/>
    <w:link w:val="TitleChar"/>
    <w:uiPriority w:val="10"/>
    <w:qFormat/>
    <w:rsid w:val="00A86F9C"/>
    <w:pPr>
      <w:numPr>
        <w:numId w:val="0"/>
      </w:numPr>
    </w:p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A86F9C"/>
    <w:rPr>
      <w:rFonts w:ascii="Arial" w:eastAsia="Times New Roman"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character" w:styleId="UnresolvedMention">
    <w:name w:val="Unresolved Mention"/>
    <w:basedOn w:val="DefaultParagraphFont"/>
    <w:uiPriority w:val="99"/>
    <w:semiHidden/>
    <w:unhideWhenUsed/>
    <w:rsid w:val="00751621"/>
    <w:rPr>
      <w:color w:val="605E5C"/>
      <w:shd w:val="clear" w:color="auto" w:fill="E1DFDD"/>
    </w:rPr>
  </w:style>
  <w:style w:type="character" w:customStyle="1" w:styleId="OptionHeadingChar">
    <w:name w:val="Option Heading Char"/>
    <w:basedOn w:val="DefaultParagraphFont"/>
    <w:link w:val="OptionHeading"/>
    <w:locked/>
    <w:rsid w:val="008403DE"/>
    <w:rPr>
      <w:rFonts w:asciiTheme="majorHAnsi" w:eastAsiaTheme="majorEastAsia" w:hAnsiTheme="majorHAnsi" w:cstheme="majorBidi"/>
      <w:b/>
      <w:bCs/>
      <w:color w:val="000000" w:themeColor="text1"/>
      <w:szCs w:val="18"/>
    </w:rPr>
  </w:style>
  <w:style w:type="paragraph" w:customStyle="1" w:styleId="OptionHeading">
    <w:name w:val="Option Heading"/>
    <w:basedOn w:val="Heading4"/>
    <w:link w:val="OptionHeadingChar"/>
    <w:qFormat/>
    <w:rsid w:val="008403DE"/>
    <w:pPr>
      <w:keepNext w:val="0"/>
      <w:keepLines w:val="0"/>
      <w:spacing w:before="120" w:after="120" w:line="240" w:lineRule="auto"/>
    </w:pPr>
    <w:rPr>
      <w:rFonts w:asciiTheme="majorHAnsi" w:eastAsiaTheme="majorEastAsia" w:hAnsiTheme="majorHAnsi" w:cstheme="majorBidi"/>
      <w:i w:val="0"/>
      <w:iCs w:val="0"/>
      <w:color w:val="000000" w:themeColor="text1"/>
      <w:sz w:val="20"/>
      <w:szCs w:val="18"/>
      <w:lang w:val="en-AU" w:eastAsia="en-AU"/>
    </w:rPr>
  </w:style>
  <w:style w:type="table" w:styleId="TableGrid">
    <w:name w:val="Table Grid"/>
    <w:basedOn w:val="TableNormal"/>
    <w:uiPriority w:val="39"/>
    <w:rsid w:val="008403D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403DE"/>
    <w:pPr>
      <w:spacing w:after="160" w:line="240" w:lineRule="auto"/>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semiHidden/>
    <w:rsid w:val="008403DE"/>
    <w:rPr>
      <w:rFonts w:asciiTheme="minorHAnsi" w:eastAsiaTheme="minorHAnsi" w:hAnsiTheme="minorHAnsi" w:cstheme="minorBidi"/>
      <w:lang w:eastAsia="en-US"/>
    </w:rPr>
  </w:style>
  <w:style w:type="paragraph" w:styleId="ListParagraph">
    <w:name w:val="List Paragraph"/>
    <w:basedOn w:val="Normal"/>
    <w:uiPriority w:val="34"/>
    <w:qFormat/>
    <w:rsid w:val="008403DE"/>
    <w:pPr>
      <w:spacing w:after="160" w:line="256" w:lineRule="auto"/>
      <w:ind w:left="720"/>
      <w:contextualSpacing/>
    </w:pPr>
    <w:rPr>
      <w:rFonts w:asciiTheme="minorHAnsi" w:eastAsiaTheme="minorHAnsi" w:hAnsiTheme="minorHAnsi" w:cstheme="minorBidi"/>
      <w:lang w:val="en-AU"/>
    </w:rPr>
  </w:style>
  <w:style w:type="character" w:styleId="CommentReference">
    <w:name w:val="annotation reference"/>
    <w:basedOn w:val="DefaultParagraphFont"/>
    <w:uiPriority w:val="99"/>
    <w:semiHidden/>
    <w:unhideWhenUsed/>
    <w:rsid w:val="008403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237267">
      <w:bodyDiv w:val="1"/>
      <w:marLeft w:val="0"/>
      <w:marRight w:val="0"/>
      <w:marTop w:val="0"/>
      <w:marBottom w:val="0"/>
      <w:divBdr>
        <w:top w:val="none" w:sz="0" w:space="0" w:color="auto"/>
        <w:left w:val="none" w:sz="0" w:space="0" w:color="auto"/>
        <w:bottom w:val="none" w:sz="0" w:space="0" w:color="auto"/>
        <w:right w:val="none" w:sz="0" w:space="0" w:color="auto"/>
      </w:divBdr>
    </w:div>
    <w:div w:id="15625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port@mav.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ke\AppData\Local\Microsoft\Windows\INetCache\Content.Outlook\1EUBPQVB\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C8B36268D5425FAD2986A70F0F9C69"/>
        <w:category>
          <w:name w:val="General"/>
          <w:gallery w:val="placeholder"/>
        </w:category>
        <w:types>
          <w:type w:val="bbPlcHdr"/>
        </w:types>
        <w:behaviors>
          <w:behavior w:val="content"/>
        </w:behaviors>
        <w:guid w:val="{B17C0CF3-DE26-4F4F-8B64-2567AA8F5AEB}"/>
      </w:docPartPr>
      <w:docPartBody>
        <w:p w:rsidR="000A6805" w:rsidRDefault="000A6805">
          <w:pPr>
            <w:pStyle w:val="FFC8B36268D5425FAD2986A70F0F9C69"/>
          </w:pPr>
          <w:r w:rsidRPr="004F539A">
            <w:rPr>
              <w:rStyle w:val="PlaceholderText"/>
            </w:rPr>
            <w:t>[Publish Date]</w:t>
          </w:r>
        </w:p>
      </w:docPartBody>
    </w:docPart>
    <w:docPart>
      <w:docPartPr>
        <w:name w:val="CD7FD443E7074D708DE82F41C6174283"/>
        <w:category>
          <w:name w:val="General"/>
          <w:gallery w:val="placeholder"/>
        </w:category>
        <w:types>
          <w:type w:val="bbPlcHdr"/>
        </w:types>
        <w:behaviors>
          <w:behavior w:val="content"/>
        </w:behaviors>
        <w:guid w:val="{6966545F-B0FA-4FDC-8C17-8FCCBBD7C750}"/>
      </w:docPartPr>
      <w:docPartBody>
        <w:p w:rsidR="000A6805" w:rsidRDefault="000A6805">
          <w:pPr>
            <w:pStyle w:val="CD7FD443E7074D708DE82F41C6174283"/>
          </w:pPr>
          <w:r w:rsidRPr="004F539A">
            <w:rPr>
              <w:rStyle w:val="PlaceholderText"/>
            </w:rPr>
            <w:t>[Title]</w:t>
          </w:r>
        </w:p>
      </w:docPartBody>
    </w:docPart>
    <w:docPart>
      <w:docPartPr>
        <w:name w:val="EA61EAC414454693A92CE1EC4EB5F668"/>
        <w:category>
          <w:name w:val="General"/>
          <w:gallery w:val="placeholder"/>
        </w:category>
        <w:types>
          <w:type w:val="bbPlcHdr"/>
        </w:types>
        <w:behaviors>
          <w:behavior w:val="content"/>
        </w:behaviors>
        <w:guid w:val="{1B9CE56A-AA69-43EC-953A-98CFFFF98256}"/>
      </w:docPartPr>
      <w:docPartBody>
        <w:p w:rsidR="000A6805" w:rsidRDefault="000A6805">
          <w:pPr>
            <w:pStyle w:val="EA61EAC414454693A92CE1EC4EB5F668"/>
          </w:pPr>
          <w:r w:rsidRPr="004F539A">
            <w:rPr>
              <w:rStyle w:val="PlaceholderText"/>
            </w:rPr>
            <w:t>[Title]</w:t>
          </w:r>
        </w:p>
      </w:docPartBody>
    </w:docPart>
    <w:docPart>
      <w:docPartPr>
        <w:name w:val="E25A59DF4BF3405B9D4879A765780EC5"/>
        <w:category>
          <w:name w:val="General"/>
          <w:gallery w:val="placeholder"/>
        </w:category>
        <w:types>
          <w:type w:val="bbPlcHdr"/>
        </w:types>
        <w:behaviors>
          <w:behavior w:val="content"/>
        </w:behaviors>
        <w:guid w:val="{BFDD17E5-7862-4907-B01B-9945488801D7}"/>
      </w:docPartPr>
      <w:docPartBody>
        <w:p w:rsidR="000A6805" w:rsidRDefault="000A6805">
          <w:pPr>
            <w:pStyle w:val="E25A59DF4BF3405B9D4879A765780EC5"/>
          </w:pPr>
          <w:r w:rsidRPr="004F539A">
            <w:rPr>
              <w:rStyle w:val="PlaceholderText"/>
            </w:rPr>
            <w:t>[Title]</w:t>
          </w:r>
        </w:p>
      </w:docPartBody>
    </w:docPart>
    <w:docPart>
      <w:docPartPr>
        <w:name w:val="EA0726EDFE0E46C5BCACB64453F7EF30"/>
        <w:category>
          <w:name w:val="General"/>
          <w:gallery w:val="placeholder"/>
        </w:category>
        <w:types>
          <w:type w:val="bbPlcHdr"/>
        </w:types>
        <w:behaviors>
          <w:behavior w:val="content"/>
        </w:behaviors>
        <w:guid w:val="{46A4303C-92B0-4DCB-9131-391F22A5AE06}"/>
      </w:docPartPr>
      <w:docPartBody>
        <w:p w:rsidR="000A6805" w:rsidRDefault="000A6805">
          <w:pPr>
            <w:pStyle w:val="EA0726EDFE0E46C5BCACB64453F7EF30"/>
          </w:pPr>
          <w:r w:rsidRPr="004F539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05"/>
    <w:rsid w:val="000A6805"/>
    <w:rsid w:val="001F5E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82B74CB6CFD472D90FDF0DBBCF6B0F4">
    <w:name w:val="382B74CB6CFD472D90FDF0DBBCF6B0F4"/>
  </w:style>
  <w:style w:type="paragraph" w:customStyle="1" w:styleId="FFC8B36268D5425FAD2986A70F0F9C69">
    <w:name w:val="FFC8B36268D5425FAD2986A70F0F9C69"/>
  </w:style>
  <w:style w:type="paragraph" w:customStyle="1" w:styleId="CD7FD443E7074D708DE82F41C6174283">
    <w:name w:val="CD7FD443E7074D708DE82F41C6174283"/>
  </w:style>
  <w:style w:type="paragraph" w:customStyle="1" w:styleId="EA61EAC414454693A92CE1EC4EB5F668">
    <w:name w:val="EA61EAC414454693A92CE1EC4EB5F668"/>
  </w:style>
  <w:style w:type="paragraph" w:customStyle="1" w:styleId="E25A59DF4BF3405B9D4879A765780EC5">
    <w:name w:val="E25A59DF4BF3405B9D4879A765780EC5"/>
  </w:style>
  <w:style w:type="paragraph" w:customStyle="1" w:styleId="EA0726EDFE0E46C5BCACB64453F7EF30">
    <w:name w:val="EA0726EDFE0E46C5BCACB64453F7E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57651A853BEF49BE6416920516E8C1" ma:contentTypeVersion="42" ma:contentTypeDescription="Create a new document." ma:contentTypeScope="" ma:versionID="e16dc9a24b8e104fc65525fdd34ed570">
  <xsd:schema xmlns:xsd="http://www.w3.org/2001/XMLSchema" xmlns:xs="http://www.w3.org/2001/XMLSchema" xmlns:p="http://schemas.microsoft.com/office/2006/metadata/properties" xmlns:ns2="598c73d0-6bbc-4c43-bf71-bdd6a3679256" xmlns:ns3="7ba8f392-6711-427a-8413-d1bf8ab8088a" targetNamespace="http://schemas.microsoft.com/office/2006/metadata/properties" ma:root="true" ma:fieldsID="3a1cf580e80cceb6232c05df2314f81d" ns2:_="" ns3:_="">
    <xsd:import namespace="598c73d0-6bbc-4c43-bf71-bdd6a3679256"/>
    <xsd:import namespace="7ba8f392-6711-427a-8413-d1bf8ab8088a"/>
    <xsd:element name="properties">
      <xsd:complexType>
        <xsd:sequence>
          <xsd:element name="documentManagement">
            <xsd:complexType>
              <xsd:all>
                <xsd:element ref="ns2:TaxCatchAll" minOccurs="0"/>
                <xsd:element ref="ns2:ca1877eef2604924ba5482b070248b76" minOccurs="0"/>
                <xsd:element ref="ns2:cc51aaa451b04fea8e74f4e5338f5b8a" minOccurs="0"/>
                <xsd:element ref="ns2:fbf360b30c184618b397fcc11f5af71b" minOccurs="0"/>
                <xsd:element ref="ns2:n68d91f0d9df4740bb01b95fc7e236f7" minOccurs="0"/>
                <xsd:element ref="ns3:h6e85ab796334960991b08f772d3124a" minOccurs="0"/>
                <xsd:element ref="ns2:h269360e789841368e2f90c5784208de" minOccurs="0"/>
                <xsd:element ref="ns3:p66b2f019f01468da511daa965637d4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51f40f3-82b9-4d58-84cc-16ba7243fb3f}" ma:internalName="TaxCatchAll"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ca1877eef2604924ba5482b070248b76" ma:index="9" nillable="true" ma:taxonomy="true" ma:internalName="ca1877eef2604924ba5482b070248b76" ma:taxonomyFieldName="Topic" ma:displayName="Topic" ma:readOnly="false" ma:fieldId="{ca1877ee-f260-4924-ba54-82b070248b76}"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cc51aaa451b04fea8e74f4e5338f5b8a" ma:index="11" nillable="true" ma:taxonomy="true" ma:internalName="cc51aaa451b04fea8e74f4e5338f5b8a" ma:taxonomyFieldName="Year" ma:displayName="Year" ma:readOnly="false" ma:fieldId="{cc51aaa4-51b0-4fea-8e74-f4e5338f5b8a}"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fbf360b30c184618b397fcc11f5af71b" ma:index="13" nillable="true" ma:taxonomy="true" ma:internalName="fbf360b30c184618b397fcc11f5af71b" ma:taxonomyFieldName="Month" ma:displayName="Month" ma:readOnly="false" ma:fieldId="{fbf360b3-0c18-4618-b397-fcc11f5af71b}"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n68d91f0d9df4740bb01b95fc7e236f7" ma:index="15" nillable="true" ma:taxonomy="true" ma:internalName="n68d91f0d9df4740bb01b95fc7e236f7" ma:taxonomyFieldName="Stakeholders" ma:displayName="Stakeholders" ma:readOnly="false" ma:fieldId="{768d91f0-d9df-4740-bb01-b95fc7e236f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h269360e789841368e2f90c5784208de" ma:index="19" ma:taxonomy="true" ma:internalName="h269360e789841368e2f90c5784208de" ma:taxonomyFieldName="Doc_x0020_Type" ma:displayName="Doc Type" ma:readOnly="false" ma:fieldId="{1269360e-7898-4136-8e2f-90c5784208de}" ma:sspId="fde11242-6e73-49c6-980c-6919cde2f27c" ma:termSetId="34f10eaa-5417-4633-8775-0616c2ee19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a8f392-6711-427a-8413-d1bf8ab8088a" elementFormDefault="qualified">
    <xsd:import namespace="http://schemas.microsoft.com/office/2006/documentManagement/types"/>
    <xsd:import namespace="http://schemas.microsoft.com/office/infopath/2007/PartnerControls"/>
    <xsd:element name="h6e85ab796334960991b08f772d3124a" ma:index="17" nillable="true" ma:taxonomy="true" ma:internalName="h6e85ab796334960991b08f772d3124a" ma:taxonomyFieldName="Project" ma:displayName="Project" ma:readOnly="false" ma:fieldId="{16e85ab7-9633-4960-991b-08f772d3124a}" ma:sspId="fde11242-6e73-49c6-980c-6919cde2f27c" ma:termSetId="c9ec8f16-abc7-4115-a029-20ae899b38d9" ma:anchorId="00000000-0000-0000-0000-000000000000" ma:open="false" ma:isKeyword="false">
      <xsd:complexType>
        <xsd:sequence>
          <xsd:element ref="pc:Terms" minOccurs="0" maxOccurs="1"/>
        </xsd:sequence>
      </xsd:complexType>
    </xsd:element>
    <xsd:element name="p66b2f019f01468da511daa965637d43" ma:index="21" nillable="true" ma:taxonomy="true" ma:internalName="p66b2f019f01468da511daa965637d43" ma:taxonomyFieldName="Function" ma:displayName="Function" ma:readOnly="false" ma:fieldId="{966b2f01-9f01-468d-a511-daa965637d43}" ma:sspId="fde11242-6e73-49c6-980c-6919cde2f27c" ma:termSetId="1be38e8c-3054-4a1e-9eea-ab3bad4fff9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TaxCatchAll xmlns="598c73d0-6bbc-4c43-bf71-bdd6a3679256">
      <Value>91</Value>
      <Value>21</Value>
      <Value>106</Value>
      <Value>78</Value>
      <Value>266</Value>
    </TaxCatchAll>
    <h269360e789841368e2f90c5784208de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h269360e789841368e2f90c5784208de>
    <cc51aaa451b04fea8e74f4e5338f5b8a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cc51aaa451b04fea8e74f4e5338f5b8a>
    <p66b2f019f01468da511daa965637d43 xmlns="7ba8f392-6711-427a-8413-d1bf8ab8088a">
      <Terms xmlns="http://schemas.microsoft.com/office/infopath/2007/PartnerControls"/>
    </p66b2f019f01468da511daa965637d43>
    <h6e85ab796334960991b08f772d3124a xmlns="7ba8f392-6711-427a-8413-d1bf8ab8088a">
      <Terms xmlns="http://schemas.microsoft.com/office/infopath/2007/PartnerControls"/>
    </h6e85ab796334960991b08f772d3124a>
    <n68d91f0d9df4740bb01b95fc7e236f7 xmlns="598c73d0-6bbc-4c43-bf71-bdd6a3679256">
      <Terms xmlns="http://schemas.microsoft.com/office/infopath/2007/PartnerControls">
        <TermInfo xmlns="http://schemas.microsoft.com/office/infopath/2007/PartnerControls">
          <TermName xmlns="http://schemas.microsoft.com/office/infopath/2007/PartnerControls">National Transport Commission</TermName>
          <TermId xmlns="http://schemas.microsoft.com/office/infopath/2007/PartnerControls">8ade46c8-9523-47c4-be67-f5d9dacf7185</TermId>
        </TermInfo>
      </Terms>
    </n68d91f0d9df4740bb01b95fc7e236f7>
    <fbf360b30c184618b397fcc11f5af71b xmlns="598c73d0-6bbc-4c43-bf71-bdd6a3679256">
      <Terms xmlns="http://schemas.microsoft.com/office/infopath/2007/PartnerControls">
        <TermInfo xmlns="http://schemas.microsoft.com/office/infopath/2007/PartnerControls">
          <TermName xmlns="http://schemas.microsoft.com/office/infopath/2007/PartnerControls">11. November</TermName>
          <TermId xmlns="http://schemas.microsoft.com/office/infopath/2007/PartnerControls">36c336c7-40e1-4d28-b23a-8570bb8f13c2</TermId>
        </TermInfo>
      </Terms>
    </fbf360b30c184618b397fcc11f5af71b>
    <ca1877eef2604924ba5482b070248b76 xmlns="598c73d0-6bbc-4c43-bf71-bdd6a3679256">
      <Terms xmlns="http://schemas.microsoft.com/office/infopath/2007/PartnerControls">
        <TermInfo xmlns="http://schemas.microsoft.com/office/infopath/2007/PartnerControls">
          <TermName xmlns="http://schemas.microsoft.com/office/infopath/2007/PartnerControls">Freight</TermName>
          <TermId xmlns="http://schemas.microsoft.com/office/infopath/2007/PartnerControls">8dfef117-0e04-4220-a36c-5ac40a93df68</TermId>
        </TermInfo>
      </Terms>
    </ca1877eef2604924ba5482b070248b76>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A1D6D8-424D-438E-ADAB-63B02A5D7D29}">
  <ds:schemaRefs>
    <ds:schemaRef ds:uri="http://schemas.openxmlformats.org/officeDocument/2006/bibliography"/>
  </ds:schemaRefs>
</ds:datastoreItem>
</file>

<file path=customXml/itemProps3.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4.xml><?xml version="1.0" encoding="utf-8"?>
<ds:datastoreItem xmlns:ds="http://schemas.openxmlformats.org/officeDocument/2006/customXml" ds:itemID="{B051E148-4AA6-41EA-B406-7AA47AC1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7ba8f392-6711-427a-8413-d1bf8ab80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95A11-2693-40EA-802C-F8811DA3B982}">
  <ds:schemaRefs>
    <ds:schemaRef ds:uri="http://schemas.microsoft.com/office/2006/metadata/properties"/>
    <ds:schemaRef ds:uri="598c73d0-6bbc-4c43-bf71-bdd6a3679256"/>
    <ds:schemaRef ds:uri="http://schemas.microsoft.com/office/infopath/2007/PartnerControls"/>
    <ds:schemaRef ds:uri="7ba8f392-6711-427a-8413-d1bf8ab8088a"/>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1</TotalTime>
  <Pages>18</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Submission template</vt:lpstr>
    </vt:vector>
  </TitlesOfParts>
  <Company> </Company>
  <LinksUpToDate>false</LinksUpToDate>
  <CharactersWithSpaces>29888</CharactersWithSpaces>
  <SharedDoc>false</SharedDoc>
  <HLinks>
    <vt:vector size="18" baseType="variant">
      <vt:variant>
        <vt:i4>1376305</vt:i4>
      </vt:variant>
      <vt:variant>
        <vt:i4>11</vt:i4>
      </vt:variant>
      <vt:variant>
        <vt:i4>0</vt:i4>
      </vt:variant>
      <vt:variant>
        <vt:i4>5</vt:i4>
      </vt:variant>
      <vt:variant>
        <vt:lpwstr/>
      </vt:variant>
      <vt:variant>
        <vt:lpwstr>_Toc56522731</vt:lpwstr>
      </vt:variant>
      <vt:variant>
        <vt:i4>1310769</vt:i4>
      </vt:variant>
      <vt:variant>
        <vt:i4>5</vt:i4>
      </vt:variant>
      <vt:variant>
        <vt:i4>0</vt:i4>
      </vt:variant>
      <vt:variant>
        <vt:i4>5</vt:i4>
      </vt:variant>
      <vt:variant>
        <vt:lpwstr/>
      </vt:variant>
      <vt:variant>
        <vt:lpwstr>_Toc56522730</vt:lpwstr>
      </vt:variant>
      <vt:variant>
        <vt:i4>6946822</vt:i4>
      </vt:variant>
      <vt:variant>
        <vt:i4>0</vt:i4>
      </vt:variant>
      <vt:variant>
        <vt:i4>0</vt:i4>
      </vt:variant>
      <vt:variant>
        <vt:i4>5</vt:i4>
      </vt:variant>
      <vt:variant>
        <vt:lpwstr>mailto:transport@mav.asn.au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NTC HVNL Review Consultation RIS</dc:title>
  <dc:subject/>
  <dc:creator>Emma Lake</dc:creator>
  <cp:keywords/>
  <dc:description/>
  <cp:lastModifiedBy>Michael</cp:lastModifiedBy>
  <cp:revision>2</cp:revision>
  <cp:lastPrinted>2020-11-18T00:35:00Z</cp:lastPrinted>
  <dcterms:created xsi:type="dcterms:W3CDTF">2020-11-18T03:24:00Z</dcterms:created>
  <dcterms:modified xsi:type="dcterms:W3CDTF">2020-11-18T03:24:00Z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0x0101009E57651A853BEF49BE6416920516E8C1</vt:lpwstr>
  </property>
  <property fmtid="{D5CDD505-2E9C-101B-9397-08002B2CF9AE}" pid="3" name="Order">
    <vt:r8>1248000</vt:r8>
  </property>
  <property fmtid="{D5CDD505-2E9C-101B-9397-08002B2CF9AE}" pid="4" name="URL">
    <vt:lpwstr/>
  </property>
  <property fmtid="{D5CDD505-2E9C-101B-9397-08002B2CF9AE}" pid="5" name="xd_ProgID">
    <vt:lpwstr/>
  </property>
  <property fmtid="{D5CDD505-2E9C-101B-9397-08002B2CF9AE}" pid="6" name="TemplateUrl">
    <vt:lpwstr/>
  </property>
  <property fmtid="{D5CDD505-2E9C-101B-9397-08002B2CF9AE}" pid="7" name="Project">
    <vt:lpwstr/>
  </property>
  <property fmtid="{D5CDD505-2E9C-101B-9397-08002B2CF9AE}" pid="8" name="Audience">
    <vt:lpwstr/>
  </property>
  <property fmtid="{D5CDD505-2E9C-101B-9397-08002B2CF9AE}" pid="9" name="Function">
    <vt:lpwstr/>
  </property>
  <property fmtid="{D5CDD505-2E9C-101B-9397-08002B2CF9AE}" pid="10" name="Month">
    <vt:lpwstr>21;#11. November|36c336c7-40e1-4d28-b23a-8570bb8f13c2</vt:lpwstr>
  </property>
  <property fmtid="{D5CDD505-2E9C-101B-9397-08002B2CF9AE}" pid="11" name="Doc Type">
    <vt:lpwstr>78;#Submission|0f45a96c-2fb6-448e-b14e-285c9a1f224d</vt:lpwstr>
  </property>
  <property fmtid="{D5CDD505-2E9C-101B-9397-08002B2CF9AE}" pid="12" name="Year">
    <vt:lpwstr>266;#2020|e4fb3329-53af-44c8-8e00-fdf448259f1d</vt:lpwstr>
  </property>
  <property fmtid="{D5CDD505-2E9C-101B-9397-08002B2CF9AE}" pid="13" name="Topic">
    <vt:lpwstr>106;#Freight|8dfef117-0e04-4220-a36c-5ac40a93df68</vt:lpwstr>
  </property>
  <property fmtid="{D5CDD505-2E9C-101B-9397-08002B2CF9AE}" pid="14" name="Stakeholders">
    <vt:lpwstr>91;#National Transport Commission|8ade46c8-9523-47c4-be67-f5d9dacf7185</vt:lpwstr>
  </property>
</Properties>
</file>