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B18A" w14:textId="40330CF2" w:rsidR="00286BB4" w:rsidRDefault="00802A7E" w:rsidP="00286BB4">
      <w:r>
        <w:rPr>
          <w:noProof/>
          <w:lang w:eastAsia="en-AU"/>
        </w:rPr>
        <w:drawing>
          <wp:anchor distT="0" distB="0" distL="114300" distR="114300" simplePos="0" relativeHeight="251658241"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917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773817F0" w14:textId="49999B2F" w:rsidR="00286BB4" w:rsidRDefault="00286BB4" w:rsidP="00286BB4"/>
    <w:p w14:paraId="24E3247B" w14:textId="38FB4452" w:rsidR="00780A1A" w:rsidRDefault="00780A1A" w:rsidP="00286BB4"/>
    <w:p w14:paraId="1A78DC20" w14:textId="29A18567" w:rsidR="00780A1A" w:rsidRDefault="00780A1A" w:rsidP="00286BB4"/>
    <w:p w14:paraId="348788BA" w14:textId="4E9505E9" w:rsidR="00780A1A" w:rsidRDefault="00780A1A" w:rsidP="00286BB4"/>
    <w:p w14:paraId="6F1E6648" w14:textId="0D6A85A7" w:rsidR="00286BB4" w:rsidRDefault="208C85B8" w:rsidP="208C85B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208C85B8">
        <w:rPr>
          <w:rFonts w:cs="Arial"/>
          <w:b/>
          <w:bCs/>
          <w:sz w:val="36"/>
          <w:szCs w:val="36"/>
        </w:rPr>
        <w:t>Regulatory Impact Statement:</w:t>
      </w:r>
    </w:p>
    <w:p w14:paraId="20BD1F4B" w14:textId="3649B417" w:rsidR="208C85B8" w:rsidRPr="00605322" w:rsidRDefault="208C85B8" w:rsidP="208C85B8">
      <w:pPr>
        <w:jc w:val="right"/>
        <w:rPr>
          <w:rFonts w:cs="Arial"/>
          <w:b/>
          <w:bCs/>
          <w:i/>
          <w:iCs/>
          <w:sz w:val="36"/>
          <w:szCs w:val="36"/>
        </w:rPr>
      </w:pPr>
      <w:r w:rsidRPr="00605322">
        <w:rPr>
          <w:rFonts w:cs="Arial"/>
          <w:b/>
          <w:bCs/>
          <w:i/>
          <w:iCs/>
          <w:sz w:val="36"/>
          <w:szCs w:val="36"/>
        </w:rPr>
        <w:t>Electricity Safety (Electric Line Clearance)</w:t>
      </w:r>
    </w:p>
    <w:p w14:paraId="24840922" w14:textId="3046E927" w:rsidR="208C85B8" w:rsidRPr="00605322" w:rsidRDefault="208C85B8" w:rsidP="208C85B8">
      <w:pPr>
        <w:jc w:val="right"/>
        <w:rPr>
          <w:rFonts w:cs="Arial"/>
          <w:b/>
          <w:bCs/>
          <w:i/>
          <w:iCs/>
          <w:sz w:val="36"/>
          <w:szCs w:val="36"/>
        </w:rPr>
      </w:pPr>
      <w:r w:rsidRPr="00605322">
        <w:rPr>
          <w:rFonts w:cs="Arial"/>
          <w:b/>
          <w:bCs/>
          <w:i/>
          <w:iCs/>
          <w:sz w:val="36"/>
          <w:szCs w:val="36"/>
        </w:rPr>
        <w:t>Regulations 2020</w:t>
      </w:r>
    </w:p>
    <w:p w14:paraId="182102A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7C46BC68" w14:textId="1E91E416" w:rsidR="00286BB4" w:rsidRPr="0056479A" w:rsidRDefault="00A6480A" w:rsidP="208C85B8">
      <w:pPr>
        <w:jc w:val="right"/>
        <w:rPr>
          <w:b/>
          <w:bCs/>
          <w:sz w:val="32"/>
          <w:szCs w:val="32"/>
        </w:rPr>
      </w:pPr>
      <w:r>
        <w:rPr>
          <w:b/>
          <w:bCs/>
          <w:sz w:val="32"/>
          <w:szCs w:val="32"/>
        </w:rPr>
        <w:t>S</w:t>
      </w:r>
      <w:r w:rsidR="208C85B8" w:rsidRPr="208C85B8">
        <w:rPr>
          <w:b/>
          <w:bCs/>
          <w:sz w:val="32"/>
          <w:szCs w:val="32"/>
        </w:rPr>
        <w:t>ubmission</w:t>
      </w:r>
    </w:p>
    <w:p w14:paraId="252E897E" w14:textId="2C6E07A2" w:rsidR="208C85B8" w:rsidRDefault="00A6480A" w:rsidP="208C85B8">
      <w:pPr>
        <w:jc w:val="right"/>
      </w:pPr>
      <w:r>
        <w:rPr>
          <w:rFonts w:cs="Arial"/>
          <w:b/>
          <w:bCs/>
        </w:rPr>
        <w:t>March</w:t>
      </w:r>
      <w:r w:rsidR="208C85B8" w:rsidRPr="208C85B8">
        <w:rPr>
          <w:rFonts w:cs="Arial"/>
          <w:b/>
          <w:bCs/>
        </w:rPr>
        <w:t xml:space="preserve"> 2020</w:t>
      </w:r>
    </w:p>
    <w:p w14:paraId="36A49310" w14:textId="527F8F7F" w:rsidR="00170172" w:rsidRDefault="00170172" w:rsidP="00286BB4">
      <w:pPr>
        <w:jc w:val="center"/>
      </w:pPr>
    </w:p>
    <w:p w14:paraId="62AAA65A" w14:textId="20CEB492" w:rsidR="00286BB4" w:rsidRDefault="00286BB4" w:rsidP="00286BB4">
      <w:pPr>
        <w:jc w:val="center"/>
      </w:pPr>
    </w:p>
    <w:p w14:paraId="47BCA6DB" w14:textId="5C2724B5" w:rsidR="00286BB4" w:rsidRPr="005502D1" w:rsidRDefault="00286BB4" w:rsidP="00286BB4">
      <w:pPr>
        <w:jc w:val="center"/>
        <w:rPr>
          <w:color w:val="FF0000"/>
        </w:rP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3A78656F" w14:textId="77777777" w:rsidR="00286BB4" w:rsidRDefault="00286BB4" w:rsidP="00286BB4">
      <w:pPr>
        <w:jc w:val="center"/>
      </w:pPr>
    </w:p>
    <w:p w14:paraId="37D81842" w14:textId="6AA0EC3C" w:rsidR="00286BB4" w:rsidRDefault="00286BB4" w:rsidP="00940288"/>
    <w:p w14:paraId="3A93B102" w14:textId="269A4545" w:rsidR="001605EC" w:rsidRDefault="001605EC" w:rsidP="00940288"/>
    <w:p w14:paraId="0760346C" w14:textId="77777777" w:rsidR="001605EC" w:rsidRDefault="001605EC" w:rsidP="00940288"/>
    <w:p w14:paraId="78277A02" w14:textId="77777777" w:rsidR="00940288" w:rsidRDefault="00940288" w:rsidP="00286BB4">
      <w:pPr>
        <w:jc w:val="center"/>
      </w:pPr>
    </w:p>
    <w:p w14:paraId="1D809D5C" w14:textId="77777777" w:rsidR="00940288" w:rsidRDefault="00940288" w:rsidP="00940288">
      <w:pPr>
        <w:pStyle w:val="DisclaimerBold"/>
      </w:pPr>
    </w:p>
    <w:p w14:paraId="33210C27" w14:textId="15DBFD4D" w:rsidR="00E74DF8" w:rsidRDefault="00E74DF8" w:rsidP="00940288">
      <w:pPr>
        <w:pStyle w:val="DisclaimerBold"/>
      </w:pPr>
    </w:p>
    <w:p w14:paraId="3391313D" w14:textId="641AC8D3" w:rsidR="00E74DF8" w:rsidRDefault="00E74DF8" w:rsidP="00940288">
      <w:pPr>
        <w:pStyle w:val="DisclaimerBold"/>
      </w:pPr>
    </w:p>
    <w:p w14:paraId="7297346B" w14:textId="2DC2F10C" w:rsidR="00E74DF8" w:rsidRDefault="00E74DF8" w:rsidP="00940288">
      <w:pPr>
        <w:pStyle w:val="DisclaimerBold"/>
      </w:pPr>
    </w:p>
    <w:p w14:paraId="2AA61CB9" w14:textId="41A8A3FF" w:rsidR="00E74DF8" w:rsidRDefault="00E74DF8" w:rsidP="00940288">
      <w:pPr>
        <w:pStyle w:val="DisclaimerBold"/>
      </w:pPr>
    </w:p>
    <w:p w14:paraId="7DA84FB7" w14:textId="5E752EC7" w:rsidR="00E74DF8" w:rsidRDefault="00E74DF8" w:rsidP="00940288">
      <w:pPr>
        <w:pStyle w:val="DisclaimerBold"/>
      </w:pPr>
    </w:p>
    <w:p w14:paraId="5090759D" w14:textId="50FCE266" w:rsidR="00C6563F" w:rsidRDefault="00C6563F" w:rsidP="00940288">
      <w:pPr>
        <w:pStyle w:val="DisclaimerBold"/>
      </w:pPr>
    </w:p>
    <w:p w14:paraId="10863F25" w14:textId="09312AFD" w:rsidR="00C6563F" w:rsidRDefault="00C6563F" w:rsidP="00940288">
      <w:pPr>
        <w:pStyle w:val="DisclaimerBold"/>
      </w:pPr>
    </w:p>
    <w:p w14:paraId="3E4AD665" w14:textId="580FBA28" w:rsidR="00C6563F" w:rsidRDefault="00C6563F" w:rsidP="00940288">
      <w:pPr>
        <w:pStyle w:val="DisclaimerBold"/>
      </w:pPr>
    </w:p>
    <w:p w14:paraId="6E6565B9" w14:textId="42FC5834" w:rsidR="00C6563F" w:rsidRDefault="00C6563F" w:rsidP="00940288">
      <w:pPr>
        <w:pStyle w:val="DisclaimerBold"/>
      </w:pPr>
    </w:p>
    <w:p w14:paraId="65D08F3E" w14:textId="0D141AE3" w:rsidR="00C6563F" w:rsidRDefault="00C6563F" w:rsidP="00940288">
      <w:pPr>
        <w:pStyle w:val="DisclaimerBold"/>
      </w:pPr>
    </w:p>
    <w:p w14:paraId="57583661" w14:textId="6E2AFEC1" w:rsidR="00C6563F" w:rsidRDefault="00C6563F" w:rsidP="00940288">
      <w:pPr>
        <w:pStyle w:val="DisclaimerBold"/>
      </w:pPr>
    </w:p>
    <w:p w14:paraId="027C11F3" w14:textId="4162C760" w:rsidR="00C6563F" w:rsidRDefault="00C6563F" w:rsidP="00940288">
      <w:pPr>
        <w:pStyle w:val="DisclaimerBold"/>
      </w:pPr>
    </w:p>
    <w:p w14:paraId="0587785C" w14:textId="392103AA" w:rsidR="001A0F48" w:rsidRDefault="001A0F48" w:rsidP="00940288">
      <w:pPr>
        <w:pStyle w:val="DisclaimerBold"/>
      </w:pPr>
    </w:p>
    <w:p w14:paraId="42966AF9" w14:textId="1F92A09C" w:rsidR="001A0F48" w:rsidRDefault="001A0F48" w:rsidP="00940288">
      <w:pPr>
        <w:pStyle w:val="DisclaimerBold"/>
      </w:pPr>
    </w:p>
    <w:p w14:paraId="57284574" w14:textId="3EFD699A" w:rsidR="001A0F48" w:rsidRDefault="001A0F48" w:rsidP="00940288">
      <w:pPr>
        <w:pStyle w:val="DisclaimerBold"/>
      </w:pPr>
    </w:p>
    <w:p w14:paraId="1AC91975" w14:textId="2FE24F2F" w:rsidR="001A0F48" w:rsidRDefault="001A0F48" w:rsidP="00940288">
      <w:pPr>
        <w:pStyle w:val="DisclaimerBold"/>
      </w:pPr>
    </w:p>
    <w:p w14:paraId="180481F6" w14:textId="7FFA8392" w:rsidR="001A0F48" w:rsidRDefault="001A0F48" w:rsidP="00940288">
      <w:pPr>
        <w:pStyle w:val="DisclaimerBold"/>
      </w:pPr>
    </w:p>
    <w:p w14:paraId="489663A3" w14:textId="4C7937C2" w:rsidR="001A0F48" w:rsidRDefault="001A0F48" w:rsidP="00940288">
      <w:pPr>
        <w:pStyle w:val="DisclaimerBold"/>
      </w:pPr>
    </w:p>
    <w:p w14:paraId="615CFB9F" w14:textId="472DDD0D" w:rsidR="001A0F48" w:rsidRDefault="001A0F48" w:rsidP="00940288">
      <w:pPr>
        <w:pStyle w:val="DisclaimerBold"/>
      </w:pPr>
    </w:p>
    <w:p w14:paraId="458610D7" w14:textId="4340EF22" w:rsidR="001A0F48" w:rsidRDefault="001A0F48" w:rsidP="00940288">
      <w:pPr>
        <w:pStyle w:val="DisclaimerBold"/>
      </w:pPr>
    </w:p>
    <w:p w14:paraId="2D22BBD3" w14:textId="288C6AA4" w:rsidR="001A0F48" w:rsidRDefault="001A0F48" w:rsidP="00940288">
      <w:pPr>
        <w:pStyle w:val="DisclaimerBold"/>
      </w:pPr>
    </w:p>
    <w:p w14:paraId="2DE3D904" w14:textId="19093437" w:rsidR="001A0F48" w:rsidRDefault="001A0F48" w:rsidP="00940288">
      <w:pPr>
        <w:pStyle w:val="DisclaimerBold"/>
      </w:pPr>
    </w:p>
    <w:p w14:paraId="1124D995" w14:textId="77777777" w:rsidR="001A0F48" w:rsidRDefault="001A0F48" w:rsidP="00940288">
      <w:pPr>
        <w:pStyle w:val="DisclaimerBold"/>
      </w:pPr>
    </w:p>
    <w:p w14:paraId="54013DA3" w14:textId="4EA66749" w:rsidR="00E74DF8" w:rsidRDefault="00E74DF8" w:rsidP="00940288">
      <w:pPr>
        <w:pStyle w:val="DisclaimerBold"/>
      </w:pPr>
    </w:p>
    <w:p w14:paraId="60D549E3" w14:textId="718078A8" w:rsidR="00E74DF8" w:rsidRDefault="00E74DF8" w:rsidP="00940288">
      <w:pPr>
        <w:pStyle w:val="DisclaimerBold"/>
      </w:pPr>
    </w:p>
    <w:p w14:paraId="68A1B426" w14:textId="1E88FE08" w:rsidR="00E74DF8" w:rsidRDefault="00E74DF8" w:rsidP="00940288">
      <w:pPr>
        <w:pStyle w:val="DisclaimerBold"/>
      </w:pPr>
    </w:p>
    <w:p w14:paraId="088645C9" w14:textId="77777777" w:rsidR="00E74DF8" w:rsidRDefault="00E74DF8" w:rsidP="00940288">
      <w:pPr>
        <w:pStyle w:val="DisclaimerBold"/>
      </w:pPr>
    </w:p>
    <w:p w14:paraId="6A2184D9" w14:textId="77777777" w:rsidR="00940288" w:rsidRDefault="00940288" w:rsidP="00940288">
      <w:pPr>
        <w:pStyle w:val="DisclaimerBold"/>
      </w:pPr>
    </w:p>
    <w:p w14:paraId="22F25C0A" w14:textId="77777777" w:rsidR="00940288" w:rsidRDefault="00940288" w:rsidP="00940288">
      <w:pPr>
        <w:pStyle w:val="DisclaimerBold"/>
      </w:pPr>
    </w:p>
    <w:p w14:paraId="64B2ED26" w14:textId="499A5A95" w:rsidR="00940288" w:rsidRDefault="00940288" w:rsidP="00940288">
      <w:pPr>
        <w:pStyle w:val="DisclaimerBold"/>
      </w:pPr>
      <w:r>
        <w:t>© Copyright Municipal Association of Victoria,</w:t>
      </w:r>
      <w:r w:rsidR="00FA5DE7">
        <w:t xml:space="preserve"> </w:t>
      </w:r>
      <w:r w:rsidR="00E74DF8">
        <w:t>2020.</w:t>
      </w:r>
    </w:p>
    <w:p w14:paraId="3F40BEDE" w14:textId="77777777" w:rsidR="00940288" w:rsidRDefault="00940288" w:rsidP="00940288">
      <w:pPr>
        <w:pStyle w:val="Disclaimer"/>
      </w:pPr>
    </w:p>
    <w:p w14:paraId="31E7325A" w14:textId="230EC9C4" w:rsidR="00940288" w:rsidRDefault="00940288" w:rsidP="00940288">
      <w:pPr>
        <w:pStyle w:val="Disclaimer"/>
      </w:pPr>
      <w:r>
        <w:t>The Municipal Association of Victoria</w:t>
      </w:r>
      <w:r w:rsidR="00117E72">
        <w:t xml:space="preserve"> (MAV)</w:t>
      </w:r>
      <w:r>
        <w:t xml:space="preserve"> is the owner of the copyright in th</w:t>
      </w:r>
      <w:r w:rsidR="00E74DF8">
        <w:t xml:space="preserve">is </w:t>
      </w:r>
      <w:r>
        <w:t>publication</w:t>
      </w:r>
      <w:r w:rsidR="00E74DF8">
        <w:t>.</w:t>
      </w:r>
      <w:r>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55F8F8E" w14:textId="77777777" w:rsidR="00940288" w:rsidRDefault="00940288" w:rsidP="00940288">
      <w:pPr>
        <w:pStyle w:val="Disclaimer"/>
      </w:pPr>
    </w:p>
    <w:p w14:paraId="2E130704" w14:textId="5542ED9C" w:rsidR="00940288" w:rsidRDefault="00940288" w:rsidP="00940288">
      <w:pPr>
        <w:pStyle w:val="Disclaimer"/>
      </w:pPr>
      <w:r>
        <w:t>All requests to reproduce, store or transmit material contained in the publication should be addressed to</w:t>
      </w:r>
      <w:r w:rsidR="00E74DF8">
        <w:t xml:space="preserve"> the MAV on 03 9667 5555.</w:t>
      </w:r>
      <w:r>
        <w:t xml:space="preserve"> </w:t>
      </w:r>
    </w:p>
    <w:p w14:paraId="4AF7F395" w14:textId="77777777" w:rsidR="00117E72" w:rsidRDefault="00117E72" w:rsidP="00940288">
      <w:pPr>
        <w:pStyle w:val="Disclaimer"/>
      </w:pPr>
    </w:p>
    <w:p w14:paraId="25486B87" w14:textId="2C411362"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3A5594E0" w14:textId="77777777" w:rsidR="00286BB4" w:rsidRDefault="00286BB4" w:rsidP="00940288"/>
    <w:p w14:paraId="003D3091" w14:textId="77777777" w:rsidR="00E47927" w:rsidRDefault="00E47927" w:rsidP="00940288"/>
    <w:p w14:paraId="467CE053" w14:textId="28111A39" w:rsidR="00E47927" w:rsidRPr="00E60810" w:rsidRDefault="009204DD" w:rsidP="00E60810">
      <w:pPr>
        <w:rPr>
          <w:sz w:val="28"/>
          <w:szCs w:val="28"/>
        </w:rPr>
      </w:pPr>
      <w:r w:rsidRPr="00E60810">
        <w:rPr>
          <w:sz w:val="28"/>
          <w:szCs w:val="28"/>
        </w:rPr>
        <w:lastRenderedPageBreak/>
        <w:t>Table of c</w:t>
      </w:r>
      <w:r w:rsidR="00E47927" w:rsidRPr="00E60810">
        <w:rPr>
          <w:sz w:val="28"/>
          <w:szCs w:val="28"/>
        </w:rPr>
        <w:t>ontents</w:t>
      </w:r>
    </w:p>
    <w:p w14:paraId="223137F4" w14:textId="60AF4E51" w:rsidR="009E6CBF" w:rsidRDefault="00B13173">
      <w:pPr>
        <w:pStyle w:val="TOC1"/>
        <w:tabs>
          <w:tab w:val="left" w:pos="440"/>
          <w:tab w:val="right" w:leader="dot" w:pos="9350"/>
        </w:tabs>
        <w:rPr>
          <w:rFonts w:asciiTheme="minorHAnsi" w:eastAsiaTheme="minorEastAsia" w:hAnsiTheme="minorHAnsi" w:cstheme="minorBidi"/>
          <w:i w:val="0"/>
          <w:noProof/>
          <w:lang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34405646" w:history="1">
        <w:r w:rsidR="009E6CBF" w:rsidRPr="003A29DA">
          <w:rPr>
            <w:rStyle w:val="Hyperlink"/>
            <w:noProof/>
          </w:rPr>
          <w:t>1</w:t>
        </w:r>
        <w:r w:rsidR="009E6CBF">
          <w:rPr>
            <w:rFonts w:asciiTheme="minorHAnsi" w:eastAsiaTheme="minorEastAsia" w:hAnsiTheme="minorHAnsi" w:cstheme="minorBidi"/>
            <w:i w:val="0"/>
            <w:noProof/>
            <w:lang w:eastAsia="en-AU"/>
          </w:rPr>
          <w:tab/>
        </w:r>
        <w:r w:rsidR="009E6CBF" w:rsidRPr="003A29DA">
          <w:rPr>
            <w:rStyle w:val="Hyperlink"/>
            <w:noProof/>
          </w:rPr>
          <w:t>Executive summary</w:t>
        </w:r>
        <w:r w:rsidR="009E6CBF">
          <w:rPr>
            <w:noProof/>
            <w:webHidden/>
          </w:rPr>
          <w:tab/>
        </w:r>
        <w:r w:rsidR="009E6CBF">
          <w:rPr>
            <w:noProof/>
            <w:webHidden/>
          </w:rPr>
          <w:fldChar w:fldCharType="begin"/>
        </w:r>
        <w:r w:rsidR="009E6CBF">
          <w:rPr>
            <w:noProof/>
            <w:webHidden/>
          </w:rPr>
          <w:instrText xml:space="preserve"> PAGEREF _Toc34405646 \h </w:instrText>
        </w:r>
        <w:r w:rsidR="009E6CBF">
          <w:rPr>
            <w:noProof/>
            <w:webHidden/>
          </w:rPr>
        </w:r>
        <w:r w:rsidR="009E6CBF">
          <w:rPr>
            <w:noProof/>
            <w:webHidden/>
          </w:rPr>
          <w:fldChar w:fldCharType="separate"/>
        </w:r>
        <w:r w:rsidR="009E6CBF">
          <w:rPr>
            <w:noProof/>
            <w:webHidden/>
          </w:rPr>
          <w:t>4</w:t>
        </w:r>
        <w:r w:rsidR="009E6CBF">
          <w:rPr>
            <w:noProof/>
            <w:webHidden/>
          </w:rPr>
          <w:fldChar w:fldCharType="end"/>
        </w:r>
      </w:hyperlink>
    </w:p>
    <w:p w14:paraId="553C4F26" w14:textId="38295DBB" w:rsidR="009E6CBF" w:rsidRDefault="009E6CBF">
      <w:pPr>
        <w:pStyle w:val="TOC1"/>
        <w:tabs>
          <w:tab w:val="left" w:pos="440"/>
          <w:tab w:val="right" w:leader="dot" w:pos="9350"/>
        </w:tabs>
        <w:rPr>
          <w:rFonts w:asciiTheme="minorHAnsi" w:eastAsiaTheme="minorEastAsia" w:hAnsiTheme="minorHAnsi" w:cstheme="minorBidi"/>
          <w:i w:val="0"/>
          <w:noProof/>
          <w:lang w:eastAsia="en-AU"/>
        </w:rPr>
      </w:pPr>
      <w:hyperlink w:anchor="_Toc34405647" w:history="1">
        <w:r w:rsidRPr="003A29DA">
          <w:rPr>
            <w:rStyle w:val="Hyperlink"/>
            <w:noProof/>
          </w:rPr>
          <w:t>2</w:t>
        </w:r>
        <w:r>
          <w:rPr>
            <w:rFonts w:asciiTheme="minorHAnsi" w:eastAsiaTheme="minorEastAsia" w:hAnsiTheme="minorHAnsi" w:cstheme="minorBidi"/>
            <w:i w:val="0"/>
            <w:noProof/>
            <w:lang w:eastAsia="en-AU"/>
          </w:rPr>
          <w:tab/>
        </w:r>
        <w:r w:rsidRPr="003A29DA">
          <w:rPr>
            <w:rStyle w:val="Hyperlink"/>
            <w:noProof/>
          </w:rPr>
          <w:t>Introduction</w:t>
        </w:r>
        <w:r>
          <w:rPr>
            <w:noProof/>
            <w:webHidden/>
          </w:rPr>
          <w:tab/>
        </w:r>
        <w:r>
          <w:rPr>
            <w:noProof/>
            <w:webHidden/>
          </w:rPr>
          <w:fldChar w:fldCharType="begin"/>
        </w:r>
        <w:r>
          <w:rPr>
            <w:noProof/>
            <w:webHidden/>
          </w:rPr>
          <w:instrText xml:space="preserve"> PAGEREF _Toc34405647 \h </w:instrText>
        </w:r>
        <w:r>
          <w:rPr>
            <w:noProof/>
            <w:webHidden/>
          </w:rPr>
        </w:r>
        <w:r>
          <w:rPr>
            <w:noProof/>
            <w:webHidden/>
          </w:rPr>
          <w:fldChar w:fldCharType="separate"/>
        </w:r>
        <w:r>
          <w:rPr>
            <w:noProof/>
            <w:webHidden/>
          </w:rPr>
          <w:t>7</w:t>
        </w:r>
        <w:r>
          <w:rPr>
            <w:noProof/>
            <w:webHidden/>
          </w:rPr>
          <w:fldChar w:fldCharType="end"/>
        </w:r>
      </w:hyperlink>
    </w:p>
    <w:p w14:paraId="05B557E6" w14:textId="1AB01C54" w:rsidR="009E6CBF" w:rsidRDefault="009E6CBF">
      <w:pPr>
        <w:pStyle w:val="TOC1"/>
        <w:tabs>
          <w:tab w:val="left" w:pos="440"/>
          <w:tab w:val="right" w:leader="dot" w:pos="9350"/>
        </w:tabs>
        <w:rPr>
          <w:rFonts w:asciiTheme="minorHAnsi" w:eastAsiaTheme="minorEastAsia" w:hAnsiTheme="minorHAnsi" w:cstheme="minorBidi"/>
          <w:i w:val="0"/>
          <w:noProof/>
          <w:lang w:eastAsia="en-AU"/>
        </w:rPr>
      </w:pPr>
      <w:hyperlink w:anchor="_Toc34405648" w:history="1">
        <w:r w:rsidRPr="003A29DA">
          <w:rPr>
            <w:rStyle w:val="Hyperlink"/>
            <w:noProof/>
          </w:rPr>
          <w:t>3</w:t>
        </w:r>
        <w:r>
          <w:rPr>
            <w:rFonts w:asciiTheme="minorHAnsi" w:eastAsiaTheme="minorEastAsia" w:hAnsiTheme="minorHAnsi" w:cstheme="minorBidi"/>
            <w:i w:val="0"/>
            <w:noProof/>
            <w:lang w:eastAsia="en-AU"/>
          </w:rPr>
          <w:tab/>
        </w:r>
        <w:r w:rsidRPr="003A29DA">
          <w:rPr>
            <w:rStyle w:val="Hyperlink"/>
            <w:noProof/>
          </w:rPr>
          <w:t>The regulatory impact statement</w:t>
        </w:r>
        <w:r>
          <w:rPr>
            <w:noProof/>
            <w:webHidden/>
          </w:rPr>
          <w:tab/>
        </w:r>
        <w:r>
          <w:rPr>
            <w:noProof/>
            <w:webHidden/>
          </w:rPr>
          <w:fldChar w:fldCharType="begin"/>
        </w:r>
        <w:r>
          <w:rPr>
            <w:noProof/>
            <w:webHidden/>
          </w:rPr>
          <w:instrText xml:space="preserve"> PAGEREF _Toc34405648 \h </w:instrText>
        </w:r>
        <w:r>
          <w:rPr>
            <w:noProof/>
            <w:webHidden/>
          </w:rPr>
        </w:r>
        <w:r>
          <w:rPr>
            <w:noProof/>
            <w:webHidden/>
          </w:rPr>
          <w:fldChar w:fldCharType="separate"/>
        </w:r>
        <w:r>
          <w:rPr>
            <w:noProof/>
            <w:webHidden/>
          </w:rPr>
          <w:t>8</w:t>
        </w:r>
        <w:r>
          <w:rPr>
            <w:noProof/>
            <w:webHidden/>
          </w:rPr>
          <w:fldChar w:fldCharType="end"/>
        </w:r>
      </w:hyperlink>
    </w:p>
    <w:p w14:paraId="18F9C608" w14:textId="7DAC23F8" w:rsidR="009E6CBF" w:rsidRDefault="009E6CBF">
      <w:pPr>
        <w:pStyle w:val="TOC2"/>
        <w:tabs>
          <w:tab w:val="right" w:leader="dot" w:pos="9350"/>
        </w:tabs>
        <w:rPr>
          <w:rFonts w:asciiTheme="minorHAnsi" w:eastAsiaTheme="minorEastAsia" w:hAnsiTheme="minorHAnsi" w:cstheme="minorBidi"/>
          <w:noProof/>
          <w:lang w:eastAsia="en-AU"/>
        </w:rPr>
      </w:pPr>
      <w:hyperlink w:anchor="_Toc34405649" w:history="1">
        <w:r w:rsidRPr="003A29DA">
          <w:rPr>
            <w:rStyle w:val="Hyperlink"/>
            <w:noProof/>
          </w:rPr>
          <w:t>Key gap in RIS</w:t>
        </w:r>
        <w:r>
          <w:rPr>
            <w:noProof/>
            <w:webHidden/>
          </w:rPr>
          <w:tab/>
        </w:r>
        <w:r>
          <w:rPr>
            <w:noProof/>
            <w:webHidden/>
          </w:rPr>
          <w:fldChar w:fldCharType="begin"/>
        </w:r>
        <w:r>
          <w:rPr>
            <w:noProof/>
            <w:webHidden/>
          </w:rPr>
          <w:instrText xml:space="preserve"> PAGEREF _Toc34405649 \h </w:instrText>
        </w:r>
        <w:r>
          <w:rPr>
            <w:noProof/>
            <w:webHidden/>
          </w:rPr>
        </w:r>
        <w:r>
          <w:rPr>
            <w:noProof/>
            <w:webHidden/>
          </w:rPr>
          <w:fldChar w:fldCharType="separate"/>
        </w:r>
        <w:r>
          <w:rPr>
            <w:noProof/>
            <w:webHidden/>
          </w:rPr>
          <w:t>9</w:t>
        </w:r>
        <w:r>
          <w:rPr>
            <w:noProof/>
            <w:webHidden/>
          </w:rPr>
          <w:fldChar w:fldCharType="end"/>
        </w:r>
      </w:hyperlink>
    </w:p>
    <w:p w14:paraId="412EF294" w14:textId="2EA04FE0" w:rsidR="009E6CBF" w:rsidRDefault="009E6CBF">
      <w:pPr>
        <w:pStyle w:val="TOC1"/>
        <w:tabs>
          <w:tab w:val="left" w:pos="440"/>
          <w:tab w:val="right" w:leader="dot" w:pos="9350"/>
        </w:tabs>
        <w:rPr>
          <w:rFonts w:asciiTheme="minorHAnsi" w:eastAsiaTheme="minorEastAsia" w:hAnsiTheme="minorHAnsi" w:cstheme="minorBidi"/>
          <w:i w:val="0"/>
          <w:noProof/>
          <w:lang w:eastAsia="en-AU"/>
        </w:rPr>
      </w:pPr>
      <w:hyperlink w:anchor="_Toc34405650" w:history="1">
        <w:r w:rsidRPr="003A29DA">
          <w:rPr>
            <w:rStyle w:val="Hyperlink"/>
            <w:noProof/>
          </w:rPr>
          <w:t>4</w:t>
        </w:r>
        <w:r>
          <w:rPr>
            <w:rFonts w:asciiTheme="minorHAnsi" w:eastAsiaTheme="minorEastAsia" w:hAnsiTheme="minorHAnsi" w:cstheme="minorBidi"/>
            <w:i w:val="0"/>
            <w:noProof/>
            <w:lang w:eastAsia="en-AU"/>
          </w:rPr>
          <w:tab/>
        </w:r>
        <w:r w:rsidRPr="003A29DA">
          <w:rPr>
            <w:rStyle w:val="Hyperlink"/>
            <w:noProof/>
          </w:rPr>
          <w:t>Proposed regulatory changes</w:t>
        </w:r>
        <w:r>
          <w:rPr>
            <w:noProof/>
            <w:webHidden/>
          </w:rPr>
          <w:tab/>
        </w:r>
        <w:r>
          <w:rPr>
            <w:noProof/>
            <w:webHidden/>
          </w:rPr>
          <w:fldChar w:fldCharType="begin"/>
        </w:r>
        <w:r>
          <w:rPr>
            <w:noProof/>
            <w:webHidden/>
          </w:rPr>
          <w:instrText xml:space="preserve"> PAGEREF _Toc34405650 \h </w:instrText>
        </w:r>
        <w:r>
          <w:rPr>
            <w:noProof/>
            <w:webHidden/>
          </w:rPr>
        </w:r>
        <w:r>
          <w:rPr>
            <w:noProof/>
            <w:webHidden/>
          </w:rPr>
          <w:fldChar w:fldCharType="separate"/>
        </w:r>
        <w:r>
          <w:rPr>
            <w:noProof/>
            <w:webHidden/>
          </w:rPr>
          <w:t>10</w:t>
        </w:r>
        <w:r>
          <w:rPr>
            <w:noProof/>
            <w:webHidden/>
          </w:rPr>
          <w:fldChar w:fldCharType="end"/>
        </w:r>
      </w:hyperlink>
    </w:p>
    <w:p w14:paraId="411CF128" w14:textId="2C053647" w:rsidR="009E6CBF" w:rsidRDefault="009E6CBF">
      <w:pPr>
        <w:pStyle w:val="TOC1"/>
        <w:tabs>
          <w:tab w:val="left" w:pos="440"/>
          <w:tab w:val="right" w:leader="dot" w:pos="9350"/>
        </w:tabs>
        <w:rPr>
          <w:rFonts w:asciiTheme="minorHAnsi" w:eastAsiaTheme="minorEastAsia" w:hAnsiTheme="minorHAnsi" w:cstheme="minorBidi"/>
          <w:i w:val="0"/>
          <w:noProof/>
          <w:lang w:eastAsia="en-AU"/>
        </w:rPr>
      </w:pPr>
      <w:hyperlink w:anchor="_Toc34405651" w:history="1">
        <w:r w:rsidRPr="003A29DA">
          <w:rPr>
            <w:rStyle w:val="Hyperlink"/>
            <w:noProof/>
          </w:rPr>
          <w:t>5</w:t>
        </w:r>
        <w:r>
          <w:rPr>
            <w:rFonts w:asciiTheme="minorHAnsi" w:eastAsiaTheme="minorEastAsia" w:hAnsiTheme="minorHAnsi" w:cstheme="minorBidi"/>
            <w:i w:val="0"/>
            <w:noProof/>
            <w:lang w:eastAsia="en-AU"/>
          </w:rPr>
          <w:tab/>
        </w:r>
        <w:r w:rsidRPr="003A29DA">
          <w:rPr>
            <w:rStyle w:val="Hyperlink"/>
            <w:noProof/>
          </w:rPr>
          <w:t>Proposed additional changes</w:t>
        </w:r>
        <w:r>
          <w:rPr>
            <w:noProof/>
            <w:webHidden/>
          </w:rPr>
          <w:tab/>
        </w:r>
        <w:r>
          <w:rPr>
            <w:noProof/>
            <w:webHidden/>
          </w:rPr>
          <w:fldChar w:fldCharType="begin"/>
        </w:r>
        <w:r>
          <w:rPr>
            <w:noProof/>
            <w:webHidden/>
          </w:rPr>
          <w:instrText xml:space="preserve"> PAGEREF _Toc34405651 \h </w:instrText>
        </w:r>
        <w:r>
          <w:rPr>
            <w:noProof/>
            <w:webHidden/>
          </w:rPr>
        </w:r>
        <w:r>
          <w:rPr>
            <w:noProof/>
            <w:webHidden/>
          </w:rPr>
          <w:fldChar w:fldCharType="separate"/>
        </w:r>
        <w:r>
          <w:rPr>
            <w:noProof/>
            <w:webHidden/>
          </w:rPr>
          <w:t>14</w:t>
        </w:r>
        <w:r>
          <w:rPr>
            <w:noProof/>
            <w:webHidden/>
          </w:rPr>
          <w:fldChar w:fldCharType="end"/>
        </w:r>
      </w:hyperlink>
    </w:p>
    <w:p w14:paraId="0E5C59C2" w14:textId="0C2407B9" w:rsidR="009E6CBF" w:rsidRDefault="009E6CBF">
      <w:pPr>
        <w:pStyle w:val="TOC2"/>
        <w:tabs>
          <w:tab w:val="right" w:leader="dot" w:pos="9350"/>
        </w:tabs>
        <w:rPr>
          <w:rFonts w:asciiTheme="minorHAnsi" w:eastAsiaTheme="minorEastAsia" w:hAnsiTheme="minorHAnsi" w:cstheme="minorBidi"/>
          <w:noProof/>
          <w:lang w:eastAsia="en-AU"/>
        </w:rPr>
      </w:pPr>
      <w:hyperlink w:anchor="_Toc34405652" w:history="1">
        <w:r w:rsidRPr="003A29DA">
          <w:rPr>
            <w:rStyle w:val="Hyperlink"/>
            <w:noProof/>
          </w:rPr>
          <w:t>Structural branches near uninsulated LV in LBRA</w:t>
        </w:r>
        <w:r>
          <w:rPr>
            <w:noProof/>
            <w:webHidden/>
          </w:rPr>
          <w:tab/>
        </w:r>
        <w:r>
          <w:rPr>
            <w:noProof/>
            <w:webHidden/>
          </w:rPr>
          <w:fldChar w:fldCharType="begin"/>
        </w:r>
        <w:r>
          <w:rPr>
            <w:noProof/>
            <w:webHidden/>
          </w:rPr>
          <w:instrText xml:space="preserve"> PAGEREF _Toc34405652 \h </w:instrText>
        </w:r>
        <w:r>
          <w:rPr>
            <w:noProof/>
            <w:webHidden/>
          </w:rPr>
        </w:r>
        <w:r>
          <w:rPr>
            <w:noProof/>
            <w:webHidden/>
          </w:rPr>
          <w:fldChar w:fldCharType="separate"/>
        </w:r>
        <w:r>
          <w:rPr>
            <w:noProof/>
            <w:webHidden/>
          </w:rPr>
          <w:t>14</w:t>
        </w:r>
        <w:r>
          <w:rPr>
            <w:noProof/>
            <w:webHidden/>
          </w:rPr>
          <w:fldChar w:fldCharType="end"/>
        </w:r>
      </w:hyperlink>
    </w:p>
    <w:p w14:paraId="07EC333C" w14:textId="7342DDDB" w:rsidR="009E6CBF" w:rsidRDefault="009E6CBF">
      <w:pPr>
        <w:pStyle w:val="TOC2"/>
        <w:tabs>
          <w:tab w:val="right" w:leader="dot" w:pos="9350"/>
        </w:tabs>
        <w:rPr>
          <w:rFonts w:asciiTheme="minorHAnsi" w:eastAsiaTheme="minorEastAsia" w:hAnsiTheme="minorHAnsi" w:cstheme="minorBidi"/>
          <w:noProof/>
          <w:lang w:eastAsia="en-AU"/>
        </w:rPr>
      </w:pPr>
      <w:hyperlink w:anchor="_Toc34405653" w:history="1">
        <w:r w:rsidRPr="003A29DA">
          <w:rPr>
            <w:rStyle w:val="Hyperlink"/>
            <w:noProof/>
          </w:rPr>
          <w:t>6.6kV and 11kV in low bushfire risk areas</w:t>
        </w:r>
        <w:r>
          <w:rPr>
            <w:noProof/>
            <w:webHidden/>
          </w:rPr>
          <w:tab/>
        </w:r>
        <w:r>
          <w:rPr>
            <w:noProof/>
            <w:webHidden/>
          </w:rPr>
          <w:fldChar w:fldCharType="begin"/>
        </w:r>
        <w:r>
          <w:rPr>
            <w:noProof/>
            <w:webHidden/>
          </w:rPr>
          <w:instrText xml:space="preserve"> PAGEREF _Toc34405653 \h </w:instrText>
        </w:r>
        <w:r>
          <w:rPr>
            <w:noProof/>
            <w:webHidden/>
          </w:rPr>
        </w:r>
        <w:r>
          <w:rPr>
            <w:noProof/>
            <w:webHidden/>
          </w:rPr>
          <w:fldChar w:fldCharType="separate"/>
        </w:r>
        <w:r>
          <w:rPr>
            <w:noProof/>
            <w:webHidden/>
          </w:rPr>
          <w:t>15</w:t>
        </w:r>
        <w:r>
          <w:rPr>
            <w:noProof/>
            <w:webHidden/>
          </w:rPr>
          <w:fldChar w:fldCharType="end"/>
        </w:r>
      </w:hyperlink>
    </w:p>
    <w:p w14:paraId="0B762A6A" w14:textId="68388368" w:rsidR="009E6CBF" w:rsidRDefault="009E6CBF">
      <w:pPr>
        <w:pStyle w:val="TOC2"/>
        <w:tabs>
          <w:tab w:val="right" w:leader="dot" w:pos="9350"/>
        </w:tabs>
        <w:rPr>
          <w:rFonts w:asciiTheme="minorHAnsi" w:eastAsiaTheme="minorEastAsia" w:hAnsiTheme="minorHAnsi" w:cstheme="minorBidi"/>
          <w:noProof/>
          <w:lang w:eastAsia="en-AU"/>
        </w:rPr>
      </w:pPr>
      <w:hyperlink w:anchor="_Toc34405654" w:history="1">
        <w:r w:rsidRPr="003A29DA">
          <w:rPr>
            <w:rStyle w:val="Hyperlink"/>
            <w:noProof/>
          </w:rPr>
          <w:t>Outage and conductor down data</w:t>
        </w:r>
        <w:r>
          <w:rPr>
            <w:noProof/>
            <w:webHidden/>
          </w:rPr>
          <w:tab/>
        </w:r>
        <w:r>
          <w:rPr>
            <w:noProof/>
            <w:webHidden/>
          </w:rPr>
          <w:fldChar w:fldCharType="begin"/>
        </w:r>
        <w:r>
          <w:rPr>
            <w:noProof/>
            <w:webHidden/>
          </w:rPr>
          <w:instrText xml:space="preserve"> PAGEREF _Toc34405654 \h </w:instrText>
        </w:r>
        <w:r>
          <w:rPr>
            <w:noProof/>
            <w:webHidden/>
          </w:rPr>
        </w:r>
        <w:r>
          <w:rPr>
            <w:noProof/>
            <w:webHidden/>
          </w:rPr>
          <w:fldChar w:fldCharType="separate"/>
        </w:r>
        <w:r>
          <w:rPr>
            <w:noProof/>
            <w:webHidden/>
          </w:rPr>
          <w:t>15</w:t>
        </w:r>
        <w:r>
          <w:rPr>
            <w:noProof/>
            <w:webHidden/>
          </w:rPr>
          <w:fldChar w:fldCharType="end"/>
        </w:r>
      </w:hyperlink>
    </w:p>
    <w:p w14:paraId="4F45DF07" w14:textId="10A7F6CF" w:rsidR="009E6CBF" w:rsidRDefault="009E6CBF">
      <w:pPr>
        <w:pStyle w:val="TOC2"/>
        <w:tabs>
          <w:tab w:val="right" w:leader="dot" w:pos="9350"/>
        </w:tabs>
        <w:rPr>
          <w:rFonts w:asciiTheme="minorHAnsi" w:eastAsiaTheme="minorEastAsia" w:hAnsiTheme="minorHAnsi" w:cstheme="minorBidi"/>
          <w:noProof/>
          <w:lang w:eastAsia="en-AU"/>
        </w:rPr>
      </w:pPr>
      <w:hyperlink w:anchor="_Toc34405655" w:history="1">
        <w:r w:rsidRPr="003A29DA">
          <w:rPr>
            <w:rStyle w:val="Hyperlink"/>
            <w:noProof/>
          </w:rPr>
          <w:t>Exception clauses</w:t>
        </w:r>
        <w:r>
          <w:rPr>
            <w:noProof/>
            <w:webHidden/>
          </w:rPr>
          <w:tab/>
        </w:r>
        <w:r>
          <w:rPr>
            <w:noProof/>
            <w:webHidden/>
          </w:rPr>
          <w:fldChar w:fldCharType="begin"/>
        </w:r>
        <w:r>
          <w:rPr>
            <w:noProof/>
            <w:webHidden/>
          </w:rPr>
          <w:instrText xml:space="preserve"> PAGEREF _Toc34405655 \h </w:instrText>
        </w:r>
        <w:r>
          <w:rPr>
            <w:noProof/>
            <w:webHidden/>
          </w:rPr>
        </w:r>
        <w:r>
          <w:rPr>
            <w:noProof/>
            <w:webHidden/>
          </w:rPr>
          <w:fldChar w:fldCharType="separate"/>
        </w:r>
        <w:r>
          <w:rPr>
            <w:noProof/>
            <w:webHidden/>
          </w:rPr>
          <w:t>16</w:t>
        </w:r>
        <w:r>
          <w:rPr>
            <w:noProof/>
            <w:webHidden/>
          </w:rPr>
          <w:fldChar w:fldCharType="end"/>
        </w:r>
      </w:hyperlink>
    </w:p>
    <w:p w14:paraId="4689E410" w14:textId="33811FE9" w:rsidR="009E6CBF" w:rsidRDefault="009E6CBF">
      <w:pPr>
        <w:pStyle w:val="TOC1"/>
        <w:tabs>
          <w:tab w:val="right" w:leader="dot" w:pos="9350"/>
        </w:tabs>
        <w:rPr>
          <w:rFonts w:asciiTheme="minorHAnsi" w:eastAsiaTheme="minorEastAsia" w:hAnsiTheme="minorHAnsi" w:cstheme="minorBidi"/>
          <w:i w:val="0"/>
          <w:noProof/>
          <w:lang w:eastAsia="en-AU"/>
        </w:rPr>
      </w:pPr>
      <w:hyperlink w:anchor="_Toc34405656" w:history="1">
        <w:r w:rsidRPr="003A29DA">
          <w:rPr>
            <w:rStyle w:val="Hyperlink"/>
            <w:noProof/>
          </w:rPr>
          <w:t>ELCCC membership</w:t>
        </w:r>
        <w:r>
          <w:rPr>
            <w:noProof/>
            <w:webHidden/>
          </w:rPr>
          <w:tab/>
        </w:r>
        <w:r>
          <w:rPr>
            <w:noProof/>
            <w:webHidden/>
          </w:rPr>
          <w:fldChar w:fldCharType="begin"/>
        </w:r>
        <w:r>
          <w:rPr>
            <w:noProof/>
            <w:webHidden/>
          </w:rPr>
          <w:instrText xml:space="preserve"> PAGEREF _Toc34405656 \h </w:instrText>
        </w:r>
        <w:r>
          <w:rPr>
            <w:noProof/>
            <w:webHidden/>
          </w:rPr>
        </w:r>
        <w:r>
          <w:rPr>
            <w:noProof/>
            <w:webHidden/>
          </w:rPr>
          <w:fldChar w:fldCharType="separate"/>
        </w:r>
        <w:r>
          <w:rPr>
            <w:noProof/>
            <w:webHidden/>
          </w:rPr>
          <w:t>16</w:t>
        </w:r>
        <w:r>
          <w:rPr>
            <w:noProof/>
            <w:webHidden/>
          </w:rPr>
          <w:fldChar w:fldCharType="end"/>
        </w:r>
      </w:hyperlink>
    </w:p>
    <w:p w14:paraId="4B5EDC32" w14:textId="42B2CA18" w:rsidR="00E47927" w:rsidRPr="000C3436" w:rsidRDefault="00B13173" w:rsidP="00940288">
      <w:pPr>
        <w:rPr>
          <w:rFonts w:cs="Arial"/>
        </w:rPr>
        <w:sectPr w:rsidR="00E47927" w:rsidRPr="000C3436" w:rsidSect="001605EC">
          <w:headerReference w:type="default" r:id="rId14"/>
          <w:pgSz w:w="12240" w:h="15840"/>
          <w:pgMar w:top="1440" w:right="1440" w:bottom="1440" w:left="1440" w:header="708" w:footer="708" w:gutter="0"/>
          <w:cols w:space="708"/>
          <w:titlePg/>
          <w:docGrid w:linePitch="360"/>
        </w:sectPr>
      </w:pPr>
      <w:r w:rsidRPr="000C3436">
        <w:rPr>
          <w:rFonts w:cs="Arial"/>
        </w:rPr>
        <w:fldChar w:fldCharType="end"/>
      </w:r>
      <w:bookmarkStart w:id="0" w:name="_GoBack"/>
      <w:bookmarkEnd w:id="0"/>
    </w:p>
    <w:p w14:paraId="11323578" w14:textId="14E861F0" w:rsidR="00207081" w:rsidRPr="00A86F9C" w:rsidRDefault="00CB5C84" w:rsidP="00A6480A">
      <w:pPr>
        <w:pStyle w:val="Heading1"/>
        <w:spacing w:before="0" w:after="0"/>
        <w:ind w:left="426" w:hanging="426"/>
      </w:pPr>
      <w:bookmarkStart w:id="1" w:name="_Toc248038849"/>
      <w:bookmarkStart w:id="2" w:name="_Toc34405646"/>
      <w:r>
        <w:lastRenderedPageBreak/>
        <w:t>Executive s</w:t>
      </w:r>
      <w:r w:rsidR="00207081" w:rsidRPr="00A86F9C">
        <w:t>ummary</w:t>
      </w:r>
      <w:bookmarkEnd w:id="1"/>
      <w:bookmarkEnd w:id="2"/>
      <w:r w:rsidR="00B13173" w:rsidRPr="00A86F9C">
        <w:fldChar w:fldCharType="begin"/>
      </w:r>
      <w:r w:rsidR="00AD6A6E" w:rsidRPr="00A86F9C">
        <w:instrText xml:space="preserve"> XE "1 Executive Summary" </w:instrText>
      </w:r>
      <w:r w:rsidR="00B13173" w:rsidRPr="00A86F9C">
        <w:fldChar w:fldCharType="end"/>
      </w:r>
      <w:r w:rsidR="00B13173" w:rsidRPr="00A86F9C">
        <w:fldChar w:fldCharType="begin"/>
      </w:r>
      <w:r w:rsidR="00CA0701" w:rsidRPr="00A86F9C">
        <w:instrText xml:space="preserve"> XE "1 Executive Summary" </w:instrText>
      </w:r>
      <w:r w:rsidR="00B13173" w:rsidRPr="00A86F9C">
        <w:fldChar w:fldCharType="end"/>
      </w:r>
    </w:p>
    <w:p w14:paraId="328E8260" w14:textId="3AD7E560" w:rsidR="1D95D326" w:rsidRDefault="1D95D326" w:rsidP="0021546A">
      <w:pPr>
        <w:spacing w:after="0" w:line="240" w:lineRule="auto"/>
        <w:rPr>
          <w:rFonts w:cs="Arial"/>
        </w:rPr>
      </w:pPr>
    </w:p>
    <w:p w14:paraId="7F81E0F8" w14:textId="668C87C4" w:rsidR="003256AA" w:rsidRDefault="003256AA" w:rsidP="0021546A">
      <w:pPr>
        <w:tabs>
          <w:tab w:val="left" w:pos="363"/>
        </w:tabs>
        <w:spacing w:after="0"/>
        <w:rPr>
          <w:rFonts w:cs="Arial"/>
        </w:rPr>
      </w:pPr>
      <w:r w:rsidRPr="0021546A">
        <w:rPr>
          <w:rFonts w:cs="Arial"/>
        </w:rPr>
        <w:t xml:space="preserve">As responsible persons under the </w:t>
      </w:r>
      <w:r w:rsidRPr="0021546A">
        <w:rPr>
          <w:rFonts w:cs="Arial"/>
          <w:i/>
          <w:iCs/>
        </w:rPr>
        <w:t>Electricity Safety Act 1998</w:t>
      </w:r>
      <w:r w:rsidRPr="0021546A">
        <w:rPr>
          <w:rFonts w:cs="Arial"/>
        </w:rPr>
        <w:t xml:space="preserve"> and as public land managers, </w:t>
      </w:r>
      <w:r w:rsidR="00796193">
        <w:rPr>
          <w:rFonts w:cs="Arial"/>
        </w:rPr>
        <w:t>councils</w:t>
      </w:r>
      <w:r w:rsidRPr="0021546A">
        <w:rPr>
          <w:rFonts w:cs="Arial"/>
        </w:rPr>
        <w:t xml:space="preserve"> a</w:t>
      </w:r>
      <w:r w:rsidR="00796193">
        <w:rPr>
          <w:rFonts w:cs="Arial"/>
        </w:rPr>
        <w:t>re</w:t>
      </w:r>
      <w:r w:rsidRPr="0021546A">
        <w:rPr>
          <w:rFonts w:cs="Arial"/>
        </w:rPr>
        <w:t xml:space="preserve"> critical stakeholder</w:t>
      </w:r>
      <w:r w:rsidR="00796193">
        <w:rPr>
          <w:rFonts w:cs="Arial"/>
        </w:rPr>
        <w:t>s</w:t>
      </w:r>
      <w:r w:rsidRPr="0021546A">
        <w:rPr>
          <w:rFonts w:cs="Arial"/>
        </w:rPr>
        <w:t xml:space="preserve"> in relation to management of vegetation around powerlines. For several years now, </w:t>
      </w:r>
      <w:r w:rsidR="003A3935">
        <w:rPr>
          <w:rFonts w:cs="Arial"/>
        </w:rPr>
        <w:t>local government has</w:t>
      </w:r>
      <w:r w:rsidRPr="0021546A">
        <w:rPr>
          <w:rFonts w:cs="Arial"/>
        </w:rPr>
        <w:t xml:space="preserve"> argued for a </w:t>
      </w:r>
      <w:r w:rsidR="005F51DA" w:rsidRPr="0021546A">
        <w:rPr>
          <w:rFonts w:cs="Arial"/>
        </w:rPr>
        <w:t xml:space="preserve">regulatory regime that </w:t>
      </w:r>
      <w:r w:rsidRPr="0021546A">
        <w:rPr>
          <w:rFonts w:cs="Arial"/>
        </w:rPr>
        <w:t>sensibl</w:t>
      </w:r>
      <w:r w:rsidR="005F51DA" w:rsidRPr="0021546A">
        <w:rPr>
          <w:rFonts w:cs="Arial"/>
        </w:rPr>
        <w:t>y</w:t>
      </w:r>
      <w:r w:rsidRPr="0021546A">
        <w:rPr>
          <w:rFonts w:cs="Arial"/>
        </w:rPr>
        <w:t xml:space="preserve"> balance</w:t>
      </w:r>
      <w:r w:rsidR="005F51DA" w:rsidRPr="0021546A">
        <w:rPr>
          <w:rFonts w:cs="Arial"/>
        </w:rPr>
        <w:t>s</w:t>
      </w:r>
      <w:r w:rsidRPr="0021546A">
        <w:rPr>
          <w:rFonts w:cs="Arial"/>
        </w:rPr>
        <w:t xml:space="preserve"> safety</w:t>
      </w:r>
      <w:r w:rsidR="005F51DA" w:rsidRPr="0021546A">
        <w:rPr>
          <w:rFonts w:cs="Arial"/>
        </w:rPr>
        <w:t>,</w:t>
      </w:r>
      <w:r w:rsidRPr="0021546A">
        <w:rPr>
          <w:rFonts w:cs="Arial"/>
        </w:rPr>
        <w:t xml:space="preserve"> amenity and environmental </w:t>
      </w:r>
      <w:r w:rsidR="005F51DA" w:rsidRPr="0021546A">
        <w:rPr>
          <w:rFonts w:cs="Arial"/>
        </w:rPr>
        <w:t>considerations</w:t>
      </w:r>
      <w:r w:rsidR="006203B2">
        <w:rPr>
          <w:rFonts w:cs="Arial"/>
        </w:rPr>
        <w:t xml:space="preserve"> in low bushfire risk areas</w:t>
      </w:r>
      <w:r w:rsidRPr="0021546A">
        <w:rPr>
          <w:rFonts w:cs="Arial"/>
        </w:rPr>
        <w:t>. This is an ongoing challenge that has not yet been adequately addressed by the</w:t>
      </w:r>
      <w:r w:rsidR="008A3F1B" w:rsidRPr="0021546A">
        <w:rPr>
          <w:rFonts w:cs="Arial"/>
        </w:rPr>
        <w:t xml:space="preserve"> </w:t>
      </w:r>
      <w:r w:rsidR="008A3F1B" w:rsidRPr="0021546A">
        <w:rPr>
          <w:rFonts w:cs="Arial"/>
          <w:i/>
          <w:iCs/>
        </w:rPr>
        <w:t>Electricity Safety (Electric Line Clearance) R</w:t>
      </w:r>
      <w:r w:rsidRPr="0021546A">
        <w:rPr>
          <w:rFonts w:cs="Arial"/>
          <w:i/>
          <w:iCs/>
        </w:rPr>
        <w:t>egulations</w:t>
      </w:r>
      <w:r w:rsidR="001D7B2E" w:rsidRPr="0021546A">
        <w:rPr>
          <w:rFonts w:cs="Arial"/>
        </w:rPr>
        <w:t xml:space="preserve"> and </w:t>
      </w:r>
      <w:r w:rsidR="007C3F19" w:rsidRPr="0021546A">
        <w:rPr>
          <w:rFonts w:cs="Arial"/>
        </w:rPr>
        <w:t xml:space="preserve">the prescribed </w:t>
      </w:r>
      <w:r w:rsidR="001D7B2E" w:rsidRPr="0021546A">
        <w:rPr>
          <w:rFonts w:cs="Arial"/>
        </w:rPr>
        <w:t xml:space="preserve">Code of </w:t>
      </w:r>
      <w:r w:rsidR="006E7B86" w:rsidRPr="0021546A">
        <w:rPr>
          <w:rFonts w:cs="Arial"/>
        </w:rPr>
        <w:t>Practice.</w:t>
      </w:r>
      <w:r w:rsidRPr="0021546A">
        <w:rPr>
          <w:rFonts w:cs="Arial"/>
        </w:rPr>
        <w:t xml:space="preserve"> </w:t>
      </w:r>
    </w:p>
    <w:p w14:paraId="38414CE2" w14:textId="2260C2CF" w:rsidR="001C07ED" w:rsidRDefault="001C07ED" w:rsidP="0021546A">
      <w:pPr>
        <w:tabs>
          <w:tab w:val="left" w:pos="363"/>
        </w:tabs>
        <w:spacing w:after="0"/>
        <w:rPr>
          <w:rFonts w:cs="Arial"/>
        </w:rPr>
      </w:pPr>
    </w:p>
    <w:p w14:paraId="78DF0991" w14:textId="45326D5A" w:rsidR="001C5B6C" w:rsidRDefault="001C5B6C" w:rsidP="001C5B6C">
      <w:pPr>
        <w:tabs>
          <w:tab w:val="left" w:pos="363"/>
        </w:tabs>
        <w:rPr>
          <w:rFonts w:cs="Arial"/>
        </w:rPr>
      </w:pPr>
      <w:r w:rsidRPr="001C5B6C">
        <w:rPr>
          <w:rFonts w:cs="Arial"/>
        </w:rPr>
        <w:t xml:space="preserve">One proposed </w:t>
      </w:r>
      <w:r w:rsidR="00F11A2E" w:rsidRPr="001C5B6C">
        <w:rPr>
          <w:rFonts w:cs="Arial"/>
        </w:rPr>
        <w:t>change</w:t>
      </w:r>
      <w:r w:rsidRPr="001C5B6C">
        <w:rPr>
          <w:rFonts w:cs="Arial"/>
        </w:rPr>
        <w:t xml:space="preserve"> included in the draft </w:t>
      </w:r>
      <w:r>
        <w:rPr>
          <w:rFonts w:cs="Arial"/>
        </w:rPr>
        <w:t>2020</w:t>
      </w:r>
      <w:r w:rsidRPr="001C5B6C">
        <w:rPr>
          <w:rFonts w:cs="Arial"/>
        </w:rPr>
        <w:t xml:space="preserve"> regulations is to make clause 3(1) of</w:t>
      </w:r>
      <w:r w:rsidR="004F704B">
        <w:rPr>
          <w:rFonts w:cs="Arial"/>
        </w:rPr>
        <w:t xml:space="preserve"> the</w:t>
      </w:r>
      <w:r w:rsidRPr="001C5B6C">
        <w:rPr>
          <w:rFonts w:cs="Arial"/>
        </w:rPr>
        <w:t xml:space="preserve"> Code an infringeable offence. </w:t>
      </w:r>
      <w:r w:rsidR="00455385">
        <w:rPr>
          <w:rFonts w:cs="Arial"/>
        </w:rPr>
        <w:t>Based on a recent discussion with Energy Safe Victoria (ESV), w</w:t>
      </w:r>
      <w:r w:rsidR="003A3935">
        <w:rPr>
          <w:rFonts w:cs="Arial"/>
        </w:rPr>
        <w:t xml:space="preserve">e </w:t>
      </w:r>
      <w:r w:rsidR="00455385">
        <w:rPr>
          <w:rFonts w:cs="Arial"/>
        </w:rPr>
        <w:t xml:space="preserve">understand </w:t>
      </w:r>
      <w:r w:rsidR="003A3935">
        <w:rPr>
          <w:rFonts w:cs="Arial"/>
        </w:rPr>
        <w:t>thi</w:t>
      </w:r>
      <w:r w:rsidR="005A45F0">
        <w:rPr>
          <w:rFonts w:cs="Arial"/>
        </w:rPr>
        <w:t xml:space="preserve">s change is intended to </w:t>
      </w:r>
      <w:r w:rsidR="00455385">
        <w:rPr>
          <w:rFonts w:cs="Arial"/>
        </w:rPr>
        <w:t>make it simpler for ESV to enforce compliance with the Code.</w:t>
      </w:r>
      <w:r w:rsidRPr="001C5B6C">
        <w:rPr>
          <w:rFonts w:cs="Arial"/>
        </w:rPr>
        <w:t xml:space="preserve"> Clause 3(1) provides that responsible persons must ensure that, at all times, no part of a tree for which the person has clearance responsibilities is within the minimum clearance space</w:t>
      </w:r>
      <w:r w:rsidR="00455385">
        <w:rPr>
          <w:rFonts w:cs="Arial"/>
        </w:rPr>
        <w:t>.</w:t>
      </w:r>
      <w:r w:rsidRPr="001C5B6C">
        <w:rPr>
          <w:rFonts w:cs="Arial"/>
        </w:rPr>
        <w:t xml:space="preserve"> </w:t>
      </w:r>
    </w:p>
    <w:p w14:paraId="18FBE97A" w14:textId="7BCAD319" w:rsidR="001C5B6C" w:rsidRDefault="004E5D47" w:rsidP="001C5B6C">
      <w:pPr>
        <w:tabs>
          <w:tab w:val="left" w:pos="363"/>
        </w:tabs>
        <w:rPr>
          <w:rFonts w:cs="Arial"/>
        </w:rPr>
      </w:pPr>
      <w:r>
        <w:rPr>
          <w:rFonts w:cs="Arial"/>
        </w:rPr>
        <w:t>Curious</w:t>
      </w:r>
      <w:r w:rsidR="001C5B6C" w:rsidRPr="001C5B6C">
        <w:rPr>
          <w:rFonts w:cs="Arial"/>
        </w:rPr>
        <w:t>ly</w:t>
      </w:r>
      <w:r w:rsidR="001C5B6C">
        <w:rPr>
          <w:rFonts w:cs="Arial"/>
        </w:rPr>
        <w:t>,</w:t>
      </w:r>
      <w:r w:rsidR="001C5B6C" w:rsidRPr="001C5B6C">
        <w:rPr>
          <w:rFonts w:cs="Arial"/>
        </w:rPr>
        <w:t xml:space="preserve"> the costs, benefits and rationale </w:t>
      </w:r>
      <w:r w:rsidR="004C2E8B">
        <w:rPr>
          <w:rFonts w:cs="Arial"/>
        </w:rPr>
        <w:t>of th</w:t>
      </w:r>
      <w:r w:rsidR="00455385">
        <w:rPr>
          <w:rFonts w:cs="Arial"/>
        </w:rPr>
        <w:t>is proposed</w:t>
      </w:r>
      <w:r w:rsidR="004C2E8B">
        <w:rPr>
          <w:rFonts w:cs="Arial"/>
        </w:rPr>
        <w:t xml:space="preserve"> </w:t>
      </w:r>
      <w:r w:rsidR="001C5B6C" w:rsidRPr="001C5B6C">
        <w:rPr>
          <w:rFonts w:cs="Arial"/>
        </w:rPr>
        <w:t xml:space="preserve">change are not mentioned or discussed in the </w:t>
      </w:r>
      <w:r w:rsidR="004C2E8B">
        <w:rPr>
          <w:rFonts w:cs="Arial"/>
        </w:rPr>
        <w:t>regulatory impact statement (RIS)</w:t>
      </w:r>
      <w:r w:rsidR="001C5B6C" w:rsidRPr="001C5B6C">
        <w:rPr>
          <w:rFonts w:cs="Arial"/>
        </w:rPr>
        <w:t>. The</w:t>
      </w:r>
      <w:r w:rsidR="001C5B6C">
        <w:rPr>
          <w:rFonts w:cs="Arial"/>
        </w:rPr>
        <w:t xml:space="preserve"> table</w:t>
      </w:r>
      <w:r w:rsidR="001C5B6C" w:rsidRPr="001C5B6C">
        <w:rPr>
          <w:rFonts w:cs="Arial"/>
        </w:rPr>
        <w:t xml:space="preserve"> on pages 5 and 6 of the RIS </w:t>
      </w:r>
      <w:r w:rsidR="001C5B6C">
        <w:rPr>
          <w:rFonts w:cs="Arial"/>
        </w:rPr>
        <w:t xml:space="preserve">that summarises the key changes </w:t>
      </w:r>
      <w:r w:rsidR="001C5B6C" w:rsidRPr="001C5B6C">
        <w:rPr>
          <w:rFonts w:cs="Arial"/>
        </w:rPr>
        <w:t>does not even refer</w:t>
      </w:r>
      <w:r w:rsidR="004C2E8B">
        <w:rPr>
          <w:rFonts w:cs="Arial"/>
        </w:rPr>
        <w:t>e</w:t>
      </w:r>
      <w:r w:rsidR="001C5B6C" w:rsidRPr="001C5B6C">
        <w:rPr>
          <w:rFonts w:cs="Arial"/>
        </w:rPr>
        <w:t xml:space="preserve">nce </w:t>
      </w:r>
      <w:r w:rsidR="001C5B6C">
        <w:rPr>
          <w:rFonts w:cs="Arial"/>
        </w:rPr>
        <w:t>Clause 3(1).</w:t>
      </w:r>
      <w:r w:rsidR="001C5B6C" w:rsidRPr="001C5B6C">
        <w:rPr>
          <w:rFonts w:cs="Arial"/>
        </w:rPr>
        <w:t xml:space="preserve"> </w:t>
      </w:r>
    </w:p>
    <w:p w14:paraId="4ECF73FC" w14:textId="4C780C91" w:rsidR="000C78C0" w:rsidRDefault="004E5D47" w:rsidP="001C5B6C">
      <w:pPr>
        <w:tabs>
          <w:tab w:val="left" w:pos="363"/>
        </w:tabs>
        <w:rPr>
          <w:rFonts w:cs="Arial"/>
        </w:rPr>
      </w:pPr>
      <w:r>
        <w:rPr>
          <w:rFonts w:cs="Arial"/>
        </w:rPr>
        <w:t>I</w:t>
      </w:r>
      <w:r w:rsidR="00455385">
        <w:rPr>
          <w:rFonts w:cs="Arial"/>
        </w:rPr>
        <w:t>t concerns us that i</w:t>
      </w:r>
      <w:r w:rsidR="007653E4" w:rsidRPr="0021546A">
        <w:rPr>
          <w:rFonts w:cs="Arial"/>
        </w:rPr>
        <w:t xml:space="preserve">f </w:t>
      </w:r>
      <w:r w:rsidR="0022019D" w:rsidRPr="0021546A">
        <w:rPr>
          <w:rFonts w:cs="Arial"/>
        </w:rPr>
        <w:t xml:space="preserve">ESV were to </w:t>
      </w:r>
      <w:r w:rsidR="003F05F2" w:rsidRPr="0021546A">
        <w:rPr>
          <w:rFonts w:cs="Arial"/>
        </w:rPr>
        <w:t>rigidly</w:t>
      </w:r>
      <w:r w:rsidR="0022019D" w:rsidRPr="0021546A">
        <w:rPr>
          <w:rFonts w:cs="Arial"/>
        </w:rPr>
        <w:t xml:space="preserve"> enforce the </w:t>
      </w:r>
      <w:r w:rsidR="006E7B86" w:rsidRPr="0021546A">
        <w:rPr>
          <w:rFonts w:cs="Arial"/>
        </w:rPr>
        <w:t>regulations</w:t>
      </w:r>
      <w:r w:rsidR="0022019D" w:rsidRPr="0021546A">
        <w:rPr>
          <w:rFonts w:cs="Arial"/>
        </w:rPr>
        <w:t xml:space="preserve"> to ensure strict compliance with the Code</w:t>
      </w:r>
      <w:r w:rsidR="004F5E43" w:rsidRPr="0021546A">
        <w:rPr>
          <w:rFonts w:cs="Arial"/>
        </w:rPr>
        <w:t xml:space="preserve">, </w:t>
      </w:r>
      <w:r w:rsidR="003A3935">
        <w:rPr>
          <w:rFonts w:cs="Arial"/>
        </w:rPr>
        <w:t>t</w:t>
      </w:r>
      <w:r w:rsidR="003A3935" w:rsidRPr="001C5B6C">
        <w:rPr>
          <w:rFonts w:cs="Arial"/>
        </w:rPr>
        <w:t xml:space="preserve">he financial, environmental and amenity implications of this change </w:t>
      </w:r>
      <w:r w:rsidR="003A3935">
        <w:rPr>
          <w:rFonts w:cs="Arial"/>
        </w:rPr>
        <w:t>would be</w:t>
      </w:r>
      <w:r w:rsidR="003A3935" w:rsidRPr="001C5B6C">
        <w:rPr>
          <w:rFonts w:cs="Arial"/>
        </w:rPr>
        <w:t xml:space="preserve"> </w:t>
      </w:r>
      <w:r w:rsidR="003A3935">
        <w:rPr>
          <w:rFonts w:cs="Arial"/>
        </w:rPr>
        <w:t>significant</w:t>
      </w:r>
      <w:r w:rsidR="003A3935" w:rsidRPr="001C5B6C">
        <w:rPr>
          <w:rFonts w:cs="Arial"/>
        </w:rPr>
        <w:t>.</w:t>
      </w:r>
      <w:r w:rsidR="003A3935">
        <w:rPr>
          <w:rFonts w:cs="Arial"/>
        </w:rPr>
        <w:t xml:space="preserve"> </w:t>
      </w:r>
      <w:r w:rsidR="00455385">
        <w:rPr>
          <w:rFonts w:cs="Arial"/>
        </w:rPr>
        <w:t xml:space="preserve">It could lead to </w:t>
      </w:r>
      <w:r w:rsidR="002877F6" w:rsidRPr="0021546A">
        <w:rPr>
          <w:rFonts w:cs="Arial"/>
        </w:rPr>
        <w:t xml:space="preserve">mass </w:t>
      </w:r>
      <w:r w:rsidR="0022019D" w:rsidRPr="0021546A">
        <w:rPr>
          <w:rFonts w:cs="Arial"/>
        </w:rPr>
        <w:t>remov</w:t>
      </w:r>
      <w:r w:rsidR="007C46C3" w:rsidRPr="0021546A">
        <w:rPr>
          <w:rFonts w:cs="Arial"/>
        </w:rPr>
        <w:t>al</w:t>
      </w:r>
      <w:r w:rsidR="002877F6" w:rsidRPr="0021546A">
        <w:rPr>
          <w:rFonts w:cs="Arial"/>
        </w:rPr>
        <w:t xml:space="preserve"> of </w:t>
      </w:r>
      <w:r w:rsidR="0044692D" w:rsidRPr="0021546A">
        <w:rPr>
          <w:rFonts w:cs="Arial"/>
        </w:rPr>
        <w:t xml:space="preserve">structural branches and entire </w:t>
      </w:r>
      <w:r w:rsidR="002877F6" w:rsidRPr="0021546A">
        <w:rPr>
          <w:rFonts w:cs="Arial"/>
        </w:rPr>
        <w:t xml:space="preserve">mature trees </w:t>
      </w:r>
      <w:r w:rsidR="0044692D" w:rsidRPr="0021546A">
        <w:rPr>
          <w:rFonts w:cs="Arial"/>
        </w:rPr>
        <w:t xml:space="preserve">across the </w:t>
      </w:r>
      <w:r w:rsidR="002724B0" w:rsidRPr="0021546A">
        <w:rPr>
          <w:rFonts w:cs="Arial"/>
        </w:rPr>
        <w:t>s</w:t>
      </w:r>
      <w:r w:rsidR="0044692D" w:rsidRPr="0021546A">
        <w:rPr>
          <w:rFonts w:cs="Arial"/>
        </w:rPr>
        <w:t>tate.</w:t>
      </w:r>
      <w:r w:rsidR="00B9305F" w:rsidRPr="0021546A">
        <w:rPr>
          <w:rFonts w:cs="Arial"/>
        </w:rPr>
        <w:t xml:space="preserve"> The urban </w:t>
      </w:r>
      <w:r w:rsidR="009609D9" w:rsidRPr="0021546A">
        <w:rPr>
          <w:rFonts w:cs="Arial"/>
        </w:rPr>
        <w:t xml:space="preserve">forest </w:t>
      </w:r>
      <w:r w:rsidR="009A590C" w:rsidRPr="0021546A">
        <w:rPr>
          <w:rFonts w:cs="Arial"/>
        </w:rPr>
        <w:t xml:space="preserve">and canopy cover </w:t>
      </w:r>
      <w:r w:rsidR="00B9305F" w:rsidRPr="0021546A">
        <w:rPr>
          <w:rFonts w:cs="Arial"/>
        </w:rPr>
        <w:t xml:space="preserve">that </w:t>
      </w:r>
      <w:r w:rsidR="003262E6" w:rsidRPr="0021546A">
        <w:rPr>
          <w:rFonts w:cs="Arial"/>
        </w:rPr>
        <w:t xml:space="preserve">experts, </w:t>
      </w:r>
      <w:r w:rsidR="006E7B86" w:rsidRPr="0021546A">
        <w:rPr>
          <w:rFonts w:cs="Arial"/>
        </w:rPr>
        <w:t>governments</w:t>
      </w:r>
      <w:r w:rsidR="003262E6" w:rsidRPr="0021546A">
        <w:rPr>
          <w:rFonts w:cs="Arial"/>
        </w:rPr>
        <w:t xml:space="preserve"> and communities </w:t>
      </w:r>
      <w:r w:rsidR="00DF23E4" w:rsidRPr="0021546A">
        <w:rPr>
          <w:rFonts w:cs="Arial"/>
        </w:rPr>
        <w:t xml:space="preserve">increasingly </w:t>
      </w:r>
      <w:r w:rsidR="00C24771" w:rsidRPr="0021546A">
        <w:rPr>
          <w:rFonts w:cs="Arial"/>
        </w:rPr>
        <w:t>recognise as critical to mitigating impacts of climate change and improving health and liv</w:t>
      </w:r>
      <w:r w:rsidR="00DF23E4" w:rsidRPr="0021546A">
        <w:rPr>
          <w:rFonts w:cs="Arial"/>
        </w:rPr>
        <w:t xml:space="preserve">eability </w:t>
      </w:r>
      <w:r>
        <w:rPr>
          <w:rFonts w:cs="Arial"/>
        </w:rPr>
        <w:t xml:space="preserve">may </w:t>
      </w:r>
      <w:r w:rsidR="00D06A53" w:rsidRPr="0021546A">
        <w:rPr>
          <w:rFonts w:cs="Arial"/>
        </w:rPr>
        <w:t>be</w:t>
      </w:r>
      <w:r>
        <w:rPr>
          <w:rFonts w:cs="Arial"/>
        </w:rPr>
        <w:t>come</w:t>
      </w:r>
      <w:r w:rsidR="00D06A53" w:rsidRPr="0021546A">
        <w:rPr>
          <w:rFonts w:cs="Arial"/>
        </w:rPr>
        <w:t xml:space="preserve"> </w:t>
      </w:r>
      <w:r w:rsidR="000C78C0" w:rsidRPr="0021546A">
        <w:rPr>
          <w:rFonts w:cs="Arial"/>
        </w:rPr>
        <w:t xml:space="preserve">impossible to achieve. </w:t>
      </w:r>
    </w:p>
    <w:p w14:paraId="56BB34F2" w14:textId="74127CAE" w:rsidR="004C2E8B" w:rsidRDefault="001C5B6C" w:rsidP="004C2E8B">
      <w:pPr>
        <w:tabs>
          <w:tab w:val="left" w:pos="363"/>
        </w:tabs>
        <w:rPr>
          <w:rFonts w:ascii="Verdana" w:hAnsi="Verdana" w:cs="Arial"/>
          <w:sz w:val="20"/>
          <w:szCs w:val="20"/>
        </w:rPr>
      </w:pPr>
      <w:r>
        <w:rPr>
          <w:rFonts w:cs="Arial"/>
        </w:rPr>
        <w:t xml:space="preserve">While we acknowledge that ESV has generally taken a risk-based approach to enforcement </w:t>
      </w:r>
      <w:r w:rsidRPr="004C2E8B">
        <w:rPr>
          <w:rFonts w:cs="Arial"/>
        </w:rPr>
        <w:t>action to date, the</w:t>
      </w:r>
      <w:r w:rsidR="004C2E8B" w:rsidRPr="004C2E8B">
        <w:rPr>
          <w:rFonts w:cs="Arial"/>
        </w:rPr>
        <w:t xml:space="preserve"> shift to mak</w:t>
      </w:r>
      <w:r w:rsidR="004C2E8B">
        <w:rPr>
          <w:rFonts w:cs="Arial"/>
        </w:rPr>
        <w:t>e</w:t>
      </w:r>
      <w:r w:rsidR="004C2E8B" w:rsidRPr="004C2E8B">
        <w:rPr>
          <w:rFonts w:cs="Arial"/>
        </w:rPr>
        <w:t xml:space="preserve"> any non-compliance an infringeable offence </w:t>
      </w:r>
      <w:r w:rsidR="009E7790">
        <w:rPr>
          <w:rFonts w:cs="Arial"/>
        </w:rPr>
        <w:t xml:space="preserve">does raise </w:t>
      </w:r>
      <w:r w:rsidR="00455385">
        <w:rPr>
          <w:rFonts w:cs="Arial"/>
        </w:rPr>
        <w:t>fears</w:t>
      </w:r>
      <w:r w:rsidR="009E7790">
        <w:rPr>
          <w:rFonts w:cs="Arial"/>
        </w:rPr>
        <w:t xml:space="preserve"> that </w:t>
      </w:r>
      <w:r w:rsidR="00455385">
        <w:rPr>
          <w:rFonts w:cs="Arial"/>
        </w:rPr>
        <w:t>a change in</w:t>
      </w:r>
      <w:r w:rsidR="009E7790">
        <w:rPr>
          <w:rFonts w:cs="Arial"/>
        </w:rPr>
        <w:t xml:space="preserve"> approach m</w:t>
      </w:r>
      <w:r w:rsidR="00455385">
        <w:rPr>
          <w:rFonts w:cs="Arial"/>
        </w:rPr>
        <w:t xml:space="preserve">ight be </w:t>
      </w:r>
      <w:r w:rsidR="00CA0B2B">
        <w:rPr>
          <w:rFonts w:cs="Arial"/>
        </w:rPr>
        <w:t>coming.</w:t>
      </w:r>
      <w:r w:rsidR="004C2E8B" w:rsidRPr="004C2E8B">
        <w:rPr>
          <w:rFonts w:cs="Arial"/>
        </w:rPr>
        <w:t xml:space="preserve"> The references to “at all times” and “no part of a tree” in clause 3(1) empowers ESV to issue a </w:t>
      </w:r>
      <w:r w:rsidR="004C2E8B">
        <w:rPr>
          <w:rFonts w:cs="Arial"/>
        </w:rPr>
        <w:t xml:space="preserve">body corporate a </w:t>
      </w:r>
      <w:r w:rsidR="004C2E8B" w:rsidRPr="004C2E8B">
        <w:rPr>
          <w:rFonts w:cs="Arial"/>
        </w:rPr>
        <w:t xml:space="preserve">fine of 250 penalty units ($41,305) for any </w:t>
      </w:r>
      <w:r w:rsidR="004C2E8B">
        <w:rPr>
          <w:rFonts w:cs="Arial"/>
        </w:rPr>
        <w:t>vegetation located within the clearance space</w:t>
      </w:r>
      <w:r w:rsidR="00F10BFE">
        <w:rPr>
          <w:rFonts w:cs="Arial"/>
        </w:rPr>
        <w:t>,</w:t>
      </w:r>
      <w:r w:rsidR="004C2E8B">
        <w:rPr>
          <w:rFonts w:cs="Arial"/>
        </w:rPr>
        <w:t xml:space="preserve"> regardless of whether it poses a </w:t>
      </w:r>
      <w:r w:rsidR="00F10BFE">
        <w:rPr>
          <w:rFonts w:cs="Arial"/>
        </w:rPr>
        <w:t xml:space="preserve">material </w:t>
      </w:r>
      <w:r w:rsidR="004C2E8B">
        <w:rPr>
          <w:rFonts w:cs="Arial"/>
        </w:rPr>
        <w:t>risk or not</w:t>
      </w:r>
      <w:r w:rsidR="004C2E8B" w:rsidRPr="004C2E8B">
        <w:rPr>
          <w:rFonts w:cs="Arial"/>
        </w:rPr>
        <w:t>.</w:t>
      </w:r>
    </w:p>
    <w:p w14:paraId="639DEAF9" w14:textId="7CEA7CA7" w:rsidR="00F5522F" w:rsidRPr="0021546A" w:rsidRDefault="00F5522F" w:rsidP="004C2E8B">
      <w:pPr>
        <w:tabs>
          <w:tab w:val="left" w:pos="363"/>
        </w:tabs>
        <w:rPr>
          <w:rFonts w:cs="Arial"/>
        </w:rPr>
      </w:pPr>
      <w:r w:rsidRPr="0021546A">
        <w:rPr>
          <w:rFonts w:cs="Arial"/>
        </w:rPr>
        <w:t>There</w:t>
      </w:r>
      <w:r w:rsidR="003D33FB" w:rsidRPr="0021546A">
        <w:rPr>
          <w:rFonts w:cs="Arial"/>
        </w:rPr>
        <w:t xml:space="preserve"> i</w:t>
      </w:r>
      <w:r w:rsidRPr="0021546A">
        <w:rPr>
          <w:rFonts w:cs="Arial"/>
        </w:rPr>
        <w:t xml:space="preserve">s no question that </w:t>
      </w:r>
      <w:r w:rsidR="003155AD" w:rsidRPr="0021546A">
        <w:rPr>
          <w:rFonts w:cs="Arial"/>
        </w:rPr>
        <w:t xml:space="preserve">responsible </w:t>
      </w:r>
      <w:r w:rsidRPr="0021546A">
        <w:rPr>
          <w:rFonts w:cs="Arial"/>
        </w:rPr>
        <w:t xml:space="preserve">management of </w:t>
      </w:r>
      <w:r w:rsidR="006E7B86" w:rsidRPr="0021546A">
        <w:rPr>
          <w:rFonts w:cs="Arial"/>
        </w:rPr>
        <w:t>vegetation</w:t>
      </w:r>
      <w:r w:rsidRPr="0021546A">
        <w:rPr>
          <w:rFonts w:cs="Arial"/>
        </w:rPr>
        <w:t xml:space="preserve"> around powerlines is critical to reduce </w:t>
      </w:r>
      <w:r w:rsidR="003D33FB" w:rsidRPr="0021546A">
        <w:rPr>
          <w:rFonts w:cs="Arial"/>
        </w:rPr>
        <w:t xml:space="preserve">risk of </w:t>
      </w:r>
      <w:r w:rsidRPr="0021546A">
        <w:rPr>
          <w:rFonts w:cs="Arial"/>
        </w:rPr>
        <w:t xml:space="preserve">fire, </w:t>
      </w:r>
      <w:r w:rsidR="006E7B86" w:rsidRPr="0021546A">
        <w:rPr>
          <w:rFonts w:cs="Arial"/>
        </w:rPr>
        <w:t>electrocution</w:t>
      </w:r>
      <w:r w:rsidRPr="0021546A">
        <w:rPr>
          <w:rFonts w:cs="Arial"/>
        </w:rPr>
        <w:t xml:space="preserve"> and </w:t>
      </w:r>
      <w:r w:rsidR="003D33FB" w:rsidRPr="0021546A">
        <w:rPr>
          <w:rFonts w:cs="Arial"/>
        </w:rPr>
        <w:t xml:space="preserve">power supply </w:t>
      </w:r>
      <w:r w:rsidRPr="0021546A">
        <w:rPr>
          <w:rFonts w:cs="Arial"/>
        </w:rPr>
        <w:t>outage</w:t>
      </w:r>
      <w:r w:rsidR="003D33FB" w:rsidRPr="0021546A">
        <w:rPr>
          <w:rFonts w:cs="Arial"/>
        </w:rPr>
        <w:t>s</w:t>
      </w:r>
      <w:r w:rsidRPr="0021546A">
        <w:rPr>
          <w:rFonts w:cs="Arial"/>
        </w:rPr>
        <w:t xml:space="preserve">. </w:t>
      </w:r>
      <w:r w:rsidR="00E97EB0" w:rsidRPr="0021546A">
        <w:rPr>
          <w:rFonts w:cs="Arial"/>
        </w:rPr>
        <w:t>It</w:t>
      </w:r>
      <w:r w:rsidR="003155AD" w:rsidRPr="0021546A">
        <w:rPr>
          <w:rFonts w:cs="Arial"/>
        </w:rPr>
        <w:t xml:space="preserve"> i</w:t>
      </w:r>
      <w:r w:rsidR="00E97EB0" w:rsidRPr="0021546A">
        <w:rPr>
          <w:rFonts w:cs="Arial"/>
        </w:rPr>
        <w:t xml:space="preserve">s also true that the </w:t>
      </w:r>
      <w:r w:rsidR="002576DD" w:rsidRPr="0021546A">
        <w:rPr>
          <w:rFonts w:cs="Arial"/>
        </w:rPr>
        <w:t xml:space="preserve">level of </w:t>
      </w:r>
      <w:r w:rsidR="00E97EB0" w:rsidRPr="0021546A">
        <w:rPr>
          <w:rFonts w:cs="Arial"/>
        </w:rPr>
        <w:t xml:space="preserve">risk </w:t>
      </w:r>
      <w:r w:rsidR="00D50138" w:rsidRPr="0021546A">
        <w:rPr>
          <w:rFonts w:cs="Arial"/>
        </w:rPr>
        <w:t>posed by</w:t>
      </w:r>
      <w:r w:rsidR="00F4222B" w:rsidRPr="0021546A">
        <w:rPr>
          <w:rFonts w:cs="Arial"/>
        </w:rPr>
        <w:t xml:space="preserve"> </w:t>
      </w:r>
      <w:r w:rsidR="00E97EB0" w:rsidRPr="0021546A">
        <w:rPr>
          <w:rFonts w:cs="Arial"/>
        </w:rPr>
        <w:t xml:space="preserve">vegetation </w:t>
      </w:r>
      <w:r w:rsidR="006104B2" w:rsidRPr="0021546A">
        <w:rPr>
          <w:rFonts w:cs="Arial"/>
        </w:rPr>
        <w:t xml:space="preserve">around </w:t>
      </w:r>
      <w:r w:rsidR="00E97EB0" w:rsidRPr="0021546A">
        <w:rPr>
          <w:rFonts w:cs="Arial"/>
        </w:rPr>
        <w:t xml:space="preserve">powerlines </w:t>
      </w:r>
      <w:r w:rsidR="002576DD" w:rsidRPr="0021546A">
        <w:rPr>
          <w:rFonts w:cs="Arial"/>
        </w:rPr>
        <w:t xml:space="preserve">depends on a range of variables. These variables include </w:t>
      </w:r>
      <w:r w:rsidR="006104B2" w:rsidRPr="0021546A">
        <w:rPr>
          <w:rFonts w:cs="Arial"/>
        </w:rPr>
        <w:t>whether</w:t>
      </w:r>
      <w:r w:rsidR="00FC0E8A" w:rsidRPr="0021546A">
        <w:rPr>
          <w:rFonts w:cs="Arial"/>
        </w:rPr>
        <w:t xml:space="preserve"> the powerline </w:t>
      </w:r>
      <w:r w:rsidR="00E1188D" w:rsidRPr="0021546A">
        <w:rPr>
          <w:rFonts w:cs="Arial"/>
        </w:rPr>
        <w:t>is in</w:t>
      </w:r>
      <w:r w:rsidR="006104B2" w:rsidRPr="0021546A">
        <w:rPr>
          <w:rFonts w:cs="Arial"/>
        </w:rPr>
        <w:t xml:space="preserve"> an area </w:t>
      </w:r>
      <w:r w:rsidR="00FC0E8A" w:rsidRPr="0021546A">
        <w:rPr>
          <w:rFonts w:cs="Arial"/>
        </w:rPr>
        <w:t>of</w:t>
      </w:r>
      <w:r w:rsidR="00D50138" w:rsidRPr="0021546A">
        <w:rPr>
          <w:rFonts w:cs="Arial"/>
        </w:rPr>
        <w:t xml:space="preserve"> </w:t>
      </w:r>
      <w:r w:rsidR="006104B2" w:rsidRPr="0021546A">
        <w:rPr>
          <w:rFonts w:cs="Arial"/>
        </w:rPr>
        <w:t xml:space="preserve">high bushfire risk or low </w:t>
      </w:r>
      <w:r w:rsidR="00216B07" w:rsidRPr="0021546A">
        <w:rPr>
          <w:rFonts w:cs="Arial"/>
        </w:rPr>
        <w:t>bushfire risk</w:t>
      </w:r>
      <w:r w:rsidR="00FC0E8A" w:rsidRPr="0021546A">
        <w:rPr>
          <w:rFonts w:cs="Arial"/>
        </w:rPr>
        <w:t>;</w:t>
      </w:r>
      <w:r w:rsidR="00216B07" w:rsidRPr="0021546A">
        <w:rPr>
          <w:rFonts w:cs="Arial"/>
        </w:rPr>
        <w:t xml:space="preserve"> the type of powerline (high voltage or low voltage)</w:t>
      </w:r>
      <w:r w:rsidR="00A662FC" w:rsidRPr="0021546A">
        <w:rPr>
          <w:rFonts w:cs="Arial"/>
        </w:rPr>
        <w:t>;</w:t>
      </w:r>
      <w:r w:rsidR="00216B07" w:rsidRPr="0021546A">
        <w:rPr>
          <w:rFonts w:cs="Arial"/>
        </w:rPr>
        <w:t xml:space="preserve"> and the </w:t>
      </w:r>
      <w:r w:rsidR="00CF746C" w:rsidRPr="0021546A">
        <w:rPr>
          <w:rFonts w:cs="Arial"/>
        </w:rPr>
        <w:t xml:space="preserve">proximity </w:t>
      </w:r>
      <w:r w:rsidR="00A662FC" w:rsidRPr="0021546A">
        <w:rPr>
          <w:rFonts w:cs="Arial"/>
        </w:rPr>
        <w:t xml:space="preserve">between a powerline and </w:t>
      </w:r>
      <w:r w:rsidR="006E7B86" w:rsidRPr="0021546A">
        <w:rPr>
          <w:rFonts w:cs="Arial"/>
        </w:rPr>
        <w:t>vegetation</w:t>
      </w:r>
      <w:r w:rsidR="00A662FC" w:rsidRPr="0021546A">
        <w:rPr>
          <w:rFonts w:cs="Arial"/>
        </w:rPr>
        <w:t xml:space="preserve"> </w:t>
      </w:r>
      <w:r w:rsidR="00216B07" w:rsidRPr="0021546A">
        <w:rPr>
          <w:rFonts w:cs="Arial"/>
        </w:rPr>
        <w:t>(</w:t>
      </w:r>
      <w:r w:rsidR="006E7B86" w:rsidRPr="0021546A">
        <w:rPr>
          <w:rFonts w:cs="Arial"/>
        </w:rPr>
        <w:t>e.g.</w:t>
      </w:r>
      <w:r w:rsidR="00A662FC" w:rsidRPr="0021546A">
        <w:rPr>
          <w:rFonts w:cs="Arial"/>
        </w:rPr>
        <w:t xml:space="preserve"> </w:t>
      </w:r>
      <w:r w:rsidR="00216B07" w:rsidRPr="0021546A">
        <w:rPr>
          <w:rFonts w:cs="Arial"/>
        </w:rPr>
        <w:t>hard contact</w:t>
      </w:r>
      <w:r w:rsidR="00D17FE2" w:rsidRPr="0021546A">
        <w:rPr>
          <w:rFonts w:cs="Arial"/>
        </w:rPr>
        <w:t>,</w:t>
      </w:r>
      <w:r w:rsidR="00216B07" w:rsidRPr="0021546A">
        <w:rPr>
          <w:rFonts w:cs="Arial"/>
        </w:rPr>
        <w:t xml:space="preserve"> intermittent</w:t>
      </w:r>
      <w:r w:rsidR="00A662FC" w:rsidRPr="0021546A">
        <w:rPr>
          <w:rFonts w:cs="Arial"/>
        </w:rPr>
        <w:t xml:space="preserve"> contact</w:t>
      </w:r>
      <w:r w:rsidR="00D17FE2" w:rsidRPr="0021546A">
        <w:rPr>
          <w:rFonts w:cs="Arial"/>
        </w:rPr>
        <w:t xml:space="preserve">, </w:t>
      </w:r>
      <w:r w:rsidR="00A662FC" w:rsidRPr="0021546A">
        <w:rPr>
          <w:rFonts w:cs="Arial"/>
        </w:rPr>
        <w:t>no contact</w:t>
      </w:r>
      <w:r w:rsidR="00277028" w:rsidRPr="0021546A">
        <w:rPr>
          <w:rFonts w:cs="Arial"/>
        </w:rPr>
        <w:t xml:space="preserve">). </w:t>
      </w:r>
    </w:p>
    <w:p w14:paraId="3853E183" w14:textId="44D88CA3" w:rsidR="00277028" w:rsidRDefault="00277028" w:rsidP="0021546A">
      <w:pPr>
        <w:spacing w:after="0"/>
        <w:rPr>
          <w:rFonts w:cs="Arial"/>
        </w:rPr>
      </w:pPr>
      <w:r w:rsidRPr="0021546A">
        <w:rPr>
          <w:rFonts w:cs="Arial"/>
        </w:rPr>
        <w:t xml:space="preserve">Councils recognise and agree that it is imperative that vegetation in high bushfire risk areas </w:t>
      </w:r>
      <w:r w:rsidR="005A45F0">
        <w:rPr>
          <w:rFonts w:cs="Arial"/>
        </w:rPr>
        <w:t xml:space="preserve">(HBRA) </w:t>
      </w:r>
      <w:r w:rsidR="00E720BA" w:rsidRPr="0021546A">
        <w:rPr>
          <w:rFonts w:cs="Arial"/>
        </w:rPr>
        <w:t>is</w:t>
      </w:r>
      <w:r w:rsidRPr="0021546A">
        <w:rPr>
          <w:rFonts w:cs="Arial"/>
        </w:rPr>
        <w:t xml:space="preserve"> managed </w:t>
      </w:r>
      <w:r w:rsidR="00020584" w:rsidRPr="0021546A">
        <w:rPr>
          <w:rFonts w:cs="Arial"/>
        </w:rPr>
        <w:t xml:space="preserve">in strict compliance with the Code. Councils also recognise the heightened risk </w:t>
      </w:r>
      <w:r w:rsidR="00F442B2" w:rsidRPr="0021546A">
        <w:rPr>
          <w:rFonts w:cs="Arial"/>
        </w:rPr>
        <w:t xml:space="preserve">associated with vegetation contact with </w:t>
      </w:r>
      <w:r w:rsidR="00F63A0B" w:rsidRPr="0021546A">
        <w:rPr>
          <w:rFonts w:cs="Arial"/>
        </w:rPr>
        <w:t xml:space="preserve">high </w:t>
      </w:r>
      <w:r w:rsidR="00E1188D" w:rsidRPr="0021546A">
        <w:rPr>
          <w:rFonts w:cs="Arial"/>
        </w:rPr>
        <w:t>voltage (HV) powerlines</w:t>
      </w:r>
      <w:r w:rsidR="00020584" w:rsidRPr="0021546A">
        <w:rPr>
          <w:rFonts w:cs="Arial"/>
        </w:rPr>
        <w:t xml:space="preserve"> in </w:t>
      </w:r>
      <w:r w:rsidR="00F63A0B" w:rsidRPr="0021546A">
        <w:rPr>
          <w:rFonts w:cs="Arial"/>
        </w:rPr>
        <w:t>low bushfire risk areas (LBRA)</w:t>
      </w:r>
      <w:r w:rsidR="00020584" w:rsidRPr="0021546A">
        <w:rPr>
          <w:rFonts w:cs="Arial"/>
        </w:rPr>
        <w:t xml:space="preserve"> and agree</w:t>
      </w:r>
      <w:r w:rsidR="00F442B2" w:rsidRPr="0021546A">
        <w:rPr>
          <w:rFonts w:cs="Arial"/>
        </w:rPr>
        <w:t xml:space="preserve"> contact </w:t>
      </w:r>
      <w:r w:rsidR="00A958D3" w:rsidRPr="0021546A">
        <w:rPr>
          <w:rFonts w:cs="Arial"/>
        </w:rPr>
        <w:t>must</w:t>
      </w:r>
      <w:r w:rsidR="00F442B2" w:rsidRPr="0021546A">
        <w:rPr>
          <w:rFonts w:cs="Arial"/>
        </w:rPr>
        <w:t xml:space="preserve"> not be permitted. </w:t>
      </w:r>
    </w:p>
    <w:p w14:paraId="42981E69" w14:textId="77777777" w:rsidR="00BC4BC1" w:rsidRDefault="00BC4BC1" w:rsidP="0021546A">
      <w:pPr>
        <w:spacing w:after="0"/>
        <w:rPr>
          <w:rFonts w:cs="Arial"/>
        </w:rPr>
      </w:pPr>
    </w:p>
    <w:p w14:paraId="12F8BD11" w14:textId="1148363E" w:rsidR="006C54C4" w:rsidRPr="0021546A" w:rsidRDefault="00574E60" w:rsidP="000F4CDC">
      <w:pPr>
        <w:tabs>
          <w:tab w:val="left" w:pos="363"/>
        </w:tabs>
        <w:rPr>
          <w:rFonts w:cs="Arial"/>
        </w:rPr>
      </w:pPr>
      <w:r w:rsidRPr="0021546A">
        <w:rPr>
          <w:rFonts w:cs="Arial"/>
        </w:rPr>
        <w:lastRenderedPageBreak/>
        <w:t xml:space="preserve">What </w:t>
      </w:r>
      <w:r w:rsidR="00E1188D" w:rsidRPr="0021546A">
        <w:rPr>
          <w:rFonts w:cs="Arial"/>
        </w:rPr>
        <w:t>councils</w:t>
      </w:r>
      <w:r w:rsidRPr="0021546A">
        <w:rPr>
          <w:rFonts w:cs="Arial"/>
        </w:rPr>
        <w:t xml:space="preserve"> do not </w:t>
      </w:r>
      <w:r w:rsidR="003F7BFF">
        <w:rPr>
          <w:rFonts w:cs="Arial"/>
        </w:rPr>
        <w:t>accept</w:t>
      </w:r>
      <w:r w:rsidRPr="0021546A">
        <w:rPr>
          <w:rFonts w:cs="Arial"/>
        </w:rPr>
        <w:t xml:space="preserve"> is that the Code prescribes </w:t>
      </w:r>
      <w:r w:rsidR="00375288" w:rsidRPr="0021546A">
        <w:rPr>
          <w:rFonts w:cs="Arial"/>
        </w:rPr>
        <w:t xml:space="preserve">appropriate clearances and management requirements for </w:t>
      </w:r>
      <w:r w:rsidR="00F63A0B" w:rsidRPr="0021546A">
        <w:rPr>
          <w:rFonts w:cs="Arial"/>
        </w:rPr>
        <w:t>low voltage (LV) powerlines</w:t>
      </w:r>
      <w:r w:rsidR="00375288" w:rsidRPr="0021546A">
        <w:rPr>
          <w:rFonts w:cs="Arial"/>
        </w:rPr>
        <w:t xml:space="preserve"> in LBRA. </w:t>
      </w:r>
      <w:r w:rsidR="00AA3079">
        <w:rPr>
          <w:rFonts w:cs="Arial"/>
        </w:rPr>
        <w:t>Furthermore</w:t>
      </w:r>
      <w:r w:rsidR="0085709A">
        <w:rPr>
          <w:rFonts w:cs="Arial"/>
        </w:rPr>
        <w:t>, it frustrates councils that t</w:t>
      </w:r>
      <w:r w:rsidR="00BC4BC1">
        <w:rPr>
          <w:rFonts w:cs="Arial"/>
        </w:rPr>
        <w:t xml:space="preserve">he regulations </w:t>
      </w:r>
      <w:r w:rsidR="0085709A">
        <w:rPr>
          <w:rFonts w:cs="Arial"/>
        </w:rPr>
        <w:t xml:space="preserve">still </w:t>
      </w:r>
      <w:r w:rsidR="00BC4BC1">
        <w:rPr>
          <w:rFonts w:cs="Arial"/>
        </w:rPr>
        <w:t>fail to recognise that there are areas with very low or negligible bushfire risk where amenity and environmental outcomes can and should be primary considerations</w:t>
      </w:r>
      <w:r w:rsidR="004F704B">
        <w:rPr>
          <w:rFonts w:cs="Arial"/>
        </w:rPr>
        <w:t xml:space="preserve"> when determining minimum clearance distances</w:t>
      </w:r>
      <w:r w:rsidR="00BC4BC1">
        <w:rPr>
          <w:rFonts w:cs="Arial"/>
        </w:rPr>
        <w:t xml:space="preserve">. </w:t>
      </w:r>
    </w:p>
    <w:p w14:paraId="1E6DFF44" w14:textId="1427A912" w:rsidR="001779EC" w:rsidRDefault="008C17DD" w:rsidP="00A6480A">
      <w:pPr>
        <w:spacing w:after="0"/>
        <w:rPr>
          <w:rFonts w:cs="Arial"/>
        </w:rPr>
      </w:pPr>
      <w:r w:rsidRPr="0021546A">
        <w:rPr>
          <w:rFonts w:cs="Arial"/>
        </w:rPr>
        <w:t>D</w:t>
      </w:r>
      <w:r w:rsidR="006C54C4" w:rsidRPr="0021546A">
        <w:rPr>
          <w:rFonts w:cs="Arial"/>
        </w:rPr>
        <w:t xml:space="preserve">ata </w:t>
      </w:r>
      <w:r w:rsidR="00C74761" w:rsidRPr="0021546A">
        <w:rPr>
          <w:rFonts w:cs="Arial"/>
        </w:rPr>
        <w:t xml:space="preserve">provided in the RIS clearly indicates that </w:t>
      </w:r>
      <w:r w:rsidRPr="0021546A">
        <w:rPr>
          <w:rFonts w:cs="Arial"/>
        </w:rPr>
        <w:t xml:space="preserve">fire, power supply outage and electrocution </w:t>
      </w:r>
      <w:r w:rsidR="00E1188D" w:rsidRPr="0021546A">
        <w:rPr>
          <w:rFonts w:cs="Arial"/>
        </w:rPr>
        <w:t>incidents</w:t>
      </w:r>
      <w:r w:rsidRPr="0021546A">
        <w:rPr>
          <w:rFonts w:cs="Arial"/>
        </w:rPr>
        <w:t xml:space="preserve"> resulting from vegetation within the clearance </w:t>
      </w:r>
      <w:r w:rsidR="00CB6CDB" w:rsidRPr="0021546A">
        <w:rPr>
          <w:rFonts w:cs="Arial"/>
        </w:rPr>
        <w:t xml:space="preserve">distance </w:t>
      </w:r>
      <w:r w:rsidR="00382994" w:rsidRPr="0021546A">
        <w:rPr>
          <w:rFonts w:cs="Arial"/>
        </w:rPr>
        <w:t xml:space="preserve">are </w:t>
      </w:r>
      <w:r w:rsidR="00F67AAA" w:rsidRPr="0021546A">
        <w:rPr>
          <w:rFonts w:cs="Arial"/>
        </w:rPr>
        <w:t>minimal</w:t>
      </w:r>
      <w:r w:rsidR="00382994" w:rsidRPr="0021546A">
        <w:rPr>
          <w:rFonts w:cs="Arial"/>
        </w:rPr>
        <w:t xml:space="preserve"> and trending in the right direction</w:t>
      </w:r>
      <w:r w:rsidR="00CB6CDB" w:rsidRPr="0021546A">
        <w:rPr>
          <w:rFonts w:cs="Arial"/>
        </w:rPr>
        <w:t xml:space="preserve">. </w:t>
      </w:r>
      <w:r w:rsidR="00382994" w:rsidRPr="0021546A">
        <w:rPr>
          <w:rFonts w:cs="Arial"/>
        </w:rPr>
        <w:t>While f</w:t>
      </w:r>
      <w:r w:rsidR="00CB6CDB" w:rsidRPr="0021546A">
        <w:rPr>
          <w:rFonts w:cs="Arial"/>
        </w:rPr>
        <w:t xml:space="preserve">ire risk </w:t>
      </w:r>
      <w:r w:rsidR="009E0D26" w:rsidRPr="0021546A">
        <w:rPr>
          <w:rFonts w:cs="Arial"/>
        </w:rPr>
        <w:t>features</w:t>
      </w:r>
      <w:r w:rsidR="00CB6CDB" w:rsidRPr="0021546A">
        <w:rPr>
          <w:rFonts w:cs="Arial"/>
        </w:rPr>
        <w:t xml:space="preserve"> throughout the </w:t>
      </w:r>
      <w:r w:rsidR="00382994" w:rsidRPr="0021546A">
        <w:rPr>
          <w:rFonts w:cs="Arial"/>
        </w:rPr>
        <w:t xml:space="preserve">RIS, </w:t>
      </w:r>
      <w:r w:rsidR="00C46EDD" w:rsidRPr="0021546A">
        <w:rPr>
          <w:rFonts w:cs="Arial"/>
        </w:rPr>
        <w:t xml:space="preserve">the data shows that only 6 per cent of the average </w:t>
      </w:r>
      <w:r w:rsidR="00EC669F" w:rsidRPr="0021546A">
        <w:rPr>
          <w:rFonts w:cs="Arial"/>
        </w:rPr>
        <w:t xml:space="preserve">44 fires per year caused by contact </w:t>
      </w:r>
      <w:r w:rsidR="00E1188D" w:rsidRPr="0021546A">
        <w:rPr>
          <w:rFonts w:cs="Arial"/>
        </w:rPr>
        <w:t>between</w:t>
      </w:r>
      <w:r w:rsidR="00EC669F" w:rsidRPr="0021546A">
        <w:rPr>
          <w:rFonts w:cs="Arial"/>
        </w:rPr>
        <w:t xml:space="preserve"> tree </w:t>
      </w:r>
      <w:r w:rsidR="00E1188D" w:rsidRPr="0021546A">
        <w:rPr>
          <w:rFonts w:cs="Arial"/>
        </w:rPr>
        <w:t>branches</w:t>
      </w:r>
      <w:r w:rsidR="00EC669F" w:rsidRPr="0021546A">
        <w:rPr>
          <w:rFonts w:cs="Arial"/>
        </w:rPr>
        <w:t xml:space="preserve"> and power</w:t>
      </w:r>
      <w:r w:rsidR="007E5508" w:rsidRPr="0021546A">
        <w:rPr>
          <w:rFonts w:cs="Arial"/>
        </w:rPr>
        <w:t>li</w:t>
      </w:r>
      <w:r w:rsidR="00EC669F" w:rsidRPr="0021546A">
        <w:rPr>
          <w:rFonts w:cs="Arial"/>
        </w:rPr>
        <w:t xml:space="preserve">nes is caused by </w:t>
      </w:r>
      <w:r w:rsidR="00976E15" w:rsidRPr="0021546A">
        <w:rPr>
          <w:rFonts w:cs="Arial"/>
        </w:rPr>
        <w:t>“grow-ins”</w:t>
      </w:r>
      <w:r w:rsidR="009E0D26" w:rsidRPr="0021546A">
        <w:rPr>
          <w:rFonts w:cs="Arial"/>
        </w:rPr>
        <w:t xml:space="preserve"> </w:t>
      </w:r>
      <w:r w:rsidR="000E5B62" w:rsidRPr="0021546A">
        <w:rPr>
          <w:rFonts w:cs="Arial"/>
        </w:rPr>
        <w:t>(</w:t>
      </w:r>
      <w:r w:rsidR="009E0D26" w:rsidRPr="0021546A">
        <w:rPr>
          <w:rFonts w:cs="Arial"/>
        </w:rPr>
        <w:t>vegetation within the</w:t>
      </w:r>
      <w:r w:rsidR="000E5B62" w:rsidRPr="0021546A">
        <w:rPr>
          <w:rFonts w:cs="Arial"/>
        </w:rPr>
        <w:t xml:space="preserve"> prescribed minimum</w:t>
      </w:r>
      <w:r w:rsidR="009E0D26" w:rsidRPr="0021546A">
        <w:rPr>
          <w:rFonts w:cs="Arial"/>
        </w:rPr>
        <w:t xml:space="preserve"> clearance space</w:t>
      </w:r>
      <w:r w:rsidR="000E5B62" w:rsidRPr="0021546A">
        <w:rPr>
          <w:rFonts w:cs="Arial"/>
        </w:rPr>
        <w:t>)</w:t>
      </w:r>
      <w:r w:rsidR="009E0D26" w:rsidRPr="0021546A">
        <w:rPr>
          <w:rFonts w:cs="Arial"/>
        </w:rPr>
        <w:t>.</w:t>
      </w:r>
      <w:r w:rsidR="008B7673" w:rsidRPr="0021546A">
        <w:rPr>
          <w:rFonts w:cs="Arial"/>
        </w:rPr>
        <w:t xml:space="preserve"> </w:t>
      </w:r>
    </w:p>
    <w:p w14:paraId="508DDB80" w14:textId="77777777" w:rsidR="00A6480A" w:rsidRPr="0021546A" w:rsidRDefault="00A6480A" w:rsidP="00A6480A">
      <w:pPr>
        <w:spacing w:after="0"/>
        <w:rPr>
          <w:rFonts w:cs="Arial"/>
        </w:rPr>
      </w:pPr>
    </w:p>
    <w:p w14:paraId="1C74F837" w14:textId="6AC31EC6" w:rsidR="005A4C57" w:rsidRPr="0021546A" w:rsidRDefault="004C2E8B" w:rsidP="0021546A">
      <w:pPr>
        <w:spacing w:after="0"/>
        <w:rPr>
          <w:rFonts w:cs="Arial"/>
        </w:rPr>
      </w:pPr>
      <w:r>
        <w:rPr>
          <w:rFonts w:cs="Arial"/>
        </w:rPr>
        <w:t>T</w:t>
      </w:r>
      <w:r w:rsidR="001779EC" w:rsidRPr="0021546A">
        <w:rPr>
          <w:rFonts w:cs="Arial"/>
        </w:rPr>
        <w:t>h</w:t>
      </w:r>
      <w:r w:rsidR="00AE7067">
        <w:rPr>
          <w:rFonts w:cs="Arial"/>
        </w:rPr>
        <w:t>e</w:t>
      </w:r>
      <w:r w:rsidR="001779EC" w:rsidRPr="0021546A">
        <w:rPr>
          <w:rFonts w:cs="Arial"/>
        </w:rPr>
        <w:t xml:space="preserve"> incident data </w:t>
      </w:r>
      <w:r w:rsidR="00A51208" w:rsidRPr="0021546A">
        <w:rPr>
          <w:rFonts w:cs="Arial"/>
        </w:rPr>
        <w:t xml:space="preserve">reflects </w:t>
      </w:r>
      <w:r w:rsidR="002A2758" w:rsidRPr="0021546A">
        <w:rPr>
          <w:rFonts w:cs="Arial"/>
        </w:rPr>
        <w:t xml:space="preserve">the outcomes of </w:t>
      </w:r>
      <w:r w:rsidR="00896776" w:rsidRPr="0021546A">
        <w:rPr>
          <w:rFonts w:cs="Arial"/>
        </w:rPr>
        <w:t xml:space="preserve">existing </w:t>
      </w:r>
      <w:r w:rsidR="00A51208" w:rsidRPr="0021546A">
        <w:rPr>
          <w:rFonts w:cs="Arial"/>
        </w:rPr>
        <w:t>vegetation management practice</w:t>
      </w:r>
      <w:r w:rsidR="002A2758" w:rsidRPr="0021546A">
        <w:rPr>
          <w:rFonts w:cs="Arial"/>
        </w:rPr>
        <w:t>s</w:t>
      </w:r>
      <w:r w:rsidR="00DA0662">
        <w:rPr>
          <w:rFonts w:cs="Arial"/>
        </w:rPr>
        <w:t xml:space="preserve">. It </w:t>
      </w:r>
      <w:r w:rsidR="00A02AB3" w:rsidRPr="0021546A">
        <w:rPr>
          <w:rFonts w:cs="Arial"/>
        </w:rPr>
        <w:t xml:space="preserve">does </w:t>
      </w:r>
      <w:r w:rsidR="00896776" w:rsidRPr="0021546A">
        <w:rPr>
          <w:rFonts w:cs="Arial"/>
        </w:rPr>
        <w:t>not</w:t>
      </w:r>
      <w:r w:rsidR="00A02AB3" w:rsidRPr="0021546A">
        <w:rPr>
          <w:rFonts w:cs="Arial"/>
        </w:rPr>
        <w:t>, as</w:t>
      </w:r>
      <w:r>
        <w:rPr>
          <w:rFonts w:cs="Arial"/>
        </w:rPr>
        <w:t xml:space="preserve"> </w:t>
      </w:r>
      <w:r w:rsidR="00A02AB3" w:rsidRPr="0021546A">
        <w:rPr>
          <w:rFonts w:cs="Arial"/>
        </w:rPr>
        <w:t xml:space="preserve">implied by the RIS, demonstrate the </w:t>
      </w:r>
      <w:r w:rsidR="00C41ECF">
        <w:rPr>
          <w:rFonts w:cs="Arial"/>
        </w:rPr>
        <w:t>effectiveness</w:t>
      </w:r>
      <w:r w:rsidR="00A02AB3" w:rsidRPr="0021546A">
        <w:rPr>
          <w:rFonts w:cs="Arial"/>
        </w:rPr>
        <w:t xml:space="preserve"> of</w:t>
      </w:r>
      <w:r w:rsidR="00896776" w:rsidRPr="0021546A">
        <w:rPr>
          <w:rFonts w:cs="Arial"/>
        </w:rPr>
        <w:t xml:space="preserve"> compliance with the Code. </w:t>
      </w:r>
      <w:r w:rsidR="002A2758" w:rsidRPr="0021546A">
        <w:rPr>
          <w:rFonts w:cs="Arial"/>
        </w:rPr>
        <w:t xml:space="preserve"> </w:t>
      </w:r>
      <w:r w:rsidR="005A4C57" w:rsidRPr="0021546A">
        <w:rPr>
          <w:rFonts w:cs="Arial"/>
        </w:rPr>
        <w:t xml:space="preserve">The reality is that unless trees are pruned excessively or removed </w:t>
      </w:r>
      <w:r w:rsidR="00E1188D" w:rsidRPr="0021546A">
        <w:rPr>
          <w:rFonts w:cs="Arial"/>
        </w:rPr>
        <w:t>altogether</w:t>
      </w:r>
      <w:r w:rsidR="005A4C57" w:rsidRPr="0021546A">
        <w:rPr>
          <w:rFonts w:cs="Arial"/>
        </w:rPr>
        <w:t xml:space="preserve">, growth into the prescribed minimum clearance distances </w:t>
      </w:r>
      <w:r w:rsidR="003F7BFF">
        <w:rPr>
          <w:rFonts w:cs="Arial"/>
        </w:rPr>
        <w:t xml:space="preserve">for LV in LBRA </w:t>
      </w:r>
      <w:r w:rsidR="005A4C57" w:rsidRPr="0021546A">
        <w:rPr>
          <w:rFonts w:cs="Arial"/>
        </w:rPr>
        <w:t>is common.</w:t>
      </w:r>
      <w:r w:rsidR="009B67EF" w:rsidRPr="0021546A">
        <w:rPr>
          <w:rFonts w:cs="Arial"/>
        </w:rPr>
        <w:t xml:space="preserve"> </w:t>
      </w:r>
      <w:r w:rsidR="00AE7067">
        <w:rPr>
          <w:rFonts w:cs="Arial"/>
        </w:rPr>
        <w:t>Non-</w:t>
      </w:r>
      <w:r w:rsidR="003F511B">
        <w:rPr>
          <w:rFonts w:cs="Arial"/>
        </w:rPr>
        <w:t xml:space="preserve">compliance with the Code for LV in LBRA </w:t>
      </w:r>
      <w:r w:rsidR="00CA0B2B">
        <w:rPr>
          <w:rFonts w:cs="Arial"/>
        </w:rPr>
        <w:t>has</w:t>
      </w:r>
      <w:r w:rsidR="003F511B">
        <w:rPr>
          <w:rFonts w:cs="Arial"/>
        </w:rPr>
        <w:t xml:space="preserve"> </w:t>
      </w:r>
      <w:r w:rsidR="00CA0B2B">
        <w:rPr>
          <w:rFonts w:cs="Arial"/>
        </w:rPr>
        <w:t xml:space="preserve">generally been tolerated on the basis that is poses little risk. </w:t>
      </w:r>
    </w:p>
    <w:p w14:paraId="60BF38D7" w14:textId="0D212B9D" w:rsidR="00C41ECF" w:rsidRDefault="00C41ECF" w:rsidP="00F11A2E">
      <w:pPr>
        <w:spacing w:after="0"/>
        <w:rPr>
          <w:rFonts w:cs="Arial"/>
        </w:rPr>
      </w:pPr>
    </w:p>
    <w:p w14:paraId="4C92F0D0" w14:textId="6FA0E464" w:rsidR="00DA0662" w:rsidRDefault="00DA0662" w:rsidP="00F11A2E">
      <w:pPr>
        <w:spacing w:after="0"/>
        <w:rPr>
          <w:rFonts w:cs="Arial"/>
        </w:rPr>
      </w:pPr>
      <w:r>
        <w:rPr>
          <w:rFonts w:cs="Arial"/>
        </w:rPr>
        <w:t xml:space="preserve">If the regulations are finalised as drafted, councils will </w:t>
      </w:r>
      <w:r w:rsidR="003F7BFF">
        <w:rPr>
          <w:rFonts w:cs="Arial"/>
        </w:rPr>
        <w:t xml:space="preserve">likely </w:t>
      </w:r>
      <w:r>
        <w:rPr>
          <w:rFonts w:cs="Arial"/>
        </w:rPr>
        <w:t>either remain non-compliant or</w:t>
      </w:r>
      <w:r w:rsidR="00455385">
        <w:rPr>
          <w:rFonts w:cs="Arial"/>
        </w:rPr>
        <w:t>, if ESV’s enforcement approach shifts, they</w:t>
      </w:r>
      <w:r w:rsidR="0090223B">
        <w:rPr>
          <w:rFonts w:cs="Arial"/>
        </w:rPr>
        <w:t xml:space="preserve"> will be forced to </w:t>
      </w:r>
      <w:r>
        <w:rPr>
          <w:rFonts w:cs="Arial"/>
        </w:rPr>
        <w:t xml:space="preserve">remove </w:t>
      </w:r>
      <w:r w:rsidR="0090223B">
        <w:rPr>
          <w:rFonts w:cs="Arial"/>
        </w:rPr>
        <w:t>large numbers of mature trees and structural branches. Both approaches come at significant financial, environmental, aesthetic and political risk and cost</w:t>
      </w:r>
      <w:r w:rsidR="00F11A2E">
        <w:rPr>
          <w:rFonts w:cs="Arial"/>
        </w:rPr>
        <w:t>, for local government</w:t>
      </w:r>
      <w:r w:rsidR="00AE7067">
        <w:rPr>
          <w:rFonts w:cs="Arial"/>
        </w:rPr>
        <w:t xml:space="preserve">, </w:t>
      </w:r>
      <w:r w:rsidR="00F11A2E">
        <w:rPr>
          <w:rFonts w:cs="Arial"/>
        </w:rPr>
        <w:t>for the Victorian government</w:t>
      </w:r>
      <w:r w:rsidR="00796193">
        <w:rPr>
          <w:rFonts w:cs="Arial"/>
        </w:rPr>
        <w:t xml:space="preserve"> and</w:t>
      </w:r>
      <w:r w:rsidR="00AE7067">
        <w:rPr>
          <w:rFonts w:cs="Arial"/>
        </w:rPr>
        <w:t xml:space="preserve"> for</w:t>
      </w:r>
      <w:r w:rsidR="00796193">
        <w:rPr>
          <w:rFonts w:cs="Arial"/>
        </w:rPr>
        <w:t xml:space="preserve"> the community</w:t>
      </w:r>
      <w:r w:rsidR="0090223B">
        <w:rPr>
          <w:rFonts w:cs="Arial"/>
        </w:rPr>
        <w:t xml:space="preserve">. </w:t>
      </w:r>
      <w:r>
        <w:rPr>
          <w:rFonts w:cs="Arial"/>
        </w:rPr>
        <w:t xml:space="preserve">This </w:t>
      </w:r>
      <w:r w:rsidR="0090223B">
        <w:rPr>
          <w:rFonts w:cs="Arial"/>
        </w:rPr>
        <w:t xml:space="preserve">is in </w:t>
      </w:r>
      <w:r>
        <w:rPr>
          <w:rFonts w:cs="Arial"/>
        </w:rPr>
        <w:t>the absence of incident data or other evidence</w:t>
      </w:r>
      <w:r w:rsidR="0090223B">
        <w:rPr>
          <w:rFonts w:cs="Arial"/>
        </w:rPr>
        <w:t xml:space="preserve"> to</w:t>
      </w:r>
      <w:r>
        <w:rPr>
          <w:rFonts w:cs="Arial"/>
        </w:rPr>
        <w:t xml:space="preserve"> </w:t>
      </w:r>
      <w:r w:rsidR="003F7BFF">
        <w:rPr>
          <w:rFonts w:cs="Arial"/>
        </w:rPr>
        <w:t>indicate that current practice for</w:t>
      </w:r>
      <w:r w:rsidR="004F704B">
        <w:rPr>
          <w:rFonts w:cs="Arial"/>
        </w:rPr>
        <w:t xml:space="preserve"> managing trees near</w:t>
      </w:r>
      <w:r w:rsidR="003F7BFF">
        <w:rPr>
          <w:rFonts w:cs="Arial"/>
        </w:rPr>
        <w:t xml:space="preserve"> LV in LBRA is unsafe</w:t>
      </w:r>
      <w:r w:rsidR="0090223B">
        <w:rPr>
          <w:rFonts w:cs="Arial"/>
        </w:rPr>
        <w:t>.</w:t>
      </w:r>
      <w:r>
        <w:rPr>
          <w:rFonts w:cs="Arial"/>
        </w:rPr>
        <w:t xml:space="preserve"> </w:t>
      </w:r>
    </w:p>
    <w:p w14:paraId="79F2C9FE" w14:textId="723C1C97" w:rsidR="0085709A" w:rsidRDefault="0085709A" w:rsidP="00F11A2E">
      <w:pPr>
        <w:spacing w:after="0"/>
        <w:rPr>
          <w:rFonts w:cs="Arial"/>
        </w:rPr>
      </w:pPr>
    </w:p>
    <w:p w14:paraId="33332F72" w14:textId="41C8DD1E" w:rsidR="0085709A" w:rsidRDefault="0085709A" w:rsidP="0085709A">
      <w:pPr>
        <w:tabs>
          <w:tab w:val="left" w:pos="363"/>
        </w:tabs>
        <w:rPr>
          <w:rFonts w:cs="Arial"/>
        </w:rPr>
      </w:pPr>
      <w:r>
        <w:rPr>
          <w:rFonts w:cs="Arial"/>
        </w:rPr>
        <w:t xml:space="preserve">In rural Victoria, excessive and highly damaging cutting of trees in townships by distribution businesses, and in particular by Powercor and Powercor contractors, continues to undermine efforts of councils to improve the amenity and appeal of their </w:t>
      </w:r>
      <w:r>
        <w:rPr>
          <w:rFonts w:cs="Arial"/>
        </w:rPr>
        <w:t>town centres</w:t>
      </w:r>
      <w:r>
        <w:rPr>
          <w:rFonts w:cs="Arial"/>
        </w:rPr>
        <w:t>. Councils report that Powercor responds with indifference to their appeals to prune only to the minimum extent necessary to achieve compliance. Instead, cost considerations and a desire to operate two-, three- or even four-year pruning cycles drive decision making.</w:t>
      </w:r>
      <w:r>
        <w:rPr>
          <w:rFonts w:cs="Arial"/>
        </w:rPr>
        <w:t xml:space="preserve"> This is unacceptable, </w:t>
      </w:r>
      <w:r w:rsidR="00AA3079">
        <w:rPr>
          <w:rFonts w:cs="Arial"/>
        </w:rPr>
        <w:t>particularly in</w:t>
      </w:r>
      <w:r>
        <w:rPr>
          <w:rFonts w:cs="Arial"/>
        </w:rPr>
        <w:t xml:space="preserve"> the context of climate change. </w:t>
      </w:r>
    </w:p>
    <w:p w14:paraId="179005F3" w14:textId="0D7DF80F" w:rsidR="00F10BFE" w:rsidRDefault="00F10BFE" w:rsidP="00F11A2E">
      <w:pPr>
        <w:spacing w:after="0"/>
        <w:rPr>
          <w:rFonts w:cs="Arial"/>
        </w:rPr>
      </w:pPr>
      <w:r>
        <w:rPr>
          <w:rFonts w:cs="Arial"/>
        </w:rPr>
        <w:t>The</w:t>
      </w:r>
      <w:r w:rsidR="00F11A2E">
        <w:rPr>
          <w:rFonts w:cs="Arial"/>
        </w:rPr>
        <w:t xml:space="preserve"> process adopted for the consideration and preparation of the 2020 regulations </w:t>
      </w:r>
      <w:r>
        <w:rPr>
          <w:rFonts w:cs="Arial"/>
        </w:rPr>
        <w:t xml:space="preserve">has been </w:t>
      </w:r>
      <w:r w:rsidR="00F11A2E">
        <w:rPr>
          <w:rFonts w:cs="Arial"/>
        </w:rPr>
        <w:t xml:space="preserve">disappointing. </w:t>
      </w:r>
      <w:r>
        <w:rPr>
          <w:rFonts w:cs="Arial"/>
        </w:rPr>
        <w:t xml:space="preserve">This is through no fault of ESV. </w:t>
      </w:r>
      <w:r w:rsidR="00134B62">
        <w:rPr>
          <w:rFonts w:cs="Arial"/>
        </w:rPr>
        <w:t xml:space="preserve">The Act provides for the establishment of an Electric Line Clearance Consultative Committee (ELCCC) to </w:t>
      </w:r>
      <w:r w:rsidR="00F11A2E">
        <w:rPr>
          <w:rFonts w:cs="Arial"/>
        </w:rPr>
        <w:t xml:space="preserve">provide advice to ESV on the preparation of the Code. Pending the appointment of ELCCC members by the </w:t>
      </w:r>
      <w:r w:rsidR="00A6480A">
        <w:rPr>
          <w:rFonts w:cs="Arial"/>
        </w:rPr>
        <w:t>Government</w:t>
      </w:r>
      <w:r w:rsidR="00F11A2E">
        <w:rPr>
          <w:rFonts w:cs="Arial"/>
        </w:rPr>
        <w:t xml:space="preserve">, the Committee did not exist or meet for more than three years, between 2015 and 2019. </w:t>
      </w:r>
    </w:p>
    <w:p w14:paraId="5439BD9D" w14:textId="77777777" w:rsidR="00F10BFE" w:rsidRDefault="00F10BFE" w:rsidP="00F11A2E">
      <w:pPr>
        <w:spacing w:after="0"/>
        <w:rPr>
          <w:rFonts w:cs="Arial"/>
        </w:rPr>
      </w:pPr>
    </w:p>
    <w:p w14:paraId="03314218" w14:textId="28AB6637" w:rsidR="00134B62" w:rsidRPr="0021546A" w:rsidRDefault="00F11A2E" w:rsidP="00F11A2E">
      <w:pPr>
        <w:spacing w:after="0"/>
        <w:rPr>
          <w:rFonts w:cs="Arial"/>
        </w:rPr>
      </w:pPr>
      <w:r>
        <w:rPr>
          <w:rFonts w:cs="Arial"/>
        </w:rPr>
        <w:t>The co</w:t>
      </w:r>
      <w:r w:rsidR="00796193">
        <w:rPr>
          <w:rFonts w:cs="Arial"/>
        </w:rPr>
        <w:t xml:space="preserve">mposition </w:t>
      </w:r>
      <w:r>
        <w:rPr>
          <w:rFonts w:cs="Arial"/>
        </w:rPr>
        <w:t xml:space="preserve">of the </w:t>
      </w:r>
      <w:r w:rsidR="004E5D47">
        <w:rPr>
          <w:rFonts w:cs="Arial"/>
        </w:rPr>
        <w:t>C</w:t>
      </w:r>
      <w:r>
        <w:rPr>
          <w:rFonts w:cs="Arial"/>
        </w:rPr>
        <w:t>ommittee i</w:t>
      </w:r>
      <w:r w:rsidR="00F10BFE">
        <w:rPr>
          <w:rFonts w:cs="Arial"/>
        </w:rPr>
        <w:t>nclude</w:t>
      </w:r>
      <w:r w:rsidR="004E5D47">
        <w:rPr>
          <w:rFonts w:cs="Arial"/>
        </w:rPr>
        <w:t>s</w:t>
      </w:r>
      <w:r w:rsidR="00F10BFE">
        <w:rPr>
          <w:rFonts w:cs="Arial"/>
        </w:rPr>
        <w:t xml:space="preserve"> appointees with little or no interest in line clearance issues. The Act requirements </w:t>
      </w:r>
      <w:r>
        <w:rPr>
          <w:rFonts w:cs="Arial"/>
        </w:rPr>
        <w:t>need to be revised as a matter of priority</w:t>
      </w:r>
      <w:r w:rsidR="00F10BFE">
        <w:rPr>
          <w:rFonts w:cs="Arial"/>
        </w:rPr>
        <w:t xml:space="preserve">. </w:t>
      </w:r>
      <w:r>
        <w:rPr>
          <w:rFonts w:cs="Arial"/>
        </w:rPr>
        <w:t xml:space="preserve">We </w:t>
      </w:r>
      <w:r w:rsidR="00F10BFE">
        <w:rPr>
          <w:rFonts w:cs="Arial"/>
        </w:rPr>
        <w:t xml:space="preserve">further </w:t>
      </w:r>
      <w:r>
        <w:rPr>
          <w:rFonts w:cs="Arial"/>
        </w:rPr>
        <w:t>q</w:t>
      </w:r>
      <w:r w:rsidR="00134B62" w:rsidRPr="0021546A">
        <w:rPr>
          <w:rFonts w:cs="Arial"/>
        </w:rPr>
        <w:t>uest</w:t>
      </w:r>
      <w:r w:rsidR="00F10BFE">
        <w:rPr>
          <w:rFonts w:cs="Arial"/>
        </w:rPr>
        <w:t>ion whether</w:t>
      </w:r>
      <w:r w:rsidR="00134B62" w:rsidRPr="0021546A">
        <w:rPr>
          <w:rFonts w:cs="Arial"/>
        </w:rPr>
        <w:t xml:space="preserve"> the ELCCC and ESV</w:t>
      </w:r>
      <w:r w:rsidR="00F10BFE">
        <w:rPr>
          <w:rFonts w:cs="Arial"/>
        </w:rPr>
        <w:t xml:space="preserve"> has the </w:t>
      </w:r>
      <w:r w:rsidR="00134B62" w:rsidRPr="0021546A">
        <w:rPr>
          <w:rFonts w:cs="Arial"/>
        </w:rPr>
        <w:t xml:space="preserve">capacity to give due consideration to </w:t>
      </w:r>
      <w:r>
        <w:rPr>
          <w:rFonts w:cs="Arial"/>
        </w:rPr>
        <w:t xml:space="preserve">any </w:t>
      </w:r>
      <w:r w:rsidR="00134B62" w:rsidRPr="0021546A">
        <w:rPr>
          <w:rFonts w:cs="Arial"/>
        </w:rPr>
        <w:t>feedback received through the RIS consultation process when the new reg</w:t>
      </w:r>
      <w:r>
        <w:rPr>
          <w:rFonts w:cs="Arial"/>
        </w:rPr>
        <w:t>ulation</w:t>
      </w:r>
      <w:r w:rsidR="00134B62" w:rsidRPr="0021546A">
        <w:rPr>
          <w:rFonts w:cs="Arial"/>
        </w:rPr>
        <w:t xml:space="preserve">s are to enter into </w:t>
      </w:r>
      <w:r w:rsidR="00134B62" w:rsidRPr="0021546A">
        <w:rPr>
          <w:rFonts w:cs="Arial"/>
        </w:rPr>
        <w:lastRenderedPageBreak/>
        <w:t xml:space="preserve">operation </w:t>
      </w:r>
      <w:r>
        <w:rPr>
          <w:rFonts w:cs="Arial"/>
        </w:rPr>
        <w:t xml:space="preserve">in less than four months, </w:t>
      </w:r>
      <w:r w:rsidR="00134B62" w:rsidRPr="0021546A">
        <w:rPr>
          <w:rFonts w:cs="Arial"/>
        </w:rPr>
        <w:t>on 27 Jun</w:t>
      </w:r>
      <w:r>
        <w:rPr>
          <w:rFonts w:cs="Arial"/>
        </w:rPr>
        <w:t xml:space="preserve">e 2020. </w:t>
      </w:r>
      <w:r w:rsidR="00AA3079">
        <w:rPr>
          <w:rFonts w:cs="Arial"/>
        </w:rPr>
        <w:t xml:space="preserve">This is concerning and raises doubts about the </w:t>
      </w:r>
      <w:r w:rsidR="004F704B">
        <w:rPr>
          <w:rFonts w:cs="Arial"/>
        </w:rPr>
        <w:t>genuineness</w:t>
      </w:r>
      <w:r w:rsidR="00AA3079">
        <w:rPr>
          <w:rFonts w:cs="Arial"/>
        </w:rPr>
        <w:t xml:space="preserve"> of the consultation process. </w:t>
      </w:r>
    </w:p>
    <w:p w14:paraId="06D3B772" w14:textId="77777777" w:rsidR="00134B62" w:rsidRPr="001C5B6C" w:rsidRDefault="00134B62" w:rsidP="00C41ECF">
      <w:pPr>
        <w:spacing w:after="0" w:line="240" w:lineRule="auto"/>
        <w:rPr>
          <w:rFonts w:cs="Arial"/>
        </w:rPr>
      </w:pPr>
    </w:p>
    <w:p w14:paraId="1E7E8421" w14:textId="77777777" w:rsidR="0090223B" w:rsidRDefault="0090223B" w:rsidP="00F11A2E">
      <w:pPr>
        <w:spacing w:after="0"/>
        <w:rPr>
          <w:b/>
        </w:rPr>
      </w:pPr>
      <w:r>
        <w:rPr>
          <w:b/>
        </w:rPr>
        <w:t>Recommendations</w:t>
      </w:r>
    </w:p>
    <w:p w14:paraId="49D5E49A" w14:textId="46C50F9E" w:rsidR="0090223B" w:rsidRDefault="0090223B" w:rsidP="003F511B">
      <w:pPr>
        <w:spacing w:after="0"/>
      </w:pPr>
      <w:r>
        <w:t xml:space="preserve">We call on the </w:t>
      </w:r>
      <w:r w:rsidR="003F7BFF">
        <w:t>G</w:t>
      </w:r>
      <w:r>
        <w:t xml:space="preserve">overnment to:  </w:t>
      </w:r>
    </w:p>
    <w:p w14:paraId="10F4F18D" w14:textId="77777777" w:rsidR="00AA3079" w:rsidRDefault="00AA3079" w:rsidP="003F511B">
      <w:pPr>
        <w:spacing w:after="0"/>
        <w:rPr>
          <w:rFonts w:cs="Arial"/>
        </w:rPr>
      </w:pPr>
    </w:p>
    <w:p w14:paraId="16AE1ED9" w14:textId="1A559722" w:rsidR="1D95D326" w:rsidRDefault="00134B62" w:rsidP="00F11A2E">
      <w:pPr>
        <w:pStyle w:val="ListParagraph"/>
        <w:numPr>
          <w:ilvl w:val="0"/>
          <w:numId w:val="13"/>
        </w:numPr>
        <w:spacing w:after="0"/>
        <w:rPr>
          <w:rFonts w:cs="Arial"/>
        </w:rPr>
      </w:pPr>
      <w:r>
        <w:rPr>
          <w:rFonts w:cs="Arial"/>
        </w:rPr>
        <w:t>Abandon the</w:t>
      </w:r>
      <w:r w:rsidR="1D95D326" w:rsidRPr="0021546A">
        <w:rPr>
          <w:rFonts w:cs="Arial"/>
        </w:rPr>
        <w:t xml:space="preserve"> proposed change to make clause 3(1) of Code an infringeable </w:t>
      </w:r>
      <w:r w:rsidR="00F11A2E" w:rsidRPr="0021546A">
        <w:rPr>
          <w:rFonts w:cs="Arial"/>
        </w:rPr>
        <w:t>offence</w:t>
      </w:r>
      <w:r w:rsidR="006203B2">
        <w:rPr>
          <w:rFonts w:cs="Arial"/>
        </w:rPr>
        <w:t xml:space="preserve"> or</w:t>
      </w:r>
      <w:r w:rsidR="003F7BFF">
        <w:rPr>
          <w:rFonts w:cs="Arial"/>
        </w:rPr>
        <w:t xml:space="preserve">, alternatively, </w:t>
      </w:r>
      <w:r w:rsidR="006203B2">
        <w:rPr>
          <w:rFonts w:cs="Arial"/>
        </w:rPr>
        <w:t>rework the pr</w:t>
      </w:r>
      <w:r w:rsidR="00796193">
        <w:rPr>
          <w:rFonts w:cs="Arial"/>
        </w:rPr>
        <w:t>o</w:t>
      </w:r>
      <w:r w:rsidR="006203B2">
        <w:rPr>
          <w:rFonts w:cs="Arial"/>
        </w:rPr>
        <w:t>vi</w:t>
      </w:r>
      <w:r w:rsidR="00796193">
        <w:rPr>
          <w:rFonts w:cs="Arial"/>
        </w:rPr>
        <w:t>si</w:t>
      </w:r>
      <w:r w:rsidR="006203B2">
        <w:rPr>
          <w:rFonts w:cs="Arial"/>
        </w:rPr>
        <w:t xml:space="preserve">on so that </w:t>
      </w:r>
      <w:r w:rsidR="00CA0B2B">
        <w:rPr>
          <w:rFonts w:cs="Arial"/>
        </w:rPr>
        <w:t>infringements</w:t>
      </w:r>
      <w:r w:rsidR="006203B2">
        <w:rPr>
          <w:rFonts w:cs="Arial"/>
        </w:rPr>
        <w:t xml:space="preserve"> only </w:t>
      </w:r>
      <w:r w:rsidR="006203B2" w:rsidRPr="00A02AB3">
        <w:rPr>
          <w:rFonts w:cs="Arial"/>
        </w:rPr>
        <w:t xml:space="preserve">apply to non-compliance in </w:t>
      </w:r>
      <w:r w:rsidR="00AE7067">
        <w:rPr>
          <w:rFonts w:cs="Arial"/>
        </w:rPr>
        <w:t>HBRA</w:t>
      </w:r>
      <w:r w:rsidR="006203B2">
        <w:rPr>
          <w:rFonts w:cs="Arial"/>
        </w:rPr>
        <w:t xml:space="preserve"> </w:t>
      </w:r>
      <w:r w:rsidR="006203B2" w:rsidRPr="00A02AB3">
        <w:rPr>
          <w:rFonts w:cs="Arial"/>
        </w:rPr>
        <w:t xml:space="preserve">and to </w:t>
      </w:r>
      <w:r w:rsidR="006203B2" w:rsidRPr="000F4CDC">
        <w:rPr>
          <w:rFonts w:cs="Arial"/>
        </w:rPr>
        <w:t xml:space="preserve">vegetation </w:t>
      </w:r>
      <w:r w:rsidR="0085709A" w:rsidRPr="000F4CDC">
        <w:rPr>
          <w:rFonts w:cs="Arial"/>
        </w:rPr>
        <w:t>near</w:t>
      </w:r>
      <w:r w:rsidR="0085709A" w:rsidRPr="000F4CDC">
        <w:rPr>
          <w:rFonts w:cs="Arial"/>
        </w:rPr>
        <w:t xml:space="preserve"> </w:t>
      </w:r>
      <w:r w:rsidR="006203B2" w:rsidRPr="000F4CDC">
        <w:rPr>
          <w:rFonts w:cs="Arial"/>
        </w:rPr>
        <w:t>HV</w:t>
      </w:r>
      <w:r w:rsidR="006203B2" w:rsidRPr="00A02AB3">
        <w:rPr>
          <w:rFonts w:cs="Arial"/>
        </w:rPr>
        <w:t xml:space="preserve"> in LBRA.</w:t>
      </w:r>
    </w:p>
    <w:p w14:paraId="6F871473" w14:textId="77777777" w:rsidR="00AA3079" w:rsidRPr="0021546A" w:rsidRDefault="00AA3079" w:rsidP="000F4CDC">
      <w:pPr>
        <w:pStyle w:val="ListParagraph"/>
        <w:spacing w:after="0"/>
        <w:rPr>
          <w:rFonts w:cs="Arial"/>
        </w:rPr>
      </w:pPr>
    </w:p>
    <w:p w14:paraId="62503145" w14:textId="2C286F46" w:rsidR="1D95D326" w:rsidRDefault="00134B62" w:rsidP="00F11A2E">
      <w:pPr>
        <w:pStyle w:val="ListParagraph"/>
        <w:numPr>
          <w:ilvl w:val="0"/>
          <w:numId w:val="13"/>
        </w:numPr>
        <w:spacing w:after="0"/>
        <w:rPr>
          <w:rFonts w:cs="Arial"/>
        </w:rPr>
      </w:pPr>
      <w:r>
        <w:rPr>
          <w:rFonts w:cs="Arial"/>
        </w:rPr>
        <w:t>Support inclusion of the c</w:t>
      </w:r>
      <w:r w:rsidR="1D95D326" w:rsidRPr="0021546A">
        <w:rPr>
          <w:rFonts w:cs="Arial"/>
        </w:rPr>
        <w:t xml:space="preserve">hanges </w:t>
      </w:r>
      <w:r>
        <w:rPr>
          <w:rFonts w:cs="Arial"/>
        </w:rPr>
        <w:t>outlined in section 5 of this submission</w:t>
      </w:r>
      <w:r w:rsidR="00796193">
        <w:rPr>
          <w:rFonts w:cs="Arial"/>
        </w:rPr>
        <w:t xml:space="preserve">. These changes will </w:t>
      </w:r>
      <w:r w:rsidR="1D95D326" w:rsidRPr="0021546A">
        <w:rPr>
          <w:rFonts w:cs="Arial"/>
        </w:rPr>
        <w:t xml:space="preserve">achieve improved </w:t>
      </w:r>
      <w:r w:rsidR="00C56FEB" w:rsidRPr="0021546A">
        <w:rPr>
          <w:rFonts w:cs="Arial"/>
        </w:rPr>
        <w:t>amenity</w:t>
      </w:r>
      <w:r w:rsidR="1D95D326" w:rsidRPr="0021546A">
        <w:rPr>
          <w:rFonts w:cs="Arial"/>
        </w:rPr>
        <w:t xml:space="preserve"> and envir</w:t>
      </w:r>
      <w:r w:rsidR="00C56FEB" w:rsidRPr="0021546A">
        <w:rPr>
          <w:rFonts w:cs="Arial"/>
        </w:rPr>
        <w:t>o</w:t>
      </w:r>
      <w:r w:rsidR="1D95D326" w:rsidRPr="0021546A">
        <w:rPr>
          <w:rFonts w:cs="Arial"/>
        </w:rPr>
        <w:t>nme</w:t>
      </w:r>
      <w:r w:rsidR="00CF1392" w:rsidRPr="0021546A">
        <w:rPr>
          <w:rFonts w:cs="Arial"/>
        </w:rPr>
        <w:t>nt</w:t>
      </w:r>
      <w:r w:rsidR="00C56FEB" w:rsidRPr="0021546A">
        <w:rPr>
          <w:rFonts w:cs="Arial"/>
        </w:rPr>
        <w:t>al</w:t>
      </w:r>
      <w:r w:rsidR="1D95D326" w:rsidRPr="0021546A">
        <w:rPr>
          <w:rFonts w:cs="Arial"/>
        </w:rPr>
        <w:t xml:space="preserve"> outcomes</w:t>
      </w:r>
      <w:r w:rsidR="00CF1392" w:rsidRPr="0021546A">
        <w:rPr>
          <w:rFonts w:cs="Arial"/>
        </w:rPr>
        <w:t xml:space="preserve"> in low bushfire risk areas </w:t>
      </w:r>
      <w:r w:rsidR="00796193">
        <w:rPr>
          <w:rFonts w:cs="Arial"/>
        </w:rPr>
        <w:t>without compromising safety.</w:t>
      </w:r>
    </w:p>
    <w:p w14:paraId="3C0C1A55" w14:textId="77777777" w:rsidR="00AA3079" w:rsidRPr="000F4CDC" w:rsidRDefault="00AA3079" w:rsidP="000F4CDC">
      <w:pPr>
        <w:pStyle w:val="ListParagraph"/>
        <w:rPr>
          <w:rFonts w:cs="Arial"/>
        </w:rPr>
      </w:pPr>
    </w:p>
    <w:p w14:paraId="4966A8BA" w14:textId="5BC254FB" w:rsidR="000C06EF" w:rsidRDefault="00134B62" w:rsidP="00F11A2E">
      <w:pPr>
        <w:pStyle w:val="ListParagraph"/>
        <w:numPr>
          <w:ilvl w:val="0"/>
          <w:numId w:val="13"/>
        </w:numPr>
        <w:spacing w:after="0"/>
        <w:rPr>
          <w:rFonts w:cs="Arial"/>
        </w:rPr>
      </w:pPr>
      <w:r>
        <w:rPr>
          <w:rFonts w:cs="Arial"/>
        </w:rPr>
        <w:t xml:space="preserve">Review </w:t>
      </w:r>
      <w:r w:rsidR="00F11A2E">
        <w:rPr>
          <w:rFonts w:cs="Arial"/>
        </w:rPr>
        <w:t>Division</w:t>
      </w:r>
      <w:r w:rsidR="000C06EF">
        <w:rPr>
          <w:rFonts w:cs="Arial"/>
        </w:rPr>
        <w:t xml:space="preserve"> 3 of </w:t>
      </w:r>
      <w:r>
        <w:rPr>
          <w:rFonts w:cs="Arial"/>
        </w:rPr>
        <w:t xml:space="preserve">the </w:t>
      </w:r>
      <w:r w:rsidRPr="000C06EF">
        <w:rPr>
          <w:rFonts w:cs="Arial"/>
          <w:i/>
          <w:iCs/>
        </w:rPr>
        <w:t>Electricity Safety Act</w:t>
      </w:r>
      <w:r>
        <w:rPr>
          <w:rFonts w:cs="Arial"/>
        </w:rPr>
        <w:t xml:space="preserve"> as a matter of priority to </w:t>
      </w:r>
      <w:r w:rsidR="000C06EF">
        <w:rPr>
          <w:rFonts w:cs="Arial"/>
        </w:rPr>
        <w:t xml:space="preserve">provide for appropriate </w:t>
      </w:r>
      <w:r w:rsidR="00F11A2E">
        <w:rPr>
          <w:rFonts w:cs="Arial"/>
        </w:rPr>
        <w:t>constitution</w:t>
      </w:r>
      <w:r w:rsidR="000C06EF">
        <w:rPr>
          <w:rFonts w:cs="Arial"/>
        </w:rPr>
        <w:t xml:space="preserve"> of the </w:t>
      </w:r>
      <w:r w:rsidR="00F10BFE">
        <w:rPr>
          <w:rFonts w:cs="Arial"/>
        </w:rPr>
        <w:t>ELCCC</w:t>
      </w:r>
      <w:r w:rsidR="000C06EF">
        <w:rPr>
          <w:rFonts w:cs="Arial"/>
        </w:rPr>
        <w:t xml:space="preserve">. </w:t>
      </w:r>
    </w:p>
    <w:p w14:paraId="39841DC1" w14:textId="3E76CC30" w:rsidR="0085709A" w:rsidRDefault="0085709A" w:rsidP="0085709A">
      <w:pPr>
        <w:spacing w:after="0"/>
        <w:rPr>
          <w:rFonts w:cs="Arial"/>
        </w:rPr>
      </w:pPr>
    </w:p>
    <w:p w14:paraId="6E8412AB" w14:textId="65FF3018" w:rsidR="0085709A" w:rsidRDefault="0085709A">
      <w:pPr>
        <w:spacing w:after="0" w:line="240" w:lineRule="auto"/>
        <w:rPr>
          <w:rFonts w:cs="Arial"/>
        </w:rPr>
      </w:pPr>
      <w:r>
        <w:rPr>
          <w:rFonts w:cs="Arial"/>
        </w:rPr>
        <w:br w:type="page"/>
      </w:r>
    </w:p>
    <w:p w14:paraId="129D981B" w14:textId="6093A614" w:rsidR="00F50A93" w:rsidRDefault="0085709A" w:rsidP="0052615C">
      <w:pPr>
        <w:pStyle w:val="Heading1"/>
        <w:ind w:left="426" w:hanging="426"/>
      </w:pPr>
      <w:bookmarkStart w:id="3" w:name="_Toc34402388"/>
      <w:bookmarkStart w:id="4" w:name="_Toc34405647"/>
      <w:bookmarkEnd w:id="3"/>
      <w:r>
        <w:lastRenderedPageBreak/>
        <w:t>I</w:t>
      </w:r>
      <w:r w:rsidR="00F50A93">
        <w:t>ntroduction</w:t>
      </w:r>
      <w:bookmarkEnd w:id="4"/>
    </w:p>
    <w:p w14:paraId="74C15A96" w14:textId="7816EFD8" w:rsidR="001F3D8A" w:rsidRDefault="00B52924" w:rsidP="0052615C">
      <w:pPr>
        <w:tabs>
          <w:tab w:val="left" w:pos="363"/>
        </w:tabs>
        <w:rPr>
          <w:rFonts w:cs="Arial"/>
        </w:rPr>
      </w:pPr>
      <w:r>
        <w:rPr>
          <w:rFonts w:cs="Arial"/>
        </w:rPr>
        <w:t xml:space="preserve">The Municipal Association of Victoria (MAV) welcomes the opportunity to provide </w:t>
      </w:r>
      <w:r w:rsidR="003B2F0B">
        <w:rPr>
          <w:rFonts w:cs="Arial"/>
        </w:rPr>
        <w:t xml:space="preserve">a submission in response to the regulatory impact statement (RIS) </w:t>
      </w:r>
      <w:r w:rsidR="005E1985">
        <w:rPr>
          <w:rFonts w:cs="Arial"/>
        </w:rPr>
        <w:t xml:space="preserve">for the proposed </w:t>
      </w:r>
      <w:r w:rsidR="005E1985" w:rsidRPr="005E1985">
        <w:rPr>
          <w:rFonts w:cs="Arial"/>
          <w:i/>
          <w:iCs/>
        </w:rPr>
        <w:t>Electricity Safety (Electric Line Clearance) Regulations 2020</w:t>
      </w:r>
      <w:r w:rsidR="008F1277">
        <w:rPr>
          <w:rFonts w:cs="Arial"/>
          <w:i/>
          <w:iCs/>
        </w:rPr>
        <w:t xml:space="preserve"> </w:t>
      </w:r>
      <w:r w:rsidR="008F1277" w:rsidRPr="008F1277">
        <w:rPr>
          <w:rFonts w:cs="Arial"/>
        </w:rPr>
        <w:t>(“the regulations”)</w:t>
      </w:r>
      <w:r w:rsidR="005E1985" w:rsidRPr="008F1277">
        <w:rPr>
          <w:rFonts w:cs="Arial"/>
        </w:rPr>
        <w:t>.</w:t>
      </w:r>
      <w:r w:rsidR="005E1985">
        <w:rPr>
          <w:rFonts w:cs="Arial"/>
        </w:rPr>
        <w:t xml:space="preserve"> </w:t>
      </w:r>
    </w:p>
    <w:p w14:paraId="5A7A46C4" w14:textId="13EE85AF" w:rsidR="0052615C" w:rsidRDefault="0052615C" w:rsidP="00A56BDC">
      <w:pPr>
        <w:tabs>
          <w:tab w:val="left" w:pos="363"/>
        </w:tabs>
        <w:rPr>
          <w:rFonts w:cs="Arial"/>
        </w:rPr>
      </w:pPr>
      <w:r w:rsidRPr="00C0733C">
        <w:rPr>
          <w:rFonts w:cs="Arial"/>
        </w:rPr>
        <w:t xml:space="preserve">The </w:t>
      </w:r>
      <w:r w:rsidR="001F3D8A">
        <w:rPr>
          <w:rFonts w:cs="Arial"/>
        </w:rPr>
        <w:t>MAV</w:t>
      </w:r>
      <w:r w:rsidRPr="00C0733C">
        <w:rPr>
          <w:rFonts w:cs="Arial"/>
        </w:rPr>
        <w:t xml:space="preserve"> is the peak representative and advocacy body for Victoria's 79 councils. </w:t>
      </w:r>
      <w:r w:rsidR="000B3A37">
        <w:rPr>
          <w:rFonts w:cs="Arial"/>
        </w:rPr>
        <w:t>F</w:t>
      </w:r>
      <w:r w:rsidRPr="00C0733C">
        <w:rPr>
          <w:rFonts w:cs="Arial"/>
        </w:rPr>
        <w:t>ormed in 1879</w:t>
      </w:r>
      <w:r w:rsidR="000B3A37">
        <w:rPr>
          <w:rFonts w:cs="Arial"/>
        </w:rPr>
        <w:t>, t</w:t>
      </w:r>
      <w:r w:rsidRPr="00C0733C">
        <w:rPr>
          <w:rFonts w:cs="Arial"/>
        </w:rPr>
        <w:t xml:space="preserve">he </w:t>
      </w:r>
      <w:r w:rsidRPr="009365EF">
        <w:rPr>
          <w:rFonts w:cs="Arial"/>
          <w:i/>
        </w:rPr>
        <w:t>Municipal Association Act</w:t>
      </w:r>
      <w:r w:rsidRPr="00C0733C">
        <w:rPr>
          <w:rFonts w:cs="Arial"/>
        </w:rPr>
        <w:t xml:space="preserve"> 1907 appointed the MAV the official voice of local government in Victoria. </w:t>
      </w:r>
    </w:p>
    <w:p w14:paraId="4603141D" w14:textId="29973340" w:rsidR="001A09DA" w:rsidRDefault="002D18AF" w:rsidP="00A56BDC">
      <w:pPr>
        <w:tabs>
          <w:tab w:val="left" w:pos="363"/>
        </w:tabs>
        <w:rPr>
          <w:rFonts w:cs="Arial"/>
        </w:rPr>
      </w:pPr>
      <w:r>
        <w:rPr>
          <w:rFonts w:cs="Arial"/>
        </w:rPr>
        <w:t>In early February, the MAV</w:t>
      </w:r>
      <w:r w:rsidR="001F6510">
        <w:rPr>
          <w:rFonts w:cs="Arial"/>
        </w:rPr>
        <w:t>, in collaboration with Council Arboriculture Victoria (CAV) and ESV, hosted a briefing</w:t>
      </w:r>
      <w:r w:rsidR="005E2A9C">
        <w:rPr>
          <w:rFonts w:cs="Arial"/>
        </w:rPr>
        <w:t xml:space="preserve"> session</w:t>
      </w:r>
      <w:r w:rsidR="001F6510">
        <w:rPr>
          <w:rFonts w:cs="Arial"/>
        </w:rPr>
        <w:t xml:space="preserve"> for councils </w:t>
      </w:r>
      <w:r w:rsidR="004A7137">
        <w:rPr>
          <w:rFonts w:cs="Arial"/>
        </w:rPr>
        <w:t>regarding t</w:t>
      </w:r>
      <w:r w:rsidR="00215E47">
        <w:rPr>
          <w:rFonts w:cs="Arial"/>
        </w:rPr>
        <w:t>h</w:t>
      </w:r>
      <w:r w:rsidR="004A7137">
        <w:rPr>
          <w:rFonts w:cs="Arial"/>
        </w:rPr>
        <w:t>e proposed 2020 regulation</w:t>
      </w:r>
      <w:r w:rsidR="00D9518F">
        <w:rPr>
          <w:rFonts w:cs="Arial"/>
        </w:rPr>
        <w:t>s</w:t>
      </w:r>
      <w:r w:rsidR="004A7137">
        <w:rPr>
          <w:rFonts w:cs="Arial"/>
        </w:rPr>
        <w:t xml:space="preserve">. </w:t>
      </w:r>
      <w:r w:rsidR="001900BE">
        <w:rPr>
          <w:rFonts w:cs="Arial"/>
        </w:rPr>
        <w:t xml:space="preserve">We </w:t>
      </w:r>
      <w:r w:rsidR="00D9518F">
        <w:rPr>
          <w:rFonts w:cs="Arial"/>
        </w:rPr>
        <w:t>acknowledge</w:t>
      </w:r>
      <w:r w:rsidR="00F728D7">
        <w:rPr>
          <w:rFonts w:cs="Arial"/>
        </w:rPr>
        <w:t xml:space="preserve"> and appreciate</w:t>
      </w:r>
      <w:r w:rsidR="00D9518F">
        <w:rPr>
          <w:rFonts w:cs="Arial"/>
        </w:rPr>
        <w:t xml:space="preserve"> </w:t>
      </w:r>
      <w:r w:rsidR="001900BE">
        <w:rPr>
          <w:rFonts w:cs="Arial"/>
        </w:rPr>
        <w:t>ESV</w:t>
      </w:r>
      <w:r w:rsidR="00FC7525">
        <w:rPr>
          <w:rFonts w:cs="Arial"/>
        </w:rPr>
        <w:t>’s</w:t>
      </w:r>
      <w:r w:rsidR="00B35861">
        <w:rPr>
          <w:rFonts w:cs="Arial"/>
        </w:rPr>
        <w:t xml:space="preserve"> </w:t>
      </w:r>
      <w:r w:rsidR="00DD1181">
        <w:rPr>
          <w:rFonts w:cs="Arial"/>
        </w:rPr>
        <w:t xml:space="preserve">ready </w:t>
      </w:r>
      <w:r w:rsidR="00B35861">
        <w:rPr>
          <w:rFonts w:cs="Arial"/>
        </w:rPr>
        <w:t xml:space="preserve">willingness </w:t>
      </w:r>
      <w:r w:rsidR="004A7137">
        <w:rPr>
          <w:rFonts w:cs="Arial"/>
        </w:rPr>
        <w:t xml:space="preserve">to present </w:t>
      </w:r>
      <w:r w:rsidR="008F7ACD">
        <w:rPr>
          <w:rFonts w:cs="Arial"/>
        </w:rPr>
        <w:t xml:space="preserve">and take questions </w:t>
      </w:r>
      <w:r w:rsidR="004A7137">
        <w:rPr>
          <w:rFonts w:cs="Arial"/>
        </w:rPr>
        <w:t>at that briefing</w:t>
      </w:r>
      <w:r w:rsidR="00C80733">
        <w:rPr>
          <w:rFonts w:cs="Arial"/>
        </w:rPr>
        <w:t xml:space="preserve">. </w:t>
      </w:r>
    </w:p>
    <w:p w14:paraId="3B3162E1" w14:textId="2248F831" w:rsidR="004237C3" w:rsidRDefault="001A09DA" w:rsidP="001A09DA">
      <w:pPr>
        <w:tabs>
          <w:tab w:val="left" w:pos="363"/>
        </w:tabs>
        <w:rPr>
          <w:rFonts w:cs="Arial"/>
        </w:rPr>
      </w:pPr>
      <w:r>
        <w:rPr>
          <w:rFonts w:cs="Arial"/>
        </w:rPr>
        <w:t xml:space="preserve">As responsible persons under the </w:t>
      </w:r>
      <w:r w:rsidRPr="00D34559">
        <w:rPr>
          <w:rFonts w:cs="Arial"/>
          <w:i/>
          <w:iCs/>
        </w:rPr>
        <w:t>Electricity Safety Act</w:t>
      </w:r>
      <w:r>
        <w:rPr>
          <w:rFonts w:cs="Arial"/>
          <w:i/>
          <w:iCs/>
        </w:rPr>
        <w:t xml:space="preserve"> 1998</w:t>
      </w:r>
      <w:r>
        <w:rPr>
          <w:rFonts w:cs="Arial"/>
        </w:rPr>
        <w:t xml:space="preserve"> and</w:t>
      </w:r>
      <w:r w:rsidR="00F75754">
        <w:rPr>
          <w:rFonts w:cs="Arial"/>
        </w:rPr>
        <w:t xml:space="preserve"> as</w:t>
      </w:r>
      <w:r>
        <w:rPr>
          <w:rFonts w:cs="Arial"/>
        </w:rPr>
        <w:t xml:space="preserve"> public land managers, local government is a critical stakeholder in relation to management of vegetation around powerlines. </w:t>
      </w:r>
      <w:r w:rsidR="002D4378">
        <w:rPr>
          <w:rFonts w:cs="Arial"/>
        </w:rPr>
        <w:t xml:space="preserve">For several years now, councils have </w:t>
      </w:r>
      <w:r w:rsidR="00D60294">
        <w:rPr>
          <w:rFonts w:cs="Arial"/>
        </w:rPr>
        <w:t>argued for</w:t>
      </w:r>
      <w:r w:rsidR="00694E00">
        <w:rPr>
          <w:rFonts w:cs="Arial"/>
        </w:rPr>
        <w:t xml:space="preserve"> a sensible balance between safety</w:t>
      </w:r>
      <w:r w:rsidR="00AE7067">
        <w:rPr>
          <w:rFonts w:cs="Arial"/>
        </w:rPr>
        <w:t>,</w:t>
      </w:r>
      <w:r w:rsidR="00694E00">
        <w:rPr>
          <w:rFonts w:cs="Arial"/>
        </w:rPr>
        <w:t xml:space="preserve"> amenity and environmental </w:t>
      </w:r>
      <w:r w:rsidR="00AE7067">
        <w:rPr>
          <w:rFonts w:cs="Arial"/>
        </w:rPr>
        <w:t>consideration</w:t>
      </w:r>
      <w:r w:rsidR="00694E00">
        <w:rPr>
          <w:rFonts w:cs="Arial"/>
        </w:rPr>
        <w:t>s</w:t>
      </w:r>
      <w:r w:rsidR="003F511B">
        <w:rPr>
          <w:rFonts w:cs="Arial"/>
        </w:rPr>
        <w:t xml:space="preserve"> for management of vegetation in LBRA</w:t>
      </w:r>
      <w:r w:rsidR="00694E00">
        <w:rPr>
          <w:rFonts w:cs="Arial"/>
        </w:rPr>
        <w:t>.</w:t>
      </w:r>
      <w:r w:rsidR="009901CA">
        <w:rPr>
          <w:rFonts w:cs="Arial"/>
        </w:rPr>
        <w:t xml:space="preserve"> This </w:t>
      </w:r>
      <w:r w:rsidR="00380935">
        <w:rPr>
          <w:rFonts w:cs="Arial"/>
        </w:rPr>
        <w:t>i</w:t>
      </w:r>
      <w:r w:rsidR="009901CA">
        <w:rPr>
          <w:rFonts w:cs="Arial"/>
        </w:rPr>
        <w:t xml:space="preserve">s an ongoing challenge </w:t>
      </w:r>
      <w:r w:rsidR="00380935">
        <w:rPr>
          <w:rFonts w:cs="Arial"/>
        </w:rPr>
        <w:t xml:space="preserve">that </w:t>
      </w:r>
      <w:r w:rsidR="0022000B">
        <w:rPr>
          <w:rFonts w:cs="Arial"/>
        </w:rPr>
        <w:t xml:space="preserve">has </w:t>
      </w:r>
      <w:r w:rsidR="00017E0B">
        <w:rPr>
          <w:rFonts w:cs="Arial"/>
        </w:rPr>
        <w:t xml:space="preserve">not yet been adequately addressed by the </w:t>
      </w:r>
      <w:r w:rsidR="00A20435">
        <w:rPr>
          <w:rFonts w:cs="Arial"/>
        </w:rPr>
        <w:t xml:space="preserve">regulations. </w:t>
      </w:r>
    </w:p>
    <w:p w14:paraId="543FD5E9" w14:textId="16B70970" w:rsidR="008F7ACD" w:rsidRDefault="00694E00" w:rsidP="001A09DA">
      <w:pPr>
        <w:tabs>
          <w:tab w:val="left" w:pos="363"/>
        </w:tabs>
        <w:rPr>
          <w:rFonts w:cs="Arial"/>
        </w:rPr>
      </w:pPr>
      <w:r>
        <w:rPr>
          <w:rFonts w:cs="Arial"/>
        </w:rPr>
        <w:t>To be clear, t</w:t>
      </w:r>
      <w:r w:rsidR="008D5CC7">
        <w:rPr>
          <w:rFonts w:cs="Arial"/>
        </w:rPr>
        <w:t xml:space="preserve">he MAV and local government accept that </w:t>
      </w:r>
      <w:r w:rsidR="0042106F">
        <w:rPr>
          <w:rFonts w:cs="Arial"/>
        </w:rPr>
        <w:t>safety</w:t>
      </w:r>
      <w:r w:rsidR="00DA01CB">
        <w:rPr>
          <w:rFonts w:cs="Arial"/>
        </w:rPr>
        <w:t xml:space="preserve"> must </w:t>
      </w:r>
      <w:r w:rsidR="000C5159">
        <w:rPr>
          <w:rFonts w:cs="Arial"/>
        </w:rPr>
        <w:t>be the priority consideration when determining the appropriate regulatory settings for vegetation around powerlines</w:t>
      </w:r>
      <w:r w:rsidR="00DA01CB">
        <w:rPr>
          <w:rFonts w:cs="Arial"/>
        </w:rPr>
        <w:t xml:space="preserve">. </w:t>
      </w:r>
      <w:r w:rsidR="008F7ACD">
        <w:rPr>
          <w:rFonts w:cs="Arial"/>
        </w:rPr>
        <w:t>We understand that</w:t>
      </w:r>
      <w:r w:rsidR="000C5159">
        <w:rPr>
          <w:rFonts w:cs="Arial"/>
        </w:rPr>
        <w:t xml:space="preserve"> r</w:t>
      </w:r>
      <w:r w:rsidR="00213D0B">
        <w:rPr>
          <w:rFonts w:cs="Arial"/>
        </w:rPr>
        <w:t>esponsible management of</w:t>
      </w:r>
      <w:r w:rsidR="004237C3">
        <w:rPr>
          <w:rFonts w:cs="Arial"/>
        </w:rPr>
        <w:t xml:space="preserve"> vegetation </w:t>
      </w:r>
      <w:r w:rsidR="00213D0B">
        <w:rPr>
          <w:rFonts w:cs="Arial"/>
        </w:rPr>
        <w:t xml:space="preserve">is critical to </w:t>
      </w:r>
      <w:r w:rsidR="00091F0D">
        <w:rPr>
          <w:rFonts w:cs="Arial"/>
        </w:rPr>
        <w:t>minimi</w:t>
      </w:r>
      <w:r w:rsidR="008F7ACD">
        <w:rPr>
          <w:rFonts w:cs="Arial"/>
        </w:rPr>
        <w:t>s</w:t>
      </w:r>
      <w:r w:rsidR="00091F0D">
        <w:rPr>
          <w:rFonts w:cs="Arial"/>
        </w:rPr>
        <w:t>e risk of bushfires, elec</w:t>
      </w:r>
      <w:r w:rsidR="00246DDC">
        <w:rPr>
          <w:rFonts w:cs="Arial"/>
        </w:rPr>
        <w:t>t</w:t>
      </w:r>
      <w:r w:rsidR="00091F0D">
        <w:rPr>
          <w:rFonts w:cs="Arial"/>
        </w:rPr>
        <w:t>rocution and power outages.</w:t>
      </w:r>
      <w:r w:rsidR="008F7ACD">
        <w:rPr>
          <w:rFonts w:cs="Arial"/>
        </w:rPr>
        <w:t xml:space="preserve"> </w:t>
      </w:r>
    </w:p>
    <w:p w14:paraId="0E91EC6C" w14:textId="2FA23153" w:rsidR="00916A92" w:rsidRDefault="1D95D326" w:rsidP="002B1AEB">
      <w:pPr>
        <w:tabs>
          <w:tab w:val="left" w:pos="363"/>
        </w:tabs>
        <w:rPr>
          <w:rFonts w:cs="Arial"/>
        </w:rPr>
      </w:pPr>
      <w:r w:rsidRPr="1D95D326">
        <w:rPr>
          <w:rFonts w:cs="Arial"/>
        </w:rPr>
        <w:t>It concern</w:t>
      </w:r>
      <w:r w:rsidR="00F728D7">
        <w:rPr>
          <w:rFonts w:cs="Arial"/>
        </w:rPr>
        <w:t>s</w:t>
      </w:r>
      <w:r w:rsidR="00796193">
        <w:rPr>
          <w:rFonts w:cs="Arial"/>
        </w:rPr>
        <w:t xml:space="preserve"> us</w:t>
      </w:r>
      <w:r w:rsidRPr="1D95D326">
        <w:rPr>
          <w:rFonts w:cs="Arial"/>
        </w:rPr>
        <w:t xml:space="preserve"> </w:t>
      </w:r>
      <w:r w:rsidR="00916A92">
        <w:rPr>
          <w:rFonts w:cs="Arial"/>
        </w:rPr>
        <w:t xml:space="preserve">however, </w:t>
      </w:r>
      <w:r w:rsidRPr="1D95D326">
        <w:rPr>
          <w:rFonts w:cs="Arial"/>
        </w:rPr>
        <w:t xml:space="preserve">that the regulations </w:t>
      </w:r>
      <w:r w:rsidR="00F728D7">
        <w:rPr>
          <w:rFonts w:cs="Arial"/>
        </w:rPr>
        <w:t xml:space="preserve">continue to </w:t>
      </w:r>
      <w:r w:rsidRPr="1D95D326">
        <w:rPr>
          <w:rFonts w:cs="Arial"/>
        </w:rPr>
        <w:t>adopt an overly cautious approach to setting minimum clearance distances for vegetation around</w:t>
      </w:r>
      <w:r w:rsidR="005A10F8">
        <w:rPr>
          <w:rFonts w:cs="Arial"/>
        </w:rPr>
        <w:t xml:space="preserve"> LV</w:t>
      </w:r>
      <w:r w:rsidRPr="1D95D326">
        <w:rPr>
          <w:rFonts w:cs="Arial"/>
        </w:rPr>
        <w:t xml:space="preserve"> powerlines</w:t>
      </w:r>
      <w:r w:rsidR="005A10F8">
        <w:rPr>
          <w:rFonts w:cs="Arial"/>
        </w:rPr>
        <w:t xml:space="preserve"> in LBRA</w:t>
      </w:r>
      <w:r w:rsidRPr="1D95D326">
        <w:rPr>
          <w:rFonts w:cs="Arial"/>
        </w:rPr>
        <w:t xml:space="preserve">. </w:t>
      </w:r>
      <w:r w:rsidR="001360A1">
        <w:rPr>
          <w:rFonts w:cs="Arial"/>
        </w:rPr>
        <w:t xml:space="preserve">The regulations fail to recognise that there are areas with very low or negligible bushfire risk where amenity and environmental outcomes can and should be primary considerations when managing vegetation around powerlines. </w:t>
      </w:r>
      <w:r w:rsidR="00DB4044">
        <w:rPr>
          <w:rFonts w:cs="Arial"/>
        </w:rPr>
        <w:t>This</w:t>
      </w:r>
      <w:r w:rsidR="00520FF3">
        <w:rPr>
          <w:rFonts w:cs="Arial"/>
        </w:rPr>
        <w:t xml:space="preserve"> </w:t>
      </w:r>
      <w:r w:rsidR="004F704B">
        <w:rPr>
          <w:rFonts w:cs="Arial"/>
        </w:rPr>
        <w:t xml:space="preserve">failure likely stems from the fact </w:t>
      </w:r>
      <w:r w:rsidR="00520FF3">
        <w:rPr>
          <w:rFonts w:cs="Arial"/>
        </w:rPr>
        <w:t xml:space="preserve">it was </w:t>
      </w:r>
      <w:r w:rsidR="00830A6A">
        <w:rPr>
          <w:rFonts w:cs="Arial"/>
        </w:rPr>
        <w:t xml:space="preserve">the 1977 </w:t>
      </w:r>
      <w:r w:rsidR="00520FF3">
        <w:rPr>
          <w:rFonts w:cs="Arial"/>
        </w:rPr>
        <w:t xml:space="preserve">and 1983 </w:t>
      </w:r>
      <w:r w:rsidR="00830A6A">
        <w:rPr>
          <w:rFonts w:cs="Arial"/>
        </w:rPr>
        <w:t xml:space="preserve">bushfires </w:t>
      </w:r>
      <w:r w:rsidR="00520FF3">
        <w:rPr>
          <w:rFonts w:cs="Arial"/>
        </w:rPr>
        <w:t xml:space="preserve">that </w:t>
      </w:r>
      <w:r w:rsidR="00AA3079">
        <w:rPr>
          <w:rFonts w:cs="Arial"/>
        </w:rPr>
        <w:t>were the</w:t>
      </w:r>
      <w:r w:rsidR="00830A6A">
        <w:rPr>
          <w:rFonts w:cs="Arial"/>
        </w:rPr>
        <w:t xml:space="preserve"> impetus for mandat</w:t>
      </w:r>
      <w:r w:rsidR="00520FF3">
        <w:rPr>
          <w:rFonts w:cs="Arial"/>
        </w:rPr>
        <w:t>ing</w:t>
      </w:r>
      <w:r w:rsidR="00830A6A">
        <w:rPr>
          <w:rFonts w:cs="Arial"/>
        </w:rPr>
        <w:t xml:space="preserve"> minimum clearance distances.</w:t>
      </w:r>
    </w:p>
    <w:p w14:paraId="349D43C6" w14:textId="5608BFED" w:rsidR="00F728D7" w:rsidRDefault="00520FF3" w:rsidP="002B1AEB">
      <w:pPr>
        <w:tabs>
          <w:tab w:val="left" w:pos="363"/>
        </w:tabs>
        <w:rPr>
          <w:rFonts w:cs="Arial"/>
        </w:rPr>
      </w:pPr>
      <w:r>
        <w:rPr>
          <w:rFonts w:cs="Arial"/>
        </w:rPr>
        <w:t>The current</w:t>
      </w:r>
      <w:r w:rsidR="004F704B">
        <w:rPr>
          <w:rFonts w:cs="Arial"/>
        </w:rPr>
        <w:t xml:space="preserve"> regulatory</w:t>
      </w:r>
      <w:r>
        <w:rPr>
          <w:rFonts w:cs="Arial"/>
        </w:rPr>
        <w:t xml:space="preserve"> settings for </w:t>
      </w:r>
      <w:r w:rsidR="00AA3079">
        <w:rPr>
          <w:rFonts w:cs="Arial"/>
        </w:rPr>
        <w:t xml:space="preserve">trees near LV in </w:t>
      </w:r>
      <w:r>
        <w:rPr>
          <w:rFonts w:cs="Arial"/>
        </w:rPr>
        <w:t xml:space="preserve">LBRA generally play out in two different ways depending on whether it is a council or a distribution business </w:t>
      </w:r>
      <w:r w:rsidR="00AA3079">
        <w:rPr>
          <w:rFonts w:cs="Arial"/>
        </w:rPr>
        <w:t xml:space="preserve">that is the </w:t>
      </w:r>
      <w:r>
        <w:rPr>
          <w:rFonts w:cs="Arial"/>
        </w:rPr>
        <w:t xml:space="preserve">responsible </w:t>
      </w:r>
      <w:r w:rsidR="00AA3079">
        <w:rPr>
          <w:rFonts w:cs="Arial"/>
        </w:rPr>
        <w:t>person</w:t>
      </w:r>
      <w:r>
        <w:rPr>
          <w:rFonts w:cs="Arial"/>
        </w:rPr>
        <w:t xml:space="preserve">. </w:t>
      </w:r>
      <w:r w:rsidR="00F728D7">
        <w:rPr>
          <w:rFonts w:cs="Arial"/>
        </w:rPr>
        <w:t>In metropolitan Melbourne,</w:t>
      </w:r>
      <w:r w:rsidR="00916A92">
        <w:rPr>
          <w:rFonts w:cs="Arial"/>
        </w:rPr>
        <w:t xml:space="preserve"> council</w:t>
      </w:r>
      <w:r w:rsidR="00F728D7">
        <w:rPr>
          <w:rFonts w:cs="Arial"/>
        </w:rPr>
        <w:t xml:space="preserve"> non-compliance with the regulations is common because s</w:t>
      </w:r>
      <w:r w:rsidR="000465F2">
        <w:rPr>
          <w:rFonts w:cs="Arial"/>
        </w:rPr>
        <w:t xml:space="preserve">trict compliance </w:t>
      </w:r>
      <w:r w:rsidR="003F511B">
        <w:rPr>
          <w:rFonts w:cs="Arial"/>
        </w:rPr>
        <w:t>would</w:t>
      </w:r>
      <w:r w:rsidR="00916A92">
        <w:rPr>
          <w:rFonts w:cs="Arial"/>
        </w:rPr>
        <w:t xml:space="preserve"> necessitate removal of thousands, if not tens of thousands, </w:t>
      </w:r>
      <w:r w:rsidR="00AA3079">
        <w:rPr>
          <w:rFonts w:cs="Arial"/>
        </w:rPr>
        <w:t xml:space="preserve">of </w:t>
      </w:r>
      <w:r w:rsidR="00916A92">
        <w:rPr>
          <w:rFonts w:cs="Arial"/>
        </w:rPr>
        <w:t xml:space="preserve">mature trees and limbs. The </w:t>
      </w:r>
      <w:r w:rsidR="1D95D326" w:rsidRPr="1D95D326">
        <w:rPr>
          <w:rFonts w:cs="Arial"/>
        </w:rPr>
        <w:t>financial, social and environmental cost</w:t>
      </w:r>
      <w:r w:rsidR="00916A92">
        <w:rPr>
          <w:rFonts w:cs="Arial"/>
        </w:rPr>
        <w:t xml:space="preserve">s of </w:t>
      </w:r>
      <w:r w:rsidR="002C1147">
        <w:rPr>
          <w:rFonts w:cs="Arial"/>
        </w:rPr>
        <w:t>removing</w:t>
      </w:r>
      <w:r>
        <w:rPr>
          <w:rFonts w:cs="Arial"/>
        </w:rPr>
        <w:t xml:space="preserve"> so much vegetation is </w:t>
      </w:r>
      <w:r w:rsidR="00916A92">
        <w:rPr>
          <w:rFonts w:cs="Arial"/>
        </w:rPr>
        <w:t xml:space="preserve">unpalatable. </w:t>
      </w:r>
    </w:p>
    <w:p w14:paraId="0066414B" w14:textId="0ED58CEA" w:rsidR="00AA3079" w:rsidRDefault="00F728D7" w:rsidP="00AA3079">
      <w:pPr>
        <w:tabs>
          <w:tab w:val="left" w:pos="363"/>
        </w:tabs>
        <w:rPr>
          <w:rFonts w:cs="Arial"/>
        </w:rPr>
      </w:pPr>
      <w:r>
        <w:rPr>
          <w:rFonts w:cs="Arial"/>
        </w:rPr>
        <w:t xml:space="preserve">In rural </w:t>
      </w:r>
      <w:r w:rsidR="00916A92">
        <w:rPr>
          <w:rFonts w:cs="Arial"/>
        </w:rPr>
        <w:t>Victoria,</w:t>
      </w:r>
      <w:r>
        <w:rPr>
          <w:rFonts w:cs="Arial"/>
        </w:rPr>
        <w:t xml:space="preserve"> </w:t>
      </w:r>
      <w:r w:rsidR="00916A92">
        <w:rPr>
          <w:rFonts w:cs="Arial"/>
        </w:rPr>
        <w:t xml:space="preserve">excessive and highly damaging </w:t>
      </w:r>
      <w:r w:rsidR="00520FF3">
        <w:rPr>
          <w:rFonts w:cs="Arial"/>
        </w:rPr>
        <w:t>cutting</w:t>
      </w:r>
      <w:r w:rsidR="00916A92">
        <w:rPr>
          <w:rFonts w:cs="Arial"/>
        </w:rPr>
        <w:t xml:space="preserve"> of</w:t>
      </w:r>
      <w:r w:rsidR="002C1147">
        <w:rPr>
          <w:rFonts w:cs="Arial"/>
        </w:rPr>
        <w:t xml:space="preserve"> trees</w:t>
      </w:r>
      <w:r w:rsidR="00916A92">
        <w:rPr>
          <w:rFonts w:cs="Arial"/>
        </w:rPr>
        <w:t xml:space="preserve"> in</w:t>
      </w:r>
      <w:r w:rsidR="00520FF3">
        <w:rPr>
          <w:rFonts w:cs="Arial"/>
        </w:rPr>
        <w:t xml:space="preserve"> </w:t>
      </w:r>
      <w:r w:rsidR="00916A92">
        <w:rPr>
          <w:rFonts w:cs="Arial"/>
        </w:rPr>
        <w:t>townships by distribution businesses, and in particular by Powercor and Powercor contractors, continues to</w:t>
      </w:r>
      <w:r w:rsidR="00A90221">
        <w:rPr>
          <w:rFonts w:cs="Arial"/>
        </w:rPr>
        <w:t xml:space="preserve"> undermine efforts of </w:t>
      </w:r>
      <w:r w:rsidR="00916A92">
        <w:rPr>
          <w:rFonts w:cs="Arial"/>
        </w:rPr>
        <w:t>councils</w:t>
      </w:r>
      <w:r w:rsidR="00520FF3">
        <w:rPr>
          <w:rFonts w:cs="Arial"/>
        </w:rPr>
        <w:t xml:space="preserve"> </w:t>
      </w:r>
      <w:r w:rsidR="00A90221">
        <w:rPr>
          <w:rFonts w:cs="Arial"/>
        </w:rPr>
        <w:t>to improve the amenity and appeal of their</w:t>
      </w:r>
      <w:r w:rsidR="00AA3079">
        <w:rPr>
          <w:rFonts w:cs="Arial"/>
        </w:rPr>
        <w:t xml:space="preserve"> town centres</w:t>
      </w:r>
      <w:r w:rsidR="00A90221">
        <w:rPr>
          <w:rFonts w:cs="Arial"/>
        </w:rPr>
        <w:t>. Councils report that Powercor responds with indifference to their appeals to prune only to the minimum extent necessary to achieve compliance.</w:t>
      </w:r>
      <w:r w:rsidR="004A51F4">
        <w:rPr>
          <w:rFonts w:cs="Arial"/>
        </w:rPr>
        <w:t xml:space="preserve"> Instead, cost considerations and a desire to operate two</w:t>
      </w:r>
      <w:r w:rsidR="001360A1">
        <w:rPr>
          <w:rFonts w:cs="Arial"/>
        </w:rPr>
        <w:t xml:space="preserve">-, </w:t>
      </w:r>
      <w:r w:rsidR="004A51F4">
        <w:rPr>
          <w:rFonts w:cs="Arial"/>
        </w:rPr>
        <w:lastRenderedPageBreak/>
        <w:t>three</w:t>
      </w:r>
      <w:r w:rsidR="001360A1">
        <w:rPr>
          <w:rFonts w:cs="Arial"/>
        </w:rPr>
        <w:t>-</w:t>
      </w:r>
      <w:r w:rsidR="004A51F4">
        <w:rPr>
          <w:rFonts w:cs="Arial"/>
        </w:rPr>
        <w:t xml:space="preserve"> </w:t>
      </w:r>
      <w:r w:rsidR="001360A1">
        <w:rPr>
          <w:rFonts w:cs="Arial"/>
        </w:rPr>
        <w:t>or even four-</w:t>
      </w:r>
      <w:r w:rsidR="004A51F4">
        <w:rPr>
          <w:rFonts w:cs="Arial"/>
        </w:rPr>
        <w:t>year pruning cycles drive decision making.</w:t>
      </w:r>
      <w:r w:rsidR="00AA3079">
        <w:rPr>
          <w:rFonts w:cs="Arial"/>
        </w:rPr>
        <w:t xml:space="preserve"> </w:t>
      </w:r>
      <w:r w:rsidR="00AA3079">
        <w:rPr>
          <w:rFonts w:cs="Arial"/>
        </w:rPr>
        <w:t xml:space="preserve">This is unacceptable, </w:t>
      </w:r>
      <w:r w:rsidR="00AA3079">
        <w:rPr>
          <w:rFonts w:cs="Arial"/>
        </w:rPr>
        <w:t>particularly in</w:t>
      </w:r>
      <w:r w:rsidR="00AA3079">
        <w:rPr>
          <w:rFonts w:cs="Arial"/>
        </w:rPr>
        <w:t xml:space="preserve"> the context of climate change. </w:t>
      </w:r>
    </w:p>
    <w:p w14:paraId="2AD61250" w14:textId="778B1440" w:rsidR="00AE236B" w:rsidRDefault="00AE236B" w:rsidP="000F4CDC">
      <w:pPr>
        <w:tabs>
          <w:tab w:val="left" w:pos="363"/>
        </w:tabs>
        <w:rPr>
          <w:rFonts w:cs="Arial"/>
          <w:iCs/>
          <w:szCs w:val="20"/>
        </w:rPr>
      </w:pPr>
      <w:r>
        <w:rPr>
          <w:rFonts w:cs="Arial"/>
          <w:iCs/>
        </w:rPr>
        <w:t xml:space="preserve">Just as electricity network infrastructure is the distribution businesses’ asset, so too are street trees council and community assets. Street trees offer a range of tangible and intangible benefits, including reduced stormwater runoff, shading and cooling, habitat for local fauna, and carbon sequestration. In a warming climate the </w:t>
      </w:r>
      <w:r w:rsidR="00796193">
        <w:rPr>
          <w:rFonts w:cs="Arial"/>
          <w:iCs/>
        </w:rPr>
        <w:t>value</w:t>
      </w:r>
      <w:r>
        <w:rPr>
          <w:rFonts w:cs="Arial"/>
          <w:iCs/>
        </w:rPr>
        <w:t xml:space="preserve"> of these benefits will only increase. </w:t>
      </w:r>
    </w:p>
    <w:p w14:paraId="3BD92C4D" w14:textId="60B5D4D0" w:rsidR="00AE236B" w:rsidRDefault="00AE236B" w:rsidP="00AE236B">
      <w:pPr>
        <w:rPr>
          <w:rFonts w:cs="Arial"/>
          <w:iCs/>
        </w:rPr>
      </w:pPr>
      <w:r>
        <w:rPr>
          <w:rFonts w:cs="Arial"/>
          <w:iCs/>
        </w:rPr>
        <w:t xml:space="preserve">In </w:t>
      </w:r>
      <w:r w:rsidR="002C1147">
        <w:rPr>
          <w:rFonts w:cs="Arial"/>
          <w:iCs/>
        </w:rPr>
        <w:t>metropolitan Melbourne</w:t>
      </w:r>
      <w:r>
        <w:rPr>
          <w:rFonts w:cs="Arial"/>
          <w:iCs/>
        </w:rPr>
        <w:t xml:space="preserve"> in particular, there is a growing expectation and need to plant and protect trees on public land because of the shrinking availability of open space on private land. Councils and the community will not and </w:t>
      </w:r>
      <w:r w:rsidR="000C5159">
        <w:rPr>
          <w:rFonts w:cs="Arial"/>
          <w:iCs/>
        </w:rPr>
        <w:t>should not have to</w:t>
      </w:r>
      <w:r>
        <w:rPr>
          <w:rFonts w:cs="Arial"/>
          <w:iCs/>
        </w:rPr>
        <w:t xml:space="preserve"> accept unnecessary loss of vegetation.</w:t>
      </w:r>
    </w:p>
    <w:p w14:paraId="567A9BF3" w14:textId="34D22924" w:rsidR="009F40EB" w:rsidRDefault="005E004F" w:rsidP="00AE236B">
      <w:pPr>
        <w:tabs>
          <w:tab w:val="left" w:pos="363"/>
        </w:tabs>
        <w:rPr>
          <w:rFonts w:cs="Arial"/>
        </w:rPr>
      </w:pPr>
      <w:r>
        <w:rPr>
          <w:rFonts w:cs="Arial"/>
        </w:rPr>
        <w:t>T</w:t>
      </w:r>
      <w:r w:rsidR="1D95D326" w:rsidRPr="1D95D326">
        <w:rPr>
          <w:rFonts w:cs="Arial"/>
        </w:rPr>
        <w:t xml:space="preserve">he changes proposed to be included in the 2020 regulations essentially represent a tweaking of the current regulations. This is not unexpected given the Electric Line Clearance Consultative Committee (ELCCC) did not exist for some </w:t>
      </w:r>
      <w:r w:rsidR="00796193">
        <w:rPr>
          <w:rFonts w:cs="Arial"/>
        </w:rPr>
        <w:t>three and a half</w:t>
      </w:r>
      <w:r w:rsidR="1D95D326" w:rsidRPr="1D95D326">
        <w:rPr>
          <w:rFonts w:cs="Arial"/>
        </w:rPr>
        <w:t xml:space="preserve"> years</w:t>
      </w:r>
      <w:r w:rsidR="00796193">
        <w:rPr>
          <w:rFonts w:cs="Arial"/>
        </w:rPr>
        <w:t xml:space="preserve">. It has </w:t>
      </w:r>
      <w:r w:rsidR="1D95D326" w:rsidRPr="1D95D326">
        <w:rPr>
          <w:rFonts w:cs="Arial"/>
        </w:rPr>
        <w:t xml:space="preserve">had limited opportunity to consider what, if any, more substantive changes should be made. </w:t>
      </w:r>
    </w:p>
    <w:p w14:paraId="4B3CBCAE" w14:textId="5A4DCD79" w:rsidR="009F40EB" w:rsidRDefault="1D95D326" w:rsidP="00AE236B">
      <w:pPr>
        <w:tabs>
          <w:tab w:val="left" w:pos="363"/>
        </w:tabs>
        <w:rPr>
          <w:rFonts w:cs="Arial"/>
        </w:rPr>
      </w:pPr>
      <w:r w:rsidRPr="1D95D326">
        <w:rPr>
          <w:rFonts w:cs="Arial"/>
        </w:rPr>
        <w:t xml:space="preserve">It is disappointing that the </w:t>
      </w:r>
      <w:r w:rsidR="00796193">
        <w:rPr>
          <w:rFonts w:cs="Arial"/>
        </w:rPr>
        <w:t>Government</w:t>
      </w:r>
      <w:r w:rsidRPr="1D95D326">
        <w:rPr>
          <w:rFonts w:cs="Arial"/>
        </w:rPr>
        <w:t xml:space="preserve"> did not appoint members to the Committee </w:t>
      </w:r>
      <w:r w:rsidR="00FA44FA">
        <w:rPr>
          <w:rFonts w:cs="Arial"/>
        </w:rPr>
        <w:t xml:space="preserve">in a timely manner </w:t>
      </w:r>
      <w:r w:rsidRPr="1D95D326">
        <w:rPr>
          <w:rFonts w:cs="Arial"/>
        </w:rPr>
        <w:t xml:space="preserve">to enable it to more effectively fulfil its duty to provide advice to ESV regarding the preparation of the 2020 </w:t>
      </w:r>
      <w:r w:rsidR="00AE7067">
        <w:rPr>
          <w:rFonts w:cs="Arial"/>
        </w:rPr>
        <w:t>C</w:t>
      </w:r>
      <w:r w:rsidRPr="1D95D326">
        <w:rPr>
          <w:rFonts w:cs="Arial"/>
        </w:rPr>
        <w:t xml:space="preserve">ode. </w:t>
      </w:r>
    </w:p>
    <w:p w14:paraId="68E6ECB5" w14:textId="34373434" w:rsidR="00672C3D" w:rsidRDefault="0001479D" w:rsidP="009F40EB">
      <w:pPr>
        <w:tabs>
          <w:tab w:val="left" w:pos="363"/>
        </w:tabs>
        <w:rPr>
          <w:rFonts w:cs="Arial"/>
        </w:rPr>
      </w:pPr>
      <w:r>
        <w:rPr>
          <w:rFonts w:cs="Arial"/>
        </w:rPr>
        <w:t xml:space="preserve">In addition to </w:t>
      </w:r>
      <w:r w:rsidR="0023239A">
        <w:rPr>
          <w:rFonts w:cs="Arial"/>
        </w:rPr>
        <w:t>providing</w:t>
      </w:r>
      <w:r w:rsidR="00CA3CEA">
        <w:rPr>
          <w:rFonts w:cs="Arial"/>
        </w:rPr>
        <w:t xml:space="preserve"> the MAV’s position </w:t>
      </w:r>
      <w:r w:rsidR="00B1318B">
        <w:rPr>
          <w:rFonts w:cs="Arial"/>
        </w:rPr>
        <w:t xml:space="preserve">on the </w:t>
      </w:r>
      <w:r w:rsidR="002012CC">
        <w:rPr>
          <w:rFonts w:cs="Arial"/>
        </w:rPr>
        <w:t>key proposed changes</w:t>
      </w:r>
      <w:r w:rsidR="008D0A8D">
        <w:rPr>
          <w:rFonts w:cs="Arial"/>
        </w:rPr>
        <w:t xml:space="preserve"> provided for in the draft regulations</w:t>
      </w:r>
      <w:r>
        <w:rPr>
          <w:rFonts w:cs="Arial"/>
        </w:rPr>
        <w:t xml:space="preserve">, this submission </w:t>
      </w:r>
      <w:r w:rsidR="00AA3079">
        <w:rPr>
          <w:rFonts w:cs="Arial"/>
        </w:rPr>
        <w:t>recommend</w:t>
      </w:r>
      <w:r w:rsidR="00AA3079">
        <w:rPr>
          <w:rFonts w:cs="Arial"/>
        </w:rPr>
        <w:t xml:space="preserve">s </w:t>
      </w:r>
      <w:r w:rsidR="00162A3D">
        <w:rPr>
          <w:rFonts w:cs="Arial"/>
        </w:rPr>
        <w:t>other</w:t>
      </w:r>
      <w:r w:rsidR="004E5D47">
        <w:rPr>
          <w:rFonts w:cs="Arial"/>
        </w:rPr>
        <w:t xml:space="preserve"> change</w:t>
      </w:r>
      <w:r w:rsidR="00BB4EB0">
        <w:rPr>
          <w:rFonts w:cs="Arial"/>
        </w:rPr>
        <w:t xml:space="preserve">s </w:t>
      </w:r>
      <w:r w:rsidR="004F704B">
        <w:rPr>
          <w:rFonts w:cs="Arial"/>
        </w:rPr>
        <w:t>for inclusion</w:t>
      </w:r>
      <w:r w:rsidR="0023239A">
        <w:rPr>
          <w:rFonts w:cs="Arial"/>
        </w:rPr>
        <w:t xml:space="preserve"> in the 2020 regulations</w:t>
      </w:r>
      <w:r w:rsidR="00D745F6">
        <w:rPr>
          <w:rFonts w:cs="Arial"/>
        </w:rPr>
        <w:t xml:space="preserve">. </w:t>
      </w:r>
      <w:r w:rsidR="00C07A4B">
        <w:rPr>
          <w:rFonts w:cs="Arial"/>
        </w:rPr>
        <w:t>We</w:t>
      </w:r>
      <w:r w:rsidR="001E3D67">
        <w:rPr>
          <w:rFonts w:cs="Arial"/>
        </w:rPr>
        <w:t xml:space="preserve"> also</w:t>
      </w:r>
      <w:r w:rsidR="0023239A">
        <w:rPr>
          <w:rFonts w:cs="Arial"/>
        </w:rPr>
        <w:t xml:space="preserve"> </w:t>
      </w:r>
      <w:r w:rsidR="00C07A4B">
        <w:rPr>
          <w:rFonts w:cs="Arial"/>
        </w:rPr>
        <w:t xml:space="preserve">outline </w:t>
      </w:r>
      <w:r w:rsidR="00CF5D2B">
        <w:rPr>
          <w:rFonts w:cs="Arial"/>
        </w:rPr>
        <w:t xml:space="preserve">broader reforms we consider necessary to </w:t>
      </w:r>
      <w:r w:rsidR="0042106F">
        <w:rPr>
          <w:rFonts w:cs="Arial"/>
        </w:rPr>
        <w:t>achieve</w:t>
      </w:r>
      <w:r w:rsidR="00446577">
        <w:rPr>
          <w:rFonts w:cs="Arial"/>
        </w:rPr>
        <w:t xml:space="preserve"> a </w:t>
      </w:r>
      <w:r w:rsidR="008D3D60">
        <w:rPr>
          <w:rFonts w:cs="Arial"/>
        </w:rPr>
        <w:t xml:space="preserve">regulatory framework that appropriately </w:t>
      </w:r>
      <w:r w:rsidR="00446577">
        <w:rPr>
          <w:rFonts w:cs="Arial"/>
        </w:rPr>
        <w:t>balance</w:t>
      </w:r>
      <w:r w:rsidR="008D3D60">
        <w:rPr>
          <w:rFonts w:cs="Arial"/>
        </w:rPr>
        <w:t>s</w:t>
      </w:r>
      <w:r w:rsidR="00446577">
        <w:rPr>
          <w:rFonts w:cs="Arial"/>
        </w:rPr>
        <w:t xml:space="preserve"> </w:t>
      </w:r>
      <w:r w:rsidR="0042106F">
        <w:rPr>
          <w:rFonts w:cs="Arial"/>
        </w:rPr>
        <w:t>safety</w:t>
      </w:r>
      <w:r w:rsidR="00446577">
        <w:rPr>
          <w:rFonts w:cs="Arial"/>
        </w:rPr>
        <w:t xml:space="preserve">, amenity and </w:t>
      </w:r>
      <w:r w:rsidR="0042106F">
        <w:rPr>
          <w:rFonts w:cs="Arial"/>
        </w:rPr>
        <w:t>environmental</w:t>
      </w:r>
      <w:r w:rsidR="00446577">
        <w:rPr>
          <w:rFonts w:cs="Arial"/>
        </w:rPr>
        <w:t xml:space="preserve"> </w:t>
      </w:r>
      <w:r w:rsidR="0042106F">
        <w:rPr>
          <w:rFonts w:cs="Arial"/>
        </w:rPr>
        <w:t>considerations</w:t>
      </w:r>
      <w:r w:rsidR="008D3D60">
        <w:rPr>
          <w:rFonts w:cs="Arial"/>
        </w:rPr>
        <w:t xml:space="preserve"> </w:t>
      </w:r>
      <w:r w:rsidR="006E0B4A">
        <w:rPr>
          <w:rFonts w:cs="Arial"/>
        </w:rPr>
        <w:t>recognising the operational reality of managing vegetation around powerlines.</w:t>
      </w:r>
    </w:p>
    <w:p w14:paraId="3DA2059D" w14:textId="5C600C11" w:rsidR="00672C3D" w:rsidRDefault="00672C3D" w:rsidP="00672C3D">
      <w:pPr>
        <w:pStyle w:val="Heading1"/>
        <w:ind w:left="284"/>
      </w:pPr>
      <w:bookmarkStart w:id="5" w:name="_Toc34405648"/>
      <w:r>
        <w:t>The regulatory impact statement</w:t>
      </w:r>
      <w:bookmarkEnd w:id="5"/>
    </w:p>
    <w:p w14:paraId="4FFC06B9" w14:textId="77777777" w:rsidR="00F10BFE" w:rsidRDefault="2DEE6F3C" w:rsidP="00672C3D">
      <w:r>
        <w:t xml:space="preserve">It is pleasing that, unlike previous regulatory impact statements (RIS) for line clearance regulations, the RIS for the proposed 2020 regulations acknowledges the very real environmental, social and amenity benefits and value of trees. </w:t>
      </w:r>
    </w:p>
    <w:p w14:paraId="6BBBD485" w14:textId="28A7FF5B" w:rsidR="00672C3D" w:rsidRDefault="2DEE6F3C" w:rsidP="00672C3D">
      <w:r>
        <w:t xml:space="preserve">Reference is made to the </w:t>
      </w:r>
      <w:r w:rsidRPr="2DEE6F3C">
        <w:rPr>
          <w:i/>
          <w:iCs/>
        </w:rPr>
        <w:t>Living Melbourne: Our Metropolitan Urban Forest</w:t>
      </w:r>
      <w:r>
        <w:t xml:space="preserve"> strategy, developed by The Nature Conservancy and Resilient Melbourne, </w:t>
      </w:r>
      <w:r w:rsidR="00447CF4">
        <w:t xml:space="preserve">which we note </w:t>
      </w:r>
      <w:r>
        <w:t>enjoys support from a range of “endorsing partners”, including the Victorian Government.</w:t>
      </w:r>
    </w:p>
    <w:p w14:paraId="6902F881" w14:textId="1D68650F" w:rsidR="00150BB7" w:rsidRDefault="2DEE6F3C" w:rsidP="00672C3D">
      <w:r>
        <w:t xml:space="preserve">The RIS provides data on the three key risks </w:t>
      </w:r>
      <w:r w:rsidR="00B64F55">
        <w:t>associated with</w:t>
      </w:r>
      <w:r>
        <w:t xml:space="preserve"> vegetation in close proximity to powerlines: fires, electrocutions and power supply interruptions.</w:t>
      </w:r>
      <w:r w:rsidR="00B64F55">
        <w:t xml:space="preserve"> </w:t>
      </w:r>
      <w:r w:rsidR="00150BB7">
        <w:t>Key points include:</w:t>
      </w:r>
    </w:p>
    <w:p w14:paraId="414CF7F5" w14:textId="746E9B61" w:rsidR="0087342C" w:rsidRDefault="00150BB7" w:rsidP="0084151A">
      <w:pPr>
        <w:pStyle w:val="ListParagraph"/>
        <w:numPr>
          <w:ilvl w:val="0"/>
          <w:numId w:val="12"/>
        </w:numPr>
      </w:pPr>
      <w:r>
        <w:t>i</w:t>
      </w:r>
      <w:r w:rsidR="2DEE6F3C">
        <w:t>n the four years to 2018-19, there has been an average of 44 fires per year c</w:t>
      </w:r>
      <w:r>
        <w:t>a</w:t>
      </w:r>
      <w:r w:rsidR="2DEE6F3C">
        <w:t xml:space="preserve">used by contact between tree branches and </w:t>
      </w:r>
      <w:r>
        <w:t xml:space="preserve">powerlines across Victoria. </w:t>
      </w:r>
      <w:r w:rsidR="00854C59">
        <w:t>Data indicates that about three fires each year (6%) are caused by tree contact due to grow-ins</w:t>
      </w:r>
      <w:r w:rsidR="00CA3647">
        <w:t>. The impact of most “grow-in” fires has been small and local.</w:t>
      </w:r>
    </w:p>
    <w:p w14:paraId="6623C0C5" w14:textId="7AF53F5A" w:rsidR="0087342C" w:rsidRDefault="00CB65B5" w:rsidP="0087342C">
      <w:pPr>
        <w:pStyle w:val="ListParagraph"/>
        <w:numPr>
          <w:ilvl w:val="0"/>
          <w:numId w:val="12"/>
        </w:numPr>
      </w:pPr>
      <w:r>
        <w:lastRenderedPageBreak/>
        <w:t xml:space="preserve">Over the past four years, there has been one fatality due to electrocution </w:t>
      </w:r>
      <w:r w:rsidR="00391F6B">
        <w:t xml:space="preserve">arising from the interactions between people, trees and powerlines. There was one </w:t>
      </w:r>
      <w:r w:rsidR="00022141">
        <w:t>injury</w:t>
      </w:r>
      <w:r w:rsidR="00391F6B">
        <w:t xml:space="preserve"> requiring medical attention and an average of three </w:t>
      </w:r>
      <w:r w:rsidR="00F9080F">
        <w:t>injuries per year related to minor shock.</w:t>
      </w:r>
    </w:p>
    <w:p w14:paraId="3138284A" w14:textId="63428709" w:rsidR="00CC4847" w:rsidRDefault="00274883" w:rsidP="00CC4847">
      <w:pPr>
        <w:pStyle w:val="ListParagraph"/>
        <w:numPr>
          <w:ilvl w:val="0"/>
          <w:numId w:val="12"/>
        </w:numPr>
      </w:pPr>
      <w:r>
        <w:t xml:space="preserve">On average between 2014 and 2018, there were 244,315 hours of grow-in related outages per year, compared with 453,336 hours per year between 2010 and 2013. </w:t>
      </w:r>
    </w:p>
    <w:p w14:paraId="5A94799E" w14:textId="27C224F9" w:rsidR="005A53FF" w:rsidRPr="005A53FF" w:rsidRDefault="005A53FF" w:rsidP="0021546A">
      <w:pPr>
        <w:spacing w:after="0"/>
        <w:rPr>
          <w:rFonts w:cs="Arial"/>
        </w:rPr>
      </w:pPr>
      <w:r w:rsidRPr="005A53FF">
        <w:rPr>
          <w:rFonts w:cs="Arial"/>
        </w:rPr>
        <w:t>It is important to note that this incident data reflects the outcomes of existing vegetation management practices and not</w:t>
      </w:r>
      <w:r w:rsidR="00A02AB3">
        <w:rPr>
          <w:rFonts w:cs="Arial"/>
        </w:rPr>
        <w:t>, as arguably implied by the RIS, the results of</w:t>
      </w:r>
      <w:r w:rsidRPr="005A53FF">
        <w:rPr>
          <w:rFonts w:cs="Arial"/>
        </w:rPr>
        <w:t xml:space="preserve"> compliance with the Code.  The reality is that unless trees are pruned excessively or removed </w:t>
      </w:r>
      <w:r w:rsidR="00022141" w:rsidRPr="005A53FF">
        <w:rPr>
          <w:rFonts w:cs="Arial"/>
        </w:rPr>
        <w:t>altogether</w:t>
      </w:r>
      <w:r w:rsidRPr="005A53FF">
        <w:rPr>
          <w:rFonts w:cs="Arial"/>
        </w:rPr>
        <w:t>, growth into the prescribed minimum clearance distances</w:t>
      </w:r>
      <w:r w:rsidR="00AE7067">
        <w:rPr>
          <w:rFonts w:cs="Arial"/>
        </w:rPr>
        <w:t xml:space="preserve"> in LBRA</w:t>
      </w:r>
      <w:r w:rsidRPr="005A53FF">
        <w:rPr>
          <w:rFonts w:cs="Arial"/>
        </w:rPr>
        <w:t xml:space="preserve"> is common</w:t>
      </w:r>
      <w:r w:rsidR="00FD28BB">
        <w:rPr>
          <w:rFonts w:cs="Arial"/>
        </w:rPr>
        <w:t>, particularly in metropolitan Melbourne</w:t>
      </w:r>
      <w:r w:rsidRPr="005A53FF">
        <w:rPr>
          <w:rFonts w:cs="Arial"/>
        </w:rPr>
        <w:t xml:space="preserve">. </w:t>
      </w:r>
    </w:p>
    <w:p w14:paraId="68FD14CD" w14:textId="0C53D3DE" w:rsidR="005A53FF" w:rsidRDefault="005A53FF" w:rsidP="00F10BFE">
      <w:pPr>
        <w:tabs>
          <w:tab w:val="left" w:pos="363"/>
        </w:tabs>
        <w:spacing w:after="0"/>
      </w:pPr>
    </w:p>
    <w:p w14:paraId="06F3A499" w14:textId="19406D21" w:rsidR="006218D6" w:rsidRDefault="006218D6" w:rsidP="006218D6">
      <w:pPr>
        <w:pStyle w:val="Heading2"/>
        <w:numPr>
          <w:ilvl w:val="0"/>
          <w:numId w:val="0"/>
        </w:numPr>
        <w:rPr>
          <w:rFonts w:eastAsia="Calibri" w:cs="Times New Roman"/>
        </w:rPr>
      </w:pPr>
      <w:bookmarkStart w:id="6" w:name="_Toc34405649"/>
      <w:r>
        <w:t>Key gap in RIS</w:t>
      </w:r>
      <w:bookmarkEnd w:id="6"/>
    </w:p>
    <w:p w14:paraId="71D04D78" w14:textId="539B1765" w:rsidR="00A07B0F" w:rsidRPr="00A02AB3" w:rsidRDefault="00CC4847" w:rsidP="00A07B0F">
      <w:pPr>
        <w:tabs>
          <w:tab w:val="left" w:pos="363"/>
        </w:tabs>
        <w:rPr>
          <w:rFonts w:cs="Arial"/>
        </w:rPr>
      </w:pPr>
      <w:r w:rsidRPr="00A02AB3">
        <w:rPr>
          <w:rFonts w:cs="Arial"/>
        </w:rPr>
        <w:t>One</w:t>
      </w:r>
      <w:r w:rsidR="00922FAC" w:rsidRPr="00A02AB3">
        <w:rPr>
          <w:rFonts w:cs="Arial"/>
        </w:rPr>
        <w:t xml:space="preserve"> concerning </w:t>
      </w:r>
      <w:r w:rsidR="007B4068" w:rsidRPr="00A02AB3">
        <w:rPr>
          <w:rFonts w:cs="Arial"/>
        </w:rPr>
        <w:t>gap in the RIS i</w:t>
      </w:r>
      <w:r w:rsidR="00F10BFE">
        <w:rPr>
          <w:rFonts w:cs="Arial"/>
        </w:rPr>
        <w:t>s</w:t>
      </w:r>
      <w:r w:rsidR="007B4068" w:rsidRPr="00A02AB3">
        <w:rPr>
          <w:rFonts w:cs="Arial"/>
        </w:rPr>
        <w:t xml:space="preserve"> </w:t>
      </w:r>
      <w:r w:rsidR="00A045B1" w:rsidRPr="00A02AB3">
        <w:rPr>
          <w:rFonts w:cs="Arial"/>
        </w:rPr>
        <w:t>any refe</w:t>
      </w:r>
      <w:r w:rsidR="00B905AC" w:rsidRPr="00A02AB3">
        <w:rPr>
          <w:rFonts w:cs="Arial"/>
        </w:rPr>
        <w:t>re</w:t>
      </w:r>
      <w:r w:rsidR="00A045B1" w:rsidRPr="00A02AB3">
        <w:rPr>
          <w:rFonts w:cs="Arial"/>
        </w:rPr>
        <w:t xml:space="preserve">nce </w:t>
      </w:r>
      <w:r w:rsidR="00B905AC" w:rsidRPr="00A02AB3">
        <w:rPr>
          <w:rFonts w:cs="Arial"/>
        </w:rPr>
        <w:t xml:space="preserve">to </w:t>
      </w:r>
      <w:r w:rsidR="00A045B1" w:rsidRPr="00A02AB3">
        <w:rPr>
          <w:rFonts w:cs="Arial"/>
        </w:rPr>
        <w:t xml:space="preserve">or analysis of the costs and benefits of the proposal to make Clause 3(1) of the Code </w:t>
      </w:r>
      <w:r w:rsidR="00A07B0F" w:rsidRPr="00A02AB3">
        <w:rPr>
          <w:rFonts w:cs="Arial"/>
        </w:rPr>
        <w:t xml:space="preserve">a prescribed provision for which an infringement notice may be served. </w:t>
      </w:r>
    </w:p>
    <w:p w14:paraId="358FA66D" w14:textId="6A07D26A" w:rsidR="00B905AC" w:rsidRPr="00A02AB3" w:rsidRDefault="008E765B" w:rsidP="008E765B">
      <w:pPr>
        <w:rPr>
          <w:rFonts w:cs="Arial"/>
        </w:rPr>
      </w:pPr>
      <w:r w:rsidRPr="00A02AB3">
        <w:rPr>
          <w:rFonts w:cs="Arial"/>
        </w:rPr>
        <w:t>This proposed</w:t>
      </w:r>
      <w:r w:rsidR="00B905AC" w:rsidRPr="00A02AB3">
        <w:rPr>
          <w:rFonts w:cs="Arial"/>
        </w:rPr>
        <w:t xml:space="preserve"> change is not included in the table of “targeted changes” on pages 5 and 6 of the RIS and </w:t>
      </w:r>
      <w:r w:rsidRPr="00A02AB3">
        <w:rPr>
          <w:rFonts w:cs="Arial"/>
        </w:rPr>
        <w:t xml:space="preserve">is </w:t>
      </w:r>
      <w:r w:rsidR="00B905AC" w:rsidRPr="00A02AB3">
        <w:rPr>
          <w:rFonts w:cs="Arial"/>
        </w:rPr>
        <w:t xml:space="preserve">not discussed in any detail anywhere in the RIS. </w:t>
      </w:r>
      <w:r w:rsidR="00E10A09" w:rsidRPr="00A02AB3">
        <w:rPr>
          <w:rFonts w:cs="Arial"/>
        </w:rPr>
        <w:t xml:space="preserve">This is </w:t>
      </w:r>
      <w:r w:rsidR="00A07B0F" w:rsidRPr="00A02AB3">
        <w:rPr>
          <w:rFonts w:cs="Arial"/>
        </w:rPr>
        <w:t>s</w:t>
      </w:r>
      <w:r w:rsidR="004E5D47">
        <w:rPr>
          <w:rFonts w:cs="Arial"/>
        </w:rPr>
        <w:t xml:space="preserve">urprising </w:t>
      </w:r>
      <w:r w:rsidR="00A07B0F" w:rsidRPr="00A02AB3">
        <w:rPr>
          <w:rFonts w:cs="Arial"/>
        </w:rPr>
        <w:t>g</w:t>
      </w:r>
      <w:r w:rsidRPr="00A02AB3">
        <w:rPr>
          <w:rFonts w:cs="Arial"/>
        </w:rPr>
        <w:t>iven the</w:t>
      </w:r>
      <w:r w:rsidR="00B905AC" w:rsidRPr="00A02AB3">
        <w:rPr>
          <w:rFonts w:cs="Arial"/>
        </w:rPr>
        <w:t xml:space="preserve"> potentially massive financial and / or environmental and amenity implications </w:t>
      </w:r>
      <w:r w:rsidRPr="00A02AB3">
        <w:rPr>
          <w:rFonts w:cs="Arial"/>
        </w:rPr>
        <w:t>of this proposed change</w:t>
      </w:r>
      <w:r w:rsidR="00B905AC" w:rsidRPr="00A02AB3">
        <w:rPr>
          <w:rFonts w:cs="Arial"/>
        </w:rPr>
        <w:t xml:space="preserve">. </w:t>
      </w:r>
    </w:p>
    <w:p w14:paraId="3B826BF8" w14:textId="77777777" w:rsidR="00B905AC" w:rsidRPr="00A02AB3" w:rsidRDefault="00B905AC" w:rsidP="00B905AC">
      <w:pPr>
        <w:tabs>
          <w:tab w:val="left" w:pos="363"/>
        </w:tabs>
        <w:rPr>
          <w:rFonts w:cs="Arial"/>
        </w:rPr>
      </w:pPr>
      <w:r w:rsidRPr="00A02AB3">
        <w:rPr>
          <w:rFonts w:cs="Arial"/>
        </w:rPr>
        <w:t xml:space="preserve">Clause 3(1) of the Code provides that: </w:t>
      </w:r>
    </w:p>
    <w:p w14:paraId="1574D825" w14:textId="77777777" w:rsidR="00B905AC" w:rsidRPr="00A02AB3" w:rsidRDefault="00B905AC" w:rsidP="00877DDC">
      <w:pPr>
        <w:tabs>
          <w:tab w:val="left" w:pos="363"/>
        </w:tabs>
        <w:ind w:left="363"/>
        <w:rPr>
          <w:rFonts w:cs="Arial"/>
          <w:i/>
          <w:iCs/>
        </w:rPr>
      </w:pPr>
      <w:r w:rsidRPr="00A02AB3">
        <w:rPr>
          <w:rFonts w:cs="Arial"/>
          <w:i/>
          <w:iCs/>
        </w:rPr>
        <w:t xml:space="preserve">A responsible person must ensure that, at all times, no part of a tree for which the person has clearance responsibilities is within the minimum clearance space for an electric line span. </w:t>
      </w:r>
    </w:p>
    <w:p w14:paraId="3E94CF1F" w14:textId="79B74166" w:rsidR="00B905AC" w:rsidRPr="00A02AB3" w:rsidRDefault="00B905AC" w:rsidP="00B905AC">
      <w:pPr>
        <w:tabs>
          <w:tab w:val="left" w:pos="363"/>
        </w:tabs>
        <w:rPr>
          <w:rFonts w:cs="Arial"/>
        </w:rPr>
      </w:pPr>
      <w:r w:rsidRPr="00A02AB3">
        <w:rPr>
          <w:rFonts w:cs="Arial"/>
        </w:rPr>
        <w:t xml:space="preserve">It is no secret that </w:t>
      </w:r>
      <w:r w:rsidR="00D428A2" w:rsidRPr="00A02AB3">
        <w:rPr>
          <w:rFonts w:cs="Arial"/>
        </w:rPr>
        <w:t xml:space="preserve">upon inspection of </w:t>
      </w:r>
      <w:r w:rsidR="006218D6" w:rsidRPr="00A02AB3">
        <w:rPr>
          <w:rFonts w:cs="Arial"/>
        </w:rPr>
        <w:t xml:space="preserve">any </w:t>
      </w:r>
      <w:r w:rsidR="00D428A2" w:rsidRPr="00A02AB3">
        <w:rPr>
          <w:rFonts w:cs="Arial"/>
        </w:rPr>
        <w:t xml:space="preserve">inner urban </w:t>
      </w:r>
      <w:r w:rsidR="00396F9A" w:rsidRPr="00A02AB3">
        <w:rPr>
          <w:rFonts w:cs="Arial"/>
        </w:rPr>
        <w:t>street</w:t>
      </w:r>
      <w:r w:rsidRPr="00A02AB3">
        <w:rPr>
          <w:rFonts w:cs="Arial"/>
        </w:rPr>
        <w:t xml:space="preserve"> </w:t>
      </w:r>
      <w:r w:rsidR="00396F9A" w:rsidRPr="00A02AB3">
        <w:rPr>
          <w:rFonts w:cs="Arial"/>
        </w:rPr>
        <w:t xml:space="preserve">in Melbourne, </w:t>
      </w:r>
      <w:r w:rsidRPr="00A02AB3">
        <w:rPr>
          <w:rFonts w:cs="Arial"/>
        </w:rPr>
        <w:t xml:space="preserve">ESV </w:t>
      </w:r>
      <w:r w:rsidR="004E5D47">
        <w:rPr>
          <w:rFonts w:cs="Arial"/>
        </w:rPr>
        <w:t>could likely</w:t>
      </w:r>
      <w:r w:rsidRPr="00A02AB3">
        <w:rPr>
          <w:rFonts w:cs="Arial"/>
        </w:rPr>
        <w:t xml:space="preserve"> </w:t>
      </w:r>
      <w:r w:rsidR="00D428A2" w:rsidRPr="00A02AB3">
        <w:rPr>
          <w:rFonts w:cs="Arial"/>
        </w:rPr>
        <w:t xml:space="preserve">identify </w:t>
      </w:r>
      <w:r w:rsidR="00396F9A" w:rsidRPr="00A02AB3">
        <w:rPr>
          <w:rFonts w:cs="Arial"/>
        </w:rPr>
        <w:t>v</w:t>
      </w:r>
      <w:r w:rsidRPr="00A02AB3">
        <w:rPr>
          <w:rFonts w:cs="Arial"/>
        </w:rPr>
        <w:t xml:space="preserve">egetation that does not comply with the regulations. </w:t>
      </w:r>
      <w:r w:rsidR="00D62227" w:rsidRPr="00A02AB3">
        <w:rPr>
          <w:rFonts w:cs="Arial"/>
        </w:rPr>
        <w:t>The reality is u</w:t>
      </w:r>
      <w:r w:rsidRPr="00A02AB3">
        <w:rPr>
          <w:rFonts w:cs="Arial"/>
        </w:rPr>
        <w:t xml:space="preserve">nless responsible persons clear vegetation well beyond the minimum clearance distances, some level of regrowth within the clearance space is </w:t>
      </w:r>
      <w:r w:rsidR="004E5D47">
        <w:rPr>
          <w:rFonts w:cs="Arial"/>
        </w:rPr>
        <w:t>probable</w:t>
      </w:r>
      <w:r w:rsidRPr="00A02AB3">
        <w:rPr>
          <w:rFonts w:cs="Arial"/>
        </w:rPr>
        <w:t>, particularly whe</w:t>
      </w:r>
      <w:r w:rsidR="00D62227" w:rsidRPr="00A02AB3">
        <w:rPr>
          <w:rFonts w:cs="Arial"/>
        </w:rPr>
        <w:t>n</w:t>
      </w:r>
      <w:r w:rsidRPr="00A02AB3">
        <w:rPr>
          <w:rFonts w:cs="Arial"/>
        </w:rPr>
        <w:t xml:space="preserve"> favourable growing conditions prevail. It is </w:t>
      </w:r>
      <w:r w:rsidR="00022141" w:rsidRPr="00A02AB3">
        <w:rPr>
          <w:rFonts w:cs="Arial"/>
        </w:rPr>
        <w:t>critical</w:t>
      </w:r>
      <w:r w:rsidRPr="00A02AB3">
        <w:rPr>
          <w:rFonts w:cs="Arial"/>
        </w:rPr>
        <w:t xml:space="preserve"> to note however that non-compliance does not necessarily equate with increased risk of bushfires, outages or electrocution. </w:t>
      </w:r>
      <w:r w:rsidR="00022141" w:rsidRPr="00A02AB3">
        <w:rPr>
          <w:rFonts w:cs="Arial"/>
        </w:rPr>
        <w:t>Indeed,</w:t>
      </w:r>
      <w:r w:rsidRPr="00A02AB3">
        <w:rPr>
          <w:rFonts w:cs="Arial"/>
        </w:rPr>
        <w:t xml:space="preserve"> much non-compliance, particularly in low bushfire risk areas, </w:t>
      </w:r>
      <w:r w:rsidR="004E5D47">
        <w:rPr>
          <w:rFonts w:cs="Arial"/>
        </w:rPr>
        <w:t xml:space="preserve">arguably </w:t>
      </w:r>
      <w:r w:rsidRPr="00A02AB3">
        <w:rPr>
          <w:rFonts w:cs="Arial"/>
        </w:rPr>
        <w:t xml:space="preserve">does not materially impact risk levels at all. </w:t>
      </w:r>
    </w:p>
    <w:p w14:paraId="5B2DFC5D" w14:textId="24BC49EE" w:rsidR="003F511B" w:rsidRDefault="003F511B" w:rsidP="003F511B">
      <w:pPr>
        <w:spacing w:after="0"/>
        <w:rPr>
          <w:rFonts w:cs="Arial"/>
        </w:rPr>
      </w:pPr>
      <w:r>
        <w:rPr>
          <w:rFonts w:cs="Arial"/>
        </w:rPr>
        <w:t xml:space="preserve">While we acknowledge ESV has generally taken a risk-based approach to enforcement </w:t>
      </w:r>
      <w:r w:rsidRPr="004C2E8B">
        <w:rPr>
          <w:rFonts w:cs="Arial"/>
        </w:rPr>
        <w:t>action to date, the shift to mak</w:t>
      </w:r>
      <w:r>
        <w:rPr>
          <w:rFonts w:cs="Arial"/>
        </w:rPr>
        <w:t>e</w:t>
      </w:r>
      <w:r w:rsidRPr="004C2E8B">
        <w:rPr>
          <w:rFonts w:cs="Arial"/>
        </w:rPr>
        <w:t xml:space="preserve"> any non-compliance an infringeable offence </w:t>
      </w:r>
      <w:r>
        <w:rPr>
          <w:rFonts w:cs="Arial"/>
        </w:rPr>
        <w:t xml:space="preserve">does raise fears that a change in approach might be </w:t>
      </w:r>
      <w:r w:rsidR="00CA0B2B">
        <w:rPr>
          <w:rFonts w:cs="Arial"/>
        </w:rPr>
        <w:t>coming.</w:t>
      </w:r>
      <w:r w:rsidRPr="004C2E8B">
        <w:rPr>
          <w:rFonts w:cs="Arial"/>
        </w:rPr>
        <w:t xml:space="preserve"> The references to “at all times” and “no part of a tree” in clause 3(1) empowers ESV to issue </w:t>
      </w:r>
      <w:r>
        <w:rPr>
          <w:rFonts w:cs="Arial"/>
        </w:rPr>
        <w:t xml:space="preserve">a council a </w:t>
      </w:r>
      <w:r w:rsidRPr="004C2E8B">
        <w:rPr>
          <w:rFonts w:cs="Arial"/>
        </w:rPr>
        <w:t xml:space="preserve">fine of 250 penalty units for any </w:t>
      </w:r>
      <w:r>
        <w:rPr>
          <w:rFonts w:cs="Arial"/>
        </w:rPr>
        <w:t>vegetation located within the clearance space, regardless of whether it poses a material risk or not</w:t>
      </w:r>
      <w:r w:rsidR="005A45F0">
        <w:rPr>
          <w:rFonts w:cs="Arial"/>
        </w:rPr>
        <w:t>.</w:t>
      </w:r>
    </w:p>
    <w:p w14:paraId="00F9BD92" w14:textId="77777777" w:rsidR="003F511B" w:rsidRDefault="003F511B" w:rsidP="003F511B">
      <w:pPr>
        <w:spacing w:after="0"/>
        <w:rPr>
          <w:rFonts w:cs="Arial"/>
        </w:rPr>
      </w:pPr>
    </w:p>
    <w:p w14:paraId="2AA8413C" w14:textId="48D37F82" w:rsidR="005A45F0" w:rsidRDefault="005A45F0" w:rsidP="005A45F0">
      <w:pPr>
        <w:spacing w:after="0"/>
        <w:rPr>
          <w:rFonts w:cs="Arial"/>
        </w:rPr>
      </w:pPr>
      <w:r>
        <w:rPr>
          <w:rFonts w:cs="Arial"/>
        </w:rPr>
        <w:t xml:space="preserve">If the regulations are finalised as drafted, councils will likely either remain non-compliant or, if ESV’s enforcement approach shifts, they will be forced to remove large numbers of mature trees and structural branches. Both approaches come at significant financial, environmental, </w:t>
      </w:r>
      <w:r>
        <w:rPr>
          <w:rFonts w:cs="Arial"/>
        </w:rPr>
        <w:lastRenderedPageBreak/>
        <w:t xml:space="preserve">aesthetic and political risk and cost, for local government, for the Victorian government and for the community. This is in the absence of incident data or other evidence to indicate that current practice for </w:t>
      </w:r>
      <w:r w:rsidR="001360A1">
        <w:rPr>
          <w:rFonts w:cs="Arial"/>
        </w:rPr>
        <w:t xml:space="preserve">managing vegetation near </w:t>
      </w:r>
      <w:r>
        <w:rPr>
          <w:rFonts w:cs="Arial"/>
        </w:rPr>
        <w:t xml:space="preserve">LV in LBRA is unsafe. </w:t>
      </w:r>
    </w:p>
    <w:p w14:paraId="0317BF33" w14:textId="77777777" w:rsidR="00F10BFE" w:rsidRDefault="00F10BFE" w:rsidP="00F10BFE">
      <w:pPr>
        <w:spacing w:after="0"/>
        <w:rPr>
          <w:rFonts w:cs="Arial"/>
        </w:rPr>
      </w:pPr>
    </w:p>
    <w:p w14:paraId="2EF697AF" w14:textId="4754144D" w:rsidR="00B905AC" w:rsidRDefault="00B905AC" w:rsidP="00B905AC">
      <w:pPr>
        <w:tabs>
          <w:tab w:val="left" w:pos="363"/>
        </w:tabs>
        <w:rPr>
          <w:rFonts w:cs="Arial"/>
        </w:rPr>
      </w:pPr>
      <w:r w:rsidRPr="00A02AB3">
        <w:rPr>
          <w:rFonts w:cs="Arial"/>
        </w:rPr>
        <w:t>Th</w:t>
      </w:r>
      <w:r w:rsidR="005A45F0">
        <w:rPr>
          <w:rFonts w:cs="Arial"/>
        </w:rPr>
        <w:t>e</w:t>
      </w:r>
      <w:r w:rsidRPr="00A02AB3">
        <w:rPr>
          <w:rFonts w:cs="Arial"/>
        </w:rPr>
        <w:t xml:space="preserve"> proposed change </w:t>
      </w:r>
      <w:r w:rsidR="005A45F0">
        <w:rPr>
          <w:rFonts w:cs="Arial"/>
        </w:rPr>
        <w:t xml:space="preserve">to make clause 3(1) of the Code infringeable </w:t>
      </w:r>
      <w:r w:rsidRPr="00A02AB3">
        <w:rPr>
          <w:rFonts w:cs="Arial"/>
        </w:rPr>
        <w:t xml:space="preserve">needs to be removed or, at a minimum, </w:t>
      </w:r>
      <w:r w:rsidR="00294232" w:rsidRPr="00A02AB3">
        <w:rPr>
          <w:rFonts w:cs="Arial"/>
        </w:rPr>
        <w:t xml:space="preserve">substantively </w:t>
      </w:r>
      <w:r w:rsidRPr="00A02AB3">
        <w:rPr>
          <w:rFonts w:cs="Arial"/>
        </w:rPr>
        <w:t>reworked to ensure it only relates to non-compliant vegetation that clearly poses an increased public safety risk</w:t>
      </w:r>
      <w:r w:rsidR="00F10BFE">
        <w:rPr>
          <w:rFonts w:cs="Arial"/>
        </w:rPr>
        <w:t>. If</w:t>
      </w:r>
      <w:r w:rsidR="003F0156" w:rsidRPr="00A02AB3">
        <w:rPr>
          <w:rFonts w:cs="Arial"/>
        </w:rPr>
        <w:t xml:space="preserve"> risk management is the primary driver, it should only apply</w:t>
      </w:r>
      <w:r w:rsidRPr="00A02AB3">
        <w:rPr>
          <w:rFonts w:cs="Arial"/>
        </w:rPr>
        <w:t xml:space="preserve"> to non-compliance in HBRA</w:t>
      </w:r>
      <w:r w:rsidR="00650E5A" w:rsidRPr="00A02AB3">
        <w:rPr>
          <w:rFonts w:cs="Arial"/>
        </w:rPr>
        <w:t xml:space="preserve"> and to </w:t>
      </w:r>
      <w:r w:rsidR="00650E5A" w:rsidRPr="000F4CDC">
        <w:rPr>
          <w:rFonts w:cs="Arial"/>
        </w:rPr>
        <w:t xml:space="preserve">vegetation </w:t>
      </w:r>
      <w:r w:rsidR="0085709A" w:rsidRPr="000F4CDC">
        <w:rPr>
          <w:rFonts w:cs="Arial"/>
        </w:rPr>
        <w:t xml:space="preserve">near </w:t>
      </w:r>
      <w:r w:rsidR="00650E5A" w:rsidRPr="000F4CDC">
        <w:rPr>
          <w:rFonts w:cs="Arial"/>
        </w:rPr>
        <w:t>HV in</w:t>
      </w:r>
      <w:r w:rsidR="00650E5A" w:rsidRPr="00A02AB3">
        <w:rPr>
          <w:rFonts w:cs="Arial"/>
        </w:rPr>
        <w:t xml:space="preserve"> LBRA</w:t>
      </w:r>
      <w:r w:rsidRPr="00A02AB3">
        <w:rPr>
          <w:rFonts w:cs="Arial"/>
        </w:rPr>
        <w:t xml:space="preserve">. </w:t>
      </w:r>
    </w:p>
    <w:p w14:paraId="1A2FCBDF" w14:textId="634DFB55" w:rsidR="004F704B" w:rsidRDefault="004F704B" w:rsidP="004F704B">
      <w:pPr>
        <w:tabs>
          <w:tab w:val="left" w:pos="363"/>
        </w:tabs>
        <w:rPr>
          <w:rFonts w:cs="Arial"/>
        </w:rPr>
      </w:pPr>
      <w:r>
        <w:rPr>
          <w:rFonts w:cs="Arial"/>
        </w:rPr>
        <w:t>RECOMMENDATION: that th</w:t>
      </w:r>
      <w:r>
        <w:rPr>
          <w:rFonts w:cs="Arial"/>
        </w:rPr>
        <w:t>e</w:t>
      </w:r>
      <w:r w:rsidRPr="00A02AB3">
        <w:rPr>
          <w:rFonts w:cs="Arial"/>
        </w:rPr>
        <w:t xml:space="preserve"> proposed change </w:t>
      </w:r>
      <w:r>
        <w:rPr>
          <w:rFonts w:cs="Arial"/>
        </w:rPr>
        <w:t xml:space="preserve">to clause 3(1) </w:t>
      </w:r>
      <w:r w:rsidRPr="00A02AB3">
        <w:rPr>
          <w:rFonts w:cs="Arial"/>
        </w:rPr>
        <w:t xml:space="preserve">be </w:t>
      </w:r>
      <w:r>
        <w:rPr>
          <w:rFonts w:cs="Arial"/>
        </w:rPr>
        <w:t>abandon</w:t>
      </w:r>
      <w:r w:rsidRPr="00A02AB3">
        <w:rPr>
          <w:rFonts w:cs="Arial"/>
        </w:rPr>
        <w:t>ed or</w:t>
      </w:r>
      <w:r>
        <w:rPr>
          <w:rFonts w:cs="Arial"/>
        </w:rPr>
        <w:t xml:space="preserve"> </w:t>
      </w:r>
      <w:r w:rsidRPr="00A02AB3">
        <w:rPr>
          <w:rFonts w:cs="Arial"/>
        </w:rPr>
        <w:t xml:space="preserve">reworked to only apply to non-compliance in HBRA and to </w:t>
      </w:r>
      <w:r w:rsidRPr="00B217EA">
        <w:rPr>
          <w:rFonts w:cs="Arial"/>
        </w:rPr>
        <w:t>vegetation near HV in</w:t>
      </w:r>
      <w:r w:rsidRPr="00A02AB3">
        <w:rPr>
          <w:rFonts w:cs="Arial"/>
        </w:rPr>
        <w:t xml:space="preserve"> LBRA. </w:t>
      </w:r>
    </w:p>
    <w:p w14:paraId="242539FF" w14:textId="0E3AE08D" w:rsidR="003632DA" w:rsidRDefault="0042106F" w:rsidP="003632DA">
      <w:pPr>
        <w:pStyle w:val="Heading1"/>
        <w:ind w:left="284"/>
      </w:pPr>
      <w:bookmarkStart w:id="7" w:name="_Toc34402392"/>
      <w:bookmarkStart w:id="8" w:name="_Toc34402393"/>
      <w:bookmarkStart w:id="9" w:name="_Toc34402394"/>
      <w:bookmarkStart w:id="10" w:name="_Toc34402395"/>
      <w:bookmarkStart w:id="11" w:name="_Toc34405650"/>
      <w:bookmarkEnd w:id="7"/>
      <w:bookmarkEnd w:id="8"/>
      <w:bookmarkEnd w:id="9"/>
      <w:bookmarkEnd w:id="10"/>
      <w:r>
        <w:t>Proposed regulatory changes</w:t>
      </w:r>
      <w:bookmarkEnd w:id="11"/>
    </w:p>
    <w:p w14:paraId="03C52BA3" w14:textId="3FBBA3E5" w:rsidR="003632DA" w:rsidRPr="003632DA" w:rsidRDefault="003F38F0" w:rsidP="003632DA">
      <w:r>
        <w:t>On pages 5 and 6 of the RIS, the targeted changes to regulations are outlined</w:t>
      </w:r>
      <w:r w:rsidR="004C1AD2">
        <w:t xml:space="preserve"> </w:t>
      </w:r>
      <w:r w:rsidR="00037D81">
        <w:t>as follows</w:t>
      </w:r>
      <w:r w:rsidR="004C1AD2">
        <w:t>. The MAV’s position on each proposed change is provided in the fourth column.</w:t>
      </w:r>
    </w:p>
    <w:tbl>
      <w:tblPr>
        <w:tblStyle w:val="TableGrid"/>
        <w:tblW w:w="11199" w:type="dxa"/>
        <w:tblInd w:w="-856" w:type="dxa"/>
        <w:tblLook w:val="04A0" w:firstRow="1" w:lastRow="0" w:firstColumn="1" w:lastColumn="0" w:noHBand="0" w:noVBand="1"/>
      </w:tblPr>
      <w:tblGrid>
        <w:gridCol w:w="1527"/>
        <w:gridCol w:w="3867"/>
        <w:gridCol w:w="1983"/>
        <w:gridCol w:w="3822"/>
      </w:tblGrid>
      <w:tr w:rsidR="001B6A0A" w:rsidRPr="00647194" w14:paraId="37C116C6" w14:textId="77777777" w:rsidTr="004C1AD2">
        <w:tc>
          <w:tcPr>
            <w:tcW w:w="1527" w:type="dxa"/>
            <w:shd w:val="clear" w:color="auto" w:fill="C6D9F1" w:themeFill="text2" w:themeFillTint="33"/>
          </w:tcPr>
          <w:p w14:paraId="53F7307E" w14:textId="48C89982" w:rsidR="00491AAC" w:rsidRPr="00647194" w:rsidRDefault="00491AAC" w:rsidP="00751EFB">
            <w:pPr>
              <w:tabs>
                <w:tab w:val="left" w:pos="363"/>
              </w:tabs>
              <w:jc w:val="center"/>
              <w:rPr>
                <w:rFonts w:ascii="Verdana" w:hAnsi="Verdana" w:cs="Arial"/>
                <w:b/>
                <w:sz w:val="20"/>
                <w:szCs w:val="20"/>
              </w:rPr>
            </w:pPr>
            <w:r w:rsidRPr="00647194">
              <w:rPr>
                <w:rFonts w:ascii="Verdana" w:hAnsi="Verdana" w:cs="Arial"/>
                <w:b/>
                <w:sz w:val="20"/>
                <w:szCs w:val="20"/>
              </w:rPr>
              <w:t>Category of change</w:t>
            </w:r>
            <w:r w:rsidR="00921283">
              <w:rPr>
                <w:rFonts w:ascii="Verdana" w:hAnsi="Verdana" w:cs="Arial"/>
                <w:b/>
                <w:sz w:val="20"/>
                <w:szCs w:val="20"/>
              </w:rPr>
              <w:t xml:space="preserve"> </w:t>
            </w:r>
          </w:p>
        </w:tc>
        <w:tc>
          <w:tcPr>
            <w:tcW w:w="3867" w:type="dxa"/>
            <w:shd w:val="clear" w:color="auto" w:fill="C6D9F1" w:themeFill="text2" w:themeFillTint="33"/>
          </w:tcPr>
          <w:p w14:paraId="4D0C2910" w14:textId="77777777" w:rsidR="00491AAC" w:rsidRPr="00647194" w:rsidRDefault="00491AAC" w:rsidP="00751EFB">
            <w:pPr>
              <w:tabs>
                <w:tab w:val="left" w:pos="363"/>
              </w:tabs>
              <w:jc w:val="center"/>
              <w:rPr>
                <w:rFonts w:ascii="Verdana" w:hAnsi="Verdana" w:cs="Arial"/>
                <w:b/>
                <w:sz w:val="20"/>
                <w:szCs w:val="20"/>
              </w:rPr>
            </w:pPr>
            <w:r w:rsidRPr="00647194">
              <w:rPr>
                <w:rFonts w:ascii="Verdana" w:hAnsi="Verdana" w:cs="Arial"/>
                <w:b/>
                <w:sz w:val="20"/>
                <w:szCs w:val="20"/>
              </w:rPr>
              <w:t>Description of change</w:t>
            </w:r>
          </w:p>
        </w:tc>
        <w:tc>
          <w:tcPr>
            <w:tcW w:w="1983" w:type="dxa"/>
            <w:shd w:val="clear" w:color="auto" w:fill="C6D9F1" w:themeFill="text2" w:themeFillTint="33"/>
          </w:tcPr>
          <w:p w14:paraId="66903C1A" w14:textId="77777777" w:rsidR="00491AAC" w:rsidRPr="00647194" w:rsidRDefault="00491AAC" w:rsidP="00751EFB">
            <w:pPr>
              <w:jc w:val="center"/>
              <w:rPr>
                <w:rFonts w:ascii="Verdana" w:hAnsi="Verdana" w:cs="Arial"/>
                <w:b/>
                <w:sz w:val="20"/>
                <w:szCs w:val="20"/>
              </w:rPr>
            </w:pPr>
            <w:r w:rsidRPr="00647194">
              <w:rPr>
                <w:rFonts w:ascii="Verdana" w:hAnsi="Verdana" w:cs="Arial"/>
                <w:b/>
                <w:sz w:val="20"/>
                <w:szCs w:val="20"/>
              </w:rPr>
              <w:t>Location</w:t>
            </w:r>
          </w:p>
        </w:tc>
        <w:tc>
          <w:tcPr>
            <w:tcW w:w="3822" w:type="dxa"/>
            <w:shd w:val="clear" w:color="auto" w:fill="C6D9F1" w:themeFill="text2" w:themeFillTint="33"/>
          </w:tcPr>
          <w:p w14:paraId="465EA3DC" w14:textId="64BFFFBA" w:rsidR="00491AAC" w:rsidRPr="00647194" w:rsidRDefault="00491AAC" w:rsidP="00751EFB">
            <w:pPr>
              <w:tabs>
                <w:tab w:val="left" w:pos="363"/>
              </w:tabs>
              <w:jc w:val="center"/>
              <w:rPr>
                <w:rFonts w:ascii="Verdana" w:hAnsi="Verdana" w:cs="Arial"/>
                <w:b/>
                <w:sz w:val="20"/>
                <w:szCs w:val="20"/>
              </w:rPr>
            </w:pPr>
            <w:r w:rsidRPr="00647194">
              <w:rPr>
                <w:rFonts w:ascii="Verdana" w:hAnsi="Verdana" w:cs="Arial"/>
                <w:b/>
                <w:sz w:val="20"/>
                <w:szCs w:val="20"/>
              </w:rPr>
              <w:t>MAV position</w:t>
            </w:r>
          </w:p>
        </w:tc>
      </w:tr>
      <w:tr w:rsidR="001B6A0A" w:rsidRPr="00647194" w14:paraId="77E738EC" w14:textId="77777777" w:rsidTr="004C1AD2">
        <w:tc>
          <w:tcPr>
            <w:tcW w:w="1527" w:type="dxa"/>
          </w:tcPr>
          <w:p w14:paraId="05937A55"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Broad change</w:t>
            </w:r>
          </w:p>
        </w:tc>
        <w:tc>
          <w:tcPr>
            <w:tcW w:w="3867" w:type="dxa"/>
          </w:tcPr>
          <w:p w14:paraId="05C8BE8A" w14:textId="77777777" w:rsidR="00D671A5" w:rsidRPr="00647194" w:rsidRDefault="00D671A5" w:rsidP="00D671A5">
            <w:pPr>
              <w:pStyle w:val="TableParagraph"/>
              <w:spacing w:line="278" w:lineRule="auto"/>
              <w:ind w:left="39" w:right="308"/>
              <w:rPr>
                <w:rFonts w:cs="Arial"/>
                <w:sz w:val="20"/>
                <w:szCs w:val="20"/>
              </w:rPr>
            </w:pPr>
            <w:r w:rsidRPr="00647194">
              <w:rPr>
                <w:rFonts w:cs="Arial"/>
                <w:sz w:val="20"/>
                <w:szCs w:val="20"/>
              </w:rPr>
              <w:t>Change to the objective of the regulation to include a reference to protecting the health of trees</w:t>
            </w:r>
          </w:p>
          <w:p w14:paraId="01425555" w14:textId="77777777" w:rsidR="00D671A5" w:rsidRPr="00647194" w:rsidRDefault="00D671A5" w:rsidP="00D671A5">
            <w:pPr>
              <w:pStyle w:val="TableParagraph"/>
              <w:spacing w:before="171"/>
              <w:ind w:left="39"/>
              <w:rPr>
                <w:rFonts w:cs="Arial"/>
                <w:sz w:val="20"/>
                <w:szCs w:val="20"/>
              </w:rPr>
            </w:pPr>
            <w:r w:rsidRPr="00647194">
              <w:rPr>
                <w:rFonts w:cs="Arial"/>
                <w:sz w:val="20"/>
                <w:szCs w:val="20"/>
                <w:u w:val="single"/>
              </w:rPr>
              <w:t>Wording of new regulations</w:t>
            </w:r>
          </w:p>
          <w:p w14:paraId="68D03CE6" w14:textId="77777777" w:rsidR="00D671A5" w:rsidRPr="00647194" w:rsidRDefault="00D671A5" w:rsidP="00D671A5">
            <w:pPr>
              <w:pStyle w:val="TableParagraph"/>
              <w:spacing w:before="9"/>
              <w:ind w:left="39"/>
              <w:rPr>
                <w:rFonts w:cs="Arial"/>
                <w:sz w:val="20"/>
                <w:szCs w:val="20"/>
              </w:rPr>
            </w:pPr>
          </w:p>
          <w:p w14:paraId="17BD250A" w14:textId="77777777" w:rsidR="00D671A5" w:rsidRPr="00647194" w:rsidRDefault="00D671A5" w:rsidP="00D671A5">
            <w:pPr>
              <w:pStyle w:val="TableParagraph"/>
              <w:spacing w:before="0"/>
              <w:ind w:left="39"/>
              <w:rPr>
                <w:rFonts w:cs="Arial"/>
                <w:sz w:val="20"/>
                <w:szCs w:val="20"/>
              </w:rPr>
            </w:pPr>
            <w:r w:rsidRPr="00647194">
              <w:rPr>
                <w:rFonts w:cs="Arial"/>
                <w:sz w:val="20"/>
                <w:szCs w:val="20"/>
              </w:rPr>
              <w:t>The objectives of these Regulations are… (b) to prescribe—</w:t>
            </w:r>
          </w:p>
          <w:p w14:paraId="4E42BBA3" w14:textId="77777777" w:rsidR="00D671A5" w:rsidRPr="00647194" w:rsidRDefault="00D671A5" w:rsidP="00D671A5">
            <w:pPr>
              <w:pStyle w:val="TableParagraph"/>
              <w:spacing w:before="9"/>
              <w:ind w:left="39"/>
              <w:rPr>
                <w:rFonts w:cs="Arial"/>
                <w:sz w:val="20"/>
                <w:szCs w:val="20"/>
              </w:rPr>
            </w:pPr>
          </w:p>
          <w:p w14:paraId="71252F3C" w14:textId="77777777" w:rsidR="00D671A5" w:rsidRPr="00647194" w:rsidRDefault="00D671A5" w:rsidP="00D671A5">
            <w:pPr>
              <w:pStyle w:val="TableParagraph"/>
              <w:numPr>
                <w:ilvl w:val="0"/>
                <w:numId w:val="8"/>
              </w:numPr>
              <w:spacing w:before="0" w:line="278" w:lineRule="auto"/>
              <w:ind w:left="39" w:right="202" w:firstLine="0"/>
              <w:rPr>
                <w:rFonts w:cs="Arial"/>
                <w:sz w:val="20"/>
                <w:szCs w:val="20"/>
              </w:rPr>
            </w:pPr>
            <w:r w:rsidRPr="00647194">
              <w:rPr>
                <w:rFonts w:cs="Arial"/>
                <w:sz w:val="20"/>
                <w:szCs w:val="20"/>
              </w:rPr>
              <w:t>standards and practices to be adopted and observed in tree cutting or removal in the vicinity of electric lines and the keeping</w:t>
            </w:r>
            <w:r w:rsidRPr="00647194">
              <w:rPr>
                <w:rFonts w:cs="Arial"/>
                <w:spacing w:val="-29"/>
                <w:sz w:val="20"/>
                <w:szCs w:val="20"/>
              </w:rPr>
              <w:t xml:space="preserve"> </w:t>
            </w:r>
            <w:r w:rsidRPr="00647194">
              <w:rPr>
                <w:rFonts w:cs="Arial"/>
                <w:sz w:val="20"/>
                <w:szCs w:val="20"/>
              </w:rPr>
              <w:t>of the whole or any part of a tree clear of electric lines, including standards and practices to protect the health of trees that require cutting in accordance with the Code;</w:t>
            </w:r>
            <w:r w:rsidRPr="00647194">
              <w:rPr>
                <w:rFonts w:cs="Arial"/>
                <w:spacing w:val="-6"/>
                <w:sz w:val="20"/>
                <w:szCs w:val="20"/>
              </w:rPr>
              <w:t xml:space="preserve"> </w:t>
            </w:r>
            <w:r w:rsidRPr="00647194">
              <w:rPr>
                <w:rFonts w:cs="Arial"/>
                <w:sz w:val="20"/>
                <w:szCs w:val="20"/>
              </w:rPr>
              <w:t>and</w:t>
            </w:r>
          </w:p>
          <w:p w14:paraId="3A91F487" w14:textId="77777777" w:rsidR="00D671A5" w:rsidRPr="00647194" w:rsidRDefault="00D671A5" w:rsidP="00D671A5">
            <w:pPr>
              <w:pStyle w:val="TableParagraph"/>
              <w:numPr>
                <w:ilvl w:val="0"/>
                <w:numId w:val="8"/>
              </w:numPr>
              <w:tabs>
                <w:tab w:val="left" w:pos="467"/>
              </w:tabs>
              <w:spacing w:before="172" w:line="278" w:lineRule="auto"/>
              <w:ind w:left="39" w:right="157" w:firstLine="0"/>
              <w:rPr>
                <w:rFonts w:cs="Arial"/>
                <w:sz w:val="20"/>
                <w:szCs w:val="20"/>
              </w:rPr>
            </w:pPr>
            <w:r w:rsidRPr="00647194">
              <w:rPr>
                <w:rFonts w:cs="Arial"/>
                <w:sz w:val="20"/>
                <w:szCs w:val="20"/>
              </w:rPr>
              <w:t xml:space="preserve">a requirement that certain responsible persons prepare management procedures to minimise the danger of trees contacting electric lines and </w:t>
            </w:r>
            <w:r w:rsidRPr="00647194">
              <w:rPr>
                <w:rFonts w:cs="Arial"/>
                <w:sz w:val="20"/>
                <w:szCs w:val="20"/>
              </w:rPr>
              <w:lastRenderedPageBreak/>
              <w:t>causing fire or electrocution or interruptions to electricity supply; and</w:t>
            </w:r>
            <w:r w:rsidRPr="00647194">
              <w:rPr>
                <w:rFonts w:cs="Arial"/>
                <w:spacing w:val="-3"/>
                <w:sz w:val="20"/>
                <w:szCs w:val="20"/>
              </w:rPr>
              <w:t xml:space="preserve"> </w:t>
            </w:r>
            <w:r w:rsidRPr="00647194">
              <w:rPr>
                <w:rFonts w:cs="Arial"/>
                <w:sz w:val="20"/>
                <w:szCs w:val="20"/>
              </w:rPr>
              <w:t>…</w:t>
            </w:r>
          </w:p>
          <w:p w14:paraId="0C5EAFE5" w14:textId="77777777" w:rsidR="00D671A5" w:rsidRPr="00647194" w:rsidRDefault="00D671A5" w:rsidP="00D671A5">
            <w:pPr>
              <w:pStyle w:val="TableParagraph"/>
              <w:tabs>
                <w:tab w:val="left" w:pos="467"/>
              </w:tabs>
              <w:spacing w:before="0" w:line="278" w:lineRule="auto"/>
              <w:ind w:left="39" w:right="157"/>
              <w:rPr>
                <w:rFonts w:cs="Arial"/>
                <w:sz w:val="20"/>
                <w:szCs w:val="20"/>
              </w:rPr>
            </w:pPr>
          </w:p>
          <w:p w14:paraId="278E974B" w14:textId="77777777" w:rsidR="00D671A5" w:rsidRPr="00647194" w:rsidRDefault="00D671A5" w:rsidP="00D671A5">
            <w:pPr>
              <w:tabs>
                <w:tab w:val="left" w:pos="363"/>
              </w:tabs>
              <w:ind w:left="39"/>
              <w:rPr>
                <w:rFonts w:ascii="Verdana" w:hAnsi="Verdana" w:cs="Arial"/>
                <w:sz w:val="20"/>
                <w:szCs w:val="20"/>
              </w:rPr>
            </w:pPr>
            <w:r w:rsidRPr="00647194">
              <w:rPr>
                <w:rFonts w:ascii="Verdana" w:hAnsi="Verdana" w:cs="Arial"/>
                <w:sz w:val="20"/>
                <w:szCs w:val="20"/>
              </w:rPr>
              <w:t>(c) to require responsible persons to minimise the impacts of cutting on indigenous and significant trees and the habitat of threatened fauna; and</w:t>
            </w:r>
          </w:p>
        </w:tc>
        <w:tc>
          <w:tcPr>
            <w:tcW w:w="1983" w:type="dxa"/>
          </w:tcPr>
          <w:p w14:paraId="244EED71" w14:textId="77777777" w:rsidR="00D671A5" w:rsidRPr="00647194" w:rsidRDefault="00D671A5" w:rsidP="00D671A5">
            <w:pPr>
              <w:rPr>
                <w:rFonts w:ascii="Verdana" w:hAnsi="Verdana" w:cs="Arial"/>
                <w:sz w:val="20"/>
                <w:szCs w:val="20"/>
              </w:rPr>
            </w:pPr>
            <w:r w:rsidRPr="00647194">
              <w:rPr>
                <w:rFonts w:ascii="Verdana" w:hAnsi="Verdana" w:cs="Arial"/>
                <w:sz w:val="20"/>
                <w:szCs w:val="20"/>
              </w:rPr>
              <w:lastRenderedPageBreak/>
              <w:t>Part 1, Regulation 1</w:t>
            </w:r>
          </w:p>
        </w:tc>
        <w:tc>
          <w:tcPr>
            <w:tcW w:w="3822" w:type="dxa"/>
          </w:tcPr>
          <w:p w14:paraId="62A6F247" w14:textId="77777777" w:rsidR="00D671A5" w:rsidRPr="00315D59" w:rsidRDefault="00D671A5" w:rsidP="00D671A5">
            <w:pPr>
              <w:tabs>
                <w:tab w:val="left" w:pos="363"/>
              </w:tabs>
              <w:rPr>
                <w:rFonts w:ascii="Verdana" w:hAnsi="Verdana" w:cs="Arial"/>
                <w:sz w:val="20"/>
                <w:szCs w:val="20"/>
              </w:rPr>
            </w:pPr>
            <w:r w:rsidRPr="00315D59">
              <w:rPr>
                <w:rFonts w:ascii="Verdana" w:hAnsi="Verdana" w:cs="Arial"/>
                <w:sz w:val="20"/>
                <w:szCs w:val="20"/>
              </w:rPr>
              <w:t xml:space="preserve">Supported in principle. </w:t>
            </w:r>
          </w:p>
          <w:p w14:paraId="39A9883A" w14:textId="0FE8086B" w:rsidR="00D671A5" w:rsidRPr="00315D59" w:rsidRDefault="00921283" w:rsidP="00D671A5">
            <w:pPr>
              <w:tabs>
                <w:tab w:val="left" w:pos="363"/>
              </w:tabs>
              <w:rPr>
                <w:rFonts w:ascii="Verdana" w:eastAsia="Times New Roman" w:hAnsi="Verdana"/>
                <w:sz w:val="20"/>
                <w:szCs w:val="20"/>
              </w:rPr>
            </w:pPr>
            <w:r>
              <w:rPr>
                <w:rFonts w:ascii="Verdana" w:hAnsi="Verdana" w:cs="Arial"/>
                <w:sz w:val="20"/>
                <w:szCs w:val="20"/>
              </w:rPr>
              <w:t>T</w:t>
            </w:r>
            <w:r w:rsidR="00315D59">
              <w:rPr>
                <w:rFonts w:ascii="Verdana" w:hAnsi="Verdana" w:cs="Arial"/>
                <w:sz w:val="20"/>
                <w:szCs w:val="20"/>
              </w:rPr>
              <w:t xml:space="preserve">he </w:t>
            </w:r>
            <w:r w:rsidR="00123F38">
              <w:rPr>
                <w:rFonts w:ascii="Verdana" w:hAnsi="Verdana" w:cs="Arial"/>
                <w:sz w:val="20"/>
                <w:szCs w:val="20"/>
              </w:rPr>
              <w:t xml:space="preserve">proposed change is welcome, </w:t>
            </w:r>
            <w:r>
              <w:rPr>
                <w:rFonts w:ascii="Verdana" w:hAnsi="Verdana" w:cs="Arial"/>
                <w:sz w:val="20"/>
                <w:szCs w:val="20"/>
              </w:rPr>
              <w:t>however</w:t>
            </w:r>
            <w:r w:rsidR="00796193">
              <w:rPr>
                <w:rFonts w:ascii="Verdana" w:hAnsi="Verdana" w:cs="Arial"/>
                <w:sz w:val="20"/>
                <w:szCs w:val="20"/>
              </w:rPr>
              <w:t>,</w:t>
            </w:r>
            <w:r>
              <w:rPr>
                <w:rFonts w:ascii="Verdana" w:hAnsi="Verdana" w:cs="Arial"/>
                <w:sz w:val="20"/>
                <w:szCs w:val="20"/>
              </w:rPr>
              <w:t xml:space="preserve"> </w:t>
            </w:r>
            <w:r w:rsidR="00040F1F">
              <w:rPr>
                <w:rFonts w:ascii="Verdana" w:hAnsi="Verdana" w:cs="Arial"/>
                <w:sz w:val="20"/>
                <w:szCs w:val="20"/>
              </w:rPr>
              <w:t>stronger wording is needed</w:t>
            </w:r>
            <w:r w:rsidR="00233CAE">
              <w:rPr>
                <w:rFonts w:ascii="Verdana" w:hAnsi="Verdana" w:cs="Arial"/>
                <w:sz w:val="20"/>
                <w:szCs w:val="20"/>
              </w:rPr>
              <w:t xml:space="preserve"> to convey the </w:t>
            </w:r>
            <w:r w:rsidR="002420A7">
              <w:rPr>
                <w:rFonts w:ascii="Verdana" w:hAnsi="Verdana" w:cs="Arial"/>
                <w:sz w:val="20"/>
                <w:szCs w:val="20"/>
              </w:rPr>
              <w:t>value and importance of</w:t>
            </w:r>
            <w:r w:rsidR="00233CAE">
              <w:rPr>
                <w:rFonts w:ascii="Verdana" w:hAnsi="Verdana" w:cs="Arial"/>
                <w:sz w:val="20"/>
                <w:szCs w:val="20"/>
              </w:rPr>
              <w:t xml:space="preserve"> trees</w:t>
            </w:r>
            <w:r w:rsidR="00123F38">
              <w:rPr>
                <w:rFonts w:ascii="Verdana" w:hAnsi="Verdana" w:cs="Arial"/>
                <w:sz w:val="20"/>
                <w:szCs w:val="20"/>
              </w:rPr>
              <w:t xml:space="preserve">. </w:t>
            </w:r>
            <w:r>
              <w:rPr>
                <w:rFonts w:ascii="Verdana" w:hAnsi="Verdana" w:cs="Arial"/>
                <w:sz w:val="20"/>
                <w:szCs w:val="20"/>
              </w:rPr>
              <w:t>T</w:t>
            </w:r>
            <w:r w:rsidR="00D671A5" w:rsidRPr="00315D59">
              <w:rPr>
                <w:rFonts w:ascii="Verdana" w:eastAsia="Times New Roman" w:hAnsi="Verdana"/>
                <w:sz w:val="20"/>
                <w:szCs w:val="20"/>
              </w:rPr>
              <w:t xml:space="preserve">he objectives of the regulations should explicitly reference the need to factor in environmental and amenity considerations. The 1996 regulations / code </w:t>
            </w:r>
            <w:r>
              <w:rPr>
                <w:rFonts w:ascii="Verdana" w:eastAsia="Times New Roman" w:hAnsi="Verdana"/>
                <w:sz w:val="20"/>
                <w:szCs w:val="20"/>
              </w:rPr>
              <w:t xml:space="preserve">of </w:t>
            </w:r>
            <w:r w:rsidR="00D671A5" w:rsidRPr="00315D59">
              <w:rPr>
                <w:rFonts w:ascii="Verdana" w:eastAsia="Times New Roman" w:hAnsi="Verdana"/>
                <w:sz w:val="20"/>
                <w:szCs w:val="20"/>
              </w:rPr>
              <w:t xml:space="preserve">practice included the following objectives: </w:t>
            </w:r>
          </w:p>
          <w:p w14:paraId="37DBEB44" w14:textId="77777777" w:rsidR="00D671A5" w:rsidRPr="00315D59" w:rsidRDefault="00D671A5" w:rsidP="00D671A5">
            <w:pPr>
              <w:pStyle w:val="ListParagraph"/>
              <w:numPr>
                <w:ilvl w:val="0"/>
                <w:numId w:val="10"/>
              </w:numPr>
              <w:tabs>
                <w:tab w:val="left" w:pos="363"/>
              </w:tabs>
              <w:spacing w:after="0" w:line="240" w:lineRule="auto"/>
              <w:ind w:left="313"/>
              <w:contextualSpacing w:val="0"/>
              <w:rPr>
                <w:rFonts w:ascii="Verdana" w:eastAsia="Times New Roman" w:hAnsi="Verdana"/>
                <w:i/>
                <w:iCs/>
                <w:sz w:val="20"/>
                <w:szCs w:val="20"/>
              </w:rPr>
            </w:pPr>
            <w:r w:rsidRPr="00315D59">
              <w:rPr>
                <w:rFonts w:ascii="Verdana" w:eastAsia="Times New Roman" w:hAnsi="Verdana"/>
                <w:i/>
                <w:iCs/>
                <w:sz w:val="20"/>
                <w:szCs w:val="20"/>
              </w:rPr>
              <w:t>to `ensure that management procedures balance fire safety, reliability of the electricity system and community costs with conservation values, in the best interests of the people of Victoria’;</w:t>
            </w:r>
          </w:p>
          <w:p w14:paraId="0ADD7383" w14:textId="77777777" w:rsidR="00D671A5" w:rsidRPr="00315D59" w:rsidRDefault="00D671A5" w:rsidP="00D671A5">
            <w:pPr>
              <w:pStyle w:val="ListParagraph"/>
              <w:tabs>
                <w:tab w:val="left" w:pos="363"/>
              </w:tabs>
              <w:ind w:left="313"/>
              <w:rPr>
                <w:rFonts w:ascii="Verdana" w:eastAsia="Times New Roman" w:hAnsi="Verdana"/>
                <w:i/>
                <w:iCs/>
                <w:sz w:val="20"/>
                <w:szCs w:val="20"/>
              </w:rPr>
            </w:pPr>
            <w:r w:rsidRPr="00315D59">
              <w:rPr>
                <w:rFonts w:ascii="Verdana" w:eastAsia="Times New Roman" w:hAnsi="Verdana"/>
                <w:i/>
                <w:iCs/>
                <w:sz w:val="20"/>
                <w:szCs w:val="20"/>
              </w:rPr>
              <w:t xml:space="preserve">and </w:t>
            </w:r>
          </w:p>
          <w:p w14:paraId="6CA519F7" w14:textId="77777777" w:rsidR="00D671A5" w:rsidRPr="00315D59" w:rsidRDefault="00D671A5" w:rsidP="00D671A5">
            <w:pPr>
              <w:pStyle w:val="ListParagraph"/>
              <w:numPr>
                <w:ilvl w:val="0"/>
                <w:numId w:val="10"/>
              </w:numPr>
              <w:spacing w:after="0" w:line="240" w:lineRule="auto"/>
              <w:ind w:left="313"/>
              <w:contextualSpacing w:val="0"/>
              <w:rPr>
                <w:rFonts w:ascii="Verdana" w:eastAsia="Times New Roman" w:hAnsi="Verdana"/>
                <w:i/>
                <w:iCs/>
                <w:sz w:val="20"/>
                <w:szCs w:val="20"/>
              </w:rPr>
            </w:pPr>
            <w:r w:rsidRPr="00315D59">
              <w:rPr>
                <w:rFonts w:ascii="Verdana" w:eastAsia="Times New Roman" w:hAnsi="Verdana"/>
                <w:i/>
                <w:iCs/>
                <w:sz w:val="20"/>
                <w:szCs w:val="20"/>
              </w:rPr>
              <w:t xml:space="preserve">to `ensure that management procedures minimise the effect of powerlines on vegetation and establish strategies to progressively achieve a sustainable environment </w:t>
            </w:r>
            <w:r w:rsidRPr="00315D59">
              <w:rPr>
                <w:rFonts w:ascii="Verdana" w:eastAsia="Times New Roman" w:hAnsi="Verdana"/>
                <w:i/>
                <w:iCs/>
                <w:sz w:val="20"/>
                <w:szCs w:val="20"/>
              </w:rPr>
              <w:lastRenderedPageBreak/>
              <w:t xml:space="preserve">unaffected by the presence of powerlines.’ </w:t>
            </w:r>
          </w:p>
          <w:p w14:paraId="40ACB141" w14:textId="77777777" w:rsidR="00921283" w:rsidRDefault="00921283" w:rsidP="00921283">
            <w:pPr>
              <w:tabs>
                <w:tab w:val="left" w:pos="363"/>
              </w:tabs>
              <w:spacing w:after="0"/>
              <w:rPr>
                <w:rFonts w:ascii="Verdana" w:hAnsi="Verdana" w:cs="Arial"/>
                <w:sz w:val="20"/>
                <w:szCs w:val="20"/>
              </w:rPr>
            </w:pPr>
          </w:p>
          <w:p w14:paraId="02F7CFB0" w14:textId="6788966A" w:rsidR="005D6794" w:rsidRPr="00315D59" w:rsidRDefault="00921283" w:rsidP="00D671A5">
            <w:pPr>
              <w:tabs>
                <w:tab w:val="left" w:pos="363"/>
              </w:tabs>
              <w:rPr>
                <w:rFonts w:ascii="Verdana" w:hAnsi="Verdana" w:cs="Arial"/>
                <w:sz w:val="20"/>
                <w:szCs w:val="20"/>
              </w:rPr>
            </w:pPr>
            <w:r>
              <w:rPr>
                <w:rFonts w:ascii="Verdana" w:hAnsi="Verdana" w:cs="Arial"/>
                <w:sz w:val="20"/>
                <w:szCs w:val="20"/>
              </w:rPr>
              <w:t>We would support reintroduction of this wording</w:t>
            </w:r>
            <w:r w:rsidR="005D6794">
              <w:rPr>
                <w:rFonts w:ascii="Verdana" w:hAnsi="Verdana" w:cs="Arial"/>
                <w:sz w:val="20"/>
                <w:szCs w:val="20"/>
              </w:rPr>
              <w:t>.</w:t>
            </w:r>
            <w:r w:rsidR="00FD28BB">
              <w:rPr>
                <w:rFonts w:ascii="Verdana" w:hAnsi="Verdana" w:cs="Arial"/>
                <w:sz w:val="20"/>
                <w:szCs w:val="20"/>
              </w:rPr>
              <w:t xml:space="preserve"> As noted earlier in this submission, excessive and damaging cutting of vegetation by the distribution businesses or their contractors, particularly in rural townships, remains a far too common occurrence. </w:t>
            </w:r>
          </w:p>
        </w:tc>
      </w:tr>
      <w:tr w:rsidR="001B6A0A" w:rsidRPr="00647194" w14:paraId="7A69DA51" w14:textId="77777777" w:rsidTr="004C1AD2">
        <w:tc>
          <w:tcPr>
            <w:tcW w:w="1527" w:type="dxa"/>
          </w:tcPr>
          <w:p w14:paraId="7C7FB975"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lastRenderedPageBreak/>
              <w:t>Management plans</w:t>
            </w:r>
          </w:p>
        </w:tc>
        <w:tc>
          <w:tcPr>
            <w:tcW w:w="3867" w:type="dxa"/>
          </w:tcPr>
          <w:p w14:paraId="4AFABADC"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Re-worded the regulations such that responsible persons excluding a major electricity company must prepare a management plan annually</w:t>
            </w:r>
          </w:p>
        </w:tc>
        <w:tc>
          <w:tcPr>
            <w:tcW w:w="1983" w:type="dxa"/>
          </w:tcPr>
          <w:p w14:paraId="0FDF5F6B" w14:textId="77777777" w:rsidR="00D671A5" w:rsidRPr="00647194" w:rsidRDefault="00D671A5" w:rsidP="00D671A5">
            <w:pPr>
              <w:rPr>
                <w:rFonts w:ascii="Verdana" w:hAnsi="Verdana" w:cs="Arial"/>
                <w:sz w:val="20"/>
                <w:szCs w:val="20"/>
              </w:rPr>
            </w:pPr>
            <w:r w:rsidRPr="00647194">
              <w:rPr>
                <w:rFonts w:ascii="Verdana" w:hAnsi="Verdana" w:cs="Arial"/>
                <w:sz w:val="20"/>
                <w:szCs w:val="20"/>
              </w:rPr>
              <w:t>Part 1, Regulation 9(2)</w:t>
            </w:r>
          </w:p>
        </w:tc>
        <w:tc>
          <w:tcPr>
            <w:tcW w:w="3822" w:type="dxa"/>
          </w:tcPr>
          <w:p w14:paraId="075C4904" w14:textId="5B67C29D" w:rsidR="00D671A5" w:rsidRPr="00647194" w:rsidRDefault="005D6794" w:rsidP="00D671A5">
            <w:pPr>
              <w:tabs>
                <w:tab w:val="left" w:pos="363"/>
              </w:tabs>
              <w:rPr>
                <w:rFonts w:ascii="Verdana" w:hAnsi="Verdana" w:cs="Arial"/>
                <w:sz w:val="20"/>
                <w:szCs w:val="20"/>
              </w:rPr>
            </w:pPr>
            <w:r>
              <w:rPr>
                <w:rFonts w:ascii="Verdana" w:hAnsi="Verdana" w:cs="Arial"/>
                <w:sz w:val="20"/>
                <w:szCs w:val="20"/>
              </w:rPr>
              <w:t>Supported.</w:t>
            </w:r>
          </w:p>
        </w:tc>
      </w:tr>
      <w:tr w:rsidR="001B6A0A" w:rsidRPr="00647194" w14:paraId="22D00BBD" w14:textId="77777777" w:rsidTr="004C1AD2">
        <w:tc>
          <w:tcPr>
            <w:tcW w:w="1527" w:type="dxa"/>
          </w:tcPr>
          <w:p w14:paraId="49E95AA6"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Management plans</w:t>
            </w:r>
          </w:p>
        </w:tc>
        <w:tc>
          <w:tcPr>
            <w:tcW w:w="3867" w:type="dxa"/>
          </w:tcPr>
          <w:p w14:paraId="18476AA6" w14:textId="287CA953" w:rsidR="00D671A5" w:rsidRPr="00647194" w:rsidRDefault="00D671A5" w:rsidP="00D671A5">
            <w:pPr>
              <w:pStyle w:val="TableParagraph"/>
              <w:spacing w:line="278" w:lineRule="auto"/>
              <w:ind w:right="224"/>
              <w:rPr>
                <w:rFonts w:cs="Arial"/>
                <w:sz w:val="20"/>
                <w:szCs w:val="20"/>
              </w:rPr>
            </w:pPr>
            <w:r w:rsidRPr="00647194">
              <w:rPr>
                <w:rFonts w:cs="Arial"/>
                <w:sz w:val="20"/>
                <w:szCs w:val="20"/>
              </w:rPr>
              <w:t xml:space="preserve">Change to the requirement such that major electricity companies must prepare and submit a management plan relevant for a </w:t>
            </w:r>
            <w:r w:rsidR="0042106F" w:rsidRPr="00647194">
              <w:rPr>
                <w:rFonts w:cs="Arial"/>
                <w:sz w:val="20"/>
                <w:szCs w:val="20"/>
              </w:rPr>
              <w:t>5-year</w:t>
            </w:r>
            <w:r w:rsidRPr="00647194">
              <w:rPr>
                <w:rFonts w:cs="Arial"/>
                <w:sz w:val="20"/>
                <w:szCs w:val="20"/>
              </w:rPr>
              <w:t xml:space="preserve"> period.</w:t>
            </w:r>
          </w:p>
          <w:p w14:paraId="06D31BB4" w14:textId="77777777" w:rsidR="00D671A5" w:rsidRPr="00647194" w:rsidRDefault="00D671A5" w:rsidP="00D671A5">
            <w:pPr>
              <w:pStyle w:val="TableParagraph"/>
              <w:spacing w:before="171"/>
              <w:rPr>
                <w:rFonts w:cs="Arial"/>
                <w:sz w:val="20"/>
                <w:szCs w:val="20"/>
              </w:rPr>
            </w:pPr>
            <w:r w:rsidRPr="00647194">
              <w:rPr>
                <w:rFonts w:cs="Arial"/>
                <w:sz w:val="20"/>
                <w:szCs w:val="20"/>
                <w:u w:val="single"/>
              </w:rPr>
              <w:t>Wording of new regulations</w:t>
            </w:r>
          </w:p>
          <w:p w14:paraId="6BDA811C" w14:textId="77777777" w:rsidR="00D671A5" w:rsidRPr="00647194" w:rsidRDefault="00D671A5" w:rsidP="00D671A5">
            <w:pPr>
              <w:pStyle w:val="TableParagraph"/>
              <w:spacing w:before="9"/>
              <w:rPr>
                <w:rFonts w:cs="Arial"/>
                <w:sz w:val="20"/>
                <w:szCs w:val="20"/>
              </w:rPr>
            </w:pPr>
          </w:p>
          <w:p w14:paraId="3897FC45"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(3) A responsible person that is a major electricity company must before 31 March 2021 prepare and submit to Energy Safe Victoria for approval a management plan relating to compliance with the Code for the period from 1 July 2021 to 30 June 2026</w:t>
            </w:r>
          </w:p>
        </w:tc>
        <w:tc>
          <w:tcPr>
            <w:tcW w:w="1983" w:type="dxa"/>
          </w:tcPr>
          <w:p w14:paraId="39B5A887" w14:textId="77777777" w:rsidR="00D671A5" w:rsidRPr="00647194" w:rsidRDefault="00D671A5" w:rsidP="00D671A5">
            <w:pPr>
              <w:rPr>
                <w:rFonts w:ascii="Verdana" w:hAnsi="Verdana" w:cs="Arial"/>
                <w:sz w:val="20"/>
                <w:szCs w:val="20"/>
              </w:rPr>
            </w:pPr>
            <w:r w:rsidRPr="00647194">
              <w:rPr>
                <w:rFonts w:ascii="Verdana" w:hAnsi="Verdana" w:cs="Arial"/>
                <w:sz w:val="20"/>
                <w:szCs w:val="20"/>
              </w:rPr>
              <w:t>Part 1, Regulation 9(3)</w:t>
            </w:r>
          </w:p>
          <w:p w14:paraId="090F0522" w14:textId="77777777" w:rsidR="00D671A5" w:rsidRPr="00647194" w:rsidRDefault="00D671A5" w:rsidP="00D671A5">
            <w:pPr>
              <w:rPr>
                <w:rFonts w:ascii="Verdana" w:hAnsi="Verdana" w:cs="Arial"/>
                <w:sz w:val="20"/>
                <w:szCs w:val="20"/>
              </w:rPr>
            </w:pPr>
          </w:p>
          <w:p w14:paraId="2044A4C6" w14:textId="77777777" w:rsidR="00D671A5" w:rsidRPr="00647194" w:rsidRDefault="00D671A5" w:rsidP="00D671A5">
            <w:pPr>
              <w:rPr>
                <w:rFonts w:ascii="Verdana" w:hAnsi="Verdana" w:cs="Arial"/>
                <w:sz w:val="20"/>
                <w:szCs w:val="20"/>
              </w:rPr>
            </w:pPr>
            <w:r w:rsidRPr="00647194">
              <w:rPr>
                <w:rFonts w:ascii="Verdana" w:hAnsi="Verdana" w:cs="Arial"/>
                <w:sz w:val="20"/>
                <w:szCs w:val="20"/>
              </w:rPr>
              <w:t>Part 1, Regulation 10(2)</w:t>
            </w:r>
          </w:p>
        </w:tc>
        <w:tc>
          <w:tcPr>
            <w:tcW w:w="3822" w:type="dxa"/>
          </w:tcPr>
          <w:p w14:paraId="0471F4FC" w14:textId="2BF9B292" w:rsidR="00D671A5" w:rsidRPr="00647194" w:rsidRDefault="00E1422E" w:rsidP="00D671A5">
            <w:pPr>
              <w:tabs>
                <w:tab w:val="left" w:pos="363"/>
              </w:tabs>
              <w:rPr>
                <w:rFonts w:ascii="Verdana" w:hAnsi="Verdana" w:cs="Arial"/>
                <w:sz w:val="20"/>
                <w:szCs w:val="20"/>
              </w:rPr>
            </w:pPr>
            <w:r>
              <w:rPr>
                <w:rFonts w:ascii="Verdana" w:hAnsi="Verdana" w:cs="Arial"/>
                <w:sz w:val="20"/>
                <w:szCs w:val="20"/>
              </w:rPr>
              <w:t>Supported</w:t>
            </w:r>
            <w:r w:rsidR="00233CAE">
              <w:rPr>
                <w:rFonts w:ascii="Verdana" w:hAnsi="Verdana" w:cs="Arial"/>
                <w:sz w:val="20"/>
                <w:szCs w:val="20"/>
              </w:rPr>
              <w:t>.</w:t>
            </w:r>
          </w:p>
        </w:tc>
      </w:tr>
      <w:tr w:rsidR="001B6A0A" w:rsidRPr="00647194" w14:paraId="1E7410A6" w14:textId="77777777" w:rsidTr="004C1AD2">
        <w:tc>
          <w:tcPr>
            <w:tcW w:w="1527" w:type="dxa"/>
          </w:tcPr>
          <w:p w14:paraId="225F213C"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Management plans</w:t>
            </w:r>
          </w:p>
        </w:tc>
        <w:tc>
          <w:tcPr>
            <w:tcW w:w="3867" w:type="dxa"/>
          </w:tcPr>
          <w:p w14:paraId="368AD0E4"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Included an additional requirement of a map in the management plan to show HBRA (High Bushfire Risk Area) and LBRA (Low Bushfire Risk Area) that are related to area covered by the plan</w:t>
            </w:r>
          </w:p>
        </w:tc>
        <w:tc>
          <w:tcPr>
            <w:tcW w:w="1983" w:type="dxa"/>
          </w:tcPr>
          <w:p w14:paraId="067C895B" w14:textId="77777777" w:rsidR="00D671A5" w:rsidRPr="00647194" w:rsidRDefault="00D671A5" w:rsidP="00D671A5">
            <w:pPr>
              <w:rPr>
                <w:rFonts w:ascii="Verdana" w:hAnsi="Verdana" w:cs="Arial"/>
                <w:sz w:val="20"/>
                <w:szCs w:val="20"/>
              </w:rPr>
            </w:pPr>
            <w:r w:rsidRPr="00647194">
              <w:rPr>
                <w:rFonts w:ascii="Verdana" w:hAnsi="Verdana" w:cs="Arial"/>
                <w:sz w:val="20"/>
                <w:szCs w:val="20"/>
              </w:rPr>
              <w:t>Part 1, Regulation 9(4)(f)</w:t>
            </w:r>
          </w:p>
        </w:tc>
        <w:tc>
          <w:tcPr>
            <w:tcW w:w="3822" w:type="dxa"/>
          </w:tcPr>
          <w:p w14:paraId="19EFF05B" w14:textId="7DFF51DF" w:rsidR="00D671A5" w:rsidRDefault="00E1422E" w:rsidP="00D671A5">
            <w:pPr>
              <w:tabs>
                <w:tab w:val="left" w:pos="363"/>
              </w:tabs>
              <w:rPr>
                <w:rFonts w:ascii="Verdana" w:hAnsi="Verdana" w:cs="Arial"/>
                <w:sz w:val="20"/>
                <w:szCs w:val="20"/>
              </w:rPr>
            </w:pPr>
            <w:r>
              <w:rPr>
                <w:rFonts w:ascii="Verdana" w:hAnsi="Verdana" w:cs="Arial"/>
                <w:sz w:val="20"/>
                <w:szCs w:val="20"/>
              </w:rPr>
              <w:t xml:space="preserve">Supported in principle. </w:t>
            </w:r>
          </w:p>
          <w:p w14:paraId="72AE2952" w14:textId="071F523A" w:rsidR="00E1422E" w:rsidRPr="00E1422E" w:rsidRDefault="001360A1" w:rsidP="000F4CDC">
            <w:pPr>
              <w:tabs>
                <w:tab w:val="left" w:pos="363"/>
              </w:tabs>
              <w:rPr>
                <w:rFonts w:ascii="Verdana" w:hAnsi="Verdana" w:cs="Arial"/>
                <w:color w:val="FF0000"/>
                <w:sz w:val="20"/>
                <w:szCs w:val="20"/>
              </w:rPr>
            </w:pPr>
            <w:r w:rsidRPr="000F4CDC">
              <w:rPr>
                <w:rFonts w:ascii="Verdana" w:hAnsi="Verdana" w:cs="Arial"/>
                <w:sz w:val="20"/>
                <w:szCs w:val="20"/>
              </w:rPr>
              <w:t>Timely</w:t>
            </w:r>
            <w:r w:rsidR="00FD28BB" w:rsidRPr="000F4CDC">
              <w:rPr>
                <w:rFonts w:ascii="Verdana" w:hAnsi="Verdana" w:cs="Arial"/>
                <w:sz w:val="20"/>
                <w:szCs w:val="20"/>
              </w:rPr>
              <w:t xml:space="preserve"> cooperation from </w:t>
            </w:r>
            <w:r w:rsidR="00FD28BB" w:rsidRPr="000F4CDC">
              <w:rPr>
                <w:rFonts w:ascii="Verdana" w:hAnsi="Verdana"/>
                <w:sz w:val="20"/>
                <w:szCs w:val="20"/>
              </w:rPr>
              <w:t xml:space="preserve">Fire Rescue Victoria (formerly CFA) and the MFB in providing councils with access to </w:t>
            </w:r>
            <w:r w:rsidR="00FD28BB">
              <w:rPr>
                <w:rFonts w:ascii="Verdana" w:hAnsi="Verdana"/>
                <w:sz w:val="20"/>
                <w:szCs w:val="20"/>
              </w:rPr>
              <w:t>bushfire risk mapping</w:t>
            </w:r>
            <w:r w:rsidR="00FD28BB" w:rsidRPr="000F4CDC">
              <w:rPr>
                <w:rFonts w:ascii="Verdana" w:hAnsi="Verdana"/>
                <w:sz w:val="20"/>
                <w:szCs w:val="20"/>
              </w:rPr>
              <w:t xml:space="preserve"> will be essential</w:t>
            </w:r>
            <w:r w:rsidR="00FD28BB">
              <w:rPr>
                <w:rFonts w:ascii="Verdana" w:hAnsi="Verdana"/>
                <w:sz w:val="20"/>
                <w:szCs w:val="20"/>
              </w:rPr>
              <w:t>.</w:t>
            </w:r>
          </w:p>
        </w:tc>
      </w:tr>
      <w:tr w:rsidR="001B6A0A" w:rsidRPr="00647194" w14:paraId="538BD3C8" w14:textId="77777777" w:rsidTr="004C1AD2">
        <w:tc>
          <w:tcPr>
            <w:tcW w:w="1527" w:type="dxa"/>
          </w:tcPr>
          <w:p w14:paraId="65AF6C78"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Management plans</w:t>
            </w:r>
          </w:p>
        </w:tc>
        <w:tc>
          <w:tcPr>
            <w:tcW w:w="3867" w:type="dxa"/>
          </w:tcPr>
          <w:p w14:paraId="15E13254"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Change the word ‘native’ to ‘indigenous to Victoria’</w:t>
            </w:r>
          </w:p>
        </w:tc>
        <w:tc>
          <w:tcPr>
            <w:tcW w:w="1983" w:type="dxa"/>
          </w:tcPr>
          <w:p w14:paraId="7B548838" w14:textId="77777777" w:rsidR="00D671A5" w:rsidRPr="00647194" w:rsidRDefault="00D671A5" w:rsidP="00D671A5">
            <w:pPr>
              <w:rPr>
                <w:rFonts w:ascii="Verdana" w:hAnsi="Verdana" w:cs="Arial"/>
                <w:sz w:val="20"/>
                <w:szCs w:val="20"/>
              </w:rPr>
            </w:pPr>
            <w:r w:rsidRPr="00647194">
              <w:rPr>
                <w:rFonts w:ascii="Verdana" w:hAnsi="Verdana" w:cs="Arial"/>
                <w:sz w:val="20"/>
                <w:szCs w:val="20"/>
              </w:rPr>
              <w:t>Part 1, Regulation 9(4)(g)</w:t>
            </w:r>
          </w:p>
        </w:tc>
        <w:tc>
          <w:tcPr>
            <w:tcW w:w="3822" w:type="dxa"/>
          </w:tcPr>
          <w:p w14:paraId="74FAC606"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Supported.</w:t>
            </w:r>
          </w:p>
        </w:tc>
      </w:tr>
      <w:tr w:rsidR="001B6A0A" w:rsidRPr="00647194" w14:paraId="65D24BD9" w14:textId="77777777" w:rsidTr="004C1AD2">
        <w:tc>
          <w:tcPr>
            <w:tcW w:w="1527" w:type="dxa"/>
          </w:tcPr>
          <w:p w14:paraId="36488662"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lastRenderedPageBreak/>
              <w:t>Management plans</w:t>
            </w:r>
          </w:p>
        </w:tc>
        <w:tc>
          <w:tcPr>
            <w:tcW w:w="3867" w:type="dxa"/>
          </w:tcPr>
          <w:p w14:paraId="17583891" w14:textId="77777777" w:rsidR="00D671A5" w:rsidRPr="00647194" w:rsidRDefault="00D671A5" w:rsidP="00D671A5">
            <w:pPr>
              <w:pStyle w:val="TableParagraph"/>
              <w:spacing w:line="278" w:lineRule="auto"/>
              <w:ind w:right="255"/>
              <w:rPr>
                <w:rFonts w:cs="Arial"/>
                <w:sz w:val="20"/>
                <w:szCs w:val="20"/>
              </w:rPr>
            </w:pPr>
            <w:r w:rsidRPr="00647194">
              <w:rPr>
                <w:rFonts w:cs="Arial"/>
                <w:sz w:val="20"/>
                <w:szCs w:val="20"/>
              </w:rPr>
              <w:t>Change so that management plans no longer have to be available for inspection at the responsible persons primary place of business – they only need to be on their website</w:t>
            </w:r>
          </w:p>
        </w:tc>
        <w:tc>
          <w:tcPr>
            <w:tcW w:w="1983" w:type="dxa"/>
          </w:tcPr>
          <w:p w14:paraId="2E7ED9C9" w14:textId="77777777" w:rsidR="00D671A5" w:rsidRPr="00647194" w:rsidRDefault="00D671A5" w:rsidP="00D671A5">
            <w:pPr>
              <w:rPr>
                <w:rFonts w:ascii="Verdana" w:hAnsi="Verdana" w:cs="Arial"/>
                <w:sz w:val="20"/>
                <w:szCs w:val="20"/>
              </w:rPr>
            </w:pPr>
            <w:r w:rsidRPr="00647194">
              <w:rPr>
                <w:rFonts w:ascii="Verdana" w:hAnsi="Verdana" w:cs="Arial"/>
                <w:sz w:val="20"/>
                <w:szCs w:val="20"/>
              </w:rPr>
              <w:t>Part 1, Regulation 10(6)(b)</w:t>
            </w:r>
          </w:p>
        </w:tc>
        <w:tc>
          <w:tcPr>
            <w:tcW w:w="3822" w:type="dxa"/>
          </w:tcPr>
          <w:p w14:paraId="5375B5F5"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Supported.</w:t>
            </w:r>
          </w:p>
        </w:tc>
      </w:tr>
      <w:tr w:rsidR="001B6A0A" w:rsidRPr="00647194" w14:paraId="6E077175" w14:textId="77777777" w:rsidTr="004C1AD2">
        <w:tc>
          <w:tcPr>
            <w:tcW w:w="1527" w:type="dxa"/>
          </w:tcPr>
          <w:p w14:paraId="4FB4A77C"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Insulating cover</w:t>
            </w:r>
          </w:p>
        </w:tc>
        <w:tc>
          <w:tcPr>
            <w:tcW w:w="3867" w:type="dxa"/>
          </w:tcPr>
          <w:p w14:paraId="608A3036"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Updated the definition of an insulated cover and links to related standards</w:t>
            </w:r>
          </w:p>
        </w:tc>
        <w:tc>
          <w:tcPr>
            <w:tcW w:w="1983" w:type="dxa"/>
          </w:tcPr>
          <w:p w14:paraId="30688499" w14:textId="77777777" w:rsidR="00D671A5" w:rsidRPr="00647194" w:rsidRDefault="00D671A5" w:rsidP="00D671A5">
            <w:pPr>
              <w:rPr>
                <w:rFonts w:ascii="Verdana" w:hAnsi="Verdana" w:cs="Arial"/>
                <w:sz w:val="20"/>
                <w:szCs w:val="20"/>
              </w:rPr>
            </w:pPr>
            <w:r w:rsidRPr="00647194">
              <w:rPr>
                <w:rFonts w:ascii="Verdana" w:hAnsi="Verdana" w:cs="Arial"/>
                <w:sz w:val="20"/>
                <w:szCs w:val="20"/>
              </w:rPr>
              <w:t>Schedule 1, Part 1, Regulation 1</w:t>
            </w:r>
          </w:p>
        </w:tc>
        <w:tc>
          <w:tcPr>
            <w:tcW w:w="3822" w:type="dxa"/>
          </w:tcPr>
          <w:p w14:paraId="34B3BA86"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Supported.</w:t>
            </w:r>
          </w:p>
        </w:tc>
      </w:tr>
      <w:tr w:rsidR="001B6A0A" w:rsidRPr="00647194" w14:paraId="07176438" w14:textId="77777777" w:rsidTr="004C1AD2">
        <w:tc>
          <w:tcPr>
            <w:tcW w:w="1527" w:type="dxa"/>
          </w:tcPr>
          <w:p w14:paraId="2E9879FC"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Insulated cable</w:t>
            </w:r>
          </w:p>
        </w:tc>
        <w:tc>
          <w:tcPr>
            <w:tcW w:w="3867" w:type="dxa"/>
          </w:tcPr>
          <w:p w14:paraId="2A8C825A"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Change the definition of an insulated cable based on new definition of an insulated cover.</w:t>
            </w:r>
          </w:p>
        </w:tc>
        <w:tc>
          <w:tcPr>
            <w:tcW w:w="1983" w:type="dxa"/>
          </w:tcPr>
          <w:p w14:paraId="6B718D4F" w14:textId="77777777" w:rsidR="00D671A5" w:rsidRPr="00647194" w:rsidRDefault="00D671A5" w:rsidP="00D671A5">
            <w:pPr>
              <w:rPr>
                <w:rFonts w:ascii="Verdana" w:hAnsi="Verdana" w:cs="Arial"/>
                <w:sz w:val="20"/>
                <w:szCs w:val="20"/>
              </w:rPr>
            </w:pPr>
            <w:r w:rsidRPr="00647194">
              <w:rPr>
                <w:rFonts w:ascii="Verdana" w:hAnsi="Verdana" w:cs="Arial"/>
                <w:sz w:val="20"/>
                <w:szCs w:val="20"/>
              </w:rPr>
              <w:t>Schedule 1, Part 1, Regulation 1</w:t>
            </w:r>
          </w:p>
        </w:tc>
        <w:tc>
          <w:tcPr>
            <w:tcW w:w="3822" w:type="dxa"/>
          </w:tcPr>
          <w:p w14:paraId="7E470F00" w14:textId="0EFFF5FD" w:rsidR="00D671A5" w:rsidRPr="00647194" w:rsidRDefault="00304134" w:rsidP="00D671A5">
            <w:pPr>
              <w:tabs>
                <w:tab w:val="left" w:pos="363"/>
              </w:tabs>
              <w:rPr>
                <w:rFonts w:ascii="Verdana" w:hAnsi="Verdana" w:cs="Arial"/>
                <w:sz w:val="20"/>
                <w:szCs w:val="20"/>
              </w:rPr>
            </w:pPr>
            <w:r>
              <w:rPr>
                <w:rFonts w:ascii="Verdana" w:hAnsi="Verdana" w:cs="Arial"/>
                <w:sz w:val="20"/>
                <w:szCs w:val="20"/>
              </w:rPr>
              <w:t>Supported.</w:t>
            </w:r>
          </w:p>
        </w:tc>
      </w:tr>
      <w:tr w:rsidR="001B6A0A" w:rsidRPr="00647194" w14:paraId="1EC05E3A" w14:textId="77777777" w:rsidTr="004C1AD2">
        <w:tc>
          <w:tcPr>
            <w:tcW w:w="1527" w:type="dxa"/>
          </w:tcPr>
          <w:p w14:paraId="276C7D81"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Suitably qualified arborist</w:t>
            </w:r>
          </w:p>
        </w:tc>
        <w:tc>
          <w:tcPr>
            <w:tcW w:w="3867" w:type="dxa"/>
          </w:tcPr>
          <w:p w14:paraId="08178A72" w14:textId="1C5449AA"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 xml:space="preserve">Change the definition of a suitably qualified arborist from Certificate 4 in arboriculture to a Certificate 3 in arboriculture, including a </w:t>
            </w:r>
            <w:r w:rsidR="0042106F" w:rsidRPr="00647194">
              <w:rPr>
                <w:rFonts w:ascii="Verdana" w:hAnsi="Verdana" w:cs="Arial"/>
                <w:sz w:val="20"/>
                <w:szCs w:val="20"/>
              </w:rPr>
              <w:t>ground-based</w:t>
            </w:r>
            <w:r w:rsidRPr="00647194">
              <w:rPr>
                <w:rFonts w:ascii="Verdana" w:hAnsi="Verdana" w:cs="Arial"/>
                <w:sz w:val="20"/>
                <w:szCs w:val="20"/>
              </w:rPr>
              <w:t xml:space="preserve"> tree assessment training module. This has been prompted by training providers no longer providing Certificate 4 in Victoria.</w:t>
            </w:r>
          </w:p>
        </w:tc>
        <w:tc>
          <w:tcPr>
            <w:tcW w:w="1983" w:type="dxa"/>
          </w:tcPr>
          <w:p w14:paraId="0A26DCF5" w14:textId="77777777" w:rsidR="00D671A5" w:rsidRPr="00647194" w:rsidRDefault="00D671A5" w:rsidP="00D671A5">
            <w:pPr>
              <w:rPr>
                <w:rFonts w:ascii="Verdana" w:hAnsi="Verdana" w:cs="Arial"/>
                <w:sz w:val="20"/>
                <w:szCs w:val="20"/>
              </w:rPr>
            </w:pPr>
            <w:r w:rsidRPr="00647194">
              <w:rPr>
                <w:rFonts w:ascii="Verdana" w:hAnsi="Verdana" w:cs="Arial"/>
                <w:sz w:val="20"/>
                <w:szCs w:val="20"/>
              </w:rPr>
              <w:t>Schedule 1, Part 1, Regulation 1</w:t>
            </w:r>
          </w:p>
        </w:tc>
        <w:tc>
          <w:tcPr>
            <w:tcW w:w="3822" w:type="dxa"/>
          </w:tcPr>
          <w:p w14:paraId="1F666765" w14:textId="3D6E8D70" w:rsidR="005004DC" w:rsidRDefault="005004DC" w:rsidP="00CC0701">
            <w:pPr>
              <w:rPr>
                <w:rFonts w:ascii="Verdana" w:hAnsi="Verdana"/>
                <w:sz w:val="20"/>
                <w:szCs w:val="20"/>
              </w:rPr>
            </w:pPr>
            <w:r>
              <w:rPr>
                <w:rFonts w:ascii="Verdana" w:hAnsi="Verdana"/>
                <w:sz w:val="20"/>
                <w:szCs w:val="20"/>
              </w:rPr>
              <w:t xml:space="preserve">We have </w:t>
            </w:r>
            <w:r w:rsidR="00AA3079">
              <w:rPr>
                <w:rFonts w:ascii="Verdana" w:hAnsi="Verdana"/>
                <w:sz w:val="20"/>
                <w:szCs w:val="20"/>
              </w:rPr>
              <w:t>received</w:t>
            </w:r>
            <w:r>
              <w:rPr>
                <w:rFonts w:ascii="Verdana" w:hAnsi="Verdana"/>
                <w:sz w:val="20"/>
                <w:szCs w:val="20"/>
              </w:rPr>
              <w:t xml:space="preserve"> mixed feedback on this proposed change. </w:t>
            </w:r>
          </w:p>
          <w:p w14:paraId="3AE2D7B9" w14:textId="281E0173" w:rsidR="00CC0701" w:rsidRDefault="00AA40FC" w:rsidP="000F4CDC">
            <w:pPr>
              <w:rPr>
                <w:rFonts w:ascii="Verdana" w:hAnsi="Verdana"/>
                <w:sz w:val="20"/>
                <w:szCs w:val="20"/>
              </w:rPr>
            </w:pPr>
            <w:r>
              <w:rPr>
                <w:rFonts w:ascii="Verdana" w:hAnsi="Verdana"/>
                <w:sz w:val="20"/>
                <w:szCs w:val="20"/>
              </w:rPr>
              <w:t>While s</w:t>
            </w:r>
            <w:r w:rsidR="005004DC">
              <w:rPr>
                <w:rFonts w:ascii="Verdana" w:hAnsi="Verdana"/>
                <w:sz w:val="20"/>
                <w:szCs w:val="20"/>
              </w:rPr>
              <w:t>ome councils s</w:t>
            </w:r>
            <w:r w:rsidR="00FD28BB" w:rsidRPr="000F4CDC">
              <w:rPr>
                <w:rFonts w:ascii="Verdana" w:hAnsi="Verdana"/>
                <w:sz w:val="20"/>
                <w:szCs w:val="20"/>
              </w:rPr>
              <w:t>upport</w:t>
            </w:r>
            <w:r w:rsidR="005004DC">
              <w:rPr>
                <w:rFonts w:ascii="Verdana" w:hAnsi="Verdana"/>
                <w:sz w:val="20"/>
                <w:szCs w:val="20"/>
              </w:rPr>
              <w:t xml:space="preserve"> the change</w:t>
            </w:r>
            <w:r>
              <w:rPr>
                <w:rFonts w:ascii="Verdana" w:hAnsi="Verdana"/>
                <w:sz w:val="20"/>
                <w:szCs w:val="20"/>
              </w:rPr>
              <w:t>, other</w:t>
            </w:r>
            <w:r w:rsidR="00275546">
              <w:rPr>
                <w:rFonts w:ascii="Verdana" w:hAnsi="Verdana"/>
                <w:sz w:val="20"/>
                <w:szCs w:val="20"/>
              </w:rPr>
              <w:t>s</w:t>
            </w:r>
            <w:r>
              <w:rPr>
                <w:rFonts w:ascii="Verdana" w:hAnsi="Verdana"/>
                <w:sz w:val="20"/>
                <w:szCs w:val="20"/>
              </w:rPr>
              <w:t xml:space="preserve"> argue that </w:t>
            </w:r>
            <w:r w:rsidR="00275546">
              <w:rPr>
                <w:rFonts w:ascii="Verdana" w:hAnsi="Verdana"/>
                <w:sz w:val="20"/>
                <w:szCs w:val="20"/>
              </w:rPr>
              <w:t xml:space="preserve">a </w:t>
            </w:r>
            <w:r>
              <w:rPr>
                <w:rFonts w:ascii="Verdana" w:hAnsi="Verdana"/>
                <w:sz w:val="20"/>
                <w:szCs w:val="20"/>
              </w:rPr>
              <w:t xml:space="preserve">certificate 3 is inadequate and that a level 5 qualification should be mandated. </w:t>
            </w:r>
          </w:p>
          <w:p w14:paraId="2351EBBE" w14:textId="09D09441" w:rsidR="00CC0701" w:rsidRDefault="00CC0701" w:rsidP="00CC0701">
            <w:pPr>
              <w:rPr>
                <w:rFonts w:ascii="Verdana" w:hAnsi="Verdana"/>
                <w:sz w:val="20"/>
                <w:szCs w:val="20"/>
              </w:rPr>
            </w:pPr>
            <w:r>
              <w:rPr>
                <w:rFonts w:ascii="Verdana" w:hAnsi="Verdana"/>
                <w:sz w:val="20"/>
                <w:szCs w:val="20"/>
              </w:rPr>
              <w:t>We</w:t>
            </w:r>
            <w:r w:rsidR="00FD28BB">
              <w:rPr>
                <w:rFonts w:ascii="Verdana" w:hAnsi="Verdana"/>
                <w:sz w:val="20"/>
                <w:szCs w:val="20"/>
              </w:rPr>
              <w:t xml:space="preserve"> </w:t>
            </w:r>
            <w:r>
              <w:rPr>
                <w:rFonts w:ascii="Verdana" w:hAnsi="Verdana"/>
                <w:sz w:val="20"/>
                <w:szCs w:val="20"/>
              </w:rPr>
              <w:t>note that i</w:t>
            </w:r>
            <w:r w:rsidRPr="00CC0701">
              <w:rPr>
                <w:rFonts w:ascii="Verdana" w:hAnsi="Verdana"/>
                <w:sz w:val="20"/>
                <w:szCs w:val="20"/>
              </w:rPr>
              <w:t xml:space="preserve">n September 2015, Coroner Byrne handed down his findings for the inquest into the </w:t>
            </w:r>
            <w:r w:rsidR="00796193">
              <w:rPr>
                <w:rFonts w:ascii="Verdana" w:hAnsi="Verdana"/>
                <w:sz w:val="20"/>
                <w:szCs w:val="20"/>
              </w:rPr>
              <w:t xml:space="preserve">tragic </w:t>
            </w:r>
            <w:r w:rsidRPr="00CC0701">
              <w:rPr>
                <w:rFonts w:ascii="Verdana" w:hAnsi="Verdana"/>
                <w:sz w:val="20"/>
                <w:szCs w:val="20"/>
              </w:rPr>
              <w:t xml:space="preserve">death of </w:t>
            </w:r>
            <w:hyperlink r:id="rId15" w:history="1">
              <w:r w:rsidRPr="00CC0701">
                <w:rPr>
                  <w:rStyle w:val="Hyperlink"/>
                  <w:rFonts w:ascii="Verdana" w:hAnsi="Verdana"/>
                  <w:sz w:val="20"/>
                  <w:szCs w:val="20"/>
                </w:rPr>
                <w:t>Patiya May Schreiber</w:t>
              </w:r>
            </w:hyperlink>
            <w:r w:rsidRPr="00CC0701">
              <w:rPr>
                <w:rFonts w:ascii="Verdana" w:hAnsi="Verdana"/>
                <w:sz w:val="20"/>
                <w:szCs w:val="20"/>
              </w:rPr>
              <w:t>.  Three-year-old Patiya was killed when she was hit by a falling tree branch in a park</w:t>
            </w:r>
            <w:r>
              <w:rPr>
                <w:rFonts w:ascii="Verdana" w:hAnsi="Verdana"/>
                <w:sz w:val="20"/>
                <w:szCs w:val="20"/>
              </w:rPr>
              <w:t xml:space="preserve"> in Bendigo</w:t>
            </w:r>
            <w:r w:rsidRPr="00CC0701">
              <w:rPr>
                <w:rFonts w:ascii="Verdana" w:hAnsi="Verdana"/>
                <w:sz w:val="20"/>
                <w:szCs w:val="20"/>
              </w:rPr>
              <w:t xml:space="preserve">. One of the Coroner’s recommendations </w:t>
            </w:r>
            <w:r>
              <w:rPr>
                <w:rFonts w:ascii="Verdana" w:hAnsi="Verdana"/>
                <w:sz w:val="20"/>
                <w:szCs w:val="20"/>
              </w:rPr>
              <w:t xml:space="preserve">arising from the inquest </w:t>
            </w:r>
            <w:r w:rsidRPr="00CC0701">
              <w:rPr>
                <w:rFonts w:ascii="Verdana" w:hAnsi="Verdana"/>
                <w:sz w:val="20"/>
                <w:szCs w:val="20"/>
              </w:rPr>
              <w:t>was that `all inspections must be undertaken by a qualified (level 4 or above) arborist’. The Coroner further noted that a `level 5 qualification or above is preferred, but this may not be applicable to all council-based situations at present’.</w:t>
            </w:r>
          </w:p>
          <w:p w14:paraId="584F4DF1" w14:textId="77777777" w:rsidR="00AF4FAF" w:rsidRDefault="00AF4FAF" w:rsidP="00AF4FAF">
            <w:pPr>
              <w:rPr>
                <w:rFonts w:ascii="Verdana" w:hAnsi="Verdana"/>
                <w:sz w:val="20"/>
                <w:szCs w:val="20"/>
              </w:rPr>
            </w:pPr>
            <w:r w:rsidRPr="00AF4FAF">
              <w:rPr>
                <w:rFonts w:ascii="Verdana" w:hAnsi="Verdana"/>
                <w:sz w:val="20"/>
                <w:szCs w:val="20"/>
              </w:rPr>
              <w:t xml:space="preserve">Under the regulations, suitably qualified arborists have responsibilities in relation to inspection of trees to which exception clauses are being </w:t>
            </w:r>
            <w:r w:rsidRPr="00AF4FAF">
              <w:rPr>
                <w:rFonts w:ascii="Verdana" w:hAnsi="Verdana"/>
                <w:sz w:val="20"/>
                <w:szCs w:val="20"/>
              </w:rPr>
              <w:lastRenderedPageBreak/>
              <w:t>applied; assessment of suspected “hazard trees; and inspection of indigenous or significant trees earmarked for removal.</w:t>
            </w:r>
            <w:r>
              <w:rPr>
                <w:rFonts w:ascii="Verdana" w:hAnsi="Verdana"/>
                <w:sz w:val="20"/>
                <w:szCs w:val="20"/>
              </w:rPr>
              <w:t xml:space="preserve"> </w:t>
            </w:r>
          </w:p>
          <w:p w14:paraId="1C8939F1" w14:textId="77777777" w:rsidR="00D671A5" w:rsidRDefault="00AF4FAF" w:rsidP="000455F6">
            <w:pPr>
              <w:rPr>
                <w:rFonts w:ascii="Verdana" w:hAnsi="Verdana"/>
                <w:sz w:val="20"/>
                <w:szCs w:val="20"/>
              </w:rPr>
            </w:pPr>
            <w:r>
              <w:rPr>
                <w:rFonts w:ascii="Verdana" w:hAnsi="Verdana"/>
                <w:sz w:val="20"/>
                <w:szCs w:val="20"/>
              </w:rPr>
              <w:t>For the hazard tree-related requirements in particular, a lessening of minimum qualification level could be seen as problematic and in conflict with the Coroner’s recommendation.</w:t>
            </w:r>
            <w:r w:rsidR="000455F6">
              <w:rPr>
                <w:rFonts w:ascii="Verdana" w:hAnsi="Verdana"/>
                <w:sz w:val="20"/>
                <w:szCs w:val="20"/>
              </w:rPr>
              <w:t xml:space="preserve"> </w:t>
            </w:r>
          </w:p>
          <w:p w14:paraId="0FF7568F" w14:textId="2672C8AC" w:rsidR="000455F6" w:rsidRPr="00CC0701" w:rsidRDefault="000455F6" w:rsidP="000455F6">
            <w:pPr>
              <w:rPr>
                <w:rFonts w:ascii="Verdana" w:hAnsi="Verdana" w:cs="Arial"/>
                <w:sz w:val="20"/>
                <w:szCs w:val="20"/>
              </w:rPr>
            </w:pPr>
          </w:p>
        </w:tc>
      </w:tr>
      <w:tr w:rsidR="001B6A0A" w:rsidRPr="00647194" w14:paraId="1E3A2A6A" w14:textId="77777777" w:rsidTr="004C1AD2">
        <w:tc>
          <w:tcPr>
            <w:tcW w:w="1527" w:type="dxa"/>
          </w:tcPr>
          <w:p w14:paraId="54EBAC56"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lastRenderedPageBreak/>
              <w:t>Exceptions to minimum clearance</w:t>
            </w:r>
          </w:p>
        </w:tc>
        <w:tc>
          <w:tcPr>
            <w:tcW w:w="3867" w:type="dxa"/>
          </w:tcPr>
          <w:p w14:paraId="703F5434"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Allows branches to be 150 mm from the line if the span is less than 40 m in length. It used to have to be 300 mm away from the line. The exception clause can only be used under increased tree management requirements designed to monitor or manage risk to acceptable level.</w:t>
            </w:r>
          </w:p>
        </w:tc>
        <w:tc>
          <w:tcPr>
            <w:tcW w:w="1983" w:type="dxa"/>
          </w:tcPr>
          <w:p w14:paraId="488E3D7C" w14:textId="77777777" w:rsidR="00D671A5" w:rsidRPr="00647194" w:rsidRDefault="00D671A5" w:rsidP="00D671A5">
            <w:pPr>
              <w:rPr>
                <w:rFonts w:ascii="Verdana" w:hAnsi="Verdana" w:cs="Arial"/>
                <w:sz w:val="20"/>
                <w:szCs w:val="20"/>
              </w:rPr>
            </w:pPr>
            <w:r w:rsidRPr="00647194">
              <w:rPr>
                <w:rFonts w:ascii="Verdana" w:hAnsi="Verdana" w:cs="Arial"/>
                <w:sz w:val="20"/>
                <w:szCs w:val="20"/>
              </w:rPr>
              <w:t>Schedule 1, Part 1, Regulation 4(c)</w:t>
            </w:r>
          </w:p>
        </w:tc>
        <w:tc>
          <w:tcPr>
            <w:tcW w:w="3822" w:type="dxa"/>
          </w:tcPr>
          <w:p w14:paraId="78213208" w14:textId="15C22AC9" w:rsidR="000455F6" w:rsidRDefault="00AC5255" w:rsidP="00D671A5">
            <w:pPr>
              <w:tabs>
                <w:tab w:val="left" w:pos="363"/>
              </w:tabs>
              <w:rPr>
                <w:rFonts w:ascii="Verdana" w:hAnsi="Verdana" w:cs="Arial"/>
                <w:sz w:val="20"/>
                <w:szCs w:val="20"/>
              </w:rPr>
            </w:pPr>
            <w:r>
              <w:rPr>
                <w:rFonts w:ascii="Verdana" w:hAnsi="Verdana" w:cs="Arial"/>
                <w:sz w:val="20"/>
                <w:szCs w:val="20"/>
              </w:rPr>
              <w:t>Support</w:t>
            </w:r>
            <w:r w:rsidR="00A049C0">
              <w:rPr>
                <w:rFonts w:ascii="Verdana" w:hAnsi="Verdana" w:cs="Arial"/>
                <w:sz w:val="20"/>
                <w:szCs w:val="20"/>
              </w:rPr>
              <w:t>ed</w:t>
            </w:r>
            <w:r>
              <w:rPr>
                <w:rFonts w:ascii="Verdana" w:hAnsi="Verdana" w:cs="Arial"/>
                <w:sz w:val="20"/>
                <w:szCs w:val="20"/>
              </w:rPr>
              <w:t xml:space="preserve"> with request </w:t>
            </w:r>
            <w:r w:rsidR="002C45E1">
              <w:rPr>
                <w:rFonts w:ascii="Verdana" w:hAnsi="Verdana" w:cs="Arial"/>
                <w:sz w:val="20"/>
                <w:szCs w:val="20"/>
              </w:rPr>
              <w:t xml:space="preserve">that the </w:t>
            </w:r>
            <w:r w:rsidR="0042106F">
              <w:rPr>
                <w:rFonts w:ascii="Verdana" w:hAnsi="Verdana" w:cs="Arial"/>
                <w:sz w:val="20"/>
                <w:szCs w:val="20"/>
              </w:rPr>
              <w:t>12-month</w:t>
            </w:r>
            <w:r w:rsidR="002C45E1">
              <w:rPr>
                <w:rFonts w:ascii="Verdana" w:hAnsi="Verdana" w:cs="Arial"/>
                <w:sz w:val="20"/>
                <w:szCs w:val="20"/>
              </w:rPr>
              <w:t xml:space="preserve"> timeframe referenced in subclause (e) be extended to 14 months to enable </w:t>
            </w:r>
            <w:r w:rsidR="00A049C0">
              <w:rPr>
                <w:rFonts w:ascii="Verdana" w:hAnsi="Verdana" w:cs="Arial"/>
                <w:sz w:val="20"/>
                <w:szCs w:val="20"/>
              </w:rPr>
              <w:t xml:space="preserve">management </w:t>
            </w:r>
            <w:r w:rsidR="0073047F">
              <w:rPr>
                <w:rFonts w:ascii="Verdana" w:hAnsi="Verdana" w:cs="Arial"/>
                <w:sz w:val="20"/>
                <w:szCs w:val="20"/>
              </w:rPr>
              <w:t>requirements</w:t>
            </w:r>
            <w:r w:rsidR="00A049C0">
              <w:rPr>
                <w:rFonts w:ascii="Verdana" w:hAnsi="Verdana" w:cs="Arial"/>
                <w:sz w:val="20"/>
                <w:szCs w:val="20"/>
              </w:rPr>
              <w:t xml:space="preserve"> to </w:t>
            </w:r>
            <w:r w:rsidR="0073047F">
              <w:rPr>
                <w:rFonts w:ascii="Verdana" w:hAnsi="Verdana" w:cs="Arial"/>
                <w:sz w:val="20"/>
                <w:szCs w:val="20"/>
              </w:rPr>
              <w:t>work in conjunction with</w:t>
            </w:r>
            <w:r w:rsidR="00A049C0">
              <w:rPr>
                <w:rFonts w:ascii="Verdana" w:hAnsi="Verdana" w:cs="Arial"/>
                <w:sz w:val="20"/>
                <w:szCs w:val="20"/>
              </w:rPr>
              <w:t xml:space="preserve"> annual inspection cycles. </w:t>
            </w:r>
          </w:p>
          <w:p w14:paraId="13D99BC9" w14:textId="0B01B196" w:rsidR="00D671A5" w:rsidRPr="00647194" w:rsidRDefault="00D671A5" w:rsidP="1D95D326">
            <w:pPr>
              <w:tabs>
                <w:tab w:val="left" w:pos="363"/>
              </w:tabs>
              <w:rPr>
                <w:rFonts w:ascii="Verdana" w:hAnsi="Verdana" w:cs="Arial"/>
                <w:sz w:val="20"/>
                <w:szCs w:val="20"/>
                <w:highlight w:val="yellow"/>
              </w:rPr>
            </w:pPr>
          </w:p>
        </w:tc>
      </w:tr>
      <w:tr w:rsidR="001B6A0A" w:rsidRPr="00647194" w14:paraId="34A15599" w14:textId="77777777" w:rsidTr="004C1AD2">
        <w:tc>
          <w:tcPr>
            <w:tcW w:w="1527" w:type="dxa"/>
          </w:tcPr>
          <w:p w14:paraId="3879E76B"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Exceptions to minimum clearance</w:t>
            </w:r>
          </w:p>
        </w:tc>
        <w:tc>
          <w:tcPr>
            <w:tcW w:w="3867" w:type="dxa"/>
          </w:tcPr>
          <w:p w14:paraId="37AFD594"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New clause has been added introducing exceptions to minimum clearance distances for small branches growing under uninsulated low voltage electric lines. The exception clause can only be used under increased tree management requirements designed to monitor/manage risk to acceptable level.</w:t>
            </w:r>
          </w:p>
        </w:tc>
        <w:tc>
          <w:tcPr>
            <w:tcW w:w="1983" w:type="dxa"/>
          </w:tcPr>
          <w:p w14:paraId="6FA16335" w14:textId="77777777" w:rsidR="00D671A5" w:rsidRPr="00647194" w:rsidRDefault="00D671A5" w:rsidP="00D671A5">
            <w:pPr>
              <w:rPr>
                <w:rFonts w:ascii="Verdana" w:hAnsi="Verdana" w:cs="Arial"/>
                <w:sz w:val="20"/>
                <w:szCs w:val="20"/>
              </w:rPr>
            </w:pPr>
            <w:r w:rsidRPr="00647194">
              <w:rPr>
                <w:rFonts w:ascii="Verdana" w:hAnsi="Verdana" w:cs="Arial"/>
                <w:sz w:val="20"/>
                <w:szCs w:val="20"/>
              </w:rPr>
              <w:t>Schedule 1, Part 1, Regulation 5A</w:t>
            </w:r>
          </w:p>
        </w:tc>
        <w:tc>
          <w:tcPr>
            <w:tcW w:w="3822" w:type="dxa"/>
          </w:tcPr>
          <w:p w14:paraId="2BC0389D" w14:textId="77777777" w:rsidR="00A35CAB" w:rsidRPr="000F4CDC" w:rsidRDefault="007F69D8" w:rsidP="004508F3">
            <w:pPr>
              <w:tabs>
                <w:tab w:val="left" w:pos="363"/>
              </w:tabs>
              <w:rPr>
                <w:rFonts w:ascii="Verdana" w:hAnsi="Verdana" w:cs="Arial"/>
                <w:sz w:val="20"/>
                <w:szCs w:val="20"/>
              </w:rPr>
            </w:pPr>
            <w:r w:rsidRPr="000F4CDC">
              <w:rPr>
                <w:rFonts w:ascii="Verdana" w:hAnsi="Verdana" w:cs="Arial"/>
                <w:sz w:val="20"/>
                <w:szCs w:val="20"/>
              </w:rPr>
              <w:t xml:space="preserve">Reg </w:t>
            </w:r>
            <w:r w:rsidR="00334A6A" w:rsidRPr="000F4CDC">
              <w:rPr>
                <w:rFonts w:ascii="Verdana" w:hAnsi="Verdana" w:cs="Arial"/>
                <w:sz w:val="20"/>
                <w:szCs w:val="20"/>
              </w:rPr>
              <w:t>6</w:t>
            </w:r>
            <w:r w:rsidRPr="000F4CDC">
              <w:rPr>
                <w:rFonts w:ascii="Verdana" w:hAnsi="Verdana" w:cs="Arial"/>
                <w:sz w:val="20"/>
                <w:szCs w:val="20"/>
              </w:rPr>
              <w:t>, not 5A</w:t>
            </w:r>
            <w:r w:rsidR="00334A6A" w:rsidRPr="000F4CDC">
              <w:rPr>
                <w:rFonts w:ascii="Verdana" w:hAnsi="Verdana" w:cs="Arial"/>
                <w:sz w:val="20"/>
                <w:szCs w:val="20"/>
              </w:rPr>
              <w:t>?</w:t>
            </w:r>
            <w:r w:rsidRPr="000F4CDC">
              <w:rPr>
                <w:rFonts w:ascii="Verdana" w:hAnsi="Verdana" w:cs="Arial"/>
                <w:sz w:val="20"/>
                <w:szCs w:val="20"/>
              </w:rPr>
              <w:t xml:space="preserve"> </w:t>
            </w:r>
          </w:p>
          <w:p w14:paraId="4E8BBC16" w14:textId="1A82AFF9" w:rsidR="000455F6" w:rsidRDefault="000455F6" w:rsidP="000455F6">
            <w:pPr>
              <w:tabs>
                <w:tab w:val="left" w:pos="363"/>
              </w:tabs>
              <w:rPr>
                <w:rFonts w:ascii="Verdana" w:hAnsi="Verdana" w:cs="Arial"/>
                <w:sz w:val="20"/>
                <w:szCs w:val="20"/>
              </w:rPr>
            </w:pPr>
            <w:r>
              <w:rPr>
                <w:rFonts w:ascii="Verdana" w:hAnsi="Verdana" w:cs="Arial"/>
                <w:sz w:val="20"/>
                <w:szCs w:val="20"/>
              </w:rPr>
              <w:t xml:space="preserve">Supported with request that the </w:t>
            </w:r>
            <w:r w:rsidR="0042106F">
              <w:rPr>
                <w:rFonts w:ascii="Verdana" w:hAnsi="Verdana" w:cs="Arial"/>
                <w:sz w:val="20"/>
                <w:szCs w:val="20"/>
              </w:rPr>
              <w:t>12-month</w:t>
            </w:r>
            <w:r>
              <w:rPr>
                <w:rFonts w:ascii="Verdana" w:hAnsi="Verdana" w:cs="Arial"/>
                <w:sz w:val="20"/>
                <w:szCs w:val="20"/>
              </w:rPr>
              <w:t xml:space="preserve"> timeframe referenced in subclause (e) be extended to 14 months to enable management requirements to work in conjunction with annual inspection cycles. </w:t>
            </w:r>
          </w:p>
          <w:p w14:paraId="1D67DD4B" w14:textId="405DFCB3" w:rsidR="000455F6" w:rsidRPr="000455F6" w:rsidRDefault="000455F6" w:rsidP="004508F3">
            <w:pPr>
              <w:tabs>
                <w:tab w:val="left" w:pos="363"/>
              </w:tabs>
              <w:rPr>
                <w:rFonts w:ascii="Verdana" w:hAnsi="Verdana" w:cs="Arial"/>
                <w:sz w:val="20"/>
                <w:szCs w:val="20"/>
              </w:rPr>
            </w:pPr>
          </w:p>
        </w:tc>
      </w:tr>
      <w:tr w:rsidR="001B6A0A" w:rsidRPr="00647194" w14:paraId="66597A78" w14:textId="77777777" w:rsidTr="004C1AD2">
        <w:tc>
          <w:tcPr>
            <w:tcW w:w="1527" w:type="dxa"/>
          </w:tcPr>
          <w:p w14:paraId="2C5D8FC5"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Indigenous vegetation</w:t>
            </w:r>
          </w:p>
        </w:tc>
        <w:tc>
          <w:tcPr>
            <w:tcW w:w="3867" w:type="dxa"/>
          </w:tcPr>
          <w:p w14:paraId="1C615375" w14:textId="06586D65"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Change the words ‘specified significant tress’ to include ‘indigenous or significant trees’. The regulation aims to minimise the cutting or removal o</w:t>
            </w:r>
            <w:r w:rsidR="001360A1">
              <w:rPr>
                <w:rFonts w:ascii="Verdana" w:hAnsi="Verdana" w:cs="Arial"/>
                <w:sz w:val="20"/>
                <w:szCs w:val="20"/>
              </w:rPr>
              <w:t>f</w:t>
            </w:r>
            <w:r w:rsidRPr="00647194">
              <w:rPr>
                <w:rFonts w:ascii="Verdana" w:hAnsi="Verdana" w:cs="Arial"/>
                <w:sz w:val="20"/>
                <w:szCs w:val="20"/>
              </w:rPr>
              <w:t xml:space="preserve"> indigenous or significant trees reflecting changes in definitions.</w:t>
            </w:r>
          </w:p>
        </w:tc>
        <w:tc>
          <w:tcPr>
            <w:tcW w:w="1983" w:type="dxa"/>
          </w:tcPr>
          <w:p w14:paraId="5CCB6FA4" w14:textId="77777777" w:rsidR="00D671A5" w:rsidRPr="00647194" w:rsidRDefault="00D671A5" w:rsidP="00D671A5">
            <w:pPr>
              <w:rPr>
                <w:rFonts w:ascii="Verdana" w:hAnsi="Verdana" w:cs="Arial"/>
                <w:sz w:val="20"/>
                <w:szCs w:val="20"/>
              </w:rPr>
            </w:pPr>
            <w:r w:rsidRPr="00647194">
              <w:rPr>
                <w:rFonts w:ascii="Verdana" w:hAnsi="Verdana" w:cs="Arial"/>
                <w:sz w:val="20"/>
                <w:szCs w:val="20"/>
              </w:rPr>
              <w:t>Schedule 1, Part 1, Regulation 10</w:t>
            </w:r>
          </w:p>
        </w:tc>
        <w:tc>
          <w:tcPr>
            <w:tcW w:w="3822" w:type="dxa"/>
          </w:tcPr>
          <w:p w14:paraId="0386D301" w14:textId="298A1BAC" w:rsidR="00D671A5" w:rsidRPr="00647194" w:rsidRDefault="000455F6" w:rsidP="00D671A5">
            <w:pPr>
              <w:tabs>
                <w:tab w:val="left" w:pos="363"/>
              </w:tabs>
              <w:rPr>
                <w:rFonts w:ascii="Verdana" w:hAnsi="Verdana" w:cs="Arial"/>
                <w:sz w:val="20"/>
                <w:szCs w:val="20"/>
              </w:rPr>
            </w:pPr>
            <w:r>
              <w:rPr>
                <w:rFonts w:ascii="Verdana" w:hAnsi="Verdana" w:cs="Arial"/>
                <w:sz w:val="20"/>
                <w:szCs w:val="20"/>
              </w:rPr>
              <w:t>Supported.</w:t>
            </w:r>
          </w:p>
        </w:tc>
      </w:tr>
      <w:tr w:rsidR="001B6A0A" w:rsidRPr="00647194" w14:paraId="17E3CE24" w14:textId="77777777" w:rsidTr="004C1AD2">
        <w:tc>
          <w:tcPr>
            <w:tcW w:w="1527" w:type="dxa"/>
          </w:tcPr>
          <w:p w14:paraId="11BC34C6"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Public notification</w:t>
            </w:r>
          </w:p>
        </w:tc>
        <w:tc>
          <w:tcPr>
            <w:tcW w:w="3867" w:type="dxa"/>
          </w:tcPr>
          <w:p w14:paraId="7C4147F9" w14:textId="77777777" w:rsidR="00D671A5" w:rsidRPr="00647194" w:rsidRDefault="00D671A5" w:rsidP="00D671A5">
            <w:pPr>
              <w:pStyle w:val="TableParagraph"/>
              <w:spacing w:line="278" w:lineRule="auto"/>
              <w:ind w:right="278"/>
              <w:rPr>
                <w:rFonts w:cs="Arial"/>
                <w:sz w:val="20"/>
                <w:szCs w:val="20"/>
              </w:rPr>
            </w:pPr>
            <w:r w:rsidRPr="00647194">
              <w:rPr>
                <w:rFonts w:cs="Arial"/>
                <w:sz w:val="20"/>
                <w:szCs w:val="20"/>
              </w:rPr>
              <w:t xml:space="preserve">Change the requirements so notifications can be published on the responsible person’s website </w:t>
            </w:r>
            <w:r w:rsidRPr="00647194">
              <w:rPr>
                <w:rFonts w:cs="Arial"/>
                <w:sz w:val="20"/>
                <w:szCs w:val="20"/>
              </w:rPr>
              <w:lastRenderedPageBreak/>
              <w:t>or published in a newspaper.</w:t>
            </w:r>
          </w:p>
          <w:p w14:paraId="6F731690" w14:textId="77777777" w:rsidR="00D671A5" w:rsidRPr="00647194" w:rsidRDefault="00D671A5" w:rsidP="00D671A5">
            <w:pPr>
              <w:pStyle w:val="TableParagraph"/>
              <w:spacing w:before="171"/>
              <w:rPr>
                <w:rFonts w:cs="Arial"/>
                <w:sz w:val="20"/>
                <w:szCs w:val="20"/>
              </w:rPr>
            </w:pPr>
            <w:r w:rsidRPr="00647194">
              <w:rPr>
                <w:rFonts w:cs="Arial"/>
                <w:sz w:val="20"/>
                <w:szCs w:val="20"/>
                <w:u w:val="single"/>
              </w:rPr>
              <w:t>Wording of new regulations</w:t>
            </w:r>
          </w:p>
          <w:p w14:paraId="2D357CF0" w14:textId="77777777" w:rsidR="00D671A5" w:rsidRPr="00647194" w:rsidRDefault="00D671A5" w:rsidP="00D671A5">
            <w:pPr>
              <w:pStyle w:val="TableParagraph"/>
              <w:spacing w:before="6"/>
              <w:rPr>
                <w:rFonts w:cs="Arial"/>
                <w:sz w:val="20"/>
                <w:szCs w:val="20"/>
              </w:rPr>
            </w:pPr>
          </w:p>
          <w:p w14:paraId="7806C8F1"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A written notice published under subclause (2) must be published on the responsible person’s Internet site or in a newspaper circulating generally in the locality of the land in which the tree is to be cut or removed.</w:t>
            </w:r>
          </w:p>
        </w:tc>
        <w:tc>
          <w:tcPr>
            <w:tcW w:w="1983" w:type="dxa"/>
          </w:tcPr>
          <w:p w14:paraId="3757C9E0" w14:textId="77777777" w:rsidR="00D671A5" w:rsidRPr="00647194" w:rsidRDefault="00D671A5" w:rsidP="00D671A5">
            <w:pPr>
              <w:rPr>
                <w:rFonts w:ascii="Verdana" w:hAnsi="Verdana" w:cs="Arial"/>
                <w:sz w:val="20"/>
                <w:szCs w:val="20"/>
              </w:rPr>
            </w:pPr>
            <w:r w:rsidRPr="00647194">
              <w:rPr>
                <w:rFonts w:ascii="Verdana" w:hAnsi="Verdana" w:cs="Arial"/>
                <w:sz w:val="20"/>
                <w:szCs w:val="20"/>
              </w:rPr>
              <w:lastRenderedPageBreak/>
              <w:t>Schedule 1, Part 1, Regulation 16(3)</w:t>
            </w:r>
          </w:p>
        </w:tc>
        <w:tc>
          <w:tcPr>
            <w:tcW w:w="3822" w:type="dxa"/>
          </w:tcPr>
          <w:p w14:paraId="3DE867D3" w14:textId="6B4F2120" w:rsidR="00D671A5" w:rsidRPr="00647194" w:rsidRDefault="000455F6" w:rsidP="00D671A5">
            <w:pPr>
              <w:tabs>
                <w:tab w:val="left" w:pos="363"/>
              </w:tabs>
              <w:rPr>
                <w:rFonts w:ascii="Verdana" w:hAnsi="Verdana" w:cs="Arial"/>
                <w:sz w:val="20"/>
                <w:szCs w:val="20"/>
              </w:rPr>
            </w:pPr>
            <w:r>
              <w:rPr>
                <w:rFonts w:ascii="Verdana" w:hAnsi="Verdana" w:cs="Arial"/>
                <w:sz w:val="20"/>
                <w:szCs w:val="20"/>
              </w:rPr>
              <w:t>Supported.</w:t>
            </w:r>
          </w:p>
        </w:tc>
      </w:tr>
      <w:tr w:rsidR="001B6A0A" w:rsidRPr="00647194" w14:paraId="5A319C51" w14:textId="77777777" w:rsidTr="004C1AD2">
        <w:tc>
          <w:tcPr>
            <w:tcW w:w="1527" w:type="dxa"/>
          </w:tcPr>
          <w:p w14:paraId="1967EF4E"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Dispute resolution requirement</w:t>
            </w:r>
          </w:p>
        </w:tc>
        <w:tc>
          <w:tcPr>
            <w:tcW w:w="3867" w:type="dxa"/>
          </w:tcPr>
          <w:p w14:paraId="43544DF7" w14:textId="77777777" w:rsidR="00D671A5" w:rsidRPr="00647194" w:rsidRDefault="00D671A5" w:rsidP="00D671A5">
            <w:pPr>
              <w:tabs>
                <w:tab w:val="left" w:pos="363"/>
              </w:tabs>
              <w:rPr>
                <w:rFonts w:ascii="Verdana" w:hAnsi="Verdana" w:cs="Arial"/>
                <w:sz w:val="20"/>
                <w:szCs w:val="20"/>
              </w:rPr>
            </w:pPr>
            <w:r w:rsidRPr="00647194">
              <w:rPr>
                <w:rFonts w:ascii="Verdana" w:hAnsi="Verdana" w:cs="Arial"/>
                <w:sz w:val="20"/>
                <w:szCs w:val="20"/>
              </w:rPr>
              <w:t>This has been removed from the Code and is in the Regulations as a requirement to include detail of dispute resolution procedure in the plan rather than as a stand-alone procedure.</w:t>
            </w:r>
          </w:p>
        </w:tc>
        <w:tc>
          <w:tcPr>
            <w:tcW w:w="1983" w:type="dxa"/>
          </w:tcPr>
          <w:p w14:paraId="143FD347" w14:textId="77777777" w:rsidR="00D671A5" w:rsidRPr="00647194" w:rsidRDefault="00D671A5" w:rsidP="00D671A5">
            <w:pPr>
              <w:rPr>
                <w:rFonts w:ascii="Verdana" w:hAnsi="Verdana" w:cs="Arial"/>
                <w:sz w:val="20"/>
                <w:szCs w:val="20"/>
              </w:rPr>
            </w:pPr>
          </w:p>
        </w:tc>
        <w:tc>
          <w:tcPr>
            <w:tcW w:w="3822" w:type="dxa"/>
          </w:tcPr>
          <w:p w14:paraId="6F98F666" w14:textId="4136A00E" w:rsidR="00D671A5" w:rsidRPr="00647194" w:rsidRDefault="000455F6" w:rsidP="00D671A5">
            <w:pPr>
              <w:tabs>
                <w:tab w:val="left" w:pos="363"/>
              </w:tabs>
              <w:rPr>
                <w:rFonts w:ascii="Verdana" w:hAnsi="Verdana" w:cs="Arial"/>
                <w:sz w:val="20"/>
                <w:szCs w:val="20"/>
              </w:rPr>
            </w:pPr>
            <w:r>
              <w:rPr>
                <w:rFonts w:ascii="Verdana" w:hAnsi="Verdana" w:cs="Arial"/>
                <w:sz w:val="20"/>
                <w:szCs w:val="20"/>
              </w:rPr>
              <w:t>Supported.</w:t>
            </w:r>
          </w:p>
        </w:tc>
      </w:tr>
    </w:tbl>
    <w:p w14:paraId="799BA369" w14:textId="29B324B8" w:rsidR="0068744C" w:rsidRDefault="0068744C" w:rsidP="00271AF4">
      <w:pPr>
        <w:tabs>
          <w:tab w:val="left" w:pos="2955"/>
        </w:tabs>
        <w:rPr>
          <w:rFonts w:cs="Arial"/>
        </w:rPr>
      </w:pPr>
    </w:p>
    <w:p w14:paraId="6617E073" w14:textId="38626496" w:rsidR="00233CAE" w:rsidRDefault="00217CDE" w:rsidP="00271AF4">
      <w:pPr>
        <w:tabs>
          <w:tab w:val="left" w:pos="2955"/>
        </w:tabs>
        <w:rPr>
          <w:rFonts w:cs="Arial"/>
        </w:rPr>
      </w:pPr>
      <w:r>
        <w:rPr>
          <w:rFonts w:cs="Arial"/>
        </w:rPr>
        <w:t xml:space="preserve">As noted in the </w:t>
      </w:r>
      <w:r w:rsidR="00530DAC">
        <w:rPr>
          <w:rFonts w:cs="Arial"/>
        </w:rPr>
        <w:t xml:space="preserve">previous </w:t>
      </w:r>
      <w:r>
        <w:rPr>
          <w:rFonts w:cs="Arial"/>
        </w:rPr>
        <w:t>section, one additional key change included in the draft regulations that is not outlined or explored in the RIS</w:t>
      </w:r>
      <w:r w:rsidR="002D7AAC">
        <w:rPr>
          <w:rFonts w:cs="Arial"/>
        </w:rPr>
        <w:t xml:space="preserve"> is </w:t>
      </w:r>
      <w:r w:rsidR="00A26BF0">
        <w:rPr>
          <w:rFonts w:cs="Arial"/>
        </w:rPr>
        <w:t>the proposal to make Clause 3(1) of the Code a</w:t>
      </w:r>
      <w:r w:rsidR="007C3D7D">
        <w:rPr>
          <w:rFonts w:cs="Arial"/>
        </w:rPr>
        <w:t xml:space="preserve">n infringeable offence. We oppose this proposed change. </w:t>
      </w:r>
    </w:p>
    <w:p w14:paraId="2746FCB2" w14:textId="46CE34A7" w:rsidR="00340772" w:rsidRDefault="00FD245B" w:rsidP="00340772">
      <w:pPr>
        <w:pStyle w:val="Heading1"/>
        <w:ind w:left="0"/>
      </w:pPr>
      <w:bookmarkStart w:id="12" w:name="_Toc34405651"/>
      <w:r>
        <w:t>Proposed additional changes</w:t>
      </w:r>
      <w:bookmarkEnd w:id="12"/>
    </w:p>
    <w:p w14:paraId="5D6C1CAF" w14:textId="56CAFE16" w:rsidR="00FD28BB" w:rsidRDefault="00FD28BB" w:rsidP="000F4CDC">
      <w:r>
        <w:t>We recommend that the 2020 regulations also incorporate the following changes:</w:t>
      </w:r>
    </w:p>
    <w:p w14:paraId="4EC8902B" w14:textId="3A74B1BA" w:rsidR="00833312" w:rsidRDefault="00FD28BB" w:rsidP="00833312">
      <w:pPr>
        <w:pStyle w:val="Heading2"/>
        <w:numPr>
          <w:ilvl w:val="0"/>
          <w:numId w:val="0"/>
        </w:numPr>
      </w:pPr>
      <w:bookmarkStart w:id="13" w:name="_Toc34405652"/>
      <w:r>
        <w:t>Structural branches near u</w:t>
      </w:r>
      <w:r w:rsidR="00CE69D6">
        <w:t xml:space="preserve">ninsulated </w:t>
      </w:r>
      <w:r>
        <w:t>LV</w:t>
      </w:r>
      <w:r w:rsidR="00CE69D6">
        <w:t xml:space="preserve"> in </w:t>
      </w:r>
      <w:r>
        <w:t>LBRA</w:t>
      </w:r>
      <w:bookmarkEnd w:id="13"/>
    </w:p>
    <w:p w14:paraId="6DAC79E0" w14:textId="28026AA4" w:rsidR="00235F24" w:rsidRDefault="0051266A" w:rsidP="00CE69D6">
      <w:r>
        <w:t>For uninsulated LV spans equal to or less than 45m in length in LBRA, t</w:t>
      </w:r>
      <w:r w:rsidR="00BE2886">
        <w:t>he Code prescribe</w:t>
      </w:r>
      <w:r w:rsidR="001A72C9">
        <w:t>s</w:t>
      </w:r>
      <w:r w:rsidR="00BE2886">
        <w:t xml:space="preserve"> a minimum clearance distance of 1000mm</w:t>
      </w:r>
      <w:r w:rsidR="001A72C9">
        <w:t xml:space="preserve">. </w:t>
      </w:r>
      <w:r w:rsidR="00E040B0">
        <w:t xml:space="preserve">Under </w:t>
      </w:r>
      <w:r w:rsidR="00821F44">
        <w:t>Clause 6 o</w:t>
      </w:r>
      <w:r w:rsidR="00E24E2E">
        <w:t xml:space="preserve">f </w:t>
      </w:r>
      <w:r w:rsidR="00E040B0">
        <w:t>t</w:t>
      </w:r>
      <w:r w:rsidR="004831A0">
        <w:t xml:space="preserve">he current (2015) </w:t>
      </w:r>
      <w:r w:rsidR="00380414">
        <w:t>Code</w:t>
      </w:r>
      <w:r w:rsidR="00E040B0">
        <w:t xml:space="preserve">, </w:t>
      </w:r>
      <w:r w:rsidR="003452FD">
        <w:t xml:space="preserve">structural branches </w:t>
      </w:r>
      <w:r w:rsidR="009C2D38">
        <w:t>are permitted up</w:t>
      </w:r>
      <w:r w:rsidR="001379A9">
        <w:t xml:space="preserve"> to 500mm </w:t>
      </w:r>
      <w:r w:rsidR="00F8120B">
        <w:t xml:space="preserve">from the </w:t>
      </w:r>
      <w:r w:rsidR="009C2D38">
        <w:t xml:space="preserve">line if certain </w:t>
      </w:r>
      <w:r w:rsidR="000F22F1">
        <w:t xml:space="preserve">conditions and </w:t>
      </w:r>
      <w:r w:rsidR="009C2D38">
        <w:t>management requirements are met.</w:t>
      </w:r>
      <w:r w:rsidR="00820BA1">
        <w:t xml:space="preserve"> One of th</w:t>
      </w:r>
      <w:r w:rsidR="006B133B">
        <w:t>ose</w:t>
      </w:r>
      <w:r w:rsidR="00820BA1">
        <w:t xml:space="preserve"> requirements is that spans up to 45 metres in length are fitted with </w:t>
      </w:r>
      <w:r w:rsidR="00155B76">
        <w:t xml:space="preserve">one conductor spreader and spans greater than 45m in length are fitted with two </w:t>
      </w:r>
      <w:r w:rsidR="00235F24">
        <w:t>spreaders.</w:t>
      </w:r>
    </w:p>
    <w:p w14:paraId="00EF9703" w14:textId="52983C56" w:rsidR="001D05AC" w:rsidRDefault="00A02AB3" w:rsidP="001D05AC">
      <w:r>
        <w:t>It is our understanding</w:t>
      </w:r>
      <w:r w:rsidR="001D05AC">
        <w:t xml:space="preserve"> that there are currently many thousands of mature trees in urban areas that have structural branches within the minimum clearance space of 1000mm. Councils estimate that a significant majority of those trees are closer to the line than the 500mm clearance distance permitted under the </w:t>
      </w:r>
      <w:r w:rsidR="00022141">
        <w:t>ex</w:t>
      </w:r>
      <w:r w:rsidR="009D5BB7">
        <w:t>ceptio</w:t>
      </w:r>
      <w:r w:rsidR="00022141">
        <w:t>n</w:t>
      </w:r>
      <w:r w:rsidR="001D05AC">
        <w:t xml:space="preserve"> clause within the Code. </w:t>
      </w:r>
    </w:p>
    <w:p w14:paraId="2DC9B687" w14:textId="25971FA1" w:rsidR="00EA09F5" w:rsidRDefault="00EA09F5" w:rsidP="00EA09F5">
      <w:r>
        <w:t>Clause 4 of the current (2015) Code sets a minimum clearance distance of 150mm for spans 40m or less in length</w:t>
      </w:r>
      <w:r w:rsidR="00852471">
        <w:t xml:space="preserve"> for structural branches around insulated LV in LBRA (</w:t>
      </w:r>
      <w:r>
        <w:t>and a minimum clearance distance of 300 mm for spans 40m or longer</w:t>
      </w:r>
      <w:r w:rsidR="00852471">
        <w:t>)</w:t>
      </w:r>
      <w:r>
        <w:t xml:space="preserve">. </w:t>
      </w:r>
    </w:p>
    <w:p w14:paraId="281AF4A0" w14:textId="57A25193" w:rsidR="00852471" w:rsidRDefault="00852471" w:rsidP="00852471">
      <w:r>
        <w:lastRenderedPageBreak/>
        <w:t xml:space="preserve">In the absence of data or evidence to prove that structural branches around uninsulated lines pose greater risk of outage or public safety than structural branches around insulated lines, we </w:t>
      </w:r>
      <w:r w:rsidR="00FD28BB">
        <w:t xml:space="preserve">recommend </w:t>
      </w:r>
      <w:r>
        <w:t xml:space="preserve">that </w:t>
      </w:r>
      <w:r w:rsidR="00D01F0F">
        <w:t xml:space="preserve">the </w:t>
      </w:r>
      <w:r w:rsidR="009D5BB7">
        <w:t>exception</w:t>
      </w:r>
      <w:r w:rsidR="00D01F0F">
        <w:t xml:space="preserve"> clause for structural </w:t>
      </w:r>
      <w:r w:rsidR="009D5BB7">
        <w:t>branches</w:t>
      </w:r>
      <w:r w:rsidR="00D01F0F">
        <w:t xml:space="preserve"> around uninsulated LV in LBRA be amended to provide for </w:t>
      </w:r>
      <w:r>
        <w:t xml:space="preserve">a minimum clearance distance of 150mm for spans less than or equal to 45m in length. </w:t>
      </w:r>
    </w:p>
    <w:p w14:paraId="357ACAA4" w14:textId="3B0128AF" w:rsidR="009F24DD" w:rsidRDefault="001D05AC" w:rsidP="00CE69D6">
      <w:r>
        <w:t xml:space="preserve">The proposed exception reflects the "real world" proximity of the low height of </w:t>
      </w:r>
      <w:r w:rsidR="00FD28BB">
        <w:t xml:space="preserve">uninsulated </w:t>
      </w:r>
      <w:r>
        <w:t xml:space="preserve">LV to </w:t>
      </w:r>
      <w:r w:rsidR="00FD28BB">
        <w:t>mature trees and limbs</w:t>
      </w:r>
      <w:r>
        <w:t>. It does not condone contact.</w:t>
      </w:r>
      <w:r w:rsidR="00D01F0F">
        <w:t xml:space="preserve"> </w:t>
      </w:r>
      <w:r w:rsidR="00EC7128">
        <w:t xml:space="preserve">Structural limbs have minimal movement and the management requirements attached to this proposed </w:t>
      </w:r>
      <w:r w:rsidR="009D5BB7">
        <w:t>exception</w:t>
      </w:r>
      <w:r w:rsidR="00EC7128">
        <w:t xml:space="preserve"> ensure risk is monitored and managed. </w:t>
      </w:r>
    </w:p>
    <w:p w14:paraId="58EBD6E6" w14:textId="4C5B693A" w:rsidR="00F813E8" w:rsidRDefault="00F813E8" w:rsidP="00CE69D6">
      <w:r>
        <w:t xml:space="preserve">If adopted this will closely reflect what is already happening in practice in </w:t>
      </w:r>
      <w:r w:rsidR="00802514">
        <w:t xml:space="preserve">our inner urban areas and significantly reduce </w:t>
      </w:r>
      <w:r w:rsidR="00EE7837">
        <w:t>major branch and tree removal</w:t>
      </w:r>
      <w:r w:rsidR="00A246F4">
        <w:t>.</w:t>
      </w:r>
    </w:p>
    <w:p w14:paraId="24CE39D6" w14:textId="13F83F34" w:rsidR="00F720C8" w:rsidRDefault="00F720C8" w:rsidP="000F4CDC">
      <w:pPr>
        <w:spacing w:after="0"/>
      </w:pPr>
      <w:r>
        <w:t xml:space="preserve">RECOMMENDATION: that the exception clause for structural branches around uninsulated LV in LBRA be amended to provide for a minimum clearance distance of 150mm for spans less than or equal to 45m in length. </w:t>
      </w:r>
    </w:p>
    <w:p w14:paraId="359D5C6C" w14:textId="77777777" w:rsidR="004F704B" w:rsidRDefault="004F704B" w:rsidP="000F4CDC">
      <w:pPr>
        <w:spacing w:after="0"/>
      </w:pPr>
    </w:p>
    <w:p w14:paraId="15809AFA" w14:textId="426591E2" w:rsidR="00CE69D6" w:rsidRPr="00EA4ED4" w:rsidRDefault="00751EFB" w:rsidP="00EA4ED4">
      <w:pPr>
        <w:pStyle w:val="Heading2"/>
        <w:numPr>
          <w:ilvl w:val="0"/>
          <w:numId w:val="0"/>
        </w:numPr>
        <w:rPr>
          <w:szCs w:val="22"/>
        </w:rPr>
      </w:pPr>
      <w:bookmarkStart w:id="14" w:name="_Toc34405653"/>
      <w:r w:rsidRPr="00751EFB">
        <w:t>6</w:t>
      </w:r>
      <w:r w:rsidRPr="00EA4ED4">
        <w:rPr>
          <w:szCs w:val="22"/>
        </w:rPr>
        <w:t>.6kV and 11kV in low bushfire risk areas</w:t>
      </w:r>
      <w:bookmarkEnd w:id="14"/>
    </w:p>
    <w:p w14:paraId="75AE7D38" w14:textId="6821A5CF" w:rsidR="00041EFA" w:rsidRPr="00EA4ED4" w:rsidRDefault="001F7A36" w:rsidP="00EA4ED4">
      <w:pPr>
        <w:rPr>
          <w:rFonts w:cs="Arial"/>
        </w:rPr>
      </w:pPr>
      <w:r w:rsidRPr="00EA4ED4">
        <w:rPr>
          <w:rFonts w:cs="Arial"/>
        </w:rPr>
        <w:t>In setting minimum clearance distances, t</w:t>
      </w:r>
      <w:r w:rsidR="00751EFB" w:rsidRPr="00EA4ED4">
        <w:rPr>
          <w:rFonts w:cs="Arial"/>
        </w:rPr>
        <w:t>he</w:t>
      </w:r>
      <w:r w:rsidRPr="00EA4ED4">
        <w:rPr>
          <w:rFonts w:cs="Arial"/>
        </w:rPr>
        <w:t xml:space="preserve"> </w:t>
      </w:r>
      <w:r w:rsidR="00AE7067">
        <w:rPr>
          <w:rFonts w:cs="Arial"/>
        </w:rPr>
        <w:t>Code</w:t>
      </w:r>
      <w:r w:rsidRPr="00EA4ED4">
        <w:rPr>
          <w:rFonts w:cs="Arial"/>
        </w:rPr>
        <w:t xml:space="preserve"> does not currently differentiate between different HV electric lines with the exception of 66kV. Th</w:t>
      </w:r>
      <w:r w:rsidR="008E487B" w:rsidRPr="00EA4ED4">
        <w:rPr>
          <w:rFonts w:cs="Arial"/>
        </w:rPr>
        <w:t>at is, the</w:t>
      </w:r>
      <w:r w:rsidRPr="00EA4ED4">
        <w:rPr>
          <w:rFonts w:cs="Arial"/>
        </w:rPr>
        <w:t xml:space="preserve"> same clearance distances apply for electric lines that are 6.6kV, 11kV or 22kV</w:t>
      </w:r>
      <w:r w:rsidR="00EA3B95" w:rsidRPr="00EA4ED4">
        <w:rPr>
          <w:rFonts w:cs="Arial"/>
        </w:rPr>
        <w:t xml:space="preserve">. </w:t>
      </w:r>
    </w:p>
    <w:p w14:paraId="746B7DB4" w14:textId="3D638ECF" w:rsidR="00560519" w:rsidRPr="00EA4ED4" w:rsidRDefault="00EA3B95" w:rsidP="00EA4ED4">
      <w:pPr>
        <w:rPr>
          <w:rFonts w:cs="Arial"/>
        </w:rPr>
      </w:pPr>
      <w:r w:rsidRPr="00EA4ED4">
        <w:rPr>
          <w:rFonts w:cs="Arial"/>
        </w:rPr>
        <w:t>T</w:t>
      </w:r>
      <w:r w:rsidR="00FC6B65" w:rsidRPr="00EA4ED4">
        <w:rPr>
          <w:rFonts w:cs="Arial"/>
        </w:rPr>
        <w:t xml:space="preserve">he </w:t>
      </w:r>
      <w:r w:rsidRPr="00EA4ED4">
        <w:rPr>
          <w:rFonts w:cs="Arial"/>
        </w:rPr>
        <w:t xml:space="preserve">current </w:t>
      </w:r>
      <w:r w:rsidR="00E76459" w:rsidRPr="00EA4ED4">
        <w:rPr>
          <w:rFonts w:cs="Arial"/>
        </w:rPr>
        <w:t xml:space="preserve">prescribed </w:t>
      </w:r>
      <w:r w:rsidR="00FC6B65" w:rsidRPr="00EA4ED4">
        <w:rPr>
          <w:rFonts w:cs="Arial"/>
        </w:rPr>
        <w:t>minimum clearance distance</w:t>
      </w:r>
      <w:r w:rsidR="00E76459" w:rsidRPr="00EA4ED4">
        <w:rPr>
          <w:rFonts w:cs="Arial"/>
        </w:rPr>
        <w:t xml:space="preserve"> </w:t>
      </w:r>
      <w:r w:rsidR="00FC6B65" w:rsidRPr="00EA4ED4">
        <w:rPr>
          <w:rFonts w:cs="Arial"/>
        </w:rPr>
        <w:t>of 150</w:t>
      </w:r>
      <w:r w:rsidR="00E76459" w:rsidRPr="00EA4ED4">
        <w:rPr>
          <w:rFonts w:cs="Arial"/>
        </w:rPr>
        <w:t>0</w:t>
      </w:r>
      <w:r w:rsidR="00FC6B65" w:rsidRPr="00EA4ED4">
        <w:rPr>
          <w:rFonts w:cs="Arial"/>
        </w:rPr>
        <w:t xml:space="preserve">mm for </w:t>
      </w:r>
      <w:r w:rsidR="00E76459" w:rsidRPr="00EA4ED4">
        <w:rPr>
          <w:rFonts w:cs="Arial"/>
        </w:rPr>
        <w:t xml:space="preserve">HV (other than 66kV) </w:t>
      </w:r>
      <w:r w:rsidR="00FC6B65" w:rsidRPr="00EA4ED4">
        <w:rPr>
          <w:rFonts w:cs="Arial"/>
        </w:rPr>
        <w:t xml:space="preserve">spans </w:t>
      </w:r>
      <w:r w:rsidRPr="00EA4ED4">
        <w:rPr>
          <w:rFonts w:cs="Arial"/>
        </w:rPr>
        <w:t>less than 45m</w:t>
      </w:r>
      <w:r w:rsidR="001A5362" w:rsidRPr="00EA4ED4">
        <w:rPr>
          <w:rFonts w:cs="Arial"/>
        </w:rPr>
        <w:t xml:space="preserve"> in length</w:t>
      </w:r>
      <w:r w:rsidRPr="00EA4ED4">
        <w:rPr>
          <w:rFonts w:cs="Arial"/>
        </w:rPr>
        <w:t xml:space="preserve"> is calculated on the </w:t>
      </w:r>
      <w:r w:rsidR="00560519" w:rsidRPr="00EA4ED4">
        <w:rPr>
          <w:rFonts w:cs="Arial"/>
        </w:rPr>
        <w:t xml:space="preserve">nominal voltage risk of 22kV. </w:t>
      </w:r>
      <w:r w:rsidR="00DA5458" w:rsidRPr="00EA4ED4">
        <w:rPr>
          <w:rFonts w:cs="Arial"/>
        </w:rPr>
        <w:t xml:space="preserve">We understand that the majority of HV lines in </w:t>
      </w:r>
      <w:r w:rsidR="00FD28BB">
        <w:rPr>
          <w:rFonts w:cs="Arial"/>
        </w:rPr>
        <w:t>metropolitan Melbourne</w:t>
      </w:r>
      <w:r w:rsidR="00DA5458" w:rsidRPr="00EA4ED4">
        <w:rPr>
          <w:rFonts w:cs="Arial"/>
        </w:rPr>
        <w:t xml:space="preserve"> are 6.6kV or 11kv.</w:t>
      </w:r>
    </w:p>
    <w:p w14:paraId="4AC1170F" w14:textId="211EBD8F" w:rsidR="00FD0F48" w:rsidRPr="00EA4ED4" w:rsidRDefault="00FD0F48" w:rsidP="00EA4ED4">
      <w:pPr>
        <w:rPr>
          <w:rFonts w:cs="Arial"/>
        </w:rPr>
      </w:pPr>
      <w:r w:rsidRPr="00EA4ED4">
        <w:rPr>
          <w:rFonts w:cs="Arial"/>
        </w:rPr>
        <w:t>Extrapolating</w:t>
      </w:r>
      <w:r w:rsidR="00543749" w:rsidRPr="00EA4ED4">
        <w:rPr>
          <w:rFonts w:cs="Arial"/>
        </w:rPr>
        <w:t xml:space="preserve"> the clearance distances </w:t>
      </w:r>
      <w:r w:rsidR="009D5BB7" w:rsidRPr="00EA4ED4">
        <w:rPr>
          <w:rFonts w:cs="Arial"/>
        </w:rPr>
        <w:t>prescribed</w:t>
      </w:r>
      <w:r w:rsidR="00D812FD" w:rsidRPr="00EA4ED4">
        <w:rPr>
          <w:rFonts w:cs="Arial"/>
        </w:rPr>
        <w:t xml:space="preserve"> for </w:t>
      </w:r>
      <w:r w:rsidRPr="00EA4ED4">
        <w:rPr>
          <w:rFonts w:cs="Arial"/>
        </w:rPr>
        <w:t>LV</w:t>
      </w:r>
      <w:r w:rsidR="00D812FD" w:rsidRPr="00EA4ED4">
        <w:rPr>
          <w:rFonts w:cs="Arial"/>
        </w:rPr>
        <w:t xml:space="preserve">, </w:t>
      </w:r>
      <w:r w:rsidRPr="00EA4ED4">
        <w:rPr>
          <w:rFonts w:cs="Arial"/>
        </w:rPr>
        <w:t>22kV</w:t>
      </w:r>
      <w:r w:rsidR="00D812FD" w:rsidRPr="00EA4ED4">
        <w:rPr>
          <w:rFonts w:cs="Arial"/>
        </w:rPr>
        <w:t xml:space="preserve"> and 66kV, </w:t>
      </w:r>
      <w:r w:rsidR="001122C4" w:rsidRPr="00EA4ED4">
        <w:rPr>
          <w:rFonts w:cs="Arial"/>
        </w:rPr>
        <w:t xml:space="preserve">we anticipate that the </w:t>
      </w:r>
      <w:r w:rsidR="009D5BB7" w:rsidRPr="00EA4ED4">
        <w:rPr>
          <w:rFonts w:cs="Arial"/>
        </w:rPr>
        <w:t>minimum</w:t>
      </w:r>
      <w:r w:rsidR="001122C4" w:rsidRPr="00EA4ED4">
        <w:rPr>
          <w:rFonts w:cs="Arial"/>
        </w:rPr>
        <w:t xml:space="preserve"> clearance distances</w:t>
      </w:r>
      <w:r w:rsidR="00E90EE4" w:rsidRPr="00EA4ED4">
        <w:rPr>
          <w:rFonts w:cs="Arial"/>
        </w:rPr>
        <w:t xml:space="preserve"> for 6.6kV and 11kV</w:t>
      </w:r>
      <w:r w:rsidR="001122C4" w:rsidRPr="00EA4ED4">
        <w:rPr>
          <w:rFonts w:cs="Arial"/>
        </w:rPr>
        <w:t xml:space="preserve"> </w:t>
      </w:r>
      <w:r w:rsidR="00C602FD">
        <w:rPr>
          <w:rFonts w:cs="Arial"/>
        </w:rPr>
        <w:t>w</w:t>
      </w:r>
      <w:r w:rsidR="00831A8E" w:rsidRPr="00EA4ED4">
        <w:rPr>
          <w:rFonts w:cs="Arial"/>
        </w:rPr>
        <w:t>ould</w:t>
      </w:r>
      <w:r w:rsidR="001122C4" w:rsidRPr="00EA4ED4">
        <w:rPr>
          <w:rFonts w:cs="Arial"/>
        </w:rPr>
        <w:t xml:space="preserve"> be materially </w:t>
      </w:r>
      <w:r w:rsidR="005337CF" w:rsidRPr="00EA4ED4">
        <w:rPr>
          <w:rFonts w:cs="Arial"/>
        </w:rPr>
        <w:t xml:space="preserve">less than the </w:t>
      </w:r>
      <w:r w:rsidR="00B47849" w:rsidRPr="00EA4ED4">
        <w:rPr>
          <w:rFonts w:cs="Arial"/>
        </w:rPr>
        <w:t>1500</w:t>
      </w:r>
      <w:r w:rsidR="005337CF" w:rsidRPr="00EA4ED4">
        <w:rPr>
          <w:rFonts w:cs="Arial"/>
        </w:rPr>
        <w:t xml:space="preserve">mm </w:t>
      </w:r>
      <w:r w:rsidR="00E90EE4" w:rsidRPr="00EA4ED4">
        <w:rPr>
          <w:rFonts w:cs="Arial"/>
        </w:rPr>
        <w:t xml:space="preserve">currently prescribed. </w:t>
      </w:r>
      <w:r w:rsidR="00831A8E" w:rsidRPr="00EA4ED4">
        <w:rPr>
          <w:rFonts w:cs="Arial"/>
        </w:rPr>
        <w:t>One estimate is 1060mm for 6.6kV and 116</w:t>
      </w:r>
      <w:r w:rsidR="00706ED6" w:rsidRPr="00EA4ED4">
        <w:rPr>
          <w:rFonts w:cs="Arial"/>
        </w:rPr>
        <w:t>0mm for 11kV.</w:t>
      </w:r>
      <w:r w:rsidR="001F0B52" w:rsidRPr="00EA4ED4">
        <w:rPr>
          <w:rFonts w:cs="Arial"/>
        </w:rPr>
        <w:t xml:space="preserve"> We </w:t>
      </w:r>
      <w:r w:rsidR="00F720C8">
        <w:rPr>
          <w:rFonts w:cs="Arial"/>
        </w:rPr>
        <w:t>recommend</w:t>
      </w:r>
      <w:r w:rsidR="001F0B52" w:rsidRPr="00EA4ED4">
        <w:rPr>
          <w:rFonts w:cs="Arial"/>
        </w:rPr>
        <w:t xml:space="preserve"> that </w:t>
      </w:r>
      <w:r w:rsidR="00F720C8">
        <w:rPr>
          <w:rFonts w:cs="Arial"/>
        </w:rPr>
        <w:t xml:space="preserve">the </w:t>
      </w:r>
      <w:r w:rsidR="001F0B52" w:rsidRPr="00EA4ED4">
        <w:rPr>
          <w:rFonts w:cs="Arial"/>
        </w:rPr>
        <w:t>Code pr</w:t>
      </w:r>
      <w:r w:rsidR="00230173" w:rsidRPr="00EA4ED4">
        <w:rPr>
          <w:rFonts w:cs="Arial"/>
        </w:rPr>
        <w:t>escribe</w:t>
      </w:r>
      <w:r w:rsidR="00551DA6" w:rsidRPr="00EA4ED4">
        <w:rPr>
          <w:rFonts w:cs="Arial"/>
        </w:rPr>
        <w:t xml:space="preserve"> </w:t>
      </w:r>
      <w:r w:rsidR="00FD28BB">
        <w:rPr>
          <w:rFonts w:cs="Arial"/>
        </w:rPr>
        <w:t xml:space="preserve">minimum </w:t>
      </w:r>
      <w:r w:rsidR="009D5BB7" w:rsidRPr="00EA4ED4">
        <w:rPr>
          <w:rFonts w:cs="Arial"/>
        </w:rPr>
        <w:t>clearance</w:t>
      </w:r>
      <w:r w:rsidR="00230173" w:rsidRPr="00EA4ED4">
        <w:rPr>
          <w:rFonts w:cs="Arial"/>
        </w:rPr>
        <w:t xml:space="preserve"> distances </w:t>
      </w:r>
      <w:r w:rsidR="00551DA6" w:rsidRPr="00EA4ED4">
        <w:rPr>
          <w:rFonts w:cs="Arial"/>
        </w:rPr>
        <w:t>f</w:t>
      </w:r>
      <w:r w:rsidR="002334CA" w:rsidRPr="00EA4ED4">
        <w:rPr>
          <w:rFonts w:cs="Arial"/>
        </w:rPr>
        <w:t xml:space="preserve">or </w:t>
      </w:r>
      <w:r w:rsidR="00C602FD">
        <w:rPr>
          <w:rFonts w:cs="Arial"/>
        </w:rPr>
        <w:t xml:space="preserve">each of </w:t>
      </w:r>
      <w:r w:rsidR="002334CA" w:rsidRPr="00EA4ED4">
        <w:rPr>
          <w:rFonts w:cs="Arial"/>
        </w:rPr>
        <w:t>6.6kV, 11kV and 22kV</w:t>
      </w:r>
      <w:r w:rsidR="00F51461" w:rsidRPr="00EA4ED4">
        <w:rPr>
          <w:rFonts w:cs="Arial"/>
        </w:rPr>
        <w:t xml:space="preserve"> </w:t>
      </w:r>
      <w:r w:rsidR="00F720C8">
        <w:rPr>
          <w:rFonts w:cs="Arial"/>
        </w:rPr>
        <w:t>operating voltages for LBRA</w:t>
      </w:r>
      <w:r w:rsidR="002334CA" w:rsidRPr="00EA4ED4">
        <w:rPr>
          <w:rFonts w:cs="Arial"/>
        </w:rPr>
        <w:t>.</w:t>
      </w:r>
    </w:p>
    <w:p w14:paraId="1C0C5DE2" w14:textId="5022DF26" w:rsidR="000455F6" w:rsidRDefault="001A293F" w:rsidP="00EA4ED4">
      <w:pPr>
        <w:spacing w:after="160"/>
        <w:rPr>
          <w:rFonts w:cs="Arial"/>
        </w:rPr>
      </w:pPr>
      <w:r w:rsidRPr="00EA4ED4">
        <w:rPr>
          <w:rFonts w:cs="Arial"/>
        </w:rPr>
        <w:t xml:space="preserve">Notwithstanding the recommendation </w:t>
      </w:r>
      <w:r w:rsidR="00706ED6" w:rsidRPr="00EA4ED4">
        <w:rPr>
          <w:rFonts w:cs="Arial"/>
        </w:rPr>
        <w:t>we</w:t>
      </w:r>
      <w:r w:rsidRPr="00EA4ED4">
        <w:rPr>
          <w:rFonts w:cs="Arial"/>
        </w:rPr>
        <w:t xml:space="preserve"> underst</w:t>
      </w:r>
      <w:r w:rsidR="00F25331" w:rsidRPr="00EA4ED4">
        <w:rPr>
          <w:rFonts w:cs="Arial"/>
        </w:rPr>
        <w:t>an</w:t>
      </w:r>
      <w:r w:rsidRPr="00EA4ED4">
        <w:rPr>
          <w:rFonts w:cs="Arial"/>
        </w:rPr>
        <w:t xml:space="preserve">d that vegetation cannot be allowed to contact HV </w:t>
      </w:r>
      <w:r w:rsidR="00706ED6" w:rsidRPr="00EA4ED4">
        <w:rPr>
          <w:rFonts w:cs="Arial"/>
        </w:rPr>
        <w:t>powerlines</w:t>
      </w:r>
      <w:r w:rsidR="00F25331" w:rsidRPr="00EA4ED4">
        <w:rPr>
          <w:rFonts w:cs="Arial"/>
        </w:rPr>
        <w:t xml:space="preserve">. </w:t>
      </w:r>
      <w:r w:rsidRPr="00EA4ED4">
        <w:rPr>
          <w:rFonts w:cs="Arial"/>
        </w:rPr>
        <w:t xml:space="preserve"> </w:t>
      </w:r>
    </w:p>
    <w:p w14:paraId="64D7904A" w14:textId="5E3043BD" w:rsidR="00F720C8" w:rsidRPr="00EA4ED4" w:rsidRDefault="00F720C8" w:rsidP="000F4CDC">
      <w:pPr>
        <w:spacing w:after="0"/>
        <w:rPr>
          <w:rFonts w:cs="Arial"/>
        </w:rPr>
      </w:pPr>
      <w:r>
        <w:rPr>
          <w:rFonts w:cs="Arial"/>
        </w:rPr>
        <w:t>RECOMMENDATION:</w:t>
      </w:r>
      <w:r w:rsidRPr="00F720C8">
        <w:rPr>
          <w:rFonts w:cs="Arial"/>
        </w:rPr>
        <w:t xml:space="preserve"> </w:t>
      </w:r>
      <w:r w:rsidRPr="00EA4ED4">
        <w:rPr>
          <w:rFonts w:cs="Arial"/>
        </w:rPr>
        <w:t xml:space="preserve">that </w:t>
      </w:r>
      <w:r>
        <w:rPr>
          <w:rFonts w:cs="Arial"/>
        </w:rPr>
        <w:t xml:space="preserve">the </w:t>
      </w:r>
      <w:r w:rsidRPr="00EA4ED4">
        <w:rPr>
          <w:rFonts w:cs="Arial"/>
        </w:rPr>
        <w:t xml:space="preserve">Code prescribe </w:t>
      </w:r>
      <w:r>
        <w:rPr>
          <w:rFonts w:cs="Arial"/>
        </w:rPr>
        <w:t xml:space="preserve">minimum </w:t>
      </w:r>
      <w:r w:rsidRPr="00EA4ED4">
        <w:rPr>
          <w:rFonts w:cs="Arial"/>
        </w:rPr>
        <w:t xml:space="preserve">clearance distances for </w:t>
      </w:r>
      <w:r>
        <w:rPr>
          <w:rFonts w:cs="Arial"/>
        </w:rPr>
        <w:t xml:space="preserve">each of </w:t>
      </w:r>
      <w:r w:rsidRPr="00EA4ED4">
        <w:rPr>
          <w:rFonts w:cs="Arial"/>
        </w:rPr>
        <w:t xml:space="preserve">6.6kV, 11kV and 22kV </w:t>
      </w:r>
      <w:r>
        <w:rPr>
          <w:rFonts w:cs="Arial"/>
        </w:rPr>
        <w:t>operating voltages for LBRA</w:t>
      </w:r>
      <w:r w:rsidRPr="00EA4ED4">
        <w:rPr>
          <w:rFonts w:cs="Arial"/>
        </w:rPr>
        <w:t>.</w:t>
      </w:r>
    </w:p>
    <w:p w14:paraId="2AD08582" w14:textId="77777777" w:rsidR="000C06EF" w:rsidRPr="00EA4ED4" w:rsidRDefault="000C06EF" w:rsidP="00EA4ED4">
      <w:pPr>
        <w:spacing w:after="0"/>
        <w:rPr>
          <w:rFonts w:cs="Arial"/>
          <w:b/>
          <w:bCs/>
        </w:rPr>
      </w:pPr>
    </w:p>
    <w:p w14:paraId="4AD4E3AA" w14:textId="405227E0" w:rsidR="000455F6" w:rsidRPr="00EA4ED4" w:rsidRDefault="000455F6" w:rsidP="00EA4ED4">
      <w:pPr>
        <w:pStyle w:val="Heading2"/>
        <w:numPr>
          <w:ilvl w:val="0"/>
          <w:numId w:val="0"/>
        </w:numPr>
        <w:rPr>
          <w:szCs w:val="22"/>
        </w:rPr>
      </w:pPr>
      <w:bookmarkStart w:id="15" w:name="_Toc34405654"/>
      <w:r w:rsidRPr="00EA4ED4">
        <w:rPr>
          <w:szCs w:val="22"/>
        </w:rPr>
        <w:t>Outage and conductor down data</w:t>
      </w:r>
      <w:bookmarkEnd w:id="15"/>
    </w:p>
    <w:p w14:paraId="36BA318C" w14:textId="0C038B7B" w:rsidR="000455F6" w:rsidRPr="00EA4ED4" w:rsidRDefault="000C06EF" w:rsidP="00EA4ED4">
      <w:pPr>
        <w:rPr>
          <w:rFonts w:cs="Arial"/>
        </w:rPr>
      </w:pPr>
      <w:r w:rsidRPr="00EA4ED4">
        <w:rPr>
          <w:rFonts w:cs="Arial"/>
        </w:rPr>
        <w:t xml:space="preserve">The RIS references incident data that councils </w:t>
      </w:r>
      <w:r w:rsidR="00C602FD">
        <w:rPr>
          <w:rFonts w:cs="Arial"/>
        </w:rPr>
        <w:t>have not previously seen</w:t>
      </w:r>
      <w:r w:rsidRPr="00EA4ED4">
        <w:rPr>
          <w:rFonts w:cs="Arial"/>
        </w:rPr>
        <w:t xml:space="preserve">. The </w:t>
      </w:r>
      <w:r w:rsidR="00F11A2E" w:rsidRPr="00EA4ED4">
        <w:rPr>
          <w:rFonts w:cs="Arial"/>
        </w:rPr>
        <w:t>regulations</w:t>
      </w:r>
      <w:r w:rsidRPr="00EA4ED4">
        <w:rPr>
          <w:rFonts w:cs="Arial"/>
        </w:rPr>
        <w:t xml:space="preserve"> should require distribution businesses and / or </w:t>
      </w:r>
      <w:r w:rsidR="00472D50" w:rsidRPr="00EA4ED4">
        <w:rPr>
          <w:rFonts w:cs="Arial"/>
        </w:rPr>
        <w:t>ESV to provide</w:t>
      </w:r>
      <w:r w:rsidRPr="00EA4ED4">
        <w:rPr>
          <w:rFonts w:cs="Arial"/>
        </w:rPr>
        <w:t xml:space="preserve"> </w:t>
      </w:r>
      <w:r w:rsidR="003A5850" w:rsidRPr="00EA4ED4">
        <w:rPr>
          <w:rFonts w:cs="Arial"/>
        </w:rPr>
        <w:t xml:space="preserve">vegetation-related </w:t>
      </w:r>
      <w:r w:rsidR="00472D50" w:rsidRPr="00EA4ED4">
        <w:rPr>
          <w:rFonts w:cs="Arial"/>
        </w:rPr>
        <w:t>outage and conductor down dat</w:t>
      </w:r>
      <w:r w:rsidRPr="00EA4ED4">
        <w:rPr>
          <w:rFonts w:cs="Arial"/>
        </w:rPr>
        <w:t>a</w:t>
      </w:r>
      <w:r w:rsidR="003A5850" w:rsidRPr="00EA4ED4">
        <w:rPr>
          <w:rFonts w:cs="Arial"/>
        </w:rPr>
        <w:t xml:space="preserve"> to the relevant responsible person </w:t>
      </w:r>
      <w:r w:rsidRPr="00EA4ED4">
        <w:rPr>
          <w:rFonts w:cs="Arial"/>
        </w:rPr>
        <w:t xml:space="preserve">as soon as </w:t>
      </w:r>
      <w:r w:rsidR="003A5850" w:rsidRPr="00EA4ED4">
        <w:rPr>
          <w:rFonts w:cs="Arial"/>
        </w:rPr>
        <w:t xml:space="preserve">possible after the </w:t>
      </w:r>
      <w:r w:rsidR="00F11A2E" w:rsidRPr="00EA4ED4">
        <w:rPr>
          <w:rFonts w:cs="Arial"/>
        </w:rPr>
        <w:t>incident</w:t>
      </w:r>
      <w:r w:rsidRPr="00EA4ED4">
        <w:rPr>
          <w:rFonts w:cs="Arial"/>
        </w:rPr>
        <w:t>. This will assist councils to identify and manage potentially problematic vegetation and to better understand what, if any, risks their vegetation management practices pose to the electricity network.</w:t>
      </w:r>
      <w:r w:rsidR="003D1202">
        <w:rPr>
          <w:rFonts w:cs="Arial"/>
        </w:rPr>
        <w:t xml:space="preserve"> </w:t>
      </w:r>
      <w:r w:rsidR="00AA40FC">
        <w:rPr>
          <w:rFonts w:cs="Arial"/>
        </w:rPr>
        <w:t>Importantly</w:t>
      </w:r>
      <w:r w:rsidR="003D1202">
        <w:rPr>
          <w:rFonts w:cs="Arial"/>
        </w:rPr>
        <w:t xml:space="preserve">, if provided in a timely manner, it would also enable councils to interrogate </w:t>
      </w:r>
      <w:r w:rsidR="003D1202">
        <w:rPr>
          <w:rFonts w:cs="Arial"/>
        </w:rPr>
        <w:lastRenderedPageBreak/>
        <w:t>the integrity of the data. Councils report that there have been numerous instances where outages have been blamed on council trees where the tree was actually on private land or was compliant with the regulations.</w:t>
      </w:r>
    </w:p>
    <w:p w14:paraId="0933DB71" w14:textId="34AED264" w:rsidR="000C06EF" w:rsidRDefault="00F720C8" w:rsidP="00EA4ED4">
      <w:pPr>
        <w:spacing w:after="0"/>
        <w:rPr>
          <w:rFonts w:cs="Arial"/>
        </w:rPr>
      </w:pPr>
      <w:r>
        <w:rPr>
          <w:rFonts w:cs="Arial"/>
        </w:rPr>
        <w:t xml:space="preserve">RECOMMENDATION: that the </w:t>
      </w:r>
      <w:r w:rsidRPr="00EA4ED4">
        <w:rPr>
          <w:rFonts w:cs="Arial"/>
        </w:rPr>
        <w:t>regulations require distribution businesses and / or ESV to provide vegetation-related outage and conductor down data to the relevant responsible person as soon as possible after the incident</w:t>
      </w:r>
    </w:p>
    <w:p w14:paraId="76C3D0F3" w14:textId="77777777" w:rsidR="00F720C8" w:rsidRPr="00EA4ED4" w:rsidRDefault="00F720C8" w:rsidP="00EA4ED4">
      <w:pPr>
        <w:spacing w:after="0"/>
        <w:rPr>
          <w:rFonts w:cs="Arial"/>
        </w:rPr>
      </w:pPr>
    </w:p>
    <w:p w14:paraId="0F90BFA5" w14:textId="7B0BBD52" w:rsidR="000455F6" w:rsidRPr="00EA4ED4" w:rsidRDefault="00EA4ED4" w:rsidP="00EA4ED4">
      <w:pPr>
        <w:pStyle w:val="Heading2"/>
        <w:numPr>
          <w:ilvl w:val="0"/>
          <w:numId w:val="0"/>
        </w:numPr>
        <w:rPr>
          <w:szCs w:val="22"/>
        </w:rPr>
      </w:pPr>
      <w:bookmarkStart w:id="16" w:name="_Toc34405655"/>
      <w:r w:rsidRPr="00EA4ED4">
        <w:rPr>
          <w:szCs w:val="22"/>
        </w:rPr>
        <w:t>Exception clauses</w:t>
      </w:r>
      <w:bookmarkEnd w:id="16"/>
    </w:p>
    <w:p w14:paraId="7F8A721F" w14:textId="77777777" w:rsidR="004F704B" w:rsidRDefault="00EA4ED4" w:rsidP="00EA4ED4">
      <w:pPr>
        <w:rPr>
          <w:rFonts w:cs="Arial"/>
        </w:rPr>
      </w:pPr>
      <w:r w:rsidRPr="00EA4ED4">
        <w:rPr>
          <w:rFonts w:cs="Arial"/>
        </w:rPr>
        <w:t xml:space="preserve">The Code includes a number of exception clauses that allow vegetation to grow inside the minimum clearance space on the condition that a range of </w:t>
      </w:r>
      <w:r w:rsidR="00F11A2E" w:rsidRPr="00EA4ED4">
        <w:rPr>
          <w:rFonts w:cs="Arial"/>
        </w:rPr>
        <w:t>conditions</w:t>
      </w:r>
      <w:r w:rsidRPr="00EA4ED4">
        <w:rPr>
          <w:rFonts w:cs="Arial"/>
        </w:rPr>
        <w:t xml:space="preserve"> are met. </w:t>
      </w:r>
      <w:r w:rsidR="00F11A2E" w:rsidRPr="00EA4ED4">
        <w:rPr>
          <w:rFonts w:cs="Arial"/>
        </w:rPr>
        <w:t>Councils</w:t>
      </w:r>
      <w:r w:rsidRPr="00EA4ED4">
        <w:rPr>
          <w:rFonts w:cs="Arial"/>
        </w:rPr>
        <w:t xml:space="preserve"> note that the </w:t>
      </w:r>
      <w:r w:rsidR="00F11A2E" w:rsidRPr="00EA4ED4">
        <w:rPr>
          <w:rFonts w:cs="Arial"/>
        </w:rPr>
        <w:t>exception</w:t>
      </w:r>
      <w:r w:rsidRPr="00EA4ED4">
        <w:rPr>
          <w:rFonts w:cs="Arial"/>
        </w:rPr>
        <w:t xml:space="preserve"> clauses as drafted, and that currently exist, require the responsible person to undertake a number of actions “within the last 12 months”. </w:t>
      </w:r>
    </w:p>
    <w:p w14:paraId="5C4437D5" w14:textId="28347573" w:rsidR="00AC4E97" w:rsidRDefault="00F11A2E" w:rsidP="00EA4ED4">
      <w:pPr>
        <w:rPr>
          <w:rFonts w:cs="Arial"/>
        </w:rPr>
      </w:pPr>
      <w:r w:rsidRPr="00EA4ED4">
        <w:rPr>
          <w:rFonts w:cs="Arial"/>
        </w:rPr>
        <w:t>Councils</w:t>
      </w:r>
      <w:r w:rsidR="00EA4ED4" w:rsidRPr="00EA4ED4">
        <w:rPr>
          <w:rFonts w:cs="Arial"/>
        </w:rPr>
        <w:t xml:space="preserve"> request that this period be increased to 14 </w:t>
      </w:r>
      <w:r w:rsidRPr="00EA4ED4">
        <w:rPr>
          <w:rFonts w:cs="Arial"/>
        </w:rPr>
        <w:t>months</w:t>
      </w:r>
      <w:r w:rsidR="00EA4ED4" w:rsidRPr="00EA4ED4">
        <w:rPr>
          <w:rFonts w:cs="Arial"/>
        </w:rPr>
        <w:t xml:space="preserve"> to enable vegetation to be inspected on an annual cycle, with any remediation measures then able to be implemented within two months. This change would reflect </w:t>
      </w:r>
      <w:r w:rsidR="00C602FD">
        <w:rPr>
          <w:rFonts w:cs="Arial"/>
        </w:rPr>
        <w:t xml:space="preserve">existing </w:t>
      </w:r>
      <w:r w:rsidR="00EA4ED4" w:rsidRPr="00EA4ED4">
        <w:rPr>
          <w:rFonts w:cs="Arial"/>
        </w:rPr>
        <w:t xml:space="preserve">practice. </w:t>
      </w:r>
    </w:p>
    <w:p w14:paraId="2EF3C951" w14:textId="654E57F1" w:rsidR="00F720C8" w:rsidRPr="00EA4ED4" w:rsidRDefault="00F720C8" w:rsidP="00EA4ED4">
      <w:pPr>
        <w:rPr>
          <w:rFonts w:cs="Arial"/>
        </w:rPr>
      </w:pPr>
      <w:r>
        <w:rPr>
          <w:rFonts w:cs="Arial"/>
        </w:rPr>
        <w:t xml:space="preserve">RECOMMENDATION: that </w:t>
      </w:r>
      <w:r w:rsidRPr="00EA4ED4">
        <w:rPr>
          <w:rFonts w:cs="Arial"/>
        </w:rPr>
        <w:t xml:space="preserve">the exception clauses </w:t>
      </w:r>
      <w:r>
        <w:rPr>
          <w:rFonts w:cs="Arial"/>
        </w:rPr>
        <w:t xml:space="preserve">be amended to extend the period in which responsible persons must </w:t>
      </w:r>
      <w:r w:rsidRPr="00EA4ED4">
        <w:rPr>
          <w:rFonts w:cs="Arial"/>
        </w:rPr>
        <w:t>undertake a number of actions</w:t>
      </w:r>
      <w:r>
        <w:rPr>
          <w:rFonts w:cs="Arial"/>
        </w:rPr>
        <w:t xml:space="preserve"> from </w:t>
      </w:r>
      <w:r w:rsidRPr="00EA4ED4">
        <w:rPr>
          <w:rFonts w:cs="Arial"/>
        </w:rPr>
        <w:t>12 months</w:t>
      </w:r>
      <w:r>
        <w:rPr>
          <w:rFonts w:cs="Arial"/>
        </w:rPr>
        <w:t xml:space="preserve"> to 14 months</w:t>
      </w:r>
    </w:p>
    <w:p w14:paraId="6A6DEB54" w14:textId="6025784D" w:rsidR="00112521" w:rsidRPr="00AC4E97" w:rsidRDefault="00112521" w:rsidP="00EA4ED4">
      <w:pPr>
        <w:pStyle w:val="Heading1"/>
        <w:numPr>
          <w:ilvl w:val="0"/>
          <w:numId w:val="0"/>
        </w:numPr>
      </w:pPr>
      <w:bookmarkStart w:id="17" w:name="_Toc34405656"/>
      <w:r w:rsidRPr="00AC4E97">
        <w:t>ELCCC membership</w:t>
      </w:r>
      <w:bookmarkEnd w:id="17"/>
    </w:p>
    <w:p w14:paraId="0DD38959" w14:textId="61146AC7" w:rsidR="003A5850" w:rsidRDefault="003A5850" w:rsidP="00FD245B">
      <w:r>
        <w:t xml:space="preserve">Division 3 of the </w:t>
      </w:r>
      <w:r w:rsidRPr="009F7D5F">
        <w:rPr>
          <w:i/>
          <w:iCs/>
        </w:rPr>
        <w:t>Electricity Safety Act</w:t>
      </w:r>
      <w:r>
        <w:t xml:space="preserve"> provide</w:t>
      </w:r>
      <w:r w:rsidR="006203B2">
        <w:t>s</w:t>
      </w:r>
      <w:r>
        <w:t xml:space="preserve"> for the creation of </w:t>
      </w:r>
      <w:r w:rsidR="006203B2">
        <w:t>the</w:t>
      </w:r>
      <w:r>
        <w:t xml:space="preserve"> Electric Line </w:t>
      </w:r>
      <w:r w:rsidR="009F7D5F">
        <w:t xml:space="preserve">Clearance </w:t>
      </w:r>
      <w:r>
        <w:t xml:space="preserve">Consultative </w:t>
      </w:r>
      <w:r w:rsidR="00F11A2E">
        <w:t>Committee</w:t>
      </w:r>
      <w:r w:rsidR="009F7D5F">
        <w:t xml:space="preserve"> (ELCCC)</w:t>
      </w:r>
      <w:r>
        <w:t xml:space="preserve">. The Committee comprises 13 members appointed by the </w:t>
      </w:r>
      <w:r w:rsidR="00F11A2E">
        <w:t>Minister</w:t>
      </w:r>
      <w:r w:rsidR="009F7D5F">
        <w:t>. It</w:t>
      </w:r>
      <w:r>
        <w:t xml:space="preserve">s functions are to provide advice to ESV with regard to the preparation and maintenance of the Code; provide advice on any matter relating to the clearance of electric lines when requested so to do by </w:t>
      </w:r>
      <w:r w:rsidR="009F7D5F">
        <w:t>ESV</w:t>
      </w:r>
      <w:r>
        <w:t xml:space="preserve"> or the Minister; and report before 30 September each year to the Minister on the performance of its functions.</w:t>
      </w:r>
    </w:p>
    <w:p w14:paraId="5021821C" w14:textId="79BBBD4C" w:rsidR="0084151A" w:rsidRDefault="009F7D5F" w:rsidP="0084151A">
      <w:pPr>
        <w:tabs>
          <w:tab w:val="left" w:pos="363"/>
        </w:tabs>
        <w:rPr>
          <w:rFonts w:cs="Arial"/>
        </w:rPr>
      </w:pPr>
      <w:r>
        <w:t xml:space="preserve">From 2015 </w:t>
      </w:r>
      <w:r w:rsidR="00796193">
        <w:t xml:space="preserve">to </w:t>
      </w:r>
      <w:r>
        <w:t xml:space="preserve">early 2019 the Committee did not exist. </w:t>
      </w:r>
      <w:r w:rsidR="0084151A">
        <w:t>E</w:t>
      </w:r>
      <w:r>
        <w:t xml:space="preserve">xpressions of interest to be a member of the Committee were invited in </w:t>
      </w:r>
      <w:r w:rsidR="00F11A2E">
        <w:t>mid-2015</w:t>
      </w:r>
      <w:r w:rsidR="0084151A">
        <w:t>, with</w:t>
      </w:r>
      <w:r>
        <w:t xml:space="preserve"> the appointments announced some </w:t>
      </w:r>
      <w:r w:rsidR="00796193">
        <w:t>three and a half</w:t>
      </w:r>
      <w:r>
        <w:t xml:space="preserve"> years later. </w:t>
      </w:r>
      <w:r w:rsidR="0084151A" w:rsidRPr="1D95D326">
        <w:rPr>
          <w:rFonts w:cs="Arial"/>
        </w:rPr>
        <w:t xml:space="preserve">It is disappointing that the </w:t>
      </w:r>
      <w:r w:rsidR="00796193">
        <w:rPr>
          <w:rFonts w:cs="Arial"/>
        </w:rPr>
        <w:t>Government</w:t>
      </w:r>
      <w:r w:rsidR="0084151A" w:rsidRPr="1D95D326">
        <w:rPr>
          <w:rFonts w:cs="Arial"/>
        </w:rPr>
        <w:t xml:space="preserve"> did not appoint members to the Committee </w:t>
      </w:r>
      <w:r w:rsidR="0084151A">
        <w:rPr>
          <w:rFonts w:cs="Arial"/>
        </w:rPr>
        <w:t xml:space="preserve">in a timely manner </w:t>
      </w:r>
      <w:r w:rsidR="0084151A" w:rsidRPr="1D95D326">
        <w:rPr>
          <w:rFonts w:cs="Arial"/>
        </w:rPr>
        <w:t>to enable it to more effectively fulfil its dut</w:t>
      </w:r>
      <w:r w:rsidR="0084151A">
        <w:rPr>
          <w:rFonts w:cs="Arial"/>
        </w:rPr>
        <w:t xml:space="preserve">ies. </w:t>
      </w:r>
    </w:p>
    <w:p w14:paraId="4A8C037B" w14:textId="163970D8" w:rsidR="0084151A" w:rsidRDefault="0084151A" w:rsidP="0084151A">
      <w:pPr>
        <w:tabs>
          <w:tab w:val="left" w:pos="363"/>
        </w:tabs>
        <w:rPr>
          <w:rFonts w:cs="Arial"/>
        </w:rPr>
      </w:pPr>
      <w:r>
        <w:rPr>
          <w:rFonts w:cs="Arial"/>
        </w:rPr>
        <w:t>T</w:t>
      </w:r>
      <w:r w:rsidRPr="1D95D326">
        <w:rPr>
          <w:rFonts w:cs="Arial"/>
        </w:rPr>
        <w:t>he changes proposed to be included in the 2020 regulations essentially represent a tweaking of the current regulations. This is not unexpected given the</w:t>
      </w:r>
      <w:r>
        <w:rPr>
          <w:rFonts w:cs="Arial"/>
        </w:rPr>
        <w:t xml:space="preserve"> Committee</w:t>
      </w:r>
      <w:r w:rsidRPr="1D95D326">
        <w:rPr>
          <w:rFonts w:cs="Arial"/>
        </w:rPr>
        <w:t xml:space="preserve"> had limited opportunity to consider what, if any, more substantive changes should be made</w:t>
      </w:r>
      <w:r w:rsidR="0081299B">
        <w:rPr>
          <w:rFonts w:cs="Arial"/>
        </w:rPr>
        <w:t xml:space="preserve"> prior to expiry of the current regulations on 28 June 2020.</w:t>
      </w:r>
    </w:p>
    <w:p w14:paraId="15F59B55" w14:textId="2CC13EBB" w:rsidR="0084151A" w:rsidRDefault="003A5850" w:rsidP="00FD245B">
      <w:r>
        <w:t xml:space="preserve">Currently the </w:t>
      </w:r>
      <w:r w:rsidR="009F7D5F">
        <w:t xml:space="preserve">Act provides for the </w:t>
      </w:r>
      <w:r>
        <w:t xml:space="preserve">Committee </w:t>
      </w:r>
      <w:r w:rsidR="009F7D5F">
        <w:t xml:space="preserve">to be </w:t>
      </w:r>
      <w:r w:rsidR="0084151A">
        <w:t xml:space="preserve">comprised of </w:t>
      </w:r>
      <w:r>
        <w:t xml:space="preserve">one </w:t>
      </w:r>
      <w:r w:rsidR="00F11A2E">
        <w:t>representative</w:t>
      </w:r>
      <w:r>
        <w:t xml:space="preserve"> each for VicRoads</w:t>
      </w:r>
      <w:r w:rsidR="005A45F0">
        <w:t xml:space="preserve"> (now Department of Transport)</w:t>
      </w:r>
      <w:r>
        <w:t>, the CFA (now Fire Rescue Victoria), the Department of Environment, Land, Water and Planning (DELWP), and local government. The Minister for Planning nominates one member</w:t>
      </w:r>
      <w:r w:rsidR="009F7D5F">
        <w:t xml:space="preserve"> as does the Minister for Environment. P</w:t>
      </w:r>
      <w:r>
        <w:t xml:space="preserve">rivate </w:t>
      </w:r>
      <w:r w:rsidR="00F11A2E">
        <w:t>landowners</w:t>
      </w:r>
      <w:r>
        <w:t xml:space="preserve"> </w:t>
      </w:r>
      <w:r>
        <w:lastRenderedPageBreak/>
        <w:t>have t</w:t>
      </w:r>
      <w:r w:rsidR="009F7D5F">
        <w:t>wo</w:t>
      </w:r>
      <w:r>
        <w:t xml:space="preserve"> </w:t>
      </w:r>
      <w:r w:rsidR="00F11A2E">
        <w:t>representatives</w:t>
      </w:r>
      <w:r>
        <w:t xml:space="preserve"> and the distribution businesses and transmi</w:t>
      </w:r>
      <w:r w:rsidR="00F11A2E">
        <w:t>ss</w:t>
      </w:r>
      <w:r>
        <w:t xml:space="preserve">ion companies have </w:t>
      </w:r>
      <w:r w:rsidR="009F7D5F">
        <w:t xml:space="preserve">four </w:t>
      </w:r>
      <w:r w:rsidR="00F11A2E">
        <w:t>representatives</w:t>
      </w:r>
      <w:r w:rsidR="009F7D5F">
        <w:t>.</w:t>
      </w:r>
    </w:p>
    <w:p w14:paraId="47D2169F" w14:textId="4BD22BE8" w:rsidR="009F7D5F" w:rsidRDefault="0084151A" w:rsidP="00FD245B">
      <w:r>
        <w:t xml:space="preserve">The constitution of the committee is </w:t>
      </w:r>
      <w:r w:rsidR="00F11A2E">
        <w:t>outdated</w:t>
      </w:r>
      <w:r>
        <w:t xml:space="preserve"> and ne</w:t>
      </w:r>
      <w:r w:rsidR="00C602FD">
        <w:t>ed</w:t>
      </w:r>
      <w:r>
        <w:t xml:space="preserve">s to be reviewed as a matter of priority. </w:t>
      </w:r>
      <w:r w:rsidR="00222FD7">
        <w:t xml:space="preserve">The </w:t>
      </w:r>
      <w:r>
        <w:t xml:space="preserve">VicRoads </w:t>
      </w:r>
      <w:r w:rsidR="00222FD7">
        <w:t xml:space="preserve">representative </w:t>
      </w:r>
      <w:r>
        <w:t xml:space="preserve">rarely, if ever, attends meetings. </w:t>
      </w:r>
      <w:r w:rsidR="009F7D5F">
        <w:t xml:space="preserve">Following changes to the Act a few years ago, </w:t>
      </w:r>
      <w:r>
        <w:t>it</w:t>
      </w:r>
      <w:r w:rsidR="009F7D5F">
        <w:t xml:space="preserve"> no longer has line clearance responsibilities</w:t>
      </w:r>
      <w:r>
        <w:t xml:space="preserve">. </w:t>
      </w:r>
      <w:r w:rsidR="009F7D5F">
        <w:t>Likewise, the Minister for Planning and the Minister for Environment’s nominees rarely</w:t>
      </w:r>
      <w:r w:rsidR="00EA4ED4">
        <w:t>, if ever,</w:t>
      </w:r>
      <w:r w:rsidR="009F7D5F">
        <w:t xml:space="preserve"> attend. </w:t>
      </w:r>
      <w:r>
        <w:t xml:space="preserve">The distribution businesses and transmission companies dominate the committee in terms of numbers. </w:t>
      </w:r>
    </w:p>
    <w:p w14:paraId="0FC86072" w14:textId="751814AF" w:rsidR="003A5850" w:rsidRDefault="0084151A" w:rsidP="003A5850">
      <w:r>
        <w:t>G</w:t>
      </w:r>
      <w:r w:rsidR="003A5850">
        <w:t>reater local government representation on the committee</w:t>
      </w:r>
      <w:r>
        <w:t xml:space="preserve"> is urgently needed</w:t>
      </w:r>
      <w:r w:rsidR="003A5850">
        <w:t xml:space="preserve">. </w:t>
      </w:r>
      <w:r w:rsidR="00F11A2E">
        <w:t>Likewise</w:t>
      </w:r>
      <w:r w:rsidR="00EA4ED4">
        <w:t>, given the increased understanding of the value and importance of trees in our urban area</w:t>
      </w:r>
      <w:r w:rsidR="00C602FD">
        <w:t>s</w:t>
      </w:r>
      <w:r w:rsidR="00EA4ED4">
        <w:t xml:space="preserve">, consideration should be given to appointing an independent expert in arboriculture. </w:t>
      </w:r>
    </w:p>
    <w:p w14:paraId="32A20014" w14:textId="02A041C7" w:rsidR="0081299B" w:rsidRPr="000F4CDC" w:rsidRDefault="0081299B" w:rsidP="003A5850">
      <w:pPr>
        <w:rPr>
          <w:szCs w:val="20"/>
        </w:rPr>
      </w:pPr>
      <w:r>
        <w:t xml:space="preserve">RECOMMENDATION: that Division 3 of the </w:t>
      </w:r>
      <w:r w:rsidRPr="009F7D5F">
        <w:rPr>
          <w:i/>
          <w:iCs/>
        </w:rPr>
        <w:t>Electricity Safety Act</w:t>
      </w:r>
      <w:r>
        <w:rPr>
          <w:i/>
          <w:iCs/>
        </w:rPr>
        <w:t xml:space="preserve"> </w:t>
      </w:r>
      <w:r>
        <w:t xml:space="preserve">be amended to provide for an Electric Line Clearance Consultative Committee that includes greater local government representation and at least one arboriculture expert. </w:t>
      </w:r>
    </w:p>
    <w:sectPr w:rsidR="0081299B" w:rsidRPr="000F4CDC" w:rsidSect="00921283">
      <w:headerReference w:type="default" r:id="rId16"/>
      <w:footerReference w:type="default" r:id="rId17"/>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A182" w14:textId="77777777" w:rsidR="001224CA" w:rsidRDefault="001224CA" w:rsidP="00286BB4">
      <w:pPr>
        <w:spacing w:after="0" w:line="240" w:lineRule="auto"/>
      </w:pPr>
      <w:r>
        <w:separator/>
      </w:r>
    </w:p>
  </w:endnote>
  <w:endnote w:type="continuationSeparator" w:id="0">
    <w:p w14:paraId="2AEC50B7" w14:textId="77777777" w:rsidR="001224CA" w:rsidRDefault="001224CA" w:rsidP="00286BB4">
      <w:pPr>
        <w:spacing w:after="0" w:line="240" w:lineRule="auto"/>
      </w:pPr>
      <w:r>
        <w:continuationSeparator/>
      </w:r>
    </w:p>
  </w:endnote>
  <w:endnote w:type="continuationNotice" w:id="1">
    <w:p w14:paraId="4D57B4DC" w14:textId="77777777" w:rsidR="001224CA" w:rsidRDefault="00122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0102C" w14:textId="49ECF5A9" w:rsidR="001C07ED" w:rsidRPr="000453D9" w:rsidRDefault="001C07ED" w:rsidP="000453D9">
    <w:pPr>
      <w:pStyle w:val="Footer"/>
      <w:rPr>
        <w:rFonts w:cs="Arial"/>
        <w:sz w:val="18"/>
        <w:szCs w:val="18"/>
      </w:rPr>
    </w:pPr>
    <w:r>
      <w:fldChar w:fldCharType="begin"/>
    </w:r>
    <w:r>
      <w:instrText xml:space="preserve"> PAGE   \* MERGEFORMAT </w:instrText>
    </w:r>
    <w:r>
      <w:fldChar w:fldCharType="separate"/>
    </w:r>
    <w:r>
      <w:rPr>
        <w:noProof/>
      </w:rPr>
      <w:t>6</w:t>
    </w:r>
    <w:r>
      <w:rPr>
        <w:noProof/>
      </w:rPr>
      <w:fldChar w:fldCharType="end"/>
    </w:r>
    <w:r>
      <w:tab/>
    </w:r>
    <w:r>
      <w:tab/>
    </w:r>
  </w:p>
  <w:p w14:paraId="7B6925DF" w14:textId="77777777" w:rsidR="001C07ED" w:rsidRDefault="001C07ED"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592AA" w14:textId="77777777" w:rsidR="001224CA" w:rsidRDefault="001224CA" w:rsidP="00286BB4">
      <w:pPr>
        <w:spacing w:after="0" w:line="240" w:lineRule="auto"/>
      </w:pPr>
      <w:r>
        <w:separator/>
      </w:r>
    </w:p>
  </w:footnote>
  <w:footnote w:type="continuationSeparator" w:id="0">
    <w:p w14:paraId="1D32FF59" w14:textId="77777777" w:rsidR="001224CA" w:rsidRDefault="001224CA" w:rsidP="00286BB4">
      <w:pPr>
        <w:spacing w:after="0" w:line="240" w:lineRule="auto"/>
      </w:pPr>
      <w:r>
        <w:continuationSeparator/>
      </w:r>
    </w:p>
  </w:footnote>
  <w:footnote w:type="continuationNotice" w:id="1">
    <w:p w14:paraId="29942136" w14:textId="77777777" w:rsidR="001224CA" w:rsidRDefault="00122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1959" w14:textId="77777777" w:rsidR="001C07ED" w:rsidRDefault="001C07ED" w:rsidP="00C4007E">
    <w:pPr>
      <w:pStyle w:val="Header"/>
      <w:jc w:val="right"/>
    </w:pPr>
    <w:r>
      <w:rPr>
        <w:noProof/>
        <w:lang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A83D" w14:textId="29D58360" w:rsidR="001C07ED" w:rsidRDefault="001C07ED" w:rsidP="00940288">
    <w:pPr>
      <w:pStyle w:val="Header"/>
      <w:jc w:val="right"/>
    </w:pPr>
    <w:r>
      <w:rPr>
        <w:noProof/>
        <w:lang w:eastAsia="en-AU"/>
      </w:rPr>
      <w:drawing>
        <wp:inline distT="0" distB="0" distL="0" distR="0" wp14:anchorId="40DBAD72" wp14:editId="4699C39C">
          <wp:extent cx="1685925" cy="628015"/>
          <wp:effectExtent l="19050" t="0" r="9525" b="0"/>
          <wp:docPr id="5"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p w14:paraId="1693EEF3" w14:textId="77777777" w:rsidR="001C07ED" w:rsidRPr="003F511B" w:rsidRDefault="001C07ED" w:rsidP="00940288">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1AB7"/>
    <w:multiLevelType w:val="hybridMultilevel"/>
    <w:tmpl w:val="91F26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0D3AA4"/>
    <w:multiLevelType w:val="hybridMultilevel"/>
    <w:tmpl w:val="BA085B3A"/>
    <w:lvl w:ilvl="0" w:tplc="44109CCE">
      <w:start w:val="1"/>
      <w:numFmt w:val="lowerRoman"/>
      <w:lvlText w:val="(%1)"/>
      <w:lvlJc w:val="left"/>
      <w:pPr>
        <w:ind w:left="162" w:hanging="260"/>
        <w:jc w:val="left"/>
      </w:pPr>
      <w:rPr>
        <w:rFonts w:ascii="Verdana" w:eastAsia="Verdana" w:hAnsi="Verdana" w:cs="Verdana" w:hint="default"/>
        <w:spacing w:val="-2"/>
        <w:w w:val="100"/>
        <w:sz w:val="17"/>
        <w:szCs w:val="17"/>
        <w:lang w:val="en-AU" w:eastAsia="en-AU" w:bidi="en-AU"/>
      </w:rPr>
    </w:lvl>
    <w:lvl w:ilvl="1" w:tplc="00FC072A">
      <w:numFmt w:val="bullet"/>
      <w:lvlText w:val="•"/>
      <w:lvlJc w:val="left"/>
      <w:pPr>
        <w:ind w:left="760" w:hanging="260"/>
      </w:pPr>
      <w:rPr>
        <w:rFonts w:hint="default"/>
        <w:lang w:val="en-AU" w:eastAsia="en-AU" w:bidi="en-AU"/>
      </w:rPr>
    </w:lvl>
    <w:lvl w:ilvl="2" w:tplc="30BC1182">
      <w:numFmt w:val="bullet"/>
      <w:lvlText w:val="•"/>
      <w:lvlJc w:val="left"/>
      <w:pPr>
        <w:ind w:left="1360" w:hanging="260"/>
      </w:pPr>
      <w:rPr>
        <w:rFonts w:hint="default"/>
        <w:lang w:val="en-AU" w:eastAsia="en-AU" w:bidi="en-AU"/>
      </w:rPr>
    </w:lvl>
    <w:lvl w:ilvl="3" w:tplc="0E926C10">
      <w:numFmt w:val="bullet"/>
      <w:lvlText w:val="•"/>
      <w:lvlJc w:val="left"/>
      <w:pPr>
        <w:ind w:left="1960" w:hanging="260"/>
      </w:pPr>
      <w:rPr>
        <w:rFonts w:hint="default"/>
        <w:lang w:val="en-AU" w:eastAsia="en-AU" w:bidi="en-AU"/>
      </w:rPr>
    </w:lvl>
    <w:lvl w:ilvl="4" w:tplc="2AF67AA4">
      <w:numFmt w:val="bullet"/>
      <w:lvlText w:val="•"/>
      <w:lvlJc w:val="left"/>
      <w:pPr>
        <w:ind w:left="2560" w:hanging="260"/>
      </w:pPr>
      <w:rPr>
        <w:rFonts w:hint="default"/>
        <w:lang w:val="en-AU" w:eastAsia="en-AU" w:bidi="en-AU"/>
      </w:rPr>
    </w:lvl>
    <w:lvl w:ilvl="5" w:tplc="83745EA0">
      <w:numFmt w:val="bullet"/>
      <w:lvlText w:val="•"/>
      <w:lvlJc w:val="left"/>
      <w:pPr>
        <w:ind w:left="3160" w:hanging="260"/>
      </w:pPr>
      <w:rPr>
        <w:rFonts w:hint="default"/>
        <w:lang w:val="en-AU" w:eastAsia="en-AU" w:bidi="en-AU"/>
      </w:rPr>
    </w:lvl>
    <w:lvl w:ilvl="6" w:tplc="9B5A6350">
      <w:numFmt w:val="bullet"/>
      <w:lvlText w:val="•"/>
      <w:lvlJc w:val="left"/>
      <w:pPr>
        <w:ind w:left="3760" w:hanging="260"/>
      </w:pPr>
      <w:rPr>
        <w:rFonts w:hint="default"/>
        <w:lang w:val="en-AU" w:eastAsia="en-AU" w:bidi="en-AU"/>
      </w:rPr>
    </w:lvl>
    <w:lvl w:ilvl="7" w:tplc="8EDCF1FA">
      <w:numFmt w:val="bullet"/>
      <w:lvlText w:val="•"/>
      <w:lvlJc w:val="left"/>
      <w:pPr>
        <w:ind w:left="4360" w:hanging="260"/>
      </w:pPr>
      <w:rPr>
        <w:rFonts w:hint="default"/>
        <w:lang w:val="en-AU" w:eastAsia="en-AU" w:bidi="en-AU"/>
      </w:rPr>
    </w:lvl>
    <w:lvl w:ilvl="8" w:tplc="AB1AB826">
      <w:numFmt w:val="bullet"/>
      <w:lvlText w:val="•"/>
      <w:lvlJc w:val="left"/>
      <w:pPr>
        <w:ind w:left="4960" w:hanging="260"/>
      </w:pPr>
      <w:rPr>
        <w:rFonts w:hint="default"/>
        <w:lang w:val="en-AU" w:eastAsia="en-AU" w:bidi="en-AU"/>
      </w:rPr>
    </w:lvl>
  </w:abstractNum>
  <w:abstractNum w:abstractNumId="2" w15:restartNumberingAfterBreak="0">
    <w:nsid w:val="1BDC74EA"/>
    <w:multiLevelType w:val="hybridMultilevel"/>
    <w:tmpl w:val="FFFFFFFF"/>
    <w:lvl w:ilvl="0" w:tplc="26387B3A">
      <w:start w:val="1"/>
      <w:numFmt w:val="bullet"/>
      <w:lvlText w:val=""/>
      <w:lvlJc w:val="left"/>
      <w:pPr>
        <w:ind w:left="720" w:hanging="360"/>
      </w:pPr>
      <w:rPr>
        <w:rFonts w:ascii="Symbol" w:hAnsi="Symbol" w:hint="default"/>
      </w:rPr>
    </w:lvl>
    <w:lvl w:ilvl="1" w:tplc="EB085A9E">
      <w:start w:val="1"/>
      <w:numFmt w:val="bullet"/>
      <w:lvlText w:val="o"/>
      <w:lvlJc w:val="left"/>
      <w:pPr>
        <w:ind w:left="1440" w:hanging="360"/>
      </w:pPr>
      <w:rPr>
        <w:rFonts w:ascii="Courier New" w:hAnsi="Courier New" w:hint="default"/>
      </w:rPr>
    </w:lvl>
    <w:lvl w:ilvl="2" w:tplc="C98E0258">
      <w:start w:val="1"/>
      <w:numFmt w:val="bullet"/>
      <w:lvlText w:val=""/>
      <w:lvlJc w:val="left"/>
      <w:pPr>
        <w:ind w:left="2160" w:hanging="360"/>
      </w:pPr>
      <w:rPr>
        <w:rFonts w:ascii="Wingdings" w:hAnsi="Wingdings" w:hint="default"/>
      </w:rPr>
    </w:lvl>
    <w:lvl w:ilvl="3" w:tplc="2E36493E">
      <w:start w:val="1"/>
      <w:numFmt w:val="bullet"/>
      <w:lvlText w:val=""/>
      <w:lvlJc w:val="left"/>
      <w:pPr>
        <w:ind w:left="2880" w:hanging="360"/>
      </w:pPr>
      <w:rPr>
        <w:rFonts w:ascii="Symbol" w:hAnsi="Symbol" w:hint="default"/>
      </w:rPr>
    </w:lvl>
    <w:lvl w:ilvl="4" w:tplc="2BC8E42A">
      <w:start w:val="1"/>
      <w:numFmt w:val="bullet"/>
      <w:lvlText w:val="o"/>
      <w:lvlJc w:val="left"/>
      <w:pPr>
        <w:ind w:left="3600" w:hanging="360"/>
      </w:pPr>
      <w:rPr>
        <w:rFonts w:ascii="Courier New" w:hAnsi="Courier New" w:hint="default"/>
      </w:rPr>
    </w:lvl>
    <w:lvl w:ilvl="5" w:tplc="9B2EA91C">
      <w:start w:val="1"/>
      <w:numFmt w:val="bullet"/>
      <w:lvlText w:val=""/>
      <w:lvlJc w:val="left"/>
      <w:pPr>
        <w:ind w:left="4320" w:hanging="360"/>
      </w:pPr>
      <w:rPr>
        <w:rFonts w:ascii="Wingdings" w:hAnsi="Wingdings" w:hint="default"/>
      </w:rPr>
    </w:lvl>
    <w:lvl w:ilvl="6" w:tplc="093EFF22">
      <w:start w:val="1"/>
      <w:numFmt w:val="bullet"/>
      <w:lvlText w:val=""/>
      <w:lvlJc w:val="left"/>
      <w:pPr>
        <w:ind w:left="5040" w:hanging="360"/>
      </w:pPr>
      <w:rPr>
        <w:rFonts w:ascii="Symbol" w:hAnsi="Symbol" w:hint="default"/>
      </w:rPr>
    </w:lvl>
    <w:lvl w:ilvl="7" w:tplc="742E8198">
      <w:start w:val="1"/>
      <w:numFmt w:val="bullet"/>
      <w:lvlText w:val="o"/>
      <w:lvlJc w:val="left"/>
      <w:pPr>
        <w:ind w:left="5760" w:hanging="360"/>
      </w:pPr>
      <w:rPr>
        <w:rFonts w:ascii="Courier New" w:hAnsi="Courier New" w:hint="default"/>
      </w:rPr>
    </w:lvl>
    <w:lvl w:ilvl="8" w:tplc="1FD203EA">
      <w:start w:val="1"/>
      <w:numFmt w:val="bullet"/>
      <w:lvlText w:val=""/>
      <w:lvlJc w:val="left"/>
      <w:pPr>
        <w:ind w:left="6480" w:hanging="360"/>
      </w:pPr>
      <w:rPr>
        <w:rFonts w:ascii="Wingdings" w:hAnsi="Wingdings" w:hint="default"/>
      </w:rPr>
    </w:lvl>
  </w:abstractNum>
  <w:abstractNum w:abstractNumId="3" w15:restartNumberingAfterBreak="0">
    <w:nsid w:val="26A959BE"/>
    <w:multiLevelType w:val="hybridMultilevel"/>
    <w:tmpl w:val="2696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76888"/>
    <w:multiLevelType w:val="hybridMultilevel"/>
    <w:tmpl w:val="5FEEA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6F3251"/>
    <w:multiLevelType w:val="hybridMultilevel"/>
    <w:tmpl w:val="A6F6B6CA"/>
    <w:lvl w:ilvl="0" w:tplc="6BA05C1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762282"/>
    <w:multiLevelType w:val="hybridMultilevel"/>
    <w:tmpl w:val="041AA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C82E6E"/>
    <w:multiLevelType w:val="hybridMultilevel"/>
    <w:tmpl w:val="E7DA53B4"/>
    <w:lvl w:ilvl="0" w:tplc="B2A86A4A">
      <w:start w:val="1"/>
      <w:numFmt w:val="bullet"/>
      <w:lvlText w:val=""/>
      <w:lvlJc w:val="left"/>
      <w:pPr>
        <w:ind w:left="720" w:hanging="360"/>
      </w:pPr>
      <w:rPr>
        <w:rFonts w:ascii="Symbol" w:hAnsi="Symbol" w:hint="default"/>
      </w:rPr>
    </w:lvl>
    <w:lvl w:ilvl="1" w:tplc="F18ACCB2">
      <w:start w:val="1"/>
      <w:numFmt w:val="bullet"/>
      <w:lvlText w:val="o"/>
      <w:lvlJc w:val="left"/>
      <w:pPr>
        <w:ind w:left="1440" w:hanging="360"/>
      </w:pPr>
      <w:rPr>
        <w:rFonts w:ascii="Courier New" w:hAnsi="Courier New" w:hint="default"/>
      </w:rPr>
    </w:lvl>
    <w:lvl w:ilvl="2" w:tplc="8354C5B2">
      <w:start w:val="1"/>
      <w:numFmt w:val="bullet"/>
      <w:lvlText w:val=""/>
      <w:lvlJc w:val="left"/>
      <w:pPr>
        <w:ind w:left="2160" w:hanging="360"/>
      </w:pPr>
      <w:rPr>
        <w:rFonts w:ascii="Wingdings" w:hAnsi="Wingdings" w:hint="default"/>
      </w:rPr>
    </w:lvl>
    <w:lvl w:ilvl="3" w:tplc="F78E8F38">
      <w:start w:val="1"/>
      <w:numFmt w:val="bullet"/>
      <w:lvlText w:val=""/>
      <w:lvlJc w:val="left"/>
      <w:pPr>
        <w:ind w:left="2880" w:hanging="360"/>
      </w:pPr>
      <w:rPr>
        <w:rFonts w:ascii="Symbol" w:hAnsi="Symbol" w:hint="default"/>
      </w:rPr>
    </w:lvl>
    <w:lvl w:ilvl="4" w:tplc="BB924584">
      <w:start w:val="1"/>
      <w:numFmt w:val="bullet"/>
      <w:lvlText w:val="o"/>
      <w:lvlJc w:val="left"/>
      <w:pPr>
        <w:ind w:left="3600" w:hanging="360"/>
      </w:pPr>
      <w:rPr>
        <w:rFonts w:ascii="Courier New" w:hAnsi="Courier New" w:hint="default"/>
      </w:rPr>
    </w:lvl>
    <w:lvl w:ilvl="5" w:tplc="2E92070C">
      <w:start w:val="1"/>
      <w:numFmt w:val="bullet"/>
      <w:lvlText w:val=""/>
      <w:lvlJc w:val="left"/>
      <w:pPr>
        <w:ind w:left="4320" w:hanging="360"/>
      </w:pPr>
      <w:rPr>
        <w:rFonts w:ascii="Wingdings" w:hAnsi="Wingdings" w:hint="default"/>
      </w:rPr>
    </w:lvl>
    <w:lvl w:ilvl="6" w:tplc="D2208E26">
      <w:start w:val="1"/>
      <w:numFmt w:val="bullet"/>
      <w:lvlText w:val=""/>
      <w:lvlJc w:val="left"/>
      <w:pPr>
        <w:ind w:left="5040" w:hanging="360"/>
      </w:pPr>
      <w:rPr>
        <w:rFonts w:ascii="Symbol" w:hAnsi="Symbol" w:hint="default"/>
      </w:rPr>
    </w:lvl>
    <w:lvl w:ilvl="7" w:tplc="E5243F82">
      <w:start w:val="1"/>
      <w:numFmt w:val="bullet"/>
      <w:lvlText w:val="o"/>
      <w:lvlJc w:val="left"/>
      <w:pPr>
        <w:ind w:left="5760" w:hanging="360"/>
      </w:pPr>
      <w:rPr>
        <w:rFonts w:ascii="Courier New" w:hAnsi="Courier New" w:hint="default"/>
      </w:rPr>
    </w:lvl>
    <w:lvl w:ilvl="8" w:tplc="B81A4358">
      <w:start w:val="1"/>
      <w:numFmt w:val="bullet"/>
      <w:lvlText w:val=""/>
      <w:lvlJc w:val="left"/>
      <w:pPr>
        <w:ind w:left="6480" w:hanging="360"/>
      </w:pPr>
      <w:rPr>
        <w:rFonts w:ascii="Wingdings" w:hAnsi="Wingdings" w:hint="default"/>
      </w:rPr>
    </w:lvl>
  </w:abstractNum>
  <w:abstractNum w:abstractNumId="12"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882554"/>
    <w:multiLevelType w:val="hybridMultilevel"/>
    <w:tmpl w:val="86EA564A"/>
    <w:lvl w:ilvl="0" w:tplc="DB3C24DA">
      <w:start w:val="1"/>
      <w:numFmt w:val="decimal"/>
      <w:lvlText w:val="%1."/>
      <w:lvlJc w:val="left"/>
      <w:pPr>
        <w:ind w:left="720" w:hanging="360"/>
      </w:pPr>
      <w:rPr>
        <w:color w:val="FF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5"/>
  </w:num>
  <w:num w:numId="3">
    <w:abstractNumId w:val="12"/>
  </w:num>
  <w:num w:numId="4">
    <w:abstractNumId w:val="9"/>
  </w:num>
  <w:num w:numId="5">
    <w:abstractNumId w:val="10"/>
  </w:num>
  <w:num w:numId="6">
    <w:abstractNumId w:val="9"/>
    <w:lvlOverride w:ilvl="0">
      <w:startOverride w:val="1"/>
    </w:lvlOverride>
  </w:num>
  <w:num w:numId="7">
    <w:abstractNumId w:val="8"/>
  </w:num>
  <w:num w:numId="8">
    <w:abstractNumId w:val="1"/>
  </w:num>
  <w:num w:numId="9">
    <w:abstractNumId w:val="9"/>
    <w:lvlOverride w:ilvl="0">
      <w:startOverride w:val="1"/>
    </w:lvlOverride>
  </w:num>
  <w:num w:numId="10">
    <w:abstractNumId w:val="6"/>
  </w:num>
  <w:num w:numId="11">
    <w:abstractNumId w:val="10"/>
  </w:num>
  <w:num w:numId="12">
    <w:abstractNumId w:val="0"/>
  </w:num>
  <w:num w:numId="13">
    <w:abstractNumId w:val="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2"/>
    <w:rsid w:val="000009C7"/>
    <w:rsid w:val="00000F3F"/>
    <w:rsid w:val="000046C5"/>
    <w:rsid w:val="00005B13"/>
    <w:rsid w:val="00013BE2"/>
    <w:rsid w:val="0001479D"/>
    <w:rsid w:val="00017E0B"/>
    <w:rsid w:val="00017E4E"/>
    <w:rsid w:val="00020584"/>
    <w:rsid w:val="00021B4D"/>
    <w:rsid w:val="00022141"/>
    <w:rsid w:val="0002686B"/>
    <w:rsid w:val="00026BC7"/>
    <w:rsid w:val="00037D81"/>
    <w:rsid w:val="00040F1F"/>
    <w:rsid w:val="000412C1"/>
    <w:rsid w:val="00041EFA"/>
    <w:rsid w:val="000453D9"/>
    <w:rsid w:val="000455F6"/>
    <w:rsid w:val="000465F2"/>
    <w:rsid w:val="00064396"/>
    <w:rsid w:val="000807D5"/>
    <w:rsid w:val="00081754"/>
    <w:rsid w:val="00091F0D"/>
    <w:rsid w:val="00092E8F"/>
    <w:rsid w:val="000954EC"/>
    <w:rsid w:val="000A2388"/>
    <w:rsid w:val="000A29A5"/>
    <w:rsid w:val="000A5A0D"/>
    <w:rsid w:val="000B3A37"/>
    <w:rsid w:val="000C06EF"/>
    <w:rsid w:val="000C2C54"/>
    <w:rsid w:val="000C3436"/>
    <w:rsid w:val="000C5159"/>
    <w:rsid w:val="000C78C0"/>
    <w:rsid w:val="000E4EAF"/>
    <w:rsid w:val="000E5B62"/>
    <w:rsid w:val="000F22F1"/>
    <w:rsid w:val="000F4CDC"/>
    <w:rsid w:val="000F4EB3"/>
    <w:rsid w:val="000F589C"/>
    <w:rsid w:val="001122C4"/>
    <w:rsid w:val="00112521"/>
    <w:rsid w:val="00117E72"/>
    <w:rsid w:val="001224CA"/>
    <w:rsid w:val="00123F38"/>
    <w:rsid w:val="00125755"/>
    <w:rsid w:val="00132C55"/>
    <w:rsid w:val="00132D7D"/>
    <w:rsid w:val="00134B62"/>
    <w:rsid w:val="001357F8"/>
    <w:rsid w:val="001360A1"/>
    <w:rsid w:val="001379A9"/>
    <w:rsid w:val="00137A08"/>
    <w:rsid w:val="00150BB7"/>
    <w:rsid w:val="00152827"/>
    <w:rsid w:val="00153BA6"/>
    <w:rsid w:val="00155B76"/>
    <w:rsid w:val="001605EC"/>
    <w:rsid w:val="00160E73"/>
    <w:rsid w:val="00162A3D"/>
    <w:rsid w:val="00165013"/>
    <w:rsid w:val="001667C7"/>
    <w:rsid w:val="00167B02"/>
    <w:rsid w:val="00170172"/>
    <w:rsid w:val="00172256"/>
    <w:rsid w:val="001770B6"/>
    <w:rsid w:val="001779EC"/>
    <w:rsid w:val="00182B22"/>
    <w:rsid w:val="00185DE9"/>
    <w:rsid w:val="001900BE"/>
    <w:rsid w:val="001A09DA"/>
    <w:rsid w:val="001A0F48"/>
    <w:rsid w:val="001A293F"/>
    <w:rsid w:val="001A5362"/>
    <w:rsid w:val="001A72C9"/>
    <w:rsid w:val="001B0F7D"/>
    <w:rsid w:val="001B6A0A"/>
    <w:rsid w:val="001C07ED"/>
    <w:rsid w:val="001C0A22"/>
    <w:rsid w:val="001C199B"/>
    <w:rsid w:val="001C5B6C"/>
    <w:rsid w:val="001C75F2"/>
    <w:rsid w:val="001D02AF"/>
    <w:rsid w:val="001D05AC"/>
    <w:rsid w:val="001D76FC"/>
    <w:rsid w:val="001D7B2E"/>
    <w:rsid w:val="001D7BB7"/>
    <w:rsid w:val="001E0889"/>
    <w:rsid w:val="001E3D67"/>
    <w:rsid w:val="001E51D6"/>
    <w:rsid w:val="001F0A99"/>
    <w:rsid w:val="001F0B52"/>
    <w:rsid w:val="001F3D8A"/>
    <w:rsid w:val="001F6510"/>
    <w:rsid w:val="001F7A36"/>
    <w:rsid w:val="002012CC"/>
    <w:rsid w:val="00202861"/>
    <w:rsid w:val="00207081"/>
    <w:rsid w:val="00207557"/>
    <w:rsid w:val="002123B1"/>
    <w:rsid w:val="00213D0B"/>
    <w:rsid w:val="00214140"/>
    <w:rsid w:val="0021546A"/>
    <w:rsid w:val="00215E47"/>
    <w:rsid w:val="00216B07"/>
    <w:rsid w:val="00217CDE"/>
    <w:rsid w:val="0022000B"/>
    <w:rsid w:val="0022019D"/>
    <w:rsid w:val="00220DC7"/>
    <w:rsid w:val="00222FD7"/>
    <w:rsid w:val="002263BA"/>
    <w:rsid w:val="00230173"/>
    <w:rsid w:val="0023239A"/>
    <w:rsid w:val="002334CA"/>
    <w:rsid w:val="00233B69"/>
    <w:rsid w:val="00233CAE"/>
    <w:rsid w:val="00233FCC"/>
    <w:rsid w:val="00235F24"/>
    <w:rsid w:val="002420A7"/>
    <w:rsid w:val="00246DDC"/>
    <w:rsid w:val="00256524"/>
    <w:rsid w:val="002576DD"/>
    <w:rsid w:val="00257FE4"/>
    <w:rsid w:val="00271AF4"/>
    <w:rsid w:val="002724B0"/>
    <w:rsid w:val="00274883"/>
    <w:rsid w:val="00275546"/>
    <w:rsid w:val="00277028"/>
    <w:rsid w:val="00282406"/>
    <w:rsid w:val="00284ACE"/>
    <w:rsid w:val="0028572B"/>
    <w:rsid w:val="00286294"/>
    <w:rsid w:val="00286BB4"/>
    <w:rsid w:val="002877F6"/>
    <w:rsid w:val="00287E9A"/>
    <w:rsid w:val="0029185A"/>
    <w:rsid w:val="00294232"/>
    <w:rsid w:val="002963AD"/>
    <w:rsid w:val="002A2080"/>
    <w:rsid w:val="002A2758"/>
    <w:rsid w:val="002A74B4"/>
    <w:rsid w:val="002B1AEB"/>
    <w:rsid w:val="002C1147"/>
    <w:rsid w:val="002C1F85"/>
    <w:rsid w:val="002C345D"/>
    <w:rsid w:val="002C45E1"/>
    <w:rsid w:val="002D18AF"/>
    <w:rsid w:val="002D4378"/>
    <w:rsid w:val="002D68DD"/>
    <w:rsid w:val="002D7AAC"/>
    <w:rsid w:val="002D7E6F"/>
    <w:rsid w:val="002E0152"/>
    <w:rsid w:val="002E0F44"/>
    <w:rsid w:val="002E1C78"/>
    <w:rsid w:val="002F25D2"/>
    <w:rsid w:val="002F46FC"/>
    <w:rsid w:val="002F58D8"/>
    <w:rsid w:val="00304134"/>
    <w:rsid w:val="00310AFA"/>
    <w:rsid w:val="00312861"/>
    <w:rsid w:val="003155AD"/>
    <w:rsid w:val="00315D59"/>
    <w:rsid w:val="00320C5E"/>
    <w:rsid w:val="003256AA"/>
    <w:rsid w:val="003262E6"/>
    <w:rsid w:val="003344F8"/>
    <w:rsid w:val="00334A6A"/>
    <w:rsid w:val="00334B10"/>
    <w:rsid w:val="00340772"/>
    <w:rsid w:val="003452FD"/>
    <w:rsid w:val="0036073B"/>
    <w:rsid w:val="003632DA"/>
    <w:rsid w:val="00366CE9"/>
    <w:rsid w:val="003731DD"/>
    <w:rsid w:val="00375288"/>
    <w:rsid w:val="00380414"/>
    <w:rsid w:val="003804F8"/>
    <w:rsid w:val="00380935"/>
    <w:rsid w:val="00382994"/>
    <w:rsid w:val="00391F6B"/>
    <w:rsid w:val="0039258B"/>
    <w:rsid w:val="00396F9A"/>
    <w:rsid w:val="003A3935"/>
    <w:rsid w:val="003A5850"/>
    <w:rsid w:val="003A65BE"/>
    <w:rsid w:val="003A7C46"/>
    <w:rsid w:val="003B1D35"/>
    <w:rsid w:val="003B2F0B"/>
    <w:rsid w:val="003B3345"/>
    <w:rsid w:val="003B597B"/>
    <w:rsid w:val="003D1202"/>
    <w:rsid w:val="003D33FB"/>
    <w:rsid w:val="003E3668"/>
    <w:rsid w:val="003F0156"/>
    <w:rsid w:val="003F05F2"/>
    <w:rsid w:val="003F1B9B"/>
    <w:rsid w:val="003F38F0"/>
    <w:rsid w:val="003F47E7"/>
    <w:rsid w:val="003F511B"/>
    <w:rsid w:val="003F7BFF"/>
    <w:rsid w:val="00405B33"/>
    <w:rsid w:val="004073AA"/>
    <w:rsid w:val="00407549"/>
    <w:rsid w:val="004208A3"/>
    <w:rsid w:val="0042106F"/>
    <w:rsid w:val="00421242"/>
    <w:rsid w:val="004237C3"/>
    <w:rsid w:val="00433E75"/>
    <w:rsid w:val="00440E84"/>
    <w:rsid w:val="00446577"/>
    <w:rsid w:val="0044692D"/>
    <w:rsid w:val="00447CF4"/>
    <w:rsid w:val="004508F3"/>
    <w:rsid w:val="00452E82"/>
    <w:rsid w:val="00455385"/>
    <w:rsid w:val="00464EE0"/>
    <w:rsid w:val="004710C6"/>
    <w:rsid w:val="00472D50"/>
    <w:rsid w:val="004831A0"/>
    <w:rsid w:val="00491AAC"/>
    <w:rsid w:val="00491B50"/>
    <w:rsid w:val="00497EF4"/>
    <w:rsid w:val="004A51F4"/>
    <w:rsid w:val="004A7137"/>
    <w:rsid w:val="004C1AD2"/>
    <w:rsid w:val="004C2D39"/>
    <w:rsid w:val="004C2E8B"/>
    <w:rsid w:val="004E5D47"/>
    <w:rsid w:val="004F4078"/>
    <w:rsid w:val="004F5E43"/>
    <w:rsid w:val="004F704B"/>
    <w:rsid w:val="005004DC"/>
    <w:rsid w:val="00500E5F"/>
    <w:rsid w:val="0051266A"/>
    <w:rsid w:val="00513CB8"/>
    <w:rsid w:val="005157A4"/>
    <w:rsid w:val="00520FF3"/>
    <w:rsid w:val="005210D5"/>
    <w:rsid w:val="0052615C"/>
    <w:rsid w:val="00530DAC"/>
    <w:rsid w:val="005337CF"/>
    <w:rsid w:val="00536548"/>
    <w:rsid w:val="00542925"/>
    <w:rsid w:val="00543749"/>
    <w:rsid w:val="005502D1"/>
    <w:rsid w:val="00550314"/>
    <w:rsid w:val="00551DA6"/>
    <w:rsid w:val="00560519"/>
    <w:rsid w:val="0056454A"/>
    <w:rsid w:val="0056479A"/>
    <w:rsid w:val="00574E60"/>
    <w:rsid w:val="00582933"/>
    <w:rsid w:val="00585799"/>
    <w:rsid w:val="005966BA"/>
    <w:rsid w:val="005A10F8"/>
    <w:rsid w:val="005A45F0"/>
    <w:rsid w:val="005A4C57"/>
    <w:rsid w:val="005A53FF"/>
    <w:rsid w:val="005A5847"/>
    <w:rsid w:val="005A6565"/>
    <w:rsid w:val="005B0AC3"/>
    <w:rsid w:val="005B78D5"/>
    <w:rsid w:val="005C7453"/>
    <w:rsid w:val="005C76C6"/>
    <w:rsid w:val="005D6794"/>
    <w:rsid w:val="005D74B5"/>
    <w:rsid w:val="005E004F"/>
    <w:rsid w:val="005E1985"/>
    <w:rsid w:val="005E2A9C"/>
    <w:rsid w:val="005F51DA"/>
    <w:rsid w:val="005F78B7"/>
    <w:rsid w:val="006006A1"/>
    <w:rsid w:val="00601C3D"/>
    <w:rsid w:val="00605322"/>
    <w:rsid w:val="006104B2"/>
    <w:rsid w:val="00612DF9"/>
    <w:rsid w:val="006203B2"/>
    <w:rsid w:val="006218D6"/>
    <w:rsid w:val="00624346"/>
    <w:rsid w:val="00644BFA"/>
    <w:rsid w:val="006455B3"/>
    <w:rsid w:val="00647194"/>
    <w:rsid w:val="00650E5A"/>
    <w:rsid w:val="0065602B"/>
    <w:rsid w:val="00672C3D"/>
    <w:rsid w:val="006747C9"/>
    <w:rsid w:val="0068744C"/>
    <w:rsid w:val="0069466E"/>
    <w:rsid w:val="00694E00"/>
    <w:rsid w:val="006A140D"/>
    <w:rsid w:val="006A62CB"/>
    <w:rsid w:val="006A77F4"/>
    <w:rsid w:val="006B133B"/>
    <w:rsid w:val="006B324C"/>
    <w:rsid w:val="006C20F2"/>
    <w:rsid w:val="006C54C4"/>
    <w:rsid w:val="006E0076"/>
    <w:rsid w:val="006E0B4A"/>
    <w:rsid w:val="006E14B3"/>
    <w:rsid w:val="006E7B86"/>
    <w:rsid w:val="006F0826"/>
    <w:rsid w:val="006F6D0C"/>
    <w:rsid w:val="00706ED6"/>
    <w:rsid w:val="0070753F"/>
    <w:rsid w:val="00715928"/>
    <w:rsid w:val="00716A49"/>
    <w:rsid w:val="0073047F"/>
    <w:rsid w:val="00730646"/>
    <w:rsid w:val="0074397E"/>
    <w:rsid w:val="00745A0F"/>
    <w:rsid w:val="00751327"/>
    <w:rsid w:val="007519C3"/>
    <w:rsid w:val="00751EFB"/>
    <w:rsid w:val="007575C2"/>
    <w:rsid w:val="00761D91"/>
    <w:rsid w:val="007653E4"/>
    <w:rsid w:val="00773756"/>
    <w:rsid w:val="00780A1A"/>
    <w:rsid w:val="00781649"/>
    <w:rsid w:val="00787A3A"/>
    <w:rsid w:val="00796193"/>
    <w:rsid w:val="007A7583"/>
    <w:rsid w:val="007B2FF3"/>
    <w:rsid w:val="007B4068"/>
    <w:rsid w:val="007C3D7D"/>
    <w:rsid w:val="007C3F19"/>
    <w:rsid w:val="007C46C3"/>
    <w:rsid w:val="007D1ABF"/>
    <w:rsid w:val="007E1246"/>
    <w:rsid w:val="007E427E"/>
    <w:rsid w:val="007E5508"/>
    <w:rsid w:val="007F69D8"/>
    <w:rsid w:val="007F7A8C"/>
    <w:rsid w:val="00802514"/>
    <w:rsid w:val="00802937"/>
    <w:rsid w:val="00802A7E"/>
    <w:rsid w:val="00805634"/>
    <w:rsid w:val="0081299B"/>
    <w:rsid w:val="00815987"/>
    <w:rsid w:val="00820BA1"/>
    <w:rsid w:val="00821AEC"/>
    <w:rsid w:val="00821F44"/>
    <w:rsid w:val="00830A6A"/>
    <w:rsid w:val="00831A8E"/>
    <w:rsid w:val="00833312"/>
    <w:rsid w:val="00833C06"/>
    <w:rsid w:val="0083781C"/>
    <w:rsid w:val="0084151A"/>
    <w:rsid w:val="00852471"/>
    <w:rsid w:val="00854C59"/>
    <w:rsid w:val="00856CD6"/>
    <w:rsid w:val="0085709A"/>
    <w:rsid w:val="0087342C"/>
    <w:rsid w:val="0087351F"/>
    <w:rsid w:val="00874539"/>
    <w:rsid w:val="0087486E"/>
    <w:rsid w:val="00877DDC"/>
    <w:rsid w:val="00883E23"/>
    <w:rsid w:val="00887A39"/>
    <w:rsid w:val="00894A0C"/>
    <w:rsid w:val="00896776"/>
    <w:rsid w:val="008A0072"/>
    <w:rsid w:val="008A3A07"/>
    <w:rsid w:val="008A3F1B"/>
    <w:rsid w:val="008A5355"/>
    <w:rsid w:val="008A7915"/>
    <w:rsid w:val="008B7673"/>
    <w:rsid w:val="008C17DD"/>
    <w:rsid w:val="008D0A8D"/>
    <w:rsid w:val="008D3D60"/>
    <w:rsid w:val="008D4D76"/>
    <w:rsid w:val="008D5CC7"/>
    <w:rsid w:val="008D63CC"/>
    <w:rsid w:val="008D7CA2"/>
    <w:rsid w:val="008E2731"/>
    <w:rsid w:val="008E487B"/>
    <w:rsid w:val="008E765B"/>
    <w:rsid w:val="008F1277"/>
    <w:rsid w:val="008F1FCF"/>
    <w:rsid w:val="008F7ACD"/>
    <w:rsid w:val="0090167B"/>
    <w:rsid w:val="0090223B"/>
    <w:rsid w:val="00906CB4"/>
    <w:rsid w:val="00916A92"/>
    <w:rsid w:val="009204DD"/>
    <w:rsid w:val="00921283"/>
    <w:rsid w:val="00922FAC"/>
    <w:rsid w:val="0092452B"/>
    <w:rsid w:val="00930BC6"/>
    <w:rsid w:val="009365EF"/>
    <w:rsid w:val="00937A4A"/>
    <w:rsid w:val="00940288"/>
    <w:rsid w:val="009411B2"/>
    <w:rsid w:val="009609D9"/>
    <w:rsid w:val="009659DC"/>
    <w:rsid w:val="00976E15"/>
    <w:rsid w:val="00981CC4"/>
    <w:rsid w:val="009901CA"/>
    <w:rsid w:val="009A0144"/>
    <w:rsid w:val="009A590C"/>
    <w:rsid w:val="009B3DA3"/>
    <w:rsid w:val="009B67EF"/>
    <w:rsid w:val="009C0A61"/>
    <w:rsid w:val="009C2D38"/>
    <w:rsid w:val="009C333F"/>
    <w:rsid w:val="009D5BB7"/>
    <w:rsid w:val="009E0C04"/>
    <w:rsid w:val="009E0D26"/>
    <w:rsid w:val="009E412A"/>
    <w:rsid w:val="009E6CBF"/>
    <w:rsid w:val="009E7790"/>
    <w:rsid w:val="009F24DD"/>
    <w:rsid w:val="009F40EB"/>
    <w:rsid w:val="009F4816"/>
    <w:rsid w:val="009F6C59"/>
    <w:rsid w:val="009F7D5F"/>
    <w:rsid w:val="00A02AB3"/>
    <w:rsid w:val="00A045B1"/>
    <w:rsid w:val="00A049C0"/>
    <w:rsid w:val="00A0508A"/>
    <w:rsid w:val="00A07B0F"/>
    <w:rsid w:val="00A162D5"/>
    <w:rsid w:val="00A17FA1"/>
    <w:rsid w:val="00A20435"/>
    <w:rsid w:val="00A23D65"/>
    <w:rsid w:val="00A23E60"/>
    <w:rsid w:val="00A24366"/>
    <w:rsid w:val="00A246F4"/>
    <w:rsid w:val="00A25A1A"/>
    <w:rsid w:val="00A26BF0"/>
    <w:rsid w:val="00A27F8C"/>
    <w:rsid w:val="00A35CAB"/>
    <w:rsid w:val="00A36DDD"/>
    <w:rsid w:val="00A51208"/>
    <w:rsid w:val="00A56BDC"/>
    <w:rsid w:val="00A6480A"/>
    <w:rsid w:val="00A662FC"/>
    <w:rsid w:val="00A83DAF"/>
    <w:rsid w:val="00A86F9C"/>
    <w:rsid w:val="00A90221"/>
    <w:rsid w:val="00A958D3"/>
    <w:rsid w:val="00AA3079"/>
    <w:rsid w:val="00AA40FC"/>
    <w:rsid w:val="00AB1B54"/>
    <w:rsid w:val="00AB3C28"/>
    <w:rsid w:val="00AB5736"/>
    <w:rsid w:val="00AC1DD8"/>
    <w:rsid w:val="00AC4E97"/>
    <w:rsid w:val="00AC5255"/>
    <w:rsid w:val="00AD2B12"/>
    <w:rsid w:val="00AD404B"/>
    <w:rsid w:val="00AD5094"/>
    <w:rsid w:val="00AD6A6E"/>
    <w:rsid w:val="00AE160D"/>
    <w:rsid w:val="00AE236B"/>
    <w:rsid w:val="00AE438A"/>
    <w:rsid w:val="00AE7067"/>
    <w:rsid w:val="00AF4ADB"/>
    <w:rsid w:val="00AF4FAF"/>
    <w:rsid w:val="00B00B44"/>
    <w:rsid w:val="00B11370"/>
    <w:rsid w:val="00B13173"/>
    <w:rsid w:val="00B1318B"/>
    <w:rsid w:val="00B22016"/>
    <w:rsid w:val="00B238C5"/>
    <w:rsid w:val="00B244A9"/>
    <w:rsid w:val="00B24DC3"/>
    <w:rsid w:val="00B266F1"/>
    <w:rsid w:val="00B35861"/>
    <w:rsid w:val="00B35C16"/>
    <w:rsid w:val="00B35F7E"/>
    <w:rsid w:val="00B3660E"/>
    <w:rsid w:val="00B47849"/>
    <w:rsid w:val="00B52924"/>
    <w:rsid w:val="00B64F55"/>
    <w:rsid w:val="00B74DDF"/>
    <w:rsid w:val="00B76CA1"/>
    <w:rsid w:val="00B7704F"/>
    <w:rsid w:val="00B77BD5"/>
    <w:rsid w:val="00B82466"/>
    <w:rsid w:val="00B84B7F"/>
    <w:rsid w:val="00B873B6"/>
    <w:rsid w:val="00B905AC"/>
    <w:rsid w:val="00B9305F"/>
    <w:rsid w:val="00B954A0"/>
    <w:rsid w:val="00BA0F8F"/>
    <w:rsid w:val="00BB168B"/>
    <w:rsid w:val="00BB4EB0"/>
    <w:rsid w:val="00BC4BC1"/>
    <w:rsid w:val="00BC605B"/>
    <w:rsid w:val="00BD64DB"/>
    <w:rsid w:val="00BE2886"/>
    <w:rsid w:val="00BE442A"/>
    <w:rsid w:val="00BE7D8B"/>
    <w:rsid w:val="00BF141B"/>
    <w:rsid w:val="00BF1B1A"/>
    <w:rsid w:val="00C00622"/>
    <w:rsid w:val="00C0733C"/>
    <w:rsid w:val="00C07A4B"/>
    <w:rsid w:val="00C15F50"/>
    <w:rsid w:val="00C24771"/>
    <w:rsid w:val="00C4007E"/>
    <w:rsid w:val="00C417FC"/>
    <w:rsid w:val="00C41ECF"/>
    <w:rsid w:val="00C46EDD"/>
    <w:rsid w:val="00C50F2D"/>
    <w:rsid w:val="00C55439"/>
    <w:rsid w:val="00C56FEB"/>
    <w:rsid w:val="00C602FD"/>
    <w:rsid w:val="00C60F89"/>
    <w:rsid w:val="00C6563F"/>
    <w:rsid w:val="00C74761"/>
    <w:rsid w:val="00C80733"/>
    <w:rsid w:val="00CA0701"/>
    <w:rsid w:val="00CA0B2B"/>
    <w:rsid w:val="00CA3647"/>
    <w:rsid w:val="00CA3CEA"/>
    <w:rsid w:val="00CB5C84"/>
    <w:rsid w:val="00CB65B5"/>
    <w:rsid w:val="00CB6CDB"/>
    <w:rsid w:val="00CC0701"/>
    <w:rsid w:val="00CC2C7D"/>
    <w:rsid w:val="00CC4847"/>
    <w:rsid w:val="00CC7967"/>
    <w:rsid w:val="00CD6765"/>
    <w:rsid w:val="00CE2037"/>
    <w:rsid w:val="00CE5DF2"/>
    <w:rsid w:val="00CE69D6"/>
    <w:rsid w:val="00CF1392"/>
    <w:rsid w:val="00CF5098"/>
    <w:rsid w:val="00CF5D2B"/>
    <w:rsid w:val="00CF746C"/>
    <w:rsid w:val="00D01F0F"/>
    <w:rsid w:val="00D06A53"/>
    <w:rsid w:val="00D10AAA"/>
    <w:rsid w:val="00D17FE2"/>
    <w:rsid w:val="00D238B7"/>
    <w:rsid w:val="00D3254D"/>
    <w:rsid w:val="00D327E2"/>
    <w:rsid w:val="00D34559"/>
    <w:rsid w:val="00D35328"/>
    <w:rsid w:val="00D4029A"/>
    <w:rsid w:val="00D428A2"/>
    <w:rsid w:val="00D4721B"/>
    <w:rsid w:val="00D50138"/>
    <w:rsid w:val="00D60294"/>
    <w:rsid w:val="00D62227"/>
    <w:rsid w:val="00D65432"/>
    <w:rsid w:val="00D671A5"/>
    <w:rsid w:val="00D745F6"/>
    <w:rsid w:val="00D812FD"/>
    <w:rsid w:val="00D9518F"/>
    <w:rsid w:val="00DA01CB"/>
    <w:rsid w:val="00DA0662"/>
    <w:rsid w:val="00DA5458"/>
    <w:rsid w:val="00DA69AC"/>
    <w:rsid w:val="00DB4044"/>
    <w:rsid w:val="00DB6542"/>
    <w:rsid w:val="00DC7E58"/>
    <w:rsid w:val="00DD1181"/>
    <w:rsid w:val="00DE29AF"/>
    <w:rsid w:val="00DE5471"/>
    <w:rsid w:val="00DF23E4"/>
    <w:rsid w:val="00DF50B5"/>
    <w:rsid w:val="00E040B0"/>
    <w:rsid w:val="00E10A09"/>
    <w:rsid w:val="00E1188D"/>
    <w:rsid w:val="00E1422E"/>
    <w:rsid w:val="00E15975"/>
    <w:rsid w:val="00E24E2E"/>
    <w:rsid w:val="00E42280"/>
    <w:rsid w:val="00E47927"/>
    <w:rsid w:val="00E57D59"/>
    <w:rsid w:val="00E60810"/>
    <w:rsid w:val="00E720BA"/>
    <w:rsid w:val="00E72E09"/>
    <w:rsid w:val="00E74DF8"/>
    <w:rsid w:val="00E758CE"/>
    <w:rsid w:val="00E76459"/>
    <w:rsid w:val="00E90EE4"/>
    <w:rsid w:val="00E97EB0"/>
    <w:rsid w:val="00EA09F5"/>
    <w:rsid w:val="00EA30CC"/>
    <w:rsid w:val="00EA3B27"/>
    <w:rsid w:val="00EA3B95"/>
    <w:rsid w:val="00EA4ED4"/>
    <w:rsid w:val="00EB3039"/>
    <w:rsid w:val="00EB33E2"/>
    <w:rsid w:val="00EC669F"/>
    <w:rsid w:val="00EC68F0"/>
    <w:rsid w:val="00EC7128"/>
    <w:rsid w:val="00EE7837"/>
    <w:rsid w:val="00EF4CE3"/>
    <w:rsid w:val="00F052E8"/>
    <w:rsid w:val="00F10BFE"/>
    <w:rsid w:val="00F11A2E"/>
    <w:rsid w:val="00F15024"/>
    <w:rsid w:val="00F1531B"/>
    <w:rsid w:val="00F25331"/>
    <w:rsid w:val="00F3747E"/>
    <w:rsid w:val="00F4222B"/>
    <w:rsid w:val="00F42CA6"/>
    <w:rsid w:val="00F442B2"/>
    <w:rsid w:val="00F45231"/>
    <w:rsid w:val="00F46754"/>
    <w:rsid w:val="00F50A93"/>
    <w:rsid w:val="00F51461"/>
    <w:rsid w:val="00F52794"/>
    <w:rsid w:val="00F5522F"/>
    <w:rsid w:val="00F566C3"/>
    <w:rsid w:val="00F63A0B"/>
    <w:rsid w:val="00F63F05"/>
    <w:rsid w:val="00F657E7"/>
    <w:rsid w:val="00F67AAA"/>
    <w:rsid w:val="00F720C8"/>
    <w:rsid w:val="00F728D7"/>
    <w:rsid w:val="00F75754"/>
    <w:rsid w:val="00F8120B"/>
    <w:rsid w:val="00F813E8"/>
    <w:rsid w:val="00F87E6D"/>
    <w:rsid w:val="00F9080F"/>
    <w:rsid w:val="00FA44FA"/>
    <w:rsid w:val="00FA5DE7"/>
    <w:rsid w:val="00FA61A3"/>
    <w:rsid w:val="00FB5037"/>
    <w:rsid w:val="00FB5DD7"/>
    <w:rsid w:val="00FC0E8A"/>
    <w:rsid w:val="00FC6B65"/>
    <w:rsid w:val="00FC7525"/>
    <w:rsid w:val="00FD0F48"/>
    <w:rsid w:val="00FD245B"/>
    <w:rsid w:val="00FD28BB"/>
    <w:rsid w:val="00FE0A50"/>
    <w:rsid w:val="00FE4BB3"/>
    <w:rsid w:val="00FF038B"/>
    <w:rsid w:val="00FF4E86"/>
    <w:rsid w:val="060C4C5A"/>
    <w:rsid w:val="1D95D326"/>
    <w:rsid w:val="208C85B8"/>
    <w:rsid w:val="2DEE6F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60C4C5A"/>
  <w15:docId w15:val="{E69471B1-C2C4-424A-8A6E-5CF406C0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6F9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6"/>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5"/>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5"/>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rPr>
  </w:style>
  <w:style w:type="paragraph" w:customStyle="1" w:styleId="Tabletext">
    <w:name w:val="Table text"/>
    <w:basedOn w:val="Normal"/>
    <w:rsid w:val="001C0A22"/>
    <w:pPr>
      <w:spacing w:before="40" w:after="40" w:line="240" w:lineRule="auto"/>
    </w:pPr>
    <w:rPr>
      <w:rFonts w:eastAsia="Times New Roman" w:cs="Arial"/>
    </w:rPr>
  </w:style>
  <w:style w:type="paragraph" w:customStyle="1" w:styleId="Source">
    <w:name w:val="Source"/>
    <w:basedOn w:val="Normal"/>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3"/>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2"/>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paragraph" w:customStyle="1" w:styleId="TableParagraph">
    <w:name w:val="Table Paragraph"/>
    <w:basedOn w:val="Normal"/>
    <w:uiPriority w:val="1"/>
    <w:qFormat/>
    <w:rsid w:val="0087351F"/>
    <w:pPr>
      <w:widowControl w:val="0"/>
      <w:autoSpaceDE w:val="0"/>
      <w:autoSpaceDN w:val="0"/>
      <w:spacing w:before="93" w:after="0" w:line="240" w:lineRule="auto"/>
    </w:pPr>
    <w:rPr>
      <w:rFonts w:ascii="Verdana" w:eastAsia="Verdana" w:hAnsi="Verdana" w:cs="Verdana"/>
      <w:lang w:eastAsia="en-AU" w:bidi="en-AU"/>
    </w:rPr>
  </w:style>
  <w:style w:type="table" w:styleId="TableGrid">
    <w:name w:val="Table Grid"/>
    <w:basedOn w:val="TableNormal"/>
    <w:uiPriority w:val="39"/>
    <w:rsid w:val="00491A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0A7"/>
    <w:rPr>
      <w:sz w:val="16"/>
      <w:szCs w:val="16"/>
    </w:rPr>
  </w:style>
  <w:style w:type="paragraph" w:styleId="CommentText">
    <w:name w:val="annotation text"/>
    <w:basedOn w:val="Normal"/>
    <w:link w:val="CommentTextChar"/>
    <w:uiPriority w:val="99"/>
    <w:semiHidden/>
    <w:unhideWhenUsed/>
    <w:rsid w:val="002420A7"/>
    <w:pPr>
      <w:spacing w:line="240" w:lineRule="auto"/>
    </w:pPr>
    <w:rPr>
      <w:sz w:val="20"/>
      <w:szCs w:val="20"/>
    </w:rPr>
  </w:style>
  <w:style w:type="character" w:customStyle="1" w:styleId="CommentTextChar">
    <w:name w:val="Comment Text Char"/>
    <w:basedOn w:val="DefaultParagraphFont"/>
    <w:link w:val="CommentText"/>
    <w:uiPriority w:val="99"/>
    <w:semiHidden/>
    <w:rsid w:val="002420A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2420A7"/>
    <w:rPr>
      <w:b/>
      <w:bCs/>
    </w:rPr>
  </w:style>
  <w:style w:type="character" w:customStyle="1" w:styleId="CommentSubjectChar">
    <w:name w:val="Comment Subject Char"/>
    <w:basedOn w:val="CommentTextChar"/>
    <w:link w:val="CommentSubject"/>
    <w:uiPriority w:val="99"/>
    <w:semiHidden/>
    <w:rsid w:val="002420A7"/>
    <w:rPr>
      <w:rFonts w:ascii="Arial" w:hAnsi="Arial"/>
      <w:b/>
      <w:bCs/>
      <w:lang w:val="en-US" w:eastAsia="en-US"/>
    </w:rPr>
  </w:style>
  <w:style w:type="character" w:styleId="UnresolvedMention">
    <w:name w:val="Unresolved Mention"/>
    <w:basedOn w:val="DefaultParagraphFont"/>
    <w:uiPriority w:val="99"/>
    <w:semiHidden/>
    <w:unhideWhenUsed/>
    <w:rsid w:val="0055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0465">
      <w:bodyDiv w:val="1"/>
      <w:marLeft w:val="0"/>
      <w:marRight w:val="0"/>
      <w:marTop w:val="0"/>
      <w:marBottom w:val="0"/>
      <w:divBdr>
        <w:top w:val="none" w:sz="0" w:space="0" w:color="auto"/>
        <w:left w:val="none" w:sz="0" w:space="0" w:color="auto"/>
        <w:bottom w:val="none" w:sz="0" w:space="0" w:color="auto"/>
        <w:right w:val="none" w:sz="0" w:space="0" w:color="auto"/>
      </w:divBdr>
    </w:div>
    <w:div w:id="409426644">
      <w:bodyDiv w:val="1"/>
      <w:marLeft w:val="0"/>
      <w:marRight w:val="0"/>
      <w:marTop w:val="0"/>
      <w:marBottom w:val="0"/>
      <w:divBdr>
        <w:top w:val="none" w:sz="0" w:space="0" w:color="auto"/>
        <w:left w:val="none" w:sz="0" w:space="0" w:color="auto"/>
        <w:bottom w:val="none" w:sz="0" w:space="0" w:color="auto"/>
        <w:right w:val="none" w:sz="0" w:space="0" w:color="auto"/>
      </w:divBdr>
    </w:div>
    <w:div w:id="446659847">
      <w:bodyDiv w:val="1"/>
      <w:marLeft w:val="0"/>
      <w:marRight w:val="0"/>
      <w:marTop w:val="0"/>
      <w:marBottom w:val="0"/>
      <w:divBdr>
        <w:top w:val="none" w:sz="0" w:space="0" w:color="auto"/>
        <w:left w:val="none" w:sz="0" w:space="0" w:color="auto"/>
        <w:bottom w:val="none" w:sz="0" w:space="0" w:color="auto"/>
        <w:right w:val="none" w:sz="0" w:space="0" w:color="auto"/>
      </w:divBdr>
    </w:div>
    <w:div w:id="1175917882">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7519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oronerscourt.vic.gov.au/sites/default/files/2018-12/patiyamayschreiber_603213.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TaxCatchAll xmlns="598c73d0-6bbc-4c43-bf71-bdd6a3679256">
      <Value>214</Value>
      <Value>24</Value>
      <Value>78</Value>
      <Value>266</Value>
    </TaxCatchAll>
    <h269360e789841368e2f90c5784208de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h269360e789841368e2f90c5784208de>
    <Document_x0020_Description xmlns="598c73d0-6bbc-4c43-bf71-bdd6a3679256" xsi:nil="true"/>
    <cc51aaa451b04fea8e74f4e5338f5b8a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cc51aaa451b04fea8e74f4e5338f5b8a>
    <TaxCatchAllLabel xmlns="598c73d0-6bbc-4c43-bf71-bdd6a3679256"/>
    <n68d91f0d9df4740bb01b95fc7e236f7 xmlns="598c73d0-6bbc-4c43-bf71-bdd6a3679256">
      <Terms xmlns="http://schemas.microsoft.com/office/infopath/2007/PartnerControls"/>
    </n68d91f0d9df4740bb01b95fc7e236f7>
    <fbf360b30c184618b397fcc11f5af71b xmlns="598c73d0-6bbc-4c43-bf71-bdd6a3679256">
      <Terms xmlns="http://schemas.microsoft.com/office/infopath/2007/PartnerControls">
        <TermInfo xmlns="http://schemas.microsoft.com/office/infopath/2007/PartnerControls">
          <TermName xmlns="http://schemas.microsoft.com/office/infopath/2007/PartnerControls">02. February</TermName>
          <TermId xmlns="http://schemas.microsoft.com/office/infopath/2007/PartnerControls">529d983e-1161-45f4-9953-5be46945cc93</TermId>
        </TermInfo>
      </Terms>
    </fbf360b30c184618b397fcc11f5af71b>
    <l83ac093fefa4ebaba67e7bc22117a64 xmlns="0425d8c0-d84e-4110-908a-6a39f59d4a61">
      <Terms xmlns="http://schemas.microsoft.com/office/infopath/2007/PartnerControls">
        <TermInfo xmlns="http://schemas.microsoft.com/office/infopath/2007/PartnerControls">
          <TermName xmlns="http://schemas.microsoft.com/office/infopath/2007/PartnerControls">Electrical Line Clearance</TermName>
          <TermId xmlns="http://schemas.microsoft.com/office/infopath/2007/PartnerControls">28340e12-7a33-479d-b260-9af6ef38d0a6</TermId>
        </TermInfo>
      </Terms>
    </l83ac093fefa4ebaba67e7bc22117a64>
    <ca1877eef2604924ba5482b070248b76 xmlns="598c73d0-6bbc-4c43-bf71-bdd6a3679256">
      <Terms xmlns="http://schemas.microsoft.com/office/infopath/2007/PartnerControls"/>
    </ca1877eef2604924ba5482b070248b76>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VIS Document" ma:contentTypeID="0x010100A2A3EEC55CC8EE428F514A8F85349FCC003D0096655562D94292B8BA415678769E" ma:contentTypeVersion="45" ma:contentTypeDescription="" ma:contentTypeScope="" ma:versionID="a1845584ff34017c7f2edbaad0277fdd">
  <xsd:schema xmlns:xsd="http://www.w3.org/2001/XMLSchema" xmlns:xs="http://www.w3.org/2001/XMLSchema" xmlns:p="http://schemas.microsoft.com/office/2006/metadata/properties" xmlns:ns2="598c73d0-6bbc-4c43-bf71-bdd6a3679256" xmlns:ns3="0425d8c0-d84e-4110-908a-6a39f59d4a61" targetNamespace="http://schemas.microsoft.com/office/2006/metadata/properties" ma:root="true" ma:fieldsID="078ba0636c92137551af7e292cba8036" ns2:_="" ns3:_="">
    <xsd:import namespace="598c73d0-6bbc-4c43-bf71-bdd6a3679256"/>
    <xsd:import namespace="0425d8c0-d84e-4110-908a-6a39f59d4a61"/>
    <xsd:element name="properties">
      <xsd:complexType>
        <xsd:sequence>
          <xsd:element name="documentManagement">
            <xsd:complexType>
              <xsd:all>
                <xsd:element ref="ns2:Document_x0020_Description" minOccurs="0"/>
                <xsd:element ref="ns2:h269360e789841368e2f90c5784208de" minOccurs="0"/>
                <xsd:element ref="ns2:TaxCatchAll" minOccurs="0"/>
                <xsd:element ref="ns2:TaxCatchAllLabel" minOccurs="0"/>
                <xsd:element ref="ns2:fbf360b30c184618b397fcc11f5af71b" minOccurs="0"/>
                <xsd:element ref="ns2:cc51aaa451b04fea8e74f4e5338f5b8a" minOccurs="0"/>
                <xsd:element ref="ns2:n68d91f0d9df4740bb01b95fc7e236f7" minOccurs="0"/>
                <xsd:element ref="ns2:ca1877eef2604924ba5482b070248b76" minOccurs="0"/>
                <xsd:element ref="ns3:l83ac093fefa4ebaba67e7bc22117a64"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h269360e789841368e2f90c5784208de" ma:index="9" ma:taxonomy="true" ma:internalName="h269360e789841368e2f90c5784208de" ma:taxonomyFieldName="Doc_x0020_Type" ma:displayName="Doc Type" ma:readOnly="false" ma:fieldId="{1269360e-7898-4136-8e2f-90c5784208de}"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51f40f3-82b9-4d58-84cc-16ba7243fb3f}"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51f40f3-82b9-4d58-84cc-16ba7243fb3f}" ma:internalName="TaxCatchAllLabel" ma:readOnly="fals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fbf360b30c184618b397fcc11f5af71b" ma:index="13" nillable="true" ma:taxonomy="true" ma:internalName="fbf360b30c184618b397fcc11f5af71b" ma:taxonomyFieldName="Month" ma:displayName="Month" ma:readOnly="false" ma:fieldId="{fbf360b3-0c18-4618-b397-fcc11f5af71b}"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cc51aaa451b04fea8e74f4e5338f5b8a" ma:index="15" nillable="true" ma:taxonomy="true" ma:internalName="cc51aaa451b04fea8e74f4e5338f5b8a" ma:taxonomyFieldName="Year" ma:displayName="Year" ma:readOnly="false" ma:fieldId="{cc51aaa4-51b0-4fea-8e74-f4e5338f5b8a}"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n68d91f0d9df4740bb01b95fc7e236f7" ma:index="17" nillable="true" ma:taxonomy="true" ma:internalName="n68d91f0d9df4740bb01b95fc7e236f7" ma:taxonomyFieldName="Stakeholders" ma:displayName="Stakeholders" ma:readOnly="false" ma:fieldId="{768d91f0-d9df-4740-bb01-b95fc7e236f7}"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ca1877eef2604924ba5482b070248b76" ma:index="19" nillable="true" ma:taxonomy="true" ma:internalName="ca1877eef2604924ba5482b070248b76" ma:taxonomyFieldName="Topic" ma:displayName="Topic" ma:readOnly="false" ma:fieldId="{ca1877ee-f260-4924-ba54-82b070248b76}" ma:sspId="fde11242-6e73-49c6-980c-6919cde2f27c" ma:termSetId="41c7ede2-9c1a-429f-a2e9-76c737bbbea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25d8c0-d84e-4110-908a-6a39f59d4a61" elementFormDefault="qualified">
    <xsd:import namespace="http://schemas.microsoft.com/office/2006/documentManagement/types"/>
    <xsd:import namespace="http://schemas.microsoft.com/office/infopath/2007/PartnerControls"/>
    <xsd:element name="l83ac093fefa4ebaba67e7bc22117a64" ma:index="21" nillable="true" ma:taxonomy="true" ma:internalName="l83ac093fefa4ebaba67e7bc22117a64" ma:taxonomyFieldName="Project" ma:displayName="Project" ma:readOnly="false" ma:fieldId="{583ac093-fefa-4eba-ba67-e7bc22117a64}" ma:sspId="fde11242-6e73-49c6-980c-6919cde2f27c" ma:termSetId="c9ec8f16-abc7-4115-a029-20ae899b38d9"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95A11-2693-40EA-802C-F8811DA3B982}">
  <ds:schemaRefs>
    <ds:schemaRef ds:uri="http://schemas.microsoft.com/office/2006/metadata/properties"/>
    <ds:schemaRef ds:uri="598c73d0-6bbc-4c43-bf71-bdd6a3679256"/>
    <ds:schemaRef ds:uri="http://schemas.microsoft.com/office/infopath/2007/PartnerControls"/>
    <ds:schemaRef ds:uri="0425d8c0-d84e-4110-908a-6a39f59d4a61"/>
  </ds:schemaRefs>
</ds:datastoreItem>
</file>

<file path=customXml/itemProps3.xml><?xml version="1.0" encoding="utf-8"?>
<ds:datastoreItem xmlns:ds="http://schemas.openxmlformats.org/officeDocument/2006/customXml" ds:itemID="{36A65FFE-8BBF-45A0-8930-F3E63BC4DA43}">
  <ds:schemaRefs>
    <ds:schemaRef ds:uri="http://schemas.microsoft.com/office/2006/metadata/customXsn"/>
  </ds:schemaRefs>
</ds:datastoreItem>
</file>

<file path=customXml/itemProps4.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5.xml><?xml version="1.0" encoding="utf-8"?>
<ds:datastoreItem xmlns:ds="http://schemas.openxmlformats.org/officeDocument/2006/customXml" ds:itemID="{A43311FD-7AFE-4484-A11E-CFFBBA222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0425d8c0-d84e-4110-908a-6a39f59d4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2DDFDC-62D6-404A-B700-B3A5AABB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10</TotalTime>
  <Pages>17</Pages>
  <Words>5108</Words>
  <Characters>29120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draft ELC 2020 submission</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ELC 2020 submission</dc:title>
  <dc:subject/>
  <dc:creator>Claire Dunn</dc:creator>
  <cp:keywords/>
  <dc:description/>
  <cp:lastModifiedBy>Claire Dunn</cp:lastModifiedBy>
  <cp:revision>6</cp:revision>
  <cp:lastPrinted>2020-03-06T04:59:00Z</cp:lastPrinted>
  <dcterms:created xsi:type="dcterms:W3CDTF">2020-03-06T05:37:00Z</dcterms:created>
  <dcterms:modified xsi:type="dcterms:W3CDTF">2020-03-06T05:47:00Z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Resources and references</vt:lpwstr>
  </property>
  <property fmtid="{D5CDD505-2E9C-101B-9397-08002B2CF9AE}" pid="4" name="ContentTypeId">
    <vt:lpwstr>0x010100A2A3EEC55CC8EE428F514A8F85349FCC003D0096655562D94292B8BA415678769E</vt:lpwstr>
  </property>
  <property fmtid="{D5CDD505-2E9C-101B-9397-08002B2CF9AE}" pid="5" name="Project">
    <vt:lpwstr>214;#Electrical Line Clearance|28340e12-7a33-479d-b260-9af6ef38d0a6</vt:lpwstr>
  </property>
  <property fmtid="{D5CDD505-2E9C-101B-9397-08002B2CF9AE}" pid="6" name="Stakeholders">
    <vt:lpwstr/>
  </property>
  <property fmtid="{D5CDD505-2E9C-101B-9397-08002B2CF9AE}" pid="7" name="Topic">
    <vt:lpwstr/>
  </property>
  <property fmtid="{D5CDD505-2E9C-101B-9397-08002B2CF9AE}" pid="8" name="Year">
    <vt:lpwstr>266;#2020|e4fb3329-53af-44c8-8e00-fdf448259f1d</vt:lpwstr>
  </property>
  <property fmtid="{D5CDD505-2E9C-101B-9397-08002B2CF9AE}" pid="9" name="Month">
    <vt:lpwstr>24;#02. February|529d983e-1161-45f4-9953-5be46945cc93</vt:lpwstr>
  </property>
  <property fmtid="{D5CDD505-2E9C-101B-9397-08002B2CF9AE}" pid="10" name="Doc Type">
    <vt:lpwstr>78;#Submission|0f45a96c-2fb6-448e-b14e-285c9a1f224d</vt:lpwstr>
  </property>
</Properties>
</file>